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333-228339</w:t>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2073275</wp:posOffset>
            </wp:positionH>
            <wp:positionV relativeFrom="paragraph">
              <wp:posOffset>19685</wp:posOffset>
            </wp:positionV>
            <wp:extent cx="1865630" cy="485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5630" cy="485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New Fortress Energy LLC</w:t>
      </w:r>
    </w:p>
    <w:p>
      <w:pPr>
        <w:jc w:val="center"/>
        <w:spacing w:after="0" w:line="235" w:lineRule="auto"/>
        <w:rPr>
          <w:sz w:val="20"/>
          <w:szCs w:val="20"/>
          <w:color w:val="auto"/>
        </w:rPr>
      </w:pPr>
      <w:r>
        <w:rPr>
          <w:rFonts w:ascii="Arial" w:cs="Arial" w:eastAsia="Arial" w:hAnsi="Arial"/>
          <w:sz w:val="25"/>
          <w:szCs w:val="25"/>
          <w:b w:val="1"/>
          <w:bCs w:val="1"/>
          <w:color w:val="auto"/>
        </w:rPr>
        <w:t>20,000,000 Class A shares</w:t>
      </w:r>
    </w:p>
    <w:p>
      <w:pPr>
        <w:jc w:val="center"/>
        <w:spacing w:after="0"/>
        <w:rPr>
          <w:sz w:val="20"/>
          <w:szCs w:val="20"/>
          <w:color w:val="auto"/>
        </w:rPr>
      </w:pPr>
      <w:r>
        <w:rPr>
          <w:rFonts w:ascii="Arial" w:cs="Arial" w:eastAsia="Arial" w:hAnsi="Arial"/>
          <w:sz w:val="25"/>
          <w:szCs w:val="25"/>
          <w:b w:val="1"/>
          <w:bCs w:val="1"/>
          <w:color w:val="auto"/>
        </w:rPr>
        <w:t>Representing Limited Liability Company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2507615</wp:posOffset>
            </wp:positionH>
            <wp:positionV relativeFrom="paragraph">
              <wp:posOffset>86995</wp:posOffset>
            </wp:positionV>
            <wp:extent cx="10223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268" w:lineRule="exact"/>
        <w:rPr>
          <w:sz w:val="24"/>
          <w:szCs w:val="24"/>
          <w:color w:val="auto"/>
        </w:rPr>
      </w:pPr>
    </w:p>
    <w:p>
      <w:pPr>
        <w:ind w:right="160"/>
        <w:spacing w:after="0" w:line="229" w:lineRule="auto"/>
        <w:rPr>
          <w:sz w:val="20"/>
          <w:szCs w:val="20"/>
          <w:color w:val="auto"/>
        </w:rPr>
      </w:pPr>
      <w:r>
        <w:rPr>
          <w:rFonts w:ascii="Arial" w:cs="Arial" w:eastAsia="Arial" w:hAnsi="Arial"/>
          <w:sz w:val="16"/>
          <w:szCs w:val="16"/>
          <w:color w:val="auto"/>
        </w:rPr>
        <w:t>This is the initial public offering of Class A shares representing limited liability company interests of New Fortress Energy LLC. We are offering 20,000,000 Class A shares. We were recently formed by New Fortress Energy Holdings LLC and have elected to be treated as a corporation for U.S. federal income tax purposes. The initial public offering price is $14.00 per Class A share.</w:t>
      </w:r>
    </w:p>
    <w:p>
      <w:pPr>
        <w:spacing w:after="0" w:line="50" w:lineRule="exact"/>
        <w:rPr>
          <w:sz w:val="24"/>
          <w:szCs w:val="24"/>
          <w:color w:val="auto"/>
        </w:rPr>
      </w:pPr>
    </w:p>
    <w:p>
      <w:pPr>
        <w:ind w:right="280"/>
        <w:spacing w:after="0" w:line="238" w:lineRule="auto"/>
        <w:rPr>
          <w:sz w:val="20"/>
          <w:szCs w:val="20"/>
          <w:color w:val="auto"/>
        </w:rPr>
      </w:pPr>
      <w:r>
        <w:rPr>
          <w:rFonts w:ascii="Arial" w:cs="Arial" w:eastAsia="Arial" w:hAnsi="Arial"/>
          <w:sz w:val="16"/>
          <w:szCs w:val="16"/>
          <w:color w:val="auto"/>
        </w:rPr>
        <w:t>Prior to this offering, there has been no public market for our Class A shares. We have been authorized to list our Class A shares on the Nasdaq Global Select Market under the symbol “NFE.”</w:t>
      </w:r>
    </w:p>
    <w:p>
      <w:pPr>
        <w:spacing w:after="0" w:line="51" w:lineRule="exact"/>
        <w:rPr>
          <w:sz w:val="24"/>
          <w:szCs w:val="24"/>
          <w:color w:val="auto"/>
        </w:rPr>
      </w:pPr>
    </w:p>
    <w:p>
      <w:pPr>
        <w:ind w:right="440"/>
        <w:spacing w:after="0" w:line="238" w:lineRule="auto"/>
        <w:rPr>
          <w:sz w:val="20"/>
          <w:szCs w:val="20"/>
          <w:color w:val="auto"/>
        </w:rPr>
      </w:pPr>
      <w:r>
        <w:rPr>
          <w:rFonts w:ascii="Arial" w:cs="Arial" w:eastAsia="Arial" w:hAnsi="Arial"/>
          <w:sz w:val="16"/>
          <w:szCs w:val="16"/>
          <w:color w:val="auto"/>
        </w:rPr>
        <w:t>We are an “emerging growth company” and are eligible for reduced reporting requirements for this prospectus and future filings. Please read “Summary—Our Emerging Growth Company Status.”</w:t>
      </w:r>
    </w:p>
    <w:p>
      <w:pPr>
        <w:spacing w:after="0" w:line="47" w:lineRule="exact"/>
        <w:rPr>
          <w:sz w:val="24"/>
          <w:szCs w:val="24"/>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Class A shares involves risks. Please read “Risk Factors” beginning on page </w:t>
      </w:r>
      <w:hyperlink w:anchor="page28">
        <w:r>
          <w:rPr>
            <w:rFonts w:ascii="Arial" w:cs="Arial" w:eastAsia="Arial" w:hAnsi="Arial"/>
            <w:sz w:val="16"/>
            <w:szCs w:val="16"/>
            <w:b w:val="1"/>
            <w:bCs w:val="1"/>
            <w:u w:val="single" w:color="auto"/>
            <w:color w:val="0000EE"/>
          </w:rPr>
          <w:t>22</w:t>
        </w:r>
      </w:hyperlink>
      <w:r>
        <w:rPr>
          <w:rFonts w:ascii="Arial" w:cs="Arial" w:eastAsia="Arial" w:hAnsi="Arial"/>
          <w:sz w:val="16"/>
          <w:szCs w:val="16"/>
          <w:b w:val="1"/>
          <w:bCs w:val="1"/>
          <w:color w:val="auto"/>
        </w:rPr>
        <w:t>.</w:t>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color w:val="auto"/>
        </w:rPr>
        <w:t>These risks include the following:</w:t>
      </w:r>
    </w:p>
    <w:p>
      <w:pPr>
        <w:spacing w:after="0" w:line="125" w:lineRule="exact"/>
        <w:rPr>
          <w:sz w:val="24"/>
          <w:szCs w:val="24"/>
          <w:color w:val="auto"/>
        </w:rPr>
      </w:pPr>
    </w:p>
    <w:p>
      <w:pPr>
        <w:ind w:left="700" w:right="180" w:hanging="346"/>
        <w:spacing w:after="0" w:line="290"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Because we are currently dependent upon a limited number of customers, the loss of a significant customer could adversely affect our operating results.</w:t>
      </w:r>
    </w:p>
    <w:p>
      <w:pPr>
        <w:spacing w:after="0" w:line="65" w:lineRule="exact"/>
        <w:rPr>
          <w:rFonts w:ascii="Arial" w:cs="Arial" w:eastAsia="Arial" w:hAnsi="Arial"/>
          <w:sz w:val="16"/>
          <w:szCs w:val="16"/>
          <w:color w:val="auto"/>
        </w:rPr>
      </w:pPr>
    </w:p>
    <w:p>
      <w:pPr>
        <w:ind w:left="700" w:right="80" w:hanging="346"/>
        <w:spacing w:after="0" w:line="290"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business is dependent upon obtaining substantial additional funding from various sources, which may not be available or may only be available on unfavorable terms.</w:t>
      </w:r>
    </w:p>
    <w:p>
      <w:pPr>
        <w:spacing w:after="0" w:line="65" w:lineRule="exact"/>
        <w:rPr>
          <w:rFonts w:ascii="Arial" w:cs="Arial" w:eastAsia="Arial" w:hAnsi="Arial"/>
          <w:sz w:val="16"/>
          <w:szCs w:val="16"/>
          <w:color w:val="auto"/>
        </w:rPr>
      </w:pPr>
    </w:p>
    <w:p>
      <w:pPr>
        <w:ind w:left="700" w:right="180" w:hanging="346"/>
        <w:spacing w:after="0" w:line="290"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Failure of liquified natural gas (“LNG”) to be a competitive source of energy in the markets in which we operate, and seek to operate, could adversely affect our expansion strategy.</w:t>
      </w:r>
    </w:p>
    <w:p>
      <w:pPr>
        <w:spacing w:after="0" w:line="65" w:lineRule="exact"/>
        <w:rPr>
          <w:rFonts w:ascii="Arial" w:cs="Arial" w:eastAsia="Arial" w:hAnsi="Arial"/>
          <w:sz w:val="16"/>
          <w:szCs w:val="16"/>
          <w:color w:val="auto"/>
        </w:rPr>
      </w:pPr>
    </w:p>
    <w:p>
      <w:pPr>
        <w:jc w:val="both"/>
        <w:ind w:left="700" w:right="80" w:hanging="346"/>
        <w:spacing w:after="0" w:line="276"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76" w:lineRule="exact"/>
        <w:rPr>
          <w:rFonts w:ascii="Arial" w:cs="Arial" w:eastAsia="Arial" w:hAnsi="Arial"/>
          <w:sz w:val="16"/>
          <w:szCs w:val="16"/>
          <w:color w:val="auto"/>
        </w:rPr>
      </w:pPr>
    </w:p>
    <w:p>
      <w:pPr>
        <w:ind w:left="700" w:right="260" w:hanging="346"/>
        <w:spacing w:after="0" w:line="290"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New Fortress Energy Holdings LLC has the ability to direct the voting of a majority of our shares, and its interests may conflict with those of our other shareholders.</w:t>
      </w:r>
    </w:p>
    <w:p>
      <w:pPr>
        <w:spacing w:after="0" w:line="65" w:lineRule="exact"/>
        <w:rPr>
          <w:rFonts w:ascii="Arial" w:cs="Arial" w:eastAsia="Arial" w:hAnsi="Arial"/>
          <w:sz w:val="16"/>
          <w:szCs w:val="16"/>
          <w:color w:val="auto"/>
        </w:rPr>
      </w:pPr>
    </w:p>
    <w:p>
      <w:pPr>
        <w:ind w:left="700" w:right="320" w:hanging="346"/>
        <w:spacing w:after="0" w:line="276"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 are certain provisions in our operating agreement regarding exculpation and indemnification of our officers and directors that differ from Delaware General Corporation Law (“DGCL”) in a manner that may be less protective of the interests of our Class A shareholders.</w:t>
      </w:r>
    </w:p>
    <w:p>
      <w:pPr>
        <w:spacing w:after="0" w:line="76" w:lineRule="exact"/>
        <w:rPr>
          <w:rFonts w:ascii="Arial" w:cs="Arial" w:eastAsia="Arial" w:hAnsi="Arial"/>
          <w:sz w:val="16"/>
          <w:szCs w:val="16"/>
          <w:color w:val="auto"/>
        </w:rPr>
      </w:pPr>
    </w:p>
    <w:p>
      <w:pPr>
        <w:ind w:left="700" w:hanging="346"/>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Shareholders will experience immediate and substantial dilution of $10.63 per Class A share.</w:t>
      </w:r>
    </w:p>
    <w:p>
      <w:pPr>
        <w:spacing w:after="0" w:line="124" w:lineRule="exact"/>
        <w:rPr>
          <w:rFonts w:ascii="Arial" w:cs="Arial" w:eastAsia="Arial" w:hAnsi="Arial"/>
          <w:sz w:val="16"/>
          <w:szCs w:val="16"/>
          <w:color w:val="auto"/>
        </w:rPr>
      </w:pPr>
    </w:p>
    <w:p>
      <w:pPr>
        <w:ind w:left="700" w:right="140" w:hanging="346"/>
        <w:spacing w:after="0" w:line="324" w:lineRule="auto"/>
        <w:tabs>
          <w:tab w:leader="none" w:pos="7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tbl>
      <w:tblPr>
        <w:tblLayout w:type="fixed"/>
        <w:tblInd w:w="0" w:type="dxa"/>
        <w:tblCellMar>
          <w:top w:w="0" w:type="dxa"/>
          <w:left w:w="0" w:type="dxa"/>
          <w:bottom w:w="0" w:type="dxa"/>
          <w:right w:w="0" w:type="dxa"/>
        </w:tblCellMar>
      </w:tblPr>
      <w:tr>
        <w:trPr>
          <w:trHeight w:val="148"/>
        </w:trPr>
        <w:tc>
          <w:tcPr>
            <w:tcW w:w="13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40" w:type="dxa"/>
            <w:vAlign w:val="bottom"/>
            <w:gridSpan w:val="2"/>
          </w:tcPr>
          <w:p>
            <w:pPr>
              <w:jc w:val="right"/>
              <w:ind w:right="3"/>
              <w:spacing w:after="0" w:line="149" w:lineRule="exact"/>
              <w:rPr>
                <w:sz w:val="20"/>
                <w:szCs w:val="20"/>
                <w:color w:val="auto"/>
              </w:rPr>
            </w:pPr>
            <w:r>
              <w:rPr>
                <w:rFonts w:ascii="Arial" w:cs="Arial" w:eastAsia="Arial" w:hAnsi="Arial"/>
                <w:sz w:val="13"/>
                <w:szCs w:val="13"/>
                <w:b w:val="1"/>
                <w:bCs w:val="1"/>
                <w:color w:val="auto"/>
              </w:rPr>
              <w:t>Per Class A</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3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share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r>
      <w:tr>
        <w:trPr>
          <w:trHeight w:val="228"/>
        </w:trPr>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280,000,000</w:t>
            </w:r>
          </w:p>
        </w:tc>
      </w:tr>
      <w:tr>
        <w:trPr>
          <w:trHeight w:val="228"/>
        </w:trPr>
        <w:tc>
          <w:tcPr>
            <w:tcW w:w="7400" w:type="dxa"/>
            <w:vAlign w:val="bottom"/>
            <w:gridSpan w:val="2"/>
          </w:tcPr>
          <w:p>
            <w:pPr>
              <w:spacing w:after="0" w:line="228" w:lineRule="exact"/>
              <w:rPr>
                <w:sz w:val="20"/>
                <w:szCs w:val="20"/>
                <w:color w:val="auto"/>
              </w:rPr>
            </w:pPr>
            <w:r>
              <w:rPr>
                <w:rFonts w:ascii="Arial" w:cs="Arial" w:eastAsia="Arial" w:hAnsi="Arial"/>
                <w:sz w:val="16"/>
                <w:szCs w:val="16"/>
                <w:color w:val="auto"/>
              </w:rPr>
              <w:t>Underwriting Discount</w:t>
            </w:r>
            <w:r>
              <w:rPr>
                <w:rFonts w:ascii="Arial" w:cs="Arial" w:eastAsia="Arial" w:hAnsi="Arial"/>
                <w:sz w:val="26"/>
                <w:szCs w:val="26"/>
                <w:color w:val="auto"/>
                <w:vertAlign w:val="superscript"/>
              </w:rPr>
              <w:t>(1)</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0.8050</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16,100,000</w:t>
            </w:r>
          </w:p>
        </w:tc>
      </w:tr>
      <w:tr>
        <w:trPr>
          <w:trHeight w:val="228"/>
        </w:trPr>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to New Fortress Energy LLC (before expenses)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13.1950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263,900,000</w:t>
            </w:r>
          </w:p>
        </w:tc>
      </w:tr>
      <w:tr>
        <w:trPr>
          <w:trHeight w:val="188"/>
        </w:trPr>
        <w:tc>
          <w:tcPr>
            <w:tcW w:w="1340" w:type="dxa"/>
            <w:vAlign w:val="bottom"/>
            <w:tcBorders>
              <w:bottom w:val="single" w:sz="8" w:color="auto"/>
            </w:tcBorders>
          </w:tcPr>
          <w:p>
            <w:pPr>
              <w:spacing w:after="0"/>
              <w:rPr>
                <w:sz w:val="16"/>
                <w:szCs w:val="16"/>
                <w:color w:val="auto"/>
              </w:rPr>
            </w:pPr>
          </w:p>
        </w:tc>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2" w:lineRule="exact"/>
        <w:rPr>
          <w:sz w:val="24"/>
          <w:szCs w:val="24"/>
          <w:color w:val="auto"/>
        </w:rPr>
      </w:pPr>
    </w:p>
    <w:p>
      <w:pPr>
        <w:ind w:left="360" w:hanging="355"/>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 description of compensation payable to the underwriters.</w:t>
      </w:r>
    </w:p>
    <w:p>
      <w:pPr>
        <w:spacing w:after="0" w:line="63" w:lineRule="exact"/>
        <w:rPr>
          <w:sz w:val="24"/>
          <w:szCs w:val="24"/>
          <w:color w:val="auto"/>
        </w:rPr>
      </w:pPr>
    </w:p>
    <w:p>
      <w:pPr>
        <w:ind w:right="200"/>
        <w:spacing w:after="0" w:line="238" w:lineRule="auto"/>
        <w:rPr>
          <w:sz w:val="20"/>
          <w:szCs w:val="20"/>
          <w:color w:val="auto"/>
        </w:rPr>
      </w:pPr>
      <w:r>
        <w:rPr>
          <w:rFonts w:ascii="Arial" w:cs="Arial" w:eastAsia="Arial" w:hAnsi="Arial"/>
          <w:sz w:val="16"/>
          <w:szCs w:val="16"/>
          <w:color w:val="auto"/>
        </w:rPr>
        <w:t>The underwriters may purchase up to an additional 3,000,000 Class A shares from us at the public offering price, less the underwriting discount, within 30 days from the date of the underwriting agreement to be entered into in connection with this offering.</w:t>
      </w:r>
    </w:p>
    <w:p>
      <w:pPr>
        <w:spacing w:after="0" w:line="47" w:lineRule="exact"/>
        <w:rPr>
          <w:sz w:val="24"/>
          <w:szCs w:val="24"/>
          <w:color w:val="auto"/>
        </w:rPr>
      </w:pPr>
    </w:p>
    <w:p>
      <w:pPr>
        <w:ind w:right="160"/>
        <w:spacing w:after="0" w:line="275"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5" w:lineRule="exact"/>
        <w:rPr>
          <w:sz w:val="24"/>
          <w:szCs w:val="24"/>
          <w:color w:val="auto"/>
        </w:rPr>
      </w:pPr>
    </w:p>
    <w:p>
      <w:pPr>
        <w:jc w:val="both"/>
        <w:ind w:right="140"/>
        <w:spacing w:after="0" w:line="246" w:lineRule="auto"/>
        <w:rPr>
          <w:sz w:val="20"/>
          <w:szCs w:val="20"/>
          <w:color w:val="auto"/>
        </w:rPr>
      </w:pPr>
      <w:r>
        <w:rPr>
          <w:rFonts w:ascii="Arial" w:cs="Arial" w:eastAsia="Arial" w:hAnsi="Arial"/>
          <w:sz w:val="15"/>
          <w:szCs w:val="15"/>
          <w:color w:val="auto"/>
        </w:rPr>
        <w:t>Certain of our executive officers and directors (including our Chief Executive Officer and Chairman) have agreed to purchase 5,000,000 Class A shares in this offering at the initial public offering price per share and on the same terms as the other purchasers in this offering. The underwriters will receive the same underwriting discount on these shares as they will on any other shares sold to the public in this offering.</w:t>
      </w:r>
    </w:p>
    <w:p>
      <w:pPr>
        <w:spacing w:after="0" w:line="33" w:lineRule="exact"/>
        <w:rPr>
          <w:sz w:val="24"/>
          <w:szCs w:val="24"/>
          <w:color w:val="auto"/>
        </w:rPr>
      </w:pPr>
    </w:p>
    <w:p>
      <w:pPr>
        <w:ind w:right="660"/>
        <w:spacing w:after="0" w:line="238" w:lineRule="auto"/>
        <w:rPr>
          <w:sz w:val="20"/>
          <w:szCs w:val="20"/>
          <w:color w:val="auto"/>
        </w:rPr>
      </w:pPr>
      <w:r>
        <w:rPr>
          <w:rFonts w:ascii="Arial" w:cs="Arial" w:eastAsia="Arial" w:hAnsi="Arial"/>
          <w:sz w:val="16"/>
          <w:szCs w:val="16"/>
          <w:color w:val="auto"/>
        </w:rPr>
        <w:t>The underwriters expect to deliver the Class A shares to purchasers on or about February 4, 2019 through the book-entry facilities of The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2507615</wp:posOffset>
            </wp:positionH>
            <wp:positionV relativeFrom="paragraph">
              <wp:posOffset>72390</wp:posOffset>
            </wp:positionV>
            <wp:extent cx="1022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250" w:lineRule="exact"/>
        <w:rPr>
          <w:sz w:val="24"/>
          <w:szCs w:val="24"/>
          <w:color w:val="auto"/>
        </w:rPr>
      </w:pPr>
    </w:p>
    <w:p>
      <w:pPr>
        <w:spacing w:after="0"/>
        <w:tabs>
          <w:tab w:leader="none" w:pos="2980" w:val="left"/>
          <w:tab w:leader="none" w:pos="5400" w:val="left"/>
          <w:tab w:leader="none" w:pos="8180" w:val="left"/>
        </w:tabs>
        <w:rPr>
          <w:sz w:val="20"/>
          <w:szCs w:val="20"/>
          <w:color w:val="auto"/>
        </w:rPr>
      </w:pPr>
      <w:r>
        <w:rPr>
          <w:rFonts w:ascii="Arial" w:cs="Arial" w:eastAsia="Arial" w:hAnsi="Arial"/>
          <w:sz w:val="23"/>
          <w:szCs w:val="23"/>
          <w:b w:val="1"/>
          <w:bCs w:val="1"/>
          <w:color w:val="auto"/>
        </w:rPr>
        <w:t>Morgan Stanley</w:t>
      </w:r>
      <w:r>
        <w:rPr>
          <w:sz w:val="20"/>
          <w:szCs w:val="20"/>
          <w:color w:val="auto"/>
        </w:rPr>
        <w:tab/>
      </w:r>
      <w:r>
        <w:rPr>
          <w:rFonts w:ascii="Arial" w:cs="Arial" w:eastAsia="Arial" w:hAnsi="Arial"/>
          <w:sz w:val="23"/>
          <w:szCs w:val="23"/>
          <w:b w:val="1"/>
          <w:bCs w:val="1"/>
          <w:color w:val="auto"/>
        </w:rPr>
        <w:t>Barclays</w:t>
      </w:r>
      <w:r>
        <w:rPr>
          <w:sz w:val="20"/>
          <w:szCs w:val="20"/>
          <w:color w:val="auto"/>
        </w:rPr>
        <w:tab/>
      </w:r>
      <w:r>
        <w:rPr>
          <w:rFonts w:ascii="Arial" w:cs="Arial" w:eastAsia="Arial" w:hAnsi="Arial"/>
          <w:sz w:val="23"/>
          <w:szCs w:val="23"/>
          <w:b w:val="1"/>
          <w:bCs w:val="1"/>
          <w:color w:val="auto"/>
        </w:rPr>
        <w:t>Citigroup</w:t>
      </w:r>
      <w:r>
        <w:rPr>
          <w:sz w:val="20"/>
          <w:szCs w:val="20"/>
          <w:color w:val="auto"/>
        </w:rPr>
        <w:tab/>
      </w:r>
      <w:r>
        <w:rPr>
          <w:rFonts w:ascii="Arial" w:cs="Arial" w:eastAsia="Arial" w:hAnsi="Arial"/>
          <w:sz w:val="20"/>
          <w:szCs w:val="20"/>
          <w:b w:val="1"/>
          <w:bCs w:val="1"/>
          <w:color w:val="auto"/>
        </w:rPr>
        <w:t>Credit Suisse</w:t>
      </w:r>
    </w:p>
    <w:p>
      <w:pPr>
        <w:spacing w:after="0" w:line="93" w:lineRule="exact"/>
        <w:rPr>
          <w:sz w:val="24"/>
          <w:szCs w:val="24"/>
          <w:color w:val="auto"/>
        </w:rPr>
      </w:pPr>
    </w:p>
    <w:p>
      <w:pPr>
        <w:spacing w:after="0"/>
        <w:tabs>
          <w:tab w:leader="none" w:pos="7500" w:val="left"/>
        </w:tabs>
        <w:rPr>
          <w:sz w:val="20"/>
          <w:szCs w:val="20"/>
          <w:color w:val="auto"/>
        </w:rPr>
      </w:pPr>
      <w:r>
        <w:rPr>
          <w:rFonts w:ascii="Arial" w:cs="Arial" w:eastAsia="Arial" w:hAnsi="Arial"/>
          <w:sz w:val="20"/>
          <w:szCs w:val="20"/>
          <w:b w:val="1"/>
          <w:bCs w:val="1"/>
          <w:color w:val="auto"/>
        </w:rPr>
        <w:t>Evercore ISI</w:t>
      </w:r>
      <w:r>
        <w:rPr>
          <w:sz w:val="20"/>
          <w:szCs w:val="20"/>
          <w:color w:val="auto"/>
        </w:rPr>
        <w:tab/>
      </w:r>
      <w:r>
        <w:rPr>
          <w:rFonts w:ascii="Arial" w:cs="Arial" w:eastAsia="Arial" w:hAnsi="Arial"/>
          <w:sz w:val="17"/>
          <w:szCs w:val="17"/>
          <w:b w:val="1"/>
          <w:bCs w:val="1"/>
          <w:color w:val="auto"/>
        </w:rPr>
        <w:t>Allen &amp; Company LLC</w:t>
      </w:r>
    </w:p>
    <w:p>
      <w:pPr>
        <w:spacing w:after="0" w:line="25" w:lineRule="exact"/>
        <w:rPr>
          <w:sz w:val="24"/>
          <w:szCs w:val="24"/>
          <w:color w:val="auto"/>
        </w:rPr>
      </w:pPr>
    </w:p>
    <w:p>
      <w:pPr>
        <w:spacing w:after="0"/>
        <w:tabs>
          <w:tab w:leader="none" w:pos="9040" w:val="left"/>
        </w:tabs>
        <w:rPr>
          <w:sz w:val="20"/>
          <w:szCs w:val="20"/>
          <w:color w:val="auto"/>
        </w:rPr>
      </w:pPr>
      <w:r>
        <w:rPr>
          <w:rFonts w:ascii="Arial" w:cs="Arial" w:eastAsia="Arial" w:hAnsi="Arial"/>
          <w:sz w:val="20"/>
          <w:szCs w:val="20"/>
          <w:b w:val="1"/>
          <w:bCs w:val="1"/>
          <w:color w:val="auto"/>
        </w:rPr>
        <w:t>JMP Securities</w:t>
      </w:r>
      <w:r>
        <w:rPr>
          <w:sz w:val="20"/>
          <w:szCs w:val="20"/>
          <w:color w:val="auto"/>
        </w:rPr>
        <w:tab/>
      </w:r>
      <w:r>
        <w:rPr>
          <w:rFonts w:ascii="Arial" w:cs="Arial" w:eastAsia="Arial" w:hAnsi="Arial"/>
          <w:sz w:val="17"/>
          <w:szCs w:val="17"/>
          <w:b w:val="1"/>
          <w:bCs w:val="1"/>
          <w:color w:val="auto"/>
        </w:rPr>
        <w:t>Stifel</w:t>
      </w:r>
    </w:p>
    <w:p>
      <w:pPr>
        <w:sectPr>
          <w:pgSz w:w="12240" w:h="15840" w:orient="portrait"/>
          <w:cols w:equalWidth="0" w:num="1">
            <w:col w:w="9500"/>
          </w:cols>
          <w:pgMar w:left="1360" w:top="0" w:right="1380" w:bottom="1120" w:gutter="0" w:footer="0" w:header="0"/>
        </w:sectPr>
      </w:pPr>
    </w:p>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Prospectus dated January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60305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0" w:right="1380" w:bottom="112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8440" w:type="dxa"/>
            <w:vAlign w:val="bottom"/>
            <w:gridSpan w:val="27"/>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3"/>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40" w:type="dxa"/>
            <w:vAlign w:val="bottom"/>
            <w:gridSpan w:val="5"/>
          </w:tcPr>
          <w:p>
            <w:pPr>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
        </w:trPr>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8"/>
        </w:trPr>
        <w:tc>
          <w:tcPr>
            <w:tcW w:w="2920" w:type="dxa"/>
            <w:vAlign w:val="bottom"/>
            <w:gridSpan w:val="18"/>
            <w:shd w:val="clear" w:color="auto" w:fill="CCEEFF"/>
          </w:tcPr>
          <w:p>
            <w:pPr>
              <w:spacing w:after="0" w:line="188"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FORWARD-LOOKING STATEMENTS</w:t>
              </w:r>
            </w:hyperlink>
          </w:p>
        </w:tc>
        <w:tc>
          <w:tcPr>
            <w:tcW w:w="5520" w:type="dxa"/>
            <w:vAlign w:val="bottom"/>
            <w:gridSpan w:val="9"/>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100"/>
              <w:spacing w:after="0"/>
              <w:rPr>
                <w:rFonts w:ascii="Arial" w:cs="Arial" w:eastAsia="Arial" w:hAnsi="Arial"/>
                <w:sz w:val="16"/>
                <w:szCs w:val="16"/>
                <w:color w:val="0000EE"/>
                <w:w w:val="74"/>
              </w:rPr>
            </w:pPr>
            <w:hyperlink w:anchor="page6">
              <w:r>
                <w:rPr>
                  <w:rFonts w:ascii="Arial" w:cs="Arial" w:eastAsia="Arial" w:hAnsi="Arial"/>
                  <w:sz w:val="16"/>
                  <w:szCs w:val="16"/>
                  <w:color w:val="0000EE"/>
                  <w:w w:val="74"/>
                </w:rPr>
                <w:t>v</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2920" w:type="dxa"/>
            <w:vAlign w:val="bottom"/>
            <w:gridSpan w:val="18"/>
          </w:tcPr>
          <w:p>
            <w:pPr>
              <w:spacing w:after="0" w:line="188"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5520" w:type="dxa"/>
            <w:vAlign w:val="bottom"/>
            <w:gridSpan w:val="9"/>
          </w:tcPr>
          <w:p>
            <w:pPr>
              <w:spacing w:after="0"/>
              <w:rPr>
                <w:sz w:val="16"/>
                <w:szCs w:val="16"/>
                <w:color w:val="auto"/>
              </w:rPr>
            </w:pPr>
          </w:p>
        </w:tc>
        <w:tc>
          <w:tcPr>
            <w:tcW w:w="1060" w:type="dxa"/>
            <w:vAlign w:val="bottom"/>
            <w:gridSpan w:val="5"/>
          </w:tcPr>
          <w:p>
            <w:pPr>
              <w:jc w:val="right"/>
              <w:ind w:right="100"/>
              <w:spacing w:after="0" w:line="188"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440" w:type="dxa"/>
            <w:vAlign w:val="bottom"/>
            <w:gridSpan w:val="27"/>
            <w:shd w:val="clear" w:color="auto" w:fill="CCEEFF"/>
          </w:tcPr>
          <w:p>
            <w:pPr>
              <w:spacing w:after="0" w:line="188"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060" w:type="dxa"/>
            <w:vAlign w:val="bottom"/>
            <w:gridSpan w:val="5"/>
            <w:shd w:val="clear" w:color="auto" w:fill="CCEEFF"/>
          </w:tcPr>
          <w:p>
            <w:pPr>
              <w:jc w:val="right"/>
              <w:ind w:right="100"/>
              <w:spacing w:after="0" w:line="188" w:lineRule="exact"/>
              <w:rPr>
                <w:rFonts w:ascii="Arial" w:cs="Arial" w:eastAsia="Arial" w:hAnsi="Arial"/>
                <w:sz w:val="18"/>
                <w:szCs w:val="18"/>
                <w:color w:val="0000EE"/>
              </w:rPr>
            </w:pPr>
            <w:hyperlink w:anchor="page28">
              <w:r>
                <w:rPr>
                  <w:rFonts w:ascii="Arial" w:cs="Arial" w:eastAsia="Arial" w:hAnsi="Arial"/>
                  <w:sz w:val="18"/>
                  <w:szCs w:val="18"/>
                  <w:color w:val="0000EE"/>
                </w:rPr>
                <w:t>22</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440" w:type="dxa"/>
            <w:vAlign w:val="bottom"/>
            <w:gridSpan w:val="27"/>
          </w:tcPr>
          <w:p>
            <w:pPr>
              <w:spacing w:after="0" w:line="188" w:lineRule="exact"/>
              <w:rPr>
                <w:rFonts w:ascii="Arial" w:cs="Arial" w:eastAsia="Arial" w:hAnsi="Arial"/>
                <w:sz w:val="18"/>
                <w:szCs w:val="18"/>
                <w:color w:val="0000EE"/>
              </w:rPr>
            </w:pPr>
            <w:hyperlink w:anchor="page59">
              <w:r>
                <w:rPr>
                  <w:rFonts w:ascii="Arial" w:cs="Arial" w:eastAsia="Arial" w:hAnsi="Arial"/>
                  <w:sz w:val="18"/>
                  <w:szCs w:val="18"/>
                  <w:color w:val="0000EE"/>
                </w:rPr>
                <w:t>USE OF PROCEEDS</w:t>
              </w:r>
            </w:hyperlink>
          </w:p>
        </w:tc>
        <w:tc>
          <w:tcPr>
            <w:tcW w:w="1060" w:type="dxa"/>
            <w:vAlign w:val="bottom"/>
            <w:gridSpan w:val="5"/>
          </w:tcPr>
          <w:p>
            <w:pPr>
              <w:jc w:val="right"/>
              <w:ind w:right="100"/>
              <w:spacing w:after="0" w:line="188" w:lineRule="exact"/>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1460" w:type="dxa"/>
            <w:vAlign w:val="bottom"/>
            <w:gridSpan w:val="10"/>
            <w:shd w:val="clear" w:color="auto" w:fill="CCEEFF"/>
          </w:tcPr>
          <w:p>
            <w:pPr>
              <w:spacing w:after="0" w:line="188" w:lineRule="exact"/>
              <w:rPr>
                <w:rFonts w:ascii="Arial" w:cs="Arial" w:eastAsia="Arial" w:hAnsi="Arial"/>
                <w:sz w:val="18"/>
                <w:szCs w:val="18"/>
                <w:color w:val="0000EE"/>
                <w:w w:val="98"/>
              </w:rPr>
            </w:pPr>
            <w:hyperlink w:anchor="page60">
              <w:r>
                <w:rPr>
                  <w:rFonts w:ascii="Arial" w:cs="Arial" w:eastAsia="Arial" w:hAnsi="Arial"/>
                  <w:sz w:val="18"/>
                  <w:szCs w:val="18"/>
                  <w:color w:val="0000EE"/>
                  <w:w w:val="98"/>
                </w:rPr>
                <w:t>CAPITALIZATION</w:t>
              </w:r>
            </w:hyperlink>
          </w:p>
        </w:tc>
        <w:tc>
          <w:tcPr>
            <w:tcW w:w="6980" w:type="dxa"/>
            <w:vAlign w:val="bottom"/>
            <w:gridSpan w:val="17"/>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8"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54</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1460" w:type="dxa"/>
            <w:vAlign w:val="bottom"/>
            <w:gridSpan w:val="10"/>
          </w:tcPr>
          <w:p>
            <w:pPr>
              <w:spacing w:after="0" w:line="188" w:lineRule="exact"/>
              <w:rPr>
                <w:rFonts w:ascii="Arial" w:cs="Arial" w:eastAsia="Arial" w:hAnsi="Arial"/>
                <w:sz w:val="18"/>
                <w:szCs w:val="18"/>
                <w:color w:val="0000EE"/>
              </w:rPr>
            </w:pPr>
            <w:hyperlink w:anchor="page61">
              <w:r>
                <w:rPr>
                  <w:rFonts w:ascii="Arial" w:cs="Arial" w:eastAsia="Arial" w:hAnsi="Arial"/>
                  <w:sz w:val="18"/>
                  <w:szCs w:val="18"/>
                  <w:color w:val="0000EE"/>
                </w:rPr>
                <w:t>DILUTION</w:t>
              </w:r>
            </w:hyperlink>
          </w:p>
        </w:tc>
        <w:tc>
          <w:tcPr>
            <w:tcW w:w="6980" w:type="dxa"/>
            <w:vAlign w:val="bottom"/>
            <w:gridSpan w:val="17"/>
          </w:tcPr>
          <w:p>
            <w:pPr>
              <w:spacing w:after="0"/>
              <w:rPr>
                <w:sz w:val="16"/>
                <w:szCs w:val="16"/>
                <w:color w:val="auto"/>
              </w:rPr>
            </w:pPr>
          </w:p>
        </w:tc>
        <w:tc>
          <w:tcPr>
            <w:tcW w:w="780" w:type="dxa"/>
            <w:vAlign w:val="bottom"/>
            <w:gridSpan w:val="2"/>
          </w:tcPr>
          <w:p>
            <w:pPr>
              <w:spacing w:after="0"/>
              <w:rPr>
                <w:sz w:val="16"/>
                <w:szCs w:val="16"/>
                <w:color w:val="auto"/>
              </w:rPr>
            </w:pPr>
          </w:p>
        </w:tc>
        <w:tc>
          <w:tcPr>
            <w:tcW w:w="280" w:type="dxa"/>
            <w:vAlign w:val="bottom"/>
            <w:gridSpan w:val="3"/>
          </w:tcPr>
          <w:p>
            <w:pPr>
              <w:jc w:val="right"/>
              <w:ind w:right="100"/>
              <w:spacing w:after="0" w:line="188"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55</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440" w:type="dxa"/>
            <w:vAlign w:val="bottom"/>
            <w:gridSpan w:val="27"/>
            <w:shd w:val="clear" w:color="auto" w:fill="CCEEFF"/>
          </w:tcPr>
          <w:p>
            <w:pPr>
              <w:spacing w:after="0" w:line="188" w:lineRule="exact"/>
              <w:rPr>
                <w:rFonts w:ascii="Arial" w:cs="Arial" w:eastAsia="Arial" w:hAnsi="Arial"/>
                <w:sz w:val="18"/>
                <w:szCs w:val="18"/>
                <w:color w:val="0000EE"/>
              </w:rPr>
            </w:pPr>
            <w:hyperlink w:anchor="page62">
              <w:r>
                <w:rPr>
                  <w:rFonts w:ascii="Arial" w:cs="Arial" w:eastAsia="Arial" w:hAnsi="Arial"/>
                  <w:sz w:val="18"/>
                  <w:szCs w:val="18"/>
                  <w:color w:val="0000EE"/>
                </w:rPr>
                <w:t>DIVIDEND POLICY</w:t>
              </w:r>
            </w:hyperlink>
          </w:p>
        </w:tc>
        <w:tc>
          <w:tcPr>
            <w:tcW w:w="1060" w:type="dxa"/>
            <w:vAlign w:val="bottom"/>
            <w:gridSpan w:val="5"/>
            <w:shd w:val="clear" w:color="auto" w:fill="CCEEFF"/>
          </w:tcPr>
          <w:p>
            <w:pPr>
              <w:jc w:val="right"/>
              <w:ind w:right="100"/>
              <w:spacing w:after="0" w:line="188" w:lineRule="exact"/>
              <w:rPr>
                <w:rFonts w:ascii="Arial" w:cs="Arial" w:eastAsia="Arial" w:hAnsi="Arial"/>
                <w:sz w:val="18"/>
                <w:szCs w:val="18"/>
                <w:color w:val="0000EE"/>
              </w:rPr>
            </w:pPr>
            <w:hyperlink w:anchor="page62">
              <w:r>
                <w:rPr>
                  <w:rFonts w:ascii="Arial" w:cs="Arial" w:eastAsia="Arial" w:hAnsi="Arial"/>
                  <w:sz w:val="18"/>
                  <w:szCs w:val="18"/>
                  <w:color w:val="0000EE"/>
                </w:rPr>
                <w:t>56</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440" w:type="dxa"/>
            <w:vAlign w:val="bottom"/>
            <w:gridSpan w:val="27"/>
          </w:tcPr>
          <w:p>
            <w:pPr>
              <w:spacing w:after="0" w:line="188" w:lineRule="exact"/>
              <w:rPr>
                <w:rFonts w:ascii="Arial" w:cs="Arial" w:eastAsia="Arial" w:hAnsi="Arial"/>
                <w:sz w:val="18"/>
                <w:szCs w:val="18"/>
                <w:color w:val="0000EE"/>
              </w:rPr>
            </w:pPr>
            <w:hyperlink w:anchor="page63">
              <w:r>
                <w:rPr>
                  <w:rFonts w:ascii="Arial" w:cs="Arial" w:eastAsia="Arial" w:hAnsi="Arial"/>
                  <w:sz w:val="18"/>
                  <w:szCs w:val="18"/>
                  <w:color w:val="0000EE"/>
                </w:rPr>
                <w:t>SELECTED HISTORICAL FINANCIAL DATA</w:t>
              </w:r>
            </w:hyperlink>
          </w:p>
        </w:tc>
        <w:tc>
          <w:tcPr>
            <w:tcW w:w="1060" w:type="dxa"/>
            <w:vAlign w:val="bottom"/>
            <w:gridSpan w:val="5"/>
          </w:tcPr>
          <w:p>
            <w:pPr>
              <w:jc w:val="right"/>
              <w:ind w:right="100"/>
              <w:spacing w:after="0" w:line="188" w:lineRule="exact"/>
              <w:rPr>
                <w:rFonts w:ascii="Arial" w:cs="Arial" w:eastAsia="Arial" w:hAnsi="Arial"/>
                <w:sz w:val="18"/>
                <w:szCs w:val="18"/>
                <w:color w:val="0000EE"/>
              </w:rPr>
            </w:pPr>
            <w:hyperlink w:anchor="page63">
              <w:r>
                <w:rPr>
                  <w:rFonts w:ascii="Arial" w:cs="Arial" w:eastAsia="Arial" w:hAnsi="Arial"/>
                  <w:sz w:val="18"/>
                  <w:szCs w:val="18"/>
                  <w:color w:val="0000EE"/>
                </w:rPr>
                <w:t>57</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440" w:type="dxa"/>
            <w:vAlign w:val="bottom"/>
            <w:gridSpan w:val="27"/>
            <w:shd w:val="clear" w:color="auto" w:fill="CCEEFF"/>
          </w:tcPr>
          <w:p>
            <w:pPr>
              <w:spacing w:after="0" w:line="188" w:lineRule="exact"/>
              <w:rPr>
                <w:rFonts w:ascii="Arial" w:cs="Arial" w:eastAsia="Arial" w:hAnsi="Arial"/>
                <w:sz w:val="18"/>
                <w:szCs w:val="18"/>
                <w:color w:val="0000EE"/>
              </w:rPr>
            </w:pPr>
            <w:hyperlink w:anchor="page65">
              <w:r>
                <w:rPr>
                  <w:rFonts w:ascii="Arial" w:cs="Arial" w:eastAsia="Arial" w:hAnsi="Arial"/>
                  <w:sz w:val="18"/>
                  <w:szCs w:val="18"/>
                  <w:color w:val="0000EE"/>
                </w:rPr>
                <w:t>MANAGEMENT’S DISCUSSION AND ANALYSIS OF FINANCIAL CONDITION AND RESULTS OF</w:t>
              </w:r>
            </w:hyperlink>
          </w:p>
        </w:tc>
        <w:tc>
          <w:tcPr>
            <w:tcW w:w="7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180" w:type="dxa"/>
            <w:vAlign w:val="bottom"/>
            <w:tcBorders>
              <w:top w:val="single" w:sz="8" w:color="0000EE"/>
            </w:tcBorders>
            <w:shd w:val="clear" w:color="auto" w:fill="CCEEFF"/>
          </w:tcPr>
          <w:p>
            <w:pPr>
              <w:spacing w:after="0"/>
              <w:rPr>
                <w:sz w:val="16"/>
                <w:szCs w:val="16"/>
                <w:color w:val="auto"/>
              </w:rPr>
            </w:pPr>
          </w:p>
        </w:tc>
        <w:tc>
          <w:tcPr>
            <w:tcW w:w="1100" w:type="dxa"/>
            <w:vAlign w:val="bottom"/>
            <w:tcBorders>
              <w:top w:val="single" w:sz="8" w:color="0000EE"/>
            </w:tcBorders>
            <w:gridSpan w:val="6"/>
            <w:shd w:val="clear" w:color="auto" w:fill="CCEEFF"/>
          </w:tcPr>
          <w:p>
            <w:pPr>
              <w:spacing w:after="0" w:line="195"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OPERATIONS</w:t>
              </w:r>
            </w:hyperlink>
          </w:p>
        </w:tc>
        <w:tc>
          <w:tcPr>
            <w:tcW w:w="6440" w:type="dxa"/>
            <w:vAlign w:val="bottom"/>
            <w:tcBorders>
              <w:top w:val="single" w:sz="8" w:color="0000EE"/>
            </w:tcBorders>
            <w:gridSpan w:val="19"/>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right w:val="single" w:sz="8" w:color="CCEEFF"/>
            </w:tcBorders>
            <w:gridSpan w:val="2"/>
            <w:shd w:val="clear" w:color="auto" w:fill="CCEEFF"/>
          </w:tcPr>
          <w:p>
            <w:pPr>
              <w:spacing w:after="0"/>
              <w:rPr>
                <w:sz w:val="16"/>
                <w:szCs w:val="16"/>
                <w:color w:val="auto"/>
              </w:rPr>
            </w:pPr>
          </w:p>
        </w:tc>
        <w:tc>
          <w:tcPr>
            <w:tcW w:w="280" w:type="dxa"/>
            <w:vAlign w:val="bottom"/>
            <w:tcBorders>
              <w:top w:val="single" w:sz="8" w:color="CCEEFF"/>
            </w:tcBorders>
            <w:gridSpan w:val="3"/>
            <w:shd w:val="clear" w:color="auto" w:fill="CCEEFF"/>
          </w:tcPr>
          <w:p>
            <w:pPr>
              <w:jc w:val="right"/>
              <w:ind w:right="100"/>
              <w:spacing w:after="0" w:line="195"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59</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440" w:type="dxa"/>
            <w:vAlign w:val="bottom"/>
            <w:gridSpan w:val="27"/>
          </w:tcPr>
          <w:p>
            <w:pPr>
              <w:spacing w:after="0" w:line="188" w:lineRule="exact"/>
              <w:rPr>
                <w:rFonts w:ascii="Arial" w:cs="Arial" w:eastAsia="Arial" w:hAnsi="Arial"/>
                <w:sz w:val="18"/>
                <w:szCs w:val="18"/>
                <w:color w:val="0000EE"/>
              </w:rPr>
            </w:pPr>
            <w:hyperlink w:anchor="page78">
              <w:r>
                <w:rPr>
                  <w:rFonts w:ascii="Arial" w:cs="Arial" w:eastAsia="Arial" w:hAnsi="Arial"/>
                  <w:sz w:val="18"/>
                  <w:szCs w:val="18"/>
                  <w:color w:val="0000EE"/>
                </w:rPr>
                <w:t>BUSINESS</w:t>
              </w:r>
            </w:hyperlink>
          </w:p>
        </w:tc>
        <w:tc>
          <w:tcPr>
            <w:tcW w:w="1060" w:type="dxa"/>
            <w:vAlign w:val="bottom"/>
            <w:gridSpan w:val="5"/>
          </w:tcPr>
          <w:p>
            <w:pPr>
              <w:jc w:val="right"/>
              <w:ind w:right="100"/>
              <w:spacing w:after="0" w:line="188" w:lineRule="exact"/>
              <w:rPr>
                <w:rFonts w:ascii="Arial" w:cs="Arial" w:eastAsia="Arial" w:hAnsi="Arial"/>
                <w:sz w:val="18"/>
                <w:szCs w:val="18"/>
                <w:color w:val="0000EE"/>
              </w:rPr>
            </w:pPr>
            <w:hyperlink w:anchor="page78">
              <w:r>
                <w:rPr>
                  <w:rFonts w:ascii="Arial" w:cs="Arial" w:eastAsia="Arial" w:hAnsi="Arial"/>
                  <w:sz w:val="18"/>
                  <w:szCs w:val="18"/>
                  <w:color w:val="0000EE"/>
                </w:rPr>
                <w:t>72</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1300" w:type="dxa"/>
            <w:vAlign w:val="bottom"/>
            <w:gridSpan w:val="8"/>
            <w:shd w:val="clear" w:color="auto" w:fill="CCEEFF"/>
          </w:tcPr>
          <w:p>
            <w:pPr>
              <w:spacing w:after="0" w:line="188" w:lineRule="exact"/>
              <w:rPr>
                <w:rFonts w:ascii="Arial" w:cs="Arial" w:eastAsia="Arial" w:hAnsi="Arial"/>
                <w:sz w:val="18"/>
                <w:szCs w:val="18"/>
                <w:color w:val="0000EE"/>
                <w:w w:val="99"/>
              </w:rPr>
            </w:pPr>
            <w:hyperlink w:anchor="page97">
              <w:r>
                <w:rPr>
                  <w:rFonts w:ascii="Arial" w:cs="Arial" w:eastAsia="Arial" w:hAnsi="Arial"/>
                  <w:sz w:val="18"/>
                  <w:szCs w:val="18"/>
                  <w:color w:val="0000EE"/>
                  <w:w w:val="99"/>
                </w:rPr>
                <w:t>MANAGEMENT</w:t>
              </w:r>
            </w:hyperlink>
          </w:p>
        </w:tc>
        <w:tc>
          <w:tcPr>
            <w:tcW w:w="7140" w:type="dxa"/>
            <w:vAlign w:val="bottom"/>
            <w:gridSpan w:val="19"/>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8" w:lineRule="exact"/>
              <w:rPr>
                <w:rFonts w:ascii="Arial" w:cs="Arial" w:eastAsia="Arial" w:hAnsi="Arial"/>
                <w:sz w:val="18"/>
                <w:szCs w:val="18"/>
                <w:color w:val="0000EE"/>
                <w:w w:val="79"/>
              </w:rPr>
            </w:pPr>
            <w:hyperlink w:anchor="page97">
              <w:r>
                <w:rPr>
                  <w:rFonts w:ascii="Arial" w:cs="Arial" w:eastAsia="Arial" w:hAnsi="Arial"/>
                  <w:sz w:val="18"/>
                  <w:szCs w:val="18"/>
                  <w:color w:val="0000EE"/>
                  <w:w w:val="79"/>
                </w:rPr>
                <w:t>91</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440" w:type="dxa"/>
            <w:vAlign w:val="bottom"/>
            <w:gridSpan w:val="27"/>
          </w:tcPr>
          <w:p>
            <w:pPr>
              <w:spacing w:after="0" w:line="188" w:lineRule="exact"/>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1060" w:type="dxa"/>
            <w:vAlign w:val="bottom"/>
            <w:gridSpan w:val="5"/>
          </w:tcPr>
          <w:p>
            <w:pPr>
              <w:jc w:val="right"/>
              <w:ind w:right="100"/>
              <w:spacing w:after="0" w:line="188" w:lineRule="exact"/>
              <w:rPr>
                <w:rFonts w:ascii="Arial" w:cs="Arial" w:eastAsia="Arial" w:hAnsi="Arial"/>
                <w:sz w:val="18"/>
                <w:szCs w:val="18"/>
                <w:color w:val="0000EE"/>
              </w:rPr>
            </w:pPr>
            <w:hyperlink w:anchor="page103">
              <w:r>
                <w:rPr>
                  <w:rFonts w:ascii="Arial" w:cs="Arial" w:eastAsia="Arial" w:hAnsi="Arial"/>
                  <w:sz w:val="18"/>
                  <w:szCs w:val="18"/>
                  <w:color w:val="0000EE"/>
                </w:rPr>
                <w:t>97</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440" w:type="dxa"/>
            <w:vAlign w:val="bottom"/>
            <w:gridSpan w:val="27"/>
            <w:shd w:val="clear" w:color="auto" w:fill="CCEEFF"/>
          </w:tcPr>
          <w:p>
            <w:pPr>
              <w:spacing w:after="0" w:line="188" w:lineRule="exact"/>
              <w:rPr>
                <w:rFonts w:ascii="Arial" w:cs="Arial" w:eastAsia="Arial" w:hAnsi="Arial"/>
                <w:sz w:val="18"/>
                <w:szCs w:val="18"/>
                <w:color w:val="0000EE"/>
              </w:rPr>
            </w:pPr>
            <w:hyperlink w:anchor="page109">
              <w:r>
                <w:rPr>
                  <w:rFonts w:ascii="Arial" w:cs="Arial" w:eastAsia="Arial" w:hAnsi="Arial"/>
                  <w:sz w:val="18"/>
                  <w:szCs w:val="18"/>
                  <w:color w:val="0000EE"/>
                </w:rPr>
                <w:t>SECURITY OWNERSHIP OF CERTAIN BENEFICIAL OWNERS AND MANAGEMENT</w:t>
              </w:r>
            </w:hyperlink>
          </w:p>
        </w:tc>
        <w:tc>
          <w:tcPr>
            <w:tcW w:w="1060" w:type="dxa"/>
            <w:vAlign w:val="bottom"/>
            <w:gridSpan w:val="5"/>
            <w:shd w:val="clear" w:color="auto" w:fill="CCEEFF"/>
          </w:tcPr>
          <w:p>
            <w:pPr>
              <w:jc w:val="right"/>
              <w:ind w:right="100"/>
              <w:spacing w:after="0" w:line="188" w:lineRule="exact"/>
              <w:rPr>
                <w:rFonts w:ascii="Arial" w:cs="Arial" w:eastAsia="Arial" w:hAnsi="Arial"/>
                <w:sz w:val="18"/>
                <w:szCs w:val="18"/>
                <w:color w:val="0000EE"/>
              </w:rPr>
            </w:pPr>
            <w:hyperlink w:anchor="page109">
              <w:r>
                <w:rPr>
                  <w:rFonts w:ascii="Arial" w:cs="Arial" w:eastAsia="Arial" w:hAnsi="Arial"/>
                  <w:sz w:val="18"/>
                  <w:szCs w:val="18"/>
                  <w:color w:val="0000EE"/>
                </w:rPr>
                <w:t>103</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8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6680" w:type="dxa"/>
            <w:vAlign w:val="bottom"/>
            <w:gridSpan w:val="24"/>
          </w:tcPr>
          <w:p>
            <w:pPr>
              <w:spacing w:after="0" w:line="188" w:lineRule="exact"/>
              <w:rPr>
                <w:rFonts w:ascii="Arial" w:cs="Arial" w:eastAsia="Arial" w:hAnsi="Arial"/>
                <w:sz w:val="18"/>
                <w:szCs w:val="18"/>
                <w:color w:val="0000EE"/>
              </w:rPr>
            </w:pPr>
            <w:hyperlink w:anchor="page110">
              <w:r>
                <w:rPr>
                  <w:rFonts w:ascii="Arial" w:cs="Arial" w:eastAsia="Arial" w:hAnsi="Arial"/>
                  <w:sz w:val="18"/>
                  <w:szCs w:val="18"/>
                  <w:color w:val="0000EE"/>
                </w:rPr>
                <w:t>CERTAIN RELATIONSHIPS AND RELATED TRANSACTIONS</w:t>
              </w:r>
            </w:hyperlink>
          </w:p>
        </w:tc>
        <w:tc>
          <w:tcPr>
            <w:tcW w:w="176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gridSpan w:val="4"/>
          </w:tcPr>
          <w:p>
            <w:pPr>
              <w:jc w:val="right"/>
              <w:ind w:right="100"/>
              <w:spacing w:after="0" w:line="188" w:lineRule="exact"/>
              <w:rPr>
                <w:rFonts w:ascii="Arial" w:cs="Arial" w:eastAsia="Arial" w:hAnsi="Arial"/>
                <w:sz w:val="18"/>
                <w:szCs w:val="18"/>
                <w:color w:val="0000EE"/>
                <w:w w:val="79"/>
              </w:rPr>
            </w:pPr>
            <w:hyperlink w:anchor="page110">
              <w:r>
                <w:rPr>
                  <w:rFonts w:ascii="Arial" w:cs="Arial" w:eastAsia="Arial" w:hAnsi="Arial"/>
                  <w:sz w:val="18"/>
                  <w:szCs w:val="18"/>
                  <w:color w:val="0000EE"/>
                  <w:w w:val="79"/>
                </w:rPr>
                <w:t>104</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2180" w:type="dxa"/>
            <w:vAlign w:val="bottom"/>
            <w:gridSpan w:val="14"/>
            <w:shd w:val="clear" w:color="auto" w:fill="CCEEFF"/>
          </w:tcPr>
          <w:p>
            <w:pPr>
              <w:spacing w:after="0" w:line="188" w:lineRule="exact"/>
              <w:rPr>
                <w:rFonts w:ascii="Arial" w:cs="Arial" w:eastAsia="Arial" w:hAnsi="Arial"/>
                <w:sz w:val="18"/>
                <w:szCs w:val="18"/>
                <w:color w:val="0000EE"/>
                <w:w w:val="93"/>
              </w:rPr>
            </w:pPr>
            <w:hyperlink w:anchor="page116">
              <w:r>
                <w:rPr>
                  <w:rFonts w:ascii="Arial" w:cs="Arial" w:eastAsia="Arial" w:hAnsi="Arial"/>
                  <w:sz w:val="18"/>
                  <w:szCs w:val="18"/>
                  <w:color w:val="0000EE"/>
                  <w:w w:val="93"/>
                </w:rPr>
                <w:t>DESCRIPTION OF SHARES</w:t>
              </w:r>
            </w:hyperlink>
          </w:p>
        </w:tc>
        <w:tc>
          <w:tcPr>
            <w:tcW w:w="6260" w:type="dxa"/>
            <w:vAlign w:val="bottom"/>
            <w:gridSpan w:val="13"/>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gridSpan w:val="4"/>
            <w:shd w:val="clear" w:color="auto" w:fill="CCEEFF"/>
          </w:tcPr>
          <w:p>
            <w:pPr>
              <w:jc w:val="right"/>
              <w:ind w:right="100"/>
              <w:spacing w:after="0" w:line="188" w:lineRule="exact"/>
              <w:rPr>
                <w:rFonts w:ascii="Arial" w:cs="Arial" w:eastAsia="Arial" w:hAnsi="Arial"/>
                <w:sz w:val="18"/>
                <w:szCs w:val="18"/>
                <w:color w:val="0000EE"/>
                <w:w w:val="79"/>
              </w:rPr>
            </w:pPr>
            <w:hyperlink w:anchor="page116">
              <w:r>
                <w:rPr>
                  <w:rFonts w:ascii="Arial" w:cs="Arial" w:eastAsia="Arial" w:hAnsi="Arial"/>
                  <w:sz w:val="18"/>
                  <w:szCs w:val="18"/>
                  <w:color w:val="0000EE"/>
                  <w:w w:val="79"/>
                </w:rPr>
                <w:t>110</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440" w:type="dxa"/>
            <w:vAlign w:val="bottom"/>
            <w:gridSpan w:val="27"/>
          </w:tcPr>
          <w:p>
            <w:pPr>
              <w:spacing w:after="0" w:line="188" w:lineRule="exact"/>
              <w:rPr>
                <w:rFonts w:ascii="Arial" w:cs="Arial" w:eastAsia="Arial" w:hAnsi="Arial"/>
                <w:sz w:val="18"/>
                <w:szCs w:val="18"/>
                <w:color w:val="0000EE"/>
              </w:rPr>
            </w:pPr>
            <w:hyperlink w:anchor="page118">
              <w:r>
                <w:rPr>
                  <w:rFonts w:ascii="Arial" w:cs="Arial" w:eastAsia="Arial" w:hAnsi="Arial"/>
                  <w:sz w:val="18"/>
                  <w:szCs w:val="18"/>
                  <w:color w:val="0000EE"/>
                </w:rPr>
                <w:t>OUR OPERATING AGREEMENT</w:t>
              </w:r>
            </w:hyperlink>
          </w:p>
        </w:tc>
        <w:tc>
          <w:tcPr>
            <w:tcW w:w="1060" w:type="dxa"/>
            <w:vAlign w:val="bottom"/>
            <w:gridSpan w:val="5"/>
          </w:tcPr>
          <w:p>
            <w:pPr>
              <w:jc w:val="right"/>
              <w:ind w:right="100"/>
              <w:spacing w:after="0" w:line="188" w:lineRule="exact"/>
              <w:rPr>
                <w:rFonts w:ascii="Arial" w:cs="Arial" w:eastAsia="Arial" w:hAnsi="Arial"/>
                <w:sz w:val="18"/>
                <w:szCs w:val="18"/>
                <w:color w:val="0000EE"/>
              </w:rPr>
            </w:pPr>
            <w:hyperlink w:anchor="page118">
              <w:r>
                <w:rPr>
                  <w:rFonts w:ascii="Arial" w:cs="Arial" w:eastAsia="Arial" w:hAnsi="Arial"/>
                  <w:sz w:val="18"/>
                  <w:szCs w:val="18"/>
                  <w:color w:val="0000EE"/>
                </w:rPr>
                <w:t>112</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440" w:type="dxa"/>
            <w:vAlign w:val="bottom"/>
            <w:gridSpan w:val="27"/>
            <w:shd w:val="clear" w:color="auto" w:fill="CCEEFF"/>
          </w:tcPr>
          <w:p>
            <w:pPr>
              <w:spacing w:after="0" w:line="188" w:lineRule="exact"/>
              <w:rPr>
                <w:rFonts w:ascii="Arial" w:cs="Arial" w:eastAsia="Arial" w:hAnsi="Arial"/>
                <w:sz w:val="18"/>
                <w:szCs w:val="18"/>
                <w:color w:val="0000EE"/>
              </w:rPr>
            </w:pPr>
            <w:hyperlink w:anchor="page125">
              <w:r>
                <w:rPr>
                  <w:rFonts w:ascii="Arial" w:cs="Arial" w:eastAsia="Arial" w:hAnsi="Arial"/>
                  <w:sz w:val="18"/>
                  <w:szCs w:val="18"/>
                  <w:color w:val="0000EE"/>
                </w:rPr>
                <w:t>SHARES ELIGIBLE FOR FUTURE SALE</w:t>
              </w:r>
            </w:hyperlink>
          </w:p>
        </w:tc>
        <w:tc>
          <w:tcPr>
            <w:tcW w:w="1060" w:type="dxa"/>
            <w:vAlign w:val="bottom"/>
            <w:gridSpan w:val="5"/>
            <w:shd w:val="clear" w:color="auto" w:fill="CCEEFF"/>
          </w:tcPr>
          <w:p>
            <w:pPr>
              <w:jc w:val="right"/>
              <w:ind w:right="100"/>
              <w:spacing w:after="0" w:line="188" w:lineRule="exact"/>
              <w:rPr>
                <w:rFonts w:ascii="Arial" w:cs="Arial" w:eastAsia="Arial" w:hAnsi="Arial"/>
                <w:sz w:val="18"/>
                <w:szCs w:val="18"/>
                <w:color w:val="0000EE"/>
              </w:rPr>
            </w:pPr>
            <w:hyperlink w:anchor="page125">
              <w:r>
                <w:rPr>
                  <w:rFonts w:ascii="Arial" w:cs="Arial" w:eastAsia="Arial" w:hAnsi="Arial"/>
                  <w:sz w:val="18"/>
                  <w:szCs w:val="18"/>
                  <w:color w:val="0000EE"/>
                </w:rPr>
                <w:t>119</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440" w:type="dxa"/>
            <w:vAlign w:val="bottom"/>
            <w:gridSpan w:val="27"/>
          </w:tcPr>
          <w:p>
            <w:pPr>
              <w:spacing w:after="0" w:line="188" w:lineRule="exact"/>
              <w:rPr>
                <w:rFonts w:ascii="Arial" w:cs="Arial" w:eastAsia="Arial" w:hAnsi="Arial"/>
                <w:sz w:val="18"/>
                <w:szCs w:val="18"/>
                <w:color w:val="0000EE"/>
              </w:rPr>
            </w:pPr>
            <w:hyperlink w:anchor="page126">
              <w:r>
                <w:rPr>
                  <w:rFonts w:ascii="Arial" w:cs="Arial" w:eastAsia="Arial" w:hAnsi="Arial"/>
                  <w:sz w:val="18"/>
                  <w:szCs w:val="18"/>
                  <w:color w:val="0000EE"/>
                </w:rPr>
                <w:t>MATERIAL U.S. FEDERAL INCOME TAX CONSIDERATIONS FOR NON-U.S. HOLDERS</w:t>
              </w:r>
            </w:hyperlink>
          </w:p>
        </w:tc>
        <w:tc>
          <w:tcPr>
            <w:tcW w:w="1060" w:type="dxa"/>
            <w:vAlign w:val="bottom"/>
            <w:gridSpan w:val="5"/>
          </w:tcPr>
          <w:p>
            <w:pPr>
              <w:jc w:val="right"/>
              <w:ind w:right="100"/>
              <w:spacing w:after="0" w:line="188" w:lineRule="exact"/>
              <w:rPr>
                <w:rFonts w:ascii="Arial" w:cs="Arial" w:eastAsia="Arial" w:hAnsi="Arial"/>
                <w:sz w:val="18"/>
                <w:szCs w:val="18"/>
                <w:color w:val="0000EE"/>
              </w:rPr>
            </w:pPr>
            <w:hyperlink w:anchor="page126">
              <w:r>
                <w:rPr>
                  <w:rFonts w:ascii="Arial" w:cs="Arial" w:eastAsia="Arial" w:hAnsi="Arial"/>
                  <w:sz w:val="18"/>
                  <w:szCs w:val="18"/>
                  <w:color w:val="0000EE"/>
                </w:rPr>
                <w:t>120</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8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2900" w:type="dxa"/>
            <w:vAlign w:val="bottom"/>
            <w:gridSpan w:val="17"/>
            <w:shd w:val="clear" w:color="auto" w:fill="CCEEFF"/>
          </w:tcPr>
          <w:p>
            <w:pPr>
              <w:spacing w:after="0" w:line="188" w:lineRule="exact"/>
              <w:rPr>
                <w:rFonts w:ascii="Arial" w:cs="Arial" w:eastAsia="Arial" w:hAnsi="Arial"/>
                <w:sz w:val="18"/>
                <w:szCs w:val="18"/>
                <w:color w:val="0000EE"/>
                <w:w w:val="94"/>
              </w:rPr>
            </w:pPr>
            <w:hyperlink w:anchor="page130">
              <w:r>
                <w:rPr>
                  <w:rFonts w:ascii="Arial" w:cs="Arial" w:eastAsia="Arial" w:hAnsi="Arial"/>
                  <w:sz w:val="18"/>
                  <w:szCs w:val="18"/>
                  <w:color w:val="0000EE"/>
                  <w:w w:val="94"/>
                </w:rPr>
                <w:t>CERTAIN ERISA CONSIDERATIONS</w:t>
              </w:r>
            </w:hyperlink>
          </w:p>
        </w:tc>
        <w:tc>
          <w:tcPr>
            <w:tcW w:w="5540" w:type="dxa"/>
            <w:vAlign w:val="bottom"/>
            <w:gridSpan w:val="10"/>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gridSpan w:val="4"/>
            <w:shd w:val="clear" w:color="auto" w:fill="CCEEFF"/>
          </w:tcPr>
          <w:p>
            <w:pPr>
              <w:jc w:val="right"/>
              <w:ind w:right="100"/>
              <w:spacing w:after="0" w:line="188" w:lineRule="exact"/>
              <w:rPr>
                <w:rFonts w:ascii="Arial" w:cs="Arial" w:eastAsia="Arial" w:hAnsi="Arial"/>
                <w:sz w:val="18"/>
                <w:szCs w:val="18"/>
                <w:color w:val="0000EE"/>
                <w:w w:val="79"/>
              </w:rPr>
            </w:pPr>
            <w:hyperlink w:anchor="page130">
              <w:r>
                <w:rPr>
                  <w:rFonts w:ascii="Arial" w:cs="Arial" w:eastAsia="Arial" w:hAnsi="Arial"/>
                  <w:sz w:val="18"/>
                  <w:szCs w:val="18"/>
                  <w:color w:val="0000EE"/>
                  <w:w w:val="79"/>
                </w:rPr>
                <w:t>124</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2900" w:type="dxa"/>
            <w:vAlign w:val="bottom"/>
            <w:gridSpan w:val="17"/>
          </w:tcPr>
          <w:p>
            <w:pPr>
              <w:spacing w:after="0" w:line="188" w:lineRule="exact"/>
              <w:rPr>
                <w:rFonts w:ascii="Arial" w:cs="Arial" w:eastAsia="Arial" w:hAnsi="Arial"/>
                <w:sz w:val="18"/>
                <w:szCs w:val="18"/>
                <w:color w:val="0000EE"/>
              </w:rPr>
            </w:pPr>
            <w:hyperlink w:anchor="page132">
              <w:r>
                <w:rPr>
                  <w:rFonts w:ascii="Arial" w:cs="Arial" w:eastAsia="Arial" w:hAnsi="Arial"/>
                  <w:sz w:val="18"/>
                  <w:szCs w:val="18"/>
                  <w:color w:val="0000EE"/>
                </w:rPr>
                <w:t>UNDERWRITING</w:t>
              </w:r>
            </w:hyperlink>
          </w:p>
        </w:tc>
        <w:tc>
          <w:tcPr>
            <w:tcW w:w="5540" w:type="dxa"/>
            <w:vAlign w:val="bottom"/>
            <w:gridSpan w:val="10"/>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gridSpan w:val="4"/>
          </w:tcPr>
          <w:p>
            <w:pPr>
              <w:jc w:val="right"/>
              <w:ind w:right="100"/>
              <w:spacing w:after="0" w:line="188" w:lineRule="exact"/>
              <w:rPr>
                <w:rFonts w:ascii="Arial" w:cs="Arial" w:eastAsia="Arial" w:hAnsi="Arial"/>
                <w:sz w:val="18"/>
                <w:szCs w:val="18"/>
                <w:color w:val="0000EE"/>
                <w:w w:val="79"/>
              </w:rPr>
            </w:pPr>
            <w:hyperlink w:anchor="page132">
              <w:r>
                <w:rPr>
                  <w:rFonts w:ascii="Arial" w:cs="Arial" w:eastAsia="Arial" w:hAnsi="Arial"/>
                  <w:sz w:val="18"/>
                  <w:szCs w:val="18"/>
                  <w:color w:val="0000EE"/>
                  <w:w w:val="79"/>
                </w:rPr>
                <w:t>126</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1460" w:type="dxa"/>
            <w:vAlign w:val="bottom"/>
            <w:gridSpan w:val="10"/>
            <w:shd w:val="clear" w:color="auto" w:fill="CCEEFF"/>
          </w:tcPr>
          <w:p>
            <w:pPr>
              <w:spacing w:after="0" w:line="188" w:lineRule="exact"/>
              <w:rPr>
                <w:rFonts w:ascii="Arial" w:cs="Arial" w:eastAsia="Arial" w:hAnsi="Arial"/>
                <w:sz w:val="18"/>
                <w:szCs w:val="18"/>
                <w:color w:val="0000EE"/>
                <w:w w:val="96"/>
              </w:rPr>
            </w:pPr>
            <w:hyperlink w:anchor="page139">
              <w:r>
                <w:rPr>
                  <w:rFonts w:ascii="Arial" w:cs="Arial" w:eastAsia="Arial" w:hAnsi="Arial"/>
                  <w:sz w:val="18"/>
                  <w:szCs w:val="18"/>
                  <w:color w:val="0000EE"/>
                  <w:w w:val="96"/>
                </w:rPr>
                <w:t>LEGAL MATTERS</w:t>
              </w:r>
            </w:hyperlink>
          </w:p>
        </w:tc>
        <w:tc>
          <w:tcPr>
            <w:tcW w:w="6980" w:type="dxa"/>
            <w:vAlign w:val="bottom"/>
            <w:gridSpan w:val="17"/>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gridSpan w:val="4"/>
            <w:shd w:val="clear" w:color="auto" w:fill="CCEEFF"/>
          </w:tcPr>
          <w:p>
            <w:pPr>
              <w:jc w:val="right"/>
              <w:ind w:right="100"/>
              <w:spacing w:after="0" w:line="188" w:lineRule="exact"/>
              <w:rPr>
                <w:rFonts w:ascii="Arial" w:cs="Arial" w:eastAsia="Arial" w:hAnsi="Arial"/>
                <w:sz w:val="18"/>
                <w:szCs w:val="18"/>
                <w:color w:val="0000EE"/>
                <w:w w:val="79"/>
              </w:rPr>
            </w:pPr>
            <w:hyperlink w:anchor="page139">
              <w:r>
                <w:rPr>
                  <w:rFonts w:ascii="Arial" w:cs="Arial" w:eastAsia="Arial" w:hAnsi="Arial"/>
                  <w:sz w:val="18"/>
                  <w:szCs w:val="18"/>
                  <w:color w:val="0000EE"/>
                  <w:w w:val="79"/>
                </w:rPr>
                <w:t>133</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1460" w:type="dxa"/>
            <w:vAlign w:val="bottom"/>
            <w:gridSpan w:val="10"/>
          </w:tcPr>
          <w:p>
            <w:pPr>
              <w:spacing w:after="0" w:line="188" w:lineRule="exact"/>
              <w:rPr>
                <w:rFonts w:ascii="Arial" w:cs="Arial" w:eastAsia="Arial" w:hAnsi="Arial"/>
                <w:sz w:val="18"/>
                <w:szCs w:val="18"/>
                <w:color w:val="0000EE"/>
              </w:rPr>
            </w:pPr>
            <w:hyperlink w:anchor="page139">
              <w:r>
                <w:rPr>
                  <w:rFonts w:ascii="Arial" w:cs="Arial" w:eastAsia="Arial" w:hAnsi="Arial"/>
                  <w:sz w:val="18"/>
                  <w:szCs w:val="18"/>
                  <w:color w:val="0000EE"/>
                </w:rPr>
                <w:t>EXPERTS</w:t>
              </w:r>
            </w:hyperlink>
          </w:p>
        </w:tc>
        <w:tc>
          <w:tcPr>
            <w:tcW w:w="6980" w:type="dxa"/>
            <w:vAlign w:val="bottom"/>
            <w:gridSpan w:val="17"/>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gridSpan w:val="4"/>
          </w:tcPr>
          <w:p>
            <w:pPr>
              <w:jc w:val="right"/>
              <w:ind w:right="100"/>
              <w:spacing w:after="0" w:line="188" w:lineRule="exact"/>
              <w:rPr>
                <w:rFonts w:ascii="Arial" w:cs="Arial" w:eastAsia="Arial" w:hAnsi="Arial"/>
                <w:sz w:val="18"/>
                <w:szCs w:val="18"/>
                <w:color w:val="0000EE"/>
                <w:w w:val="79"/>
              </w:rPr>
            </w:pPr>
            <w:hyperlink w:anchor="page139">
              <w:r>
                <w:rPr>
                  <w:rFonts w:ascii="Arial" w:cs="Arial" w:eastAsia="Arial" w:hAnsi="Arial"/>
                  <w:sz w:val="18"/>
                  <w:szCs w:val="18"/>
                  <w:color w:val="0000EE"/>
                  <w:w w:val="79"/>
                </w:rPr>
                <w:t>133</w:t>
              </w:r>
            </w:hyperlink>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3800" w:type="dxa"/>
            <w:vAlign w:val="bottom"/>
            <w:gridSpan w:val="22"/>
            <w:shd w:val="clear" w:color="auto" w:fill="CCEEFF"/>
          </w:tcPr>
          <w:p>
            <w:pPr>
              <w:spacing w:after="0" w:line="188" w:lineRule="exact"/>
              <w:rPr>
                <w:rFonts w:ascii="Arial" w:cs="Arial" w:eastAsia="Arial" w:hAnsi="Arial"/>
                <w:sz w:val="18"/>
                <w:szCs w:val="18"/>
                <w:color w:val="0000EE"/>
                <w:w w:val="96"/>
              </w:rPr>
            </w:pPr>
            <w:hyperlink w:anchor="page139">
              <w:r>
                <w:rPr>
                  <w:rFonts w:ascii="Arial" w:cs="Arial" w:eastAsia="Arial" w:hAnsi="Arial"/>
                  <w:sz w:val="18"/>
                  <w:szCs w:val="18"/>
                  <w:color w:val="0000EE"/>
                  <w:w w:val="96"/>
                </w:rPr>
                <w:t>WHERE YOU CAN FIND MORE INFORMATION</w:t>
              </w:r>
            </w:hyperlink>
          </w:p>
        </w:tc>
        <w:tc>
          <w:tcPr>
            <w:tcW w:w="4640" w:type="dxa"/>
            <w:vAlign w:val="bottom"/>
            <w:gridSpan w:val="5"/>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gridSpan w:val="4"/>
            <w:shd w:val="clear" w:color="auto" w:fill="CCEEFF"/>
          </w:tcPr>
          <w:p>
            <w:pPr>
              <w:jc w:val="right"/>
              <w:ind w:right="100"/>
              <w:spacing w:after="0" w:line="188" w:lineRule="exact"/>
              <w:rPr>
                <w:rFonts w:ascii="Arial" w:cs="Arial" w:eastAsia="Arial" w:hAnsi="Arial"/>
                <w:sz w:val="18"/>
                <w:szCs w:val="18"/>
                <w:color w:val="0000EE"/>
                <w:w w:val="79"/>
              </w:rPr>
            </w:pPr>
            <w:hyperlink w:anchor="page139">
              <w:r>
                <w:rPr>
                  <w:rFonts w:ascii="Arial" w:cs="Arial" w:eastAsia="Arial" w:hAnsi="Arial"/>
                  <w:sz w:val="18"/>
                  <w:szCs w:val="18"/>
                  <w:color w:val="0000EE"/>
                  <w:w w:val="79"/>
                </w:rPr>
                <w:t>133</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3800" w:type="dxa"/>
            <w:vAlign w:val="bottom"/>
            <w:gridSpan w:val="22"/>
          </w:tcPr>
          <w:p>
            <w:pPr>
              <w:spacing w:after="0" w:line="188" w:lineRule="exact"/>
              <w:rPr>
                <w:rFonts w:ascii="Arial" w:cs="Arial" w:eastAsia="Arial" w:hAnsi="Arial"/>
                <w:sz w:val="18"/>
                <w:szCs w:val="18"/>
                <w:color w:val="0000EE"/>
              </w:rPr>
            </w:pPr>
            <w:hyperlink w:anchor="page140">
              <w:r>
                <w:rPr>
                  <w:rFonts w:ascii="Arial" w:cs="Arial" w:eastAsia="Arial" w:hAnsi="Arial"/>
                  <w:sz w:val="18"/>
                  <w:szCs w:val="18"/>
                  <w:color w:val="0000EE"/>
                </w:rPr>
                <w:t>INDEX TO FINANCIAL STATEMENTS</w:t>
              </w:r>
            </w:hyperlink>
          </w:p>
        </w:tc>
        <w:tc>
          <w:tcPr>
            <w:tcW w:w="4640" w:type="dxa"/>
            <w:vAlign w:val="bottom"/>
            <w:gridSpan w:val="5"/>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3"/>
          </w:tcPr>
          <w:p>
            <w:pPr>
              <w:jc w:val="right"/>
              <w:ind w:right="100"/>
              <w:spacing w:after="0"/>
              <w:rPr>
                <w:rFonts w:ascii="Arial" w:cs="Arial" w:eastAsia="Arial" w:hAnsi="Arial"/>
                <w:sz w:val="15"/>
                <w:szCs w:val="15"/>
                <w:color w:val="0000EE"/>
                <w:w w:val="70"/>
              </w:rPr>
            </w:pPr>
            <w:hyperlink w:anchor="page140">
              <w:r>
                <w:rPr>
                  <w:rFonts w:ascii="Arial" w:cs="Arial" w:eastAsia="Arial" w:hAnsi="Arial"/>
                  <w:sz w:val="15"/>
                  <w:szCs w:val="15"/>
                  <w:color w:val="0000EE"/>
                  <w:w w:val="70"/>
                </w:rPr>
                <w:t>F-1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153035</wp:posOffset>
            </wp:positionV>
            <wp:extent cx="1141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1730" cy="8255"/>
                    </a:xfrm>
                    <a:prstGeom prst="rect">
                      <a:avLst/>
                    </a:prstGeom>
                    <a:noFill/>
                  </pic:spPr>
                </pic:pic>
              </a:graphicData>
            </a:graphic>
          </wp:anchor>
        </w:drawing>
      </w:r>
    </w:p>
    <w:p>
      <w:pPr>
        <w:spacing w:after="0" w:line="381" w:lineRule="exact"/>
        <w:rPr>
          <w:sz w:val="20"/>
          <w:szCs w:val="20"/>
          <w:color w:val="auto"/>
        </w:rPr>
      </w:pPr>
    </w:p>
    <w:p>
      <w:pPr>
        <w:ind w:right="60" w:firstLine="357"/>
        <w:spacing w:after="0" w:line="270" w:lineRule="auto"/>
        <w:rPr>
          <w:sz w:val="20"/>
          <w:szCs w:val="20"/>
          <w:color w:val="auto"/>
        </w:rPr>
      </w:pPr>
      <w:r>
        <w:rPr>
          <w:rFonts w:ascii="Arial" w:cs="Arial" w:eastAsia="Arial" w:hAnsi="Arial"/>
          <w:sz w:val="17"/>
          <w:szCs w:val="17"/>
          <w:color w:val="auto"/>
        </w:rPr>
        <w:t>You should rely only on the information contained in this prospectus or in any free writing prospectus we may authorize to be delivered to you. We have not, and the underwriters have not, authorized any other person to provide you with information different from that contained in this prospectus and any free writing prospectus. If anyone provides you with different or inconsistent information, you should not rely on it. You should not assume that the information contained in this registration statement is accurate as of any date other than the date on the front cover of this registration statement. Our business, financial condition, results of operations and prospects may have changed since such dates. We are not, and the underwriters are not, making an offer to sell these securities in any jurisdiction where an offer or sale is not permitted.</w:t>
      </w:r>
    </w:p>
    <w:p>
      <w:pPr>
        <w:spacing w:after="0" w:line="70" w:lineRule="exact"/>
        <w:rPr>
          <w:sz w:val="20"/>
          <w:szCs w:val="20"/>
          <w:color w:val="auto"/>
        </w:rPr>
      </w:pPr>
    </w:p>
    <w:p>
      <w:pPr>
        <w:ind w:right="60" w:firstLine="357"/>
        <w:spacing w:after="0" w:line="274" w:lineRule="auto"/>
        <w:rPr>
          <w:sz w:val="20"/>
          <w:szCs w:val="20"/>
          <w:color w:val="auto"/>
        </w:rPr>
      </w:pPr>
      <w:r>
        <w:rPr>
          <w:rFonts w:ascii="Arial" w:cs="Arial" w:eastAsia="Arial" w:hAnsi="Arial"/>
          <w:sz w:val="18"/>
          <w:szCs w:val="18"/>
          <w:color w:val="auto"/>
        </w:rPr>
        <w:t>This prospectus contains forward-looking statements that are subject to a number of risks and uncertainties, many of which are beyond our control. Please read “Risk Factors” and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1141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1730"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4" w:right="138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and Market Data</w:t>
      </w:r>
    </w:p>
    <w:p>
      <w:pPr>
        <w:spacing w:after="0" w:line="119"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The data included in this prospectus regarding the industries in which we operate, including trends in the market and our position and the position of our competitors, is based on a variety of sources, including independent industry publications, government publications and other published independent sources, information obtained from customers, distributors, suppliers, trade and business organizations and publicly available information (including the reports and other information our competitors file with the Securities and Exchange Commission (the “SEC”), which we did not participate in preparing and as to which we make no representation), as well as our good-faith estimates, which have been derived from management’s knowledge and experience in the industries in which we operate. Estimates of market size and relative positions in a market are difficult to develop and inherently uncertain. Accordingly, investors should not place undue weight on the industry and market share data presented in this prospectus.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19" w:lineRule="exact"/>
        <w:rPr>
          <w:sz w:val="20"/>
          <w:szCs w:val="20"/>
          <w:color w:val="auto"/>
        </w:rPr>
      </w:pPr>
    </w:p>
    <w:p>
      <w:pPr>
        <w:ind w:right="80" w:firstLine="357"/>
        <w:spacing w:after="0" w:line="274" w:lineRule="auto"/>
        <w:rPr>
          <w:sz w:val="20"/>
          <w:szCs w:val="20"/>
          <w:color w:val="auto"/>
        </w:rPr>
      </w:pPr>
      <w:r>
        <w:rPr>
          <w:rFonts w:ascii="Arial" w:cs="Arial" w:eastAsia="Arial" w:hAnsi="Arial"/>
          <w:sz w:val="18"/>
          <w:szCs w:val="18"/>
          <w:color w:val="auto"/>
        </w:rPr>
        <w:t>As commonly used in the liquefied natural gas industry, to the extent applicable and as used in this prospectus, the terms listed below have the following meanings: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ADO</w:t>
            </w:r>
          </w:p>
        </w:tc>
        <w:tc>
          <w:tcPr>
            <w:tcW w:w="6740" w:type="dxa"/>
            <w:vAlign w:val="bottom"/>
          </w:tcPr>
          <w:p>
            <w:pPr>
              <w:ind w:left="1720"/>
              <w:spacing w:after="0"/>
              <w:rPr>
                <w:sz w:val="20"/>
                <w:szCs w:val="20"/>
                <w:color w:val="auto"/>
              </w:rPr>
            </w:pPr>
            <w:r>
              <w:rPr>
                <w:rFonts w:ascii="Arial" w:cs="Arial" w:eastAsia="Arial" w:hAnsi="Arial"/>
                <w:sz w:val="18"/>
                <w:szCs w:val="18"/>
                <w:color w:val="auto"/>
              </w:rPr>
              <w:t>automotive diesel oil</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Bcf/yr</w:t>
            </w:r>
          </w:p>
        </w:tc>
        <w:tc>
          <w:tcPr>
            <w:tcW w:w="6740" w:type="dxa"/>
            <w:vAlign w:val="bottom"/>
          </w:tcPr>
          <w:p>
            <w:pPr>
              <w:ind w:left="1720"/>
              <w:spacing w:after="0"/>
              <w:rPr>
                <w:sz w:val="20"/>
                <w:szCs w:val="20"/>
                <w:color w:val="auto"/>
              </w:rPr>
            </w:pPr>
            <w:r>
              <w:rPr>
                <w:rFonts w:ascii="Arial" w:cs="Arial" w:eastAsia="Arial" w:hAnsi="Arial"/>
                <w:sz w:val="18"/>
                <w:szCs w:val="18"/>
                <w:color w:val="auto"/>
              </w:rPr>
              <w:t>billion cubic feet per year</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Btu</w:t>
            </w:r>
          </w:p>
        </w:tc>
        <w:tc>
          <w:tcPr>
            <w:tcW w:w="6740" w:type="dxa"/>
            <w:vAlign w:val="bottom"/>
          </w:tcPr>
          <w:p>
            <w:pPr>
              <w:ind w:left="1720"/>
              <w:spacing w:after="0"/>
              <w:rPr>
                <w:sz w:val="20"/>
                <w:szCs w:val="20"/>
                <w:color w:val="auto"/>
              </w:rPr>
            </w:pPr>
            <w:r>
              <w:rPr>
                <w:rFonts w:ascii="Arial" w:cs="Arial" w:eastAsia="Arial" w:hAnsi="Arial"/>
                <w:sz w:val="18"/>
                <w:szCs w:val="18"/>
                <w:color w:val="auto"/>
              </w:rPr>
              <w:t>the amount of heat required to raise the temperature of one</w:t>
            </w:r>
          </w:p>
        </w:tc>
      </w:tr>
      <w:tr>
        <w:trPr>
          <w:trHeight w:val="215"/>
        </w:trPr>
        <w:tc>
          <w:tcPr>
            <w:tcW w:w="2760" w:type="dxa"/>
            <w:vAlign w:val="bottom"/>
          </w:tcPr>
          <w:p>
            <w:pPr>
              <w:spacing w:after="0"/>
              <w:rPr>
                <w:sz w:val="18"/>
                <w:szCs w:val="18"/>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w w:val="94"/>
              </w:rPr>
              <w:t>avoirdupois pound of pure water from 59 degrees Fahrenheit to 60</w:t>
            </w:r>
          </w:p>
        </w:tc>
      </w:tr>
      <w:tr>
        <w:trPr>
          <w:trHeight w:val="215"/>
        </w:trPr>
        <w:tc>
          <w:tcPr>
            <w:tcW w:w="2760" w:type="dxa"/>
            <w:vAlign w:val="bottom"/>
          </w:tcPr>
          <w:p>
            <w:pPr>
              <w:spacing w:after="0"/>
              <w:rPr>
                <w:sz w:val="18"/>
                <w:szCs w:val="18"/>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w w:val="95"/>
              </w:rPr>
              <w:t>degrees Fahrenheit at an absolute pressure of 14.696 pounds per</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square inch gage</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CAA</w:t>
            </w:r>
          </w:p>
        </w:tc>
        <w:tc>
          <w:tcPr>
            <w:tcW w:w="6740" w:type="dxa"/>
            <w:vAlign w:val="bottom"/>
          </w:tcPr>
          <w:p>
            <w:pPr>
              <w:ind w:left="1720"/>
              <w:spacing w:after="0"/>
              <w:rPr>
                <w:sz w:val="20"/>
                <w:szCs w:val="20"/>
                <w:color w:val="auto"/>
              </w:rPr>
            </w:pPr>
            <w:r>
              <w:rPr>
                <w:rFonts w:ascii="Arial" w:cs="Arial" w:eastAsia="Arial" w:hAnsi="Arial"/>
                <w:sz w:val="18"/>
                <w:szCs w:val="18"/>
                <w:color w:val="auto"/>
              </w:rPr>
              <w:t>Clean Air Act</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CERCLA</w:t>
            </w:r>
          </w:p>
        </w:tc>
        <w:tc>
          <w:tcPr>
            <w:tcW w:w="6740" w:type="dxa"/>
            <w:vAlign w:val="bottom"/>
          </w:tcPr>
          <w:p>
            <w:pPr>
              <w:ind w:left="1720"/>
              <w:spacing w:after="0"/>
              <w:rPr>
                <w:sz w:val="20"/>
                <w:szCs w:val="20"/>
                <w:color w:val="auto"/>
              </w:rPr>
            </w:pPr>
            <w:r>
              <w:rPr>
                <w:rFonts w:ascii="Arial" w:cs="Arial" w:eastAsia="Arial" w:hAnsi="Arial"/>
                <w:sz w:val="18"/>
                <w:szCs w:val="18"/>
                <w:color w:val="auto"/>
              </w:rPr>
              <w:t>Comprehensive Environmental Response, Compensation and</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Liability Act</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CWA</w:t>
            </w:r>
          </w:p>
        </w:tc>
        <w:tc>
          <w:tcPr>
            <w:tcW w:w="6740" w:type="dxa"/>
            <w:vAlign w:val="bottom"/>
          </w:tcPr>
          <w:p>
            <w:pPr>
              <w:ind w:left="1720"/>
              <w:spacing w:after="0"/>
              <w:rPr>
                <w:sz w:val="20"/>
                <w:szCs w:val="20"/>
                <w:color w:val="auto"/>
              </w:rPr>
            </w:pPr>
            <w:r>
              <w:rPr>
                <w:rFonts w:ascii="Arial" w:cs="Arial" w:eastAsia="Arial" w:hAnsi="Arial"/>
                <w:sz w:val="18"/>
                <w:szCs w:val="18"/>
                <w:color w:val="auto"/>
              </w:rPr>
              <w:t>Clean Water Act</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DOE</w:t>
            </w:r>
          </w:p>
        </w:tc>
        <w:tc>
          <w:tcPr>
            <w:tcW w:w="6740" w:type="dxa"/>
            <w:vAlign w:val="bottom"/>
          </w:tcPr>
          <w:p>
            <w:pPr>
              <w:ind w:left="1720"/>
              <w:spacing w:after="0"/>
              <w:rPr>
                <w:sz w:val="20"/>
                <w:szCs w:val="20"/>
                <w:color w:val="auto"/>
              </w:rPr>
            </w:pPr>
            <w:r>
              <w:rPr>
                <w:rFonts w:ascii="Arial" w:cs="Arial" w:eastAsia="Arial" w:hAnsi="Arial"/>
                <w:sz w:val="18"/>
                <w:szCs w:val="18"/>
                <w:color w:val="auto"/>
              </w:rPr>
              <w:t>U.S. Department of Energy</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DOT</w:t>
            </w:r>
          </w:p>
        </w:tc>
        <w:tc>
          <w:tcPr>
            <w:tcW w:w="6740" w:type="dxa"/>
            <w:vAlign w:val="bottom"/>
          </w:tcPr>
          <w:p>
            <w:pPr>
              <w:ind w:left="1720"/>
              <w:spacing w:after="0"/>
              <w:rPr>
                <w:sz w:val="20"/>
                <w:szCs w:val="20"/>
                <w:color w:val="auto"/>
              </w:rPr>
            </w:pPr>
            <w:r>
              <w:rPr>
                <w:rFonts w:ascii="Arial" w:cs="Arial" w:eastAsia="Arial" w:hAnsi="Arial"/>
                <w:sz w:val="18"/>
                <w:szCs w:val="18"/>
                <w:color w:val="auto"/>
              </w:rPr>
              <w:t>U.S. Department of Transportation</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EPA</w:t>
            </w:r>
          </w:p>
        </w:tc>
        <w:tc>
          <w:tcPr>
            <w:tcW w:w="6740" w:type="dxa"/>
            <w:vAlign w:val="bottom"/>
          </w:tcPr>
          <w:p>
            <w:pPr>
              <w:ind w:left="1720"/>
              <w:spacing w:after="0"/>
              <w:rPr>
                <w:sz w:val="20"/>
                <w:szCs w:val="20"/>
                <w:color w:val="auto"/>
              </w:rPr>
            </w:pPr>
            <w:r>
              <w:rPr>
                <w:rFonts w:ascii="Arial" w:cs="Arial" w:eastAsia="Arial" w:hAnsi="Arial"/>
                <w:sz w:val="18"/>
                <w:szCs w:val="18"/>
                <w:color w:val="auto"/>
              </w:rPr>
              <w:t>U.S. Environmental Protection Agency</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FERC</w:t>
            </w:r>
          </w:p>
        </w:tc>
        <w:tc>
          <w:tcPr>
            <w:tcW w:w="6740" w:type="dxa"/>
            <w:vAlign w:val="bottom"/>
          </w:tcPr>
          <w:p>
            <w:pPr>
              <w:ind w:left="1720"/>
              <w:spacing w:after="0"/>
              <w:rPr>
                <w:sz w:val="20"/>
                <w:szCs w:val="20"/>
                <w:color w:val="auto"/>
              </w:rPr>
            </w:pPr>
            <w:r>
              <w:rPr>
                <w:rFonts w:ascii="Arial" w:cs="Arial" w:eastAsia="Arial" w:hAnsi="Arial"/>
                <w:sz w:val="18"/>
                <w:szCs w:val="18"/>
                <w:color w:val="auto"/>
              </w:rPr>
              <w:t>Federal Energy Regulatory Commission</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FTA countries</w:t>
            </w:r>
          </w:p>
        </w:tc>
        <w:tc>
          <w:tcPr>
            <w:tcW w:w="6740" w:type="dxa"/>
            <w:vAlign w:val="bottom"/>
          </w:tcPr>
          <w:p>
            <w:pPr>
              <w:ind w:left="1720"/>
              <w:spacing w:after="0"/>
              <w:rPr>
                <w:sz w:val="20"/>
                <w:szCs w:val="20"/>
                <w:color w:val="auto"/>
              </w:rPr>
            </w:pPr>
            <w:r>
              <w:rPr>
                <w:rFonts w:ascii="Arial" w:cs="Arial" w:eastAsia="Arial" w:hAnsi="Arial"/>
                <w:sz w:val="18"/>
                <w:szCs w:val="18"/>
                <w:color w:val="auto"/>
                <w:w w:val="95"/>
              </w:rPr>
              <w:t>countries with which the United States has a free trade agreement</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providing for national treatment for trade in natural gas</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GAAP</w:t>
            </w:r>
          </w:p>
        </w:tc>
        <w:tc>
          <w:tcPr>
            <w:tcW w:w="6740" w:type="dxa"/>
            <w:vAlign w:val="bottom"/>
          </w:tcPr>
          <w:p>
            <w:pPr>
              <w:ind w:left="172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GHG</w:t>
            </w:r>
          </w:p>
        </w:tc>
        <w:tc>
          <w:tcPr>
            <w:tcW w:w="6740" w:type="dxa"/>
            <w:vAlign w:val="bottom"/>
          </w:tcPr>
          <w:p>
            <w:pPr>
              <w:ind w:left="1720"/>
              <w:spacing w:after="0"/>
              <w:rPr>
                <w:sz w:val="20"/>
                <w:szCs w:val="20"/>
                <w:color w:val="auto"/>
              </w:rPr>
            </w:pPr>
            <w:r>
              <w:rPr>
                <w:rFonts w:ascii="Arial" w:cs="Arial" w:eastAsia="Arial" w:hAnsi="Arial"/>
                <w:sz w:val="18"/>
                <w:szCs w:val="18"/>
                <w:color w:val="auto"/>
              </w:rPr>
              <w:t>greenhouse gases</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GSA</w:t>
            </w:r>
          </w:p>
        </w:tc>
        <w:tc>
          <w:tcPr>
            <w:tcW w:w="6740" w:type="dxa"/>
            <w:vAlign w:val="bottom"/>
          </w:tcPr>
          <w:p>
            <w:pPr>
              <w:ind w:left="1720"/>
              <w:spacing w:after="0"/>
              <w:rPr>
                <w:sz w:val="20"/>
                <w:szCs w:val="20"/>
                <w:color w:val="auto"/>
              </w:rPr>
            </w:pPr>
            <w:r>
              <w:rPr>
                <w:rFonts w:ascii="Arial" w:cs="Arial" w:eastAsia="Arial" w:hAnsi="Arial"/>
                <w:sz w:val="18"/>
                <w:szCs w:val="18"/>
                <w:color w:val="auto"/>
              </w:rPr>
              <w:t>gas sales agreement</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GW</w:t>
            </w:r>
          </w:p>
        </w:tc>
        <w:tc>
          <w:tcPr>
            <w:tcW w:w="6740" w:type="dxa"/>
            <w:vAlign w:val="bottom"/>
          </w:tcPr>
          <w:p>
            <w:pPr>
              <w:ind w:left="1720"/>
              <w:spacing w:after="0"/>
              <w:rPr>
                <w:sz w:val="20"/>
                <w:szCs w:val="20"/>
                <w:color w:val="auto"/>
              </w:rPr>
            </w:pPr>
            <w:r>
              <w:rPr>
                <w:rFonts w:ascii="Arial" w:cs="Arial" w:eastAsia="Arial" w:hAnsi="Arial"/>
                <w:sz w:val="18"/>
                <w:szCs w:val="18"/>
                <w:color w:val="auto"/>
                <w:w w:val="93"/>
              </w:rPr>
              <w:t>gigawatt. We estimate 2,500,000 LNG gallons would be required to</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produce one gigawatt</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Henry Hub</w:t>
            </w:r>
          </w:p>
        </w:tc>
        <w:tc>
          <w:tcPr>
            <w:tcW w:w="6740" w:type="dxa"/>
            <w:vAlign w:val="bottom"/>
          </w:tcPr>
          <w:p>
            <w:pPr>
              <w:ind w:left="1720"/>
              <w:spacing w:after="0"/>
              <w:rPr>
                <w:sz w:val="20"/>
                <w:szCs w:val="20"/>
                <w:color w:val="auto"/>
              </w:rPr>
            </w:pPr>
            <w:r>
              <w:rPr>
                <w:rFonts w:ascii="Arial" w:cs="Arial" w:eastAsia="Arial" w:hAnsi="Arial"/>
                <w:sz w:val="18"/>
                <w:szCs w:val="18"/>
                <w:color w:val="auto"/>
                <w:w w:val="93"/>
              </w:rPr>
              <w:t>a natural gas pipeline located in Erath, Louisiana that serves as the</w:t>
            </w:r>
          </w:p>
        </w:tc>
      </w:tr>
      <w:tr>
        <w:trPr>
          <w:trHeight w:val="215"/>
        </w:trPr>
        <w:tc>
          <w:tcPr>
            <w:tcW w:w="2760" w:type="dxa"/>
            <w:vAlign w:val="bottom"/>
          </w:tcPr>
          <w:p>
            <w:pPr>
              <w:spacing w:after="0"/>
              <w:rPr>
                <w:sz w:val="18"/>
                <w:szCs w:val="18"/>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official delivery location for futures contracts on the New York</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Mercantile Exchange</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ISO container</w:t>
            </w:r>
          </w:p>
        </w:tc>
        <w:tc>
          <w:tcPr>
            <w:tcW w:w="6740" w:type="dxa"/>
            <w:vAlign w:val="bottom"/>
          </w:tcPr>
          <w:p>
            <w:pPr>
              <w:ind w:left="1720"/>
              <w:spacing w:after="0"/>
              <w:rPr>
                <w:sz w:val="20"/>
                <w:szCs w:val="20"/>
                <w:color w:val="auto"/>
              </w:rPr>
            </w:pPr>
            <w:r>
              <w:rPr>
                <w:rFonts w:ascii="Arial" w:cs="Arial" w:eastAsia="Arial" w:hAnsi="Arial"/>
                <w:sz w:val="18"/>
                <w:szCs w:val="18"/>
                <w:color w:val="auto"/>
              </w:rPr>
              <w:t>International Organization of Standardization, an intermodal</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container</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LNG</w:t>
            </w:r>
          </w:p>
        </w:tc>
        <w:tc>
          <w:tcPr>
            <w:tcW w:w="6740" w:type="dxa"/>
            <w:vAlign w:val="bottom"/>
          </w:tcPr>
          <w:p>
            <w:pPr>
              <w:ind w:left="1720"/>
              <w:spacing w:after="0"/>
              <w:rPr>
                <w:sz w:val="20"/>
                <w:szCs w:val="20"/>
                <w:color w:val="auto"/>
              </w:rPr>
            </w:pPr>
            <w:r>
              <w:rPr>
                <w:rFonts w:ascii="Arial" w:cs="Arial" w:eastAsia="Arial" w:hAnsi="Arial"/>
                <w:sz w:val="18"/>
                <w:szCs w:val="18"/>
                <w:color w:val="auto"/>
                <w:w w:val="95"/>
              </w:rPr>
              <w:t>natural gas in its liquid state at or below its boiling point at or near</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atmospheric pressure</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MMBtu</w:t>
            </w:r>
          </w:p>
        </w:tc>
        <w:tc>
          <w:tcPr>
            <w:tcW w:w="6740" w:type="dxa"/>
            <w:vAlign w:val="bottom"/>
          </w:tcPr>
          <w:p>
            <w:pPr>
              <w:ind w:left="1720"/>
              <w:spacing w:after="0"/>
              <w:rPr>
                <w:sz w:val="20"/>
                <w:szCs w:val="20"/>
                <w:color w:val="auto"/>
              </w:rPr>
            </w:pPr>
            <w:r>
              <w:rPr>
                <w:rFonts w:ascii="Arial" w:cs="Arial" w:eastAsia="Arial" w:hAnsi="Arial"/>
                <w:sz w:val="18"/>
                <w:szCs w:val="18"/>
                <w:color w:val="auto"/>
                <w:w w:val="98"/>
              </w:rPr>
              <w:t>one million Btus, which corresponds to approximately 12.1 LNG</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gallons</w:t>
            </w:r>
          </w:p>
        </w:tc>
      </w:tr>
      <w:tr>
        <w:trPr>
          <w:trHeight w:val="483"/>
        </w:trPr>
        <w:tc>
          <w:tcPr>
            <w:tcW w:w="2760" w:type="dxa"/>
            <w:vAlign w:val="bottom"/>
          </w:tcPr>
          <w:p>
            <w:pPr>
              <w:spacing w:after="0"/>
              <w:rPr>
                <w:sz w:val="20"/>
                <w:szCs w:val="20"/>
                <w:color w:val="auto"/>
              </w:rPr>
            </w:pPr>
            <w:r>
              <w:rPr>
                <w:rFonts w:ascii="Arial" w:cs="Arial" w:eastAsia="Arial" w:hAnsi="Arial"/>
                <w:sz w:val="18"/>
                <w:szCs w:val="18"/>
                <w:color w:val="auto"/>
              </w:rPr>
              <w:t>mtpa</w:t>
            </w:r>
          </w:p>
        </w:tc>
        <w:tc>
          <w:tcPr>
            <w:tcW w:w="6740" w:type="dxa"/>
            <w:vAlign w:val="bottom"/>
          </w:tcPr>
          <w:p>
            <w:pPr>
              <w:ind w:left="1720"/>
              <w:spacing w:after="0"/>
              <w:rPr>
                <w:sz w:val="20"/>
                <w:szCs w:val="20"/>
                <w:color w:val="auto"/>
              </w:rPr>
            </w:pPr>
            <w:r>
              <w:rPr>
                <w:rFonts w:ascii="Arial" w:cs="Arial" w:eastAsia="Arial" w:hAnsi="Arial"/>
                <w:sz w:val="18"/>
                <w:szCs w:val="18"/>
                <w:color w:val="auto"/>
              </w:rPr>
              <w:t>million tons per year</w:t>
            </w:r>
          </w:p>
        </w:tc>
      </w:tr>
      <w:tr>
        <w:trPr>
          <w:trHeight w:val="468"/>
        </w:trPr>
        <w:tc>
          <w:tcPr>
            <w:tcW w:w="2760" w:type="dxa"/>
            <w:vAlign w:val="bottom"/>
          </w:tcPr>
          <w:p>
            <w:pPr>
              <w:spacing w:after="0"/>
              <w:rPr>
                <w:sz w:val="20"/>
                <w:szCs w:val="20"/>
                <w:color w:val="auto"/>
              </w:rPr>
            </w:pPr>
            <w:r>
              <w:rPr>
                <w:rFonts w:ascii="Arial" w:cs="Arial" w:eastAsia="Arial" w:hAnsi="Arial"/>
                <w:sz w:val="18"/>
                <w:szCs w:val="18"/>
                <w:color w:val="auto"/>
              </w:rPr>
              <w:t>MW</w:t>
            </w:r>
          </w:p>
        </w:tc>
        <w:tc>
          <w:tcPr>
            <w:tcW w:w="6740" w:type="dxa"/>
            <w:vAlign w:val="bottom"/>
          </w:tcPr>
          <w:p>
            <w:pPr>
              <w:ind w:left="1720"/>
              <w:spacing w:after="0"/>
              <w:rPr>
                <w:sz w:val="20"/>
                <w:szCs w:val="20"/>
                <w:color w:val="auto"/>
              </w:rPr>
            </w:pPr>
            <w:r>
              <w:rPr>
                <w:rFonts w:ascii="Arial" w:cs="Arial" w:eastAsia="Arial" w:hAnsi="Arial"/>
                <w:sz w:val="18"/>
                <w:szCs w:val="18"/>
                <w:color w:val="auto"/>
                <w:w w:val="97"/>
              </w:rPr>
              <w:t>megawatt. We estimate 2,500 LNG gallons would be required to</w:t>
            </w:r>
          </w:p>
        </w:tc>
      </w:tr>
      <w:tr>
        <w:trPr>
          <w:trHeight w:val="229"/>
        </w:trPr>
        <w:tc>
          <w:tcPr>
            <w:tcW w:w="2760" w:type="dxa"/>
            <w:vAlign w:val="bottom"/>
          </w:tcPr>
          <w:p>
            <w:pPr>
              <w:spacing w:after="0"/>
              <w:rPr>
                <w:sz w:val="19"/>
                <w:szCs w:val="19"/>
                <w:color w:val="auto"/>
              </w:rPr>
            </w:pPr>
          </w:p>
        </w:tc>
        <w:tc>
          <w:tcPr>
            <w:tcW w:w="6740" w:type="dxa"/>
            <w:vAlign w:val="bottom"/>
          </w:tcPr>
          <w:p>
            <w:pPr>
              <w:ind w:left="1720"/>
              <w:spacing w:after="0"/>
              <w:rPr>
                <w:sz w:val="20"/>
                <w:szCs w:val="20"/>
                <w:color w:val="auto"/>
              </w:rPr>
            </w:pPr>
            <w:r>
              <w:rPr>
                <w:rFonts w:ascii="Arial" w:cs="Arial" w:eastAsia="Arial" w:hAnsi="Arial"/>
                <w:sz w:val="18"/>
                <w:szCs w:val="18"/>
                <w:color w:val="auto"/>
              </w:rPr>
              <w:t>produce one megawatt.</w:t>
            </w:r>
          </w:p>
        </w:tc>
      </w:tr>
      <w:tr>
        <w:trPr>
          <w:trHeight w:val="443"/>
        </w:trPr>
        <w:tc>
          <w:tcPr>
            <w:tcW w:w="2760" w:type="dxa"/>
            <w:vAlign w:val="bottom"/>
          </w:tcPr>
          <w:p>
            <w:pPr>
              <w:spacing w:after="0"/>
              <w:rPr>
                <w:sz w:val="24"/>
                <w:szCs w:val="24"/>
                <w:color w:val="auto"/>
              </w:rPr>
            </w:pPr>
          </w:p>
        </w:tc>
        <w:tc>
          <w:tcPr>
            <w:tcW w:w="6740" w:type="dxa"/>
            <w:vAlign w:val="bottom"/>
          </w:tcPr>
          <w:p>
            <w:pPr>
              <w:ind w:left="1920"/>
              <w:spacing w:after="0"/>
              <w:rPr>
                <w:sz w:val="20"/>
                <w:szCs w:val="20"/>
                <w:color w:val="auto"/>
              </w:rPr>
            </w:pPr>
            <w:r>
              <w:rPr>
                <w:rFonts w:ascii="Arial" w:cs="Arial" w:eastAsia="Arial" w:hAnsi="Arial"/>
                <w:sz w:val="18"/>
                <w:szCs w:val="18"/>
                <w:color w:val="auto"/>
              </w:rPr>
              <w:t>iii</w:t>
            </w:r>
          </w:p>
        </w:tc>
      </w:tr>
      <w:tr>
        <w:trPr>
          <w:trHeight w:val="442"/>
        </w:trPr>
        <w:tc>
          <w:tcPr>
            <w:tcW w:w="276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67"/>
        </w:trPr>
        <w:tc>
          <w:tcPr>
            <w:tcW w:w="2760" w:type="dxa"/>
            <w:vAlign w:val="bottom"/>
            <w:shd w:val="clear" w:color="auto" w:fill="000000"/>
          </w:tcPr>
          <w:p>
            <w:pPr>
              <w:spacing w:after="0"/>
              <w:rPr>
                <w:sz w:val="5"/>
                <w:szCs w:val="5"/>
                <w:color w:val="auto"/>
              </w:rPr>
            </w:pPr>
          </w:p>
        </w:tc>
        <w:tc>
          <w:tcPr>
            <w:tcW w:w="674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533"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480" w:type="dxa"/>
            <w:vAlign w:val="bottom"/>
          </w:tcPr>
          <w:p>
            <w:pPr>
              <w:spacing w:after="0"/>
              <w:rPr>
                <w:sz w:val="14"/>
                <w:szCs w:val="14"/>
                <w:color w:val="auto"/>
              </w:rPr>
            </w:pPr>
          </w:p>
        </w:tc>
        <w:tc>
          <w:tcPr>
            <w:tcW w:w="6480" w:type="dxa"/>
            <w:vAlign w:val="bottom"/>
          </w:tcPr>
          <w:p>
            <w:pPr>
              <w:spacing w:after="0"/>
              <w:rPr>
                <w:sz w:val="14"/>
                <w:szCs w:val="14"/>
                <w:color w:val="auto"/>
              </w:rPr>
            </w:pPr>
          </w:p>
        </w:tc>
      </w:tr>
      <w:tr>
        <w:trPr>
          <w:trHeight w:val="356"/>
        </w:trPr>
        <w:tc>
          <w:tcPr>
            <w:tcW w:w="3020" w:type="dxa"/>
            <w:vAlign w:val="bottom"/>
            <w:gridSpan w:val="2"/>
          </w:tcPr>
          <w:p>
            <w:pPr>
              <w:spacing w:after="0"/>
              <w:rPr>
                <w:sz w:val="20"/>
                <w:szCs w:val="20"/>
                <w:color w:val="auto"/>
              </w:rPr>
            </w:pPr>
            <w:r>
              <w:rPr>
                <w:rFonts w:ascii="Arial" w:cs="Arial" w:eastAsia="Arial" w:hAnsi="Arial"/>
                <w:sz w:val="18"/>
                <w:szCs w:val="18"/>
                <w:color w:val="auto"/>
              </w:rPr>
              <w:t>NGA</w:t>
            </w:r>
          </w:p>
        </w:tc>
        <w:tc>
          <w:tcPr>
            <w:tcW w:w="6480" w:type="dxa"/>
            <w:vAlign w:val="bottom"/>
          </w:tcPr>
          <w:p>
            <w:pPr>
              <w:ind w:left="1460"/>
              <w:spacing w:after="0"/>
              <w:rPr>
                <w:sz w:val="20"/>
                <w:szCs w:val="20"/>
                <w:color w:val="auto"/>
              </w:rPr>
            </w:pPr>
            <w:r>
              <w:rPr>
                <w:rFonts w:ascii="Arial" w:cs="Arial" w:eastAsia="Arial" w:hAnsi="Arial"/>
                <w:sz w:val="18"/>
                <w:szCs w:val="18"/>
                <w:color w:val="auto"/>
              </w:rPr>
              <w:t>Natural Gas Act of 1938, as amended</w:t>
            </w:r>
          </w:p>
        </w:tc>
      </w:tr>
      <w:tr>
        <w:trPr>
          <w:trHeight w:val="468"/>
        </w:trPr>
        <w:tc>
          <w:tcPr>
            <w:tcW w:w="3020" w:type="dxa"/>
            <w:vAlign w:val="bottom"/>
            <w:gridSpan w:val="2"/>
          </w:tcPr>
          <w:p>
            <w:pPr>
              <w:spacing w:after="0"/>
              <w:rPr>
                <w:sz w:val="20"/>
                <w:szCs w:val="20"/>
                <w:color w:val="auto"/>
              </w:rPr>
            </w:pPr>
            <w:r>
              <w:rPr>
                <w:rFonts w:ascii="Arial" w:cs="Arial" w:eastAsia="Arial" w:hAnsi="Arial"/>
                <w:sz w:val="18"/>
                <w:szCs w:val="18"/>
                <w:color w:val="auto"/>
              </w:rPr>
              <w:t>non-FTA countries</w:t>
            </w:r>
          </w:p>
        </w:tc>
        <w:tc>
          <w:tcPr>
            <w:tcW w:w="6480" w:type="dxa"/>
            <w:vAlign w:val="bottom"/>
          </w:tcPr>
          <w:p>
            <w:pPr>
              <w:ind w:left="1460"/>
              <w:spacing w:after="0"/>
              <w:rPr>
                <w:sz w:val="20"/>
                <w:szCs w:val="20"/>
                <w:color w:val="auto"/>
              </w:rPr>
            </w:pPr>
            <w:r>
              <w:rPr>
                <w:rFonts w:ascii="Arial" w:cs="Arial" w:eastAsia="Arial" w:hAnsi="Arial"/>
                <w:sz w:val="18"/>
                <w:szCs w:val="18"/>
                <w:color w:val="auto"/>
                <w:w w:val="99"/>
              </w:rPr>
              <w:t>countries without a free trade agreement with the United States</w:t>
            </w:r>
          </w:p>
        </w:tc>
      </w:tr>
      <w:tr>
        <w:trPr>
          <w:trHeight w:val="215"/>
        </w:trPr>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80" w:type="dxa"/>
            <w:vAlign w:val="bottom"/>
          </w:tcPr>
          <w:p>
            <w:pPr>
              <w:ind w:left="1460"/>
              <w:spacing w:after="0"/>
              <w:rPr>
                <w:sz w:val="20"/>
                <w:szCs w:val="20"/>
                <w:color w:val="auto"/>
              </w:rPr>
            </w:pPr>
            <w:r>
              <w:rPr>
                <w:rFonts w:ascii="Arial" w:cs="Arial" w:eastAsia="Arial" w:hAnsi="Arial"/>
                <w:sz w:val="18"/>
                <w:szCs w:val="18"/>
                <w:color w:val="auto"/>
                <w:w w:val="98"/>
              </w:rPr>
              <w:t>providing for national treatment for trade in natural gas and with</w:t>
            </w:r>
          </w:p>
        </w:tc>
      </w:tr>
      <w:tr>
        <w:trPr>
          <w:trHeight w:val="229"/>
        </w:trPr>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480" w:type="dxa"/>
            <w:vAlign w:val="bottom"/>
          </w:tcPr>
          <w:p>
            <w:pPr>
              <w:ind w:left="1460"/>
              <w:spacing w:after="0"/>
              <w:rPr>
                <w:sz w:val="20"/>
                <w:szCs w:val="20"/>
                <w:color w:val="auto"/>
              </w:rPr>
            </w:pPr>
            <w:r>
              <w:rPr>
                <w:rFonts w:ascii="Arial" w:cs="Arial" w:eastAsia="Arial" w:hAnsi="Arial"/>
                <w:sz w:val="18"/>
                <w:szCs w:val="18"/>
                <w:color w:val="auto"/>
              </w:rPr>
              <w:t>which trade is permitted</w:t>
            </w:r>
          </w:p>
        </w:tc>
      </w:tr>
      <w:tr>
        <w:trPr>
          <w:trHeight w:val="483"/>
        </w:trPr>
        <w:tc>
          <w:tcPr>
            <w:tcW w:w="3020" w:type="dxa"/>
            <w:vAlign w:val="bottom"/>
            <w:gridSpan w:val="2"/>
          </w:tcPr>
          <w:p>
            <w:pPr>
              <w:spacing w:after="0"/>
              <w:rPr>
                <w:sz w:val="20"/>
                <w:szCs w:val="20"/>
                <w:color w:val="auto"/>
              </w:rPr>
            </w:pPr>
            <w:r>
              <w:rPr>
                <w:rFonts w:ascii="Arial" w:cs="Arial" w:eastAsia="Arial" w:hAnsi="Arial"/>
                <w:sz w:val="18"/>
                <w:szCs w:val="18"/>
                <w:color w:val="auto"/>
              </w:rPr>
              <w:t>OPA</w:t>
            </w:r>
          </w:p>
        </w:tc>
        <w:tc>
          <w:tcPr>
            <w:tcW w:w="6480" w:type="dxa"/>
            <w:vAlign w:val="bottom"/>
          </w:tcPr>
          <w:p>
            <w:pPr>
              <w:ind w:left="1460"/>
              <w:spacing w:after="0"/>
              <w:rPr>
                <w:sz w:val="20"/>
                <w:szCs w:val="20"/>
                <w:color w:val="auto"/>
              </w:rPr>
            </w:pPr>
            <w:r>
              <w:rPr>
                <w:rFonts w:ascii="Arial" w:cs="Arial" w:eastAsia="Arial" w:hAnsi="Arial"/>
                <w:sz w:val="18"/>
                <w:szCs w:val="18"/>
                <w:color w:val="auto"/>
              </w:rPr>
              <w:t>Oil Pollution Act</w:t>
            </w:r>
          </w:p>
        </w:tc>
      </w:tr>
      <w:tr>
        <w:trPr>
          <w:trHeight w:val="483"/>
        </w:trPr>
        <w:tc>
          <w:tcPr>
            <w:tcW w:w="3020" w:type="dxa"/>
            <w:vAlign w:val="bottom"/>
            <w:gridSpan w:val="2"/>
          </w:tcPr>
          <w:p>
            <w:pPr>
              <w:spacing w:after="0"/>
              <w:rPr>
                <w:sz w:val="20"/>
                <w:szCs w:val="20"/>
                <w:color w:val="auto"/>
              </w:rPr>
            </w:pPr>
            <w:r>
              <w:rPr>
                <w:rFonts w:ascii="Arial" w:cs="Arial" w:eastAsia="Arial" w:hAnsi="Arial"/>
                <w:sz w:val="18"/>
                <w:szCs w:val="18"/>
                <w:color w:val="auto"/>
              </w:rPr>
              <w:t>OUR</w:t>
            </w:r>
          </w:p>
        </w:tc>
        <w:tc>
          <w:tcPr>
            <w:tcW w:w="6480" w:type="dxa"/>
            <w:vAlign w:val="bottom"/>
          </w:tcPr>
          <w:p>
            <w:pPr>
              <w:ind w:left="1460"/>
              <w:spacing w:after="0"/>
              <w:rPr>
                <w:sz w:val="20"/>
                <w:szCs w:val="20"/>
                <w:color w:val="auto"/>
              </w:rPr>
            </w:pPr>
            <w:r>
              <w:rPr>
                <w:rFonts w:ascii="Arial" w:cs="Arial" w:eastAsia="Arial" w:hAnsi="Arial"/>
                <w:sz w:val="18"/>
                <w:szCs w:val="18"/>
                <w:color w:val="auto"/>
              </w:rPr>
              <w:t>Office of Utilities Regulation (Jamaica)</w:t>
            </w:r>
          </w:p>
        </w:tc>
      </w:tr>
      <w:tr>
        <w:trPr>
          <w:trHeight w:val="483"/>
        </w:trPr>
        <w:tc>
          <w:tcPr>
            <w:tcW w:w="3020" w:type="dxa"/>
            <w:vAlign w:val="bottom"/>
            <w:gridSpan w:val="2"/>
          </w:tcPr>
          <w:p>
            <w:pPr>
              <w:spacing w:after="0"/>
              <w:rPr>
                <w:sz w:val="20"/>
                <w:szCs w:val="20"/>
                <w:color w:val="auto"/>
              </w:rPr>
            </w:pPr>
            <w:r>
              <w:rPr>
                <w:rFonts w:ascii="Arial" w:cs="Arial" w:eastAsia="Arial" w:hAnsi="Arial"/>
                <w:sz w:val="18"/>
                <w:szCs w:val="18"/>
                <w:color w:val="auto"/>
              </w:rPr>
              <w:t>PHMSA</w:t>
            </w:r>
          </w:p>
        </w:tc>
        <w:tc>
          <w:tcPr>
            <w:tcW w:w="6480" w:type="dxa"/>
            <w:vAlign w:val="bottom"/>
          </w:tcPr>
          <w:p>
            <w:pPr>
              <w:ind w:left="146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483"/>
        </w:trPr>
        <w:tc>
          <w:tcPr>
            <w:tcW w:w="3020" w:type="dxa"/>
            <w:vAlign w:val="bottom"/>
            <w:gridSpan w:val="2"/>
          </w:tcPr>
          <w:p>
            <w:pPr>
              <w:spacing w:after="0"/>
              <w:rPr>
                <w:sz w:val="20"/>
                <w:szCs w:val="20"/>
                <w:color w:val="auto"/>
              </w:rPr>
            </w:pPr>
            <w:r>
              <w:rPr>
                <w:rFonts w:ascii="Arial" w:cs="Arial" w:eastAsia="Arial" w:hAnsi="Arial"/>
                <w:sz w:val="18"/>
                <w:szCs w:val="18"/>
                <w:color w:val="auto"/>
              </w:rPr>
              <w:t>PPA</w:t>
            </w:r>
          </w:p>
        </w:tc>
        <w:tc>
          <w:tcPr>
            <w:tcW w:w="6480" w:type="dxa"/>
            <w:vAlign w:val="bottom"/>
          </w:tcPr>
          <w:p>
            <w:pPr>
              <w:ind w:left="1460"/>
              <w:spacing w:after="0"/>
              <w:rPr>
                <w:sz w:val="20"/>
                <w:szCs w:val="20"/>
                <w:color w:val="auto"/>
              </w:rPr>
            </w:pPr>
            <w:r>
              <w:rPr>
                <w:rFonts w:ascii="Arial" w:cs="Arial" w:eastAsia="Arial" w:hAnsi="Arial"/>
                <w:sz w:val="18"/>
                <w:szCs w:val="18"/>
                <w:color w:val="auto"/>
              </w:rPr>
              <w:t>power purchase agreement</w:t>
            </w:r>
          </w:p>
        </w:tc>
      </w:tr>
      <w:tr>
        <w:trPr>
          <w:trHeight w:val="483"/>
        </w:trPr>
        <w:tc>
          <w:tcPr>
            <w:tcW w:w="3020" w:type="dxa"/>
            <w:vAlign w:val="bottom"/>
            <w:gridSpan w:val="2"/>
          </w:tcPr>
          <w:p>
            <w:pPr>
              <w:spacing w:after="0"/>
              <w:rPr>
                <w:sz w:val="20"/>
                <w:szCs w:val="20"/>
                <w:color w:val="auto"/>
              </w:rPr>
            </w:pPr>
            <w:r>
              <w:rPr>
                <w:rFonts w:ascii="Arial" w:cs="Arial" w:eastAsia="Arial" w:hAnsi="Arial"/>
                <w:sz w:val="18"/>
                <w:szCs w:val="18"/>
                <w:color w:val="auto"/>
              </w:rPr>
              <w:t>SSA</w:t>
            </w:r>
          </w:p>
        </w:tc>
        <w:tc>
          <w:tcPr>
            <w:tcW w:w="6480" w:type="dxa"/>
            <w:vAlign w:val="bottom"/>
          </w:tcPr>
          <w:p>
            <w:pPr>
              <w:ind w:left="1460"/>
              <w:spacing w:after="0"/>
              <w:rPr>
                <w:sz w:val="20"/>
                <w:szCs w:val="20"/>
                <w:color w:val="auto"/>
              </w:rPr>
            </w:pPr>
            <w:r>
              <w:rPr>
                <w:rFonts w:ascii="Arial" w:cs="Arial" w:eastAsia="Arial" w:hAnsi="Arial"/>
                <w:sz w:val="18"/>
                <w:szCs w:val="18"/>
                <w:color w:val="auto"/>
              </w:rPr>
              <w:t>steam supply agreement</w:t>
            </w:r>
          </w:p>
        </w:tc>
      </w:tr>
      <w:tr>
        <w:trPr>
          <w:trHeight w:val="468"/>
        </w:trPr>
        <w:tc>
          <w:tcPr>
            <w:tcW w:w="3020" w:type="dxa"/>
            <w:vAlign w:val="bottom"/>
            <w:gridSpan w:val="2"/>
          </w:tcPr>
          <w:p>
            <w:pPr>
              <w:spacing w:after="0"/>
              <w:rPr>
                <w:sz w:val="20"/>
                <w:szCs w:val="20"/>
                <w:color w:val="auto"/>
              </w:rPr>
            </w:pPr>
            <w:r>
              <w:rPr>
                <w:rFonts w:ascii="Arial" w:cs="Arial" w:eastAsia="Arial" w:hAnsi="Arial"/>
                <w:sz w:val="18"/>
                <w:szCs w:val="18"/>
                <w:color w:val="auto"/>
              </w:rPr>
              <w:t>TBtu</w:t>
            </w:r>
          </w:p>
        </w:tc>
        <w:tc>
          <w:tcPr>
            <w:tcW w:w="6480" w:type="dxa"/>
            <w:vAlign w:val="bottom"/>
          </w:tcPr>
          <w:p>
            <w:pPr>
              <w:ind w:left="1460"/>
              <w:spacing w:after="0"/>
              <w:rPr>
                <w:sz w:val="20"/>
                <w:szCs w:val="20"/>
                <w:color w:val="auto"/>
              </w:rPr>
            </w:pPr>
            <w:r>
              <w:rPr>
                <w:rFonts w:ascii="Arial" w:cs="Arial" w:eastAsia="Arial" w:hAnsi="Arial"/>
                <w:sz w:val="18"/>
                <w:szCs w:val="18"/>
                <w:color w:val="auto"/>
                <w:w w:val="97"/>
              </w:rPr>
              <w:t>one trillion Btus, which corresponds to approximately 12,100,000</w:t>
            </w:r>
          </w:p>
        </w:tc>
      </w:tr>
      <w:tr>
        <w:trPr>
          <w:trHeight w:val="229"/>
        </w:trPr>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480" w:type="dxa"/>
            <w:vAlign w:val="bottom"/>
          </w:tcPr>
          <w:p>
            <w:pPr>
              <w:ind w:left="1460"/>
              <w:spacing w:after="0"/>
              <w:rPr>
                <w:sz w:val="20"/>
                <w:szCs w:val="20"/>
                <w:color w:val="auto"/>
              </w:rPr>
            </w:pPr>
            <w:r>
              <w:rPr>
                <w:rFonts w:ascii="Arial" w:cs="Arial" w:eastAsia="Arial" w:hAnsi="Arial"/>
                <w:sz w:val="18"/>
                <w:szCs w:val="18"/>
                <w:color w:val="auto"/>
              </w:rPr>
              <w:t>LNG gallons</w:t>
            </w:r>
          </w:p>
        </w:tc>
      </w:tr>
      <w:tr>
        <w:trPr>
          <w:trHeight w:val="443"/>
        </w:trPr>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80" w:type="dxa"/>
            <w:vAlign w:val="bottom"/>
          </w:tcPr>
          <w:p>
            <w:pPr>
              <w:ind w:left="1660"/>
              <w:spacing w:after="0"/>
              <w:rPr>
                <w:sz w:val="20"/>
                <w:szCs w:val="20"/>
                <w:color w:val="auto"/>
              </w:rPr>
            </w:pPr>
            <w:r>
              <w:rPr>
                <w:rFonts w:ascii="Arial" w:cs="Arial" w:eastAsia="Arial" w:hAnsi="Arial"/>
                <w:sz w:val="18"/>
                <w:szCs w:val="18"/>
                <w:color w:val="auto"/>
              </w:rPr>
              <w:t>iv</w:t>
            </w:r>
          </w:p>
        </w:tc>
      </w:tr>
      <w:tr>
        <w:trPr>
          <w:trHeight w:val="456"/>
        </w:trPr>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67"/>
        </w:trPr>
        <w:tc>
          <w:tcPr>
            <w:tcW w:w="154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648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4" w:right="138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19" w:lineRule="exact"/>
        <w:rPr>
          <w:sz w:val="20"/>
          <w:szCs w:val="20"/>
          <w:color w:val="auto"/>
        </w:rPr>
      </w:pPr>
    </w:p>
    <w:p>
      <w:pPr>
        <w:ind w:right="120" w:firstLine="357"/>
        <w:spacing w:after="0" w:line="287" w:lineRule="auto"/>
        <w:rPr>
          <w:sz w:val="20"/>
          <w:szCs w:val="20"/>
          <w:color w:val="auto"/>
        </w:rPr>
      </w:pPr>
      <w:r>
        <w:rPr>
          <w:rFonts w:ascii="Arial" w:cs="Arial" w:eastAsia="Arial" w:hAnsi="Arial"/>
          <w:sz w:val="16"/>
          <w:szCs w:val="16"/>
          <w:color w:val="auto"/>
        </w:rPr>
        <w:t>This prospectus and other offering materials include forward-looking statements regarding, among other things, our plans, strategies, prospects and projections, both business and financial. 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59" w:lineRule="exact"/>
        <w:rPr>
          <w:sz w:val="20"/>
          <w:szCs w:val="20"/>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procure LNG on a fixed-price basis, or otherwise to manage LNG price risks, including hedging arrangements;</w:t>
      </w:r>
    </w:p>
    <w:p>
      <w:pPr>
        <w:spacing w:after="0" w:line="137" w:lineRule="exact"/>
        <w:rPr>
          <w:rFonts w:ascii="Arial" w:cs="Arial" w:eastAsia="Arial" w:hAnsi="Arial"/>
          <w:sz w:val="16"/>
          <w:szCs w:val="16"/>
          <w:color w:val="auto"/>
        </w:rPr>
      </w:pPr>
    </w:p>
    <w:p>
      <w:pPr>
        <w:ind w:left="700" w:right="540" w:hanging="346"/>
        <w:spacing w:after="0" w:line="27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power plants or Liquefaction Facilities and the terms of our construction contracts for the completion of these assets;</w:t>
      </w:r>
    </w:p>
    <w:p>
      <w:pPr>
        <w:spacing w:after="0" w:line="63" w:lineRule="exact"/>
        <w:rPr>
          <w:rFonts w:ascii="Arial" w:cs="Arial" w:eastAsia="Arial" w:hAnsi="Arial"/>
          <w:sz w:val="18"/>
          <w:szCs w:val="18"/>
          <w:color w:val="auto"/>
        </w:rPr>
      </w:pPr>
    </w:p>
    <w:p>
      <w:pPr>
        <w:ind w:left="700" w:right="40" w:hanging="346"/>
        <w:spacing w:after="0" w:line="27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power plants or Liquefaction Facilities, as well as difficulties in obtaining sufficient financing to pay for such costs and delays;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produce or purchase sufficient amounts of LNG or natural gas at favorable prices to meet customer demand;</w:t>
      </w:r>
    </w:p>
    <w:p>
      <w:pPr>
        <w:spacing w:after="0" w:line="137" w:lineRule="exact"/>
        <w:rPr>
          <w:rFonts w:ascii="Arial" w:cs="Arial" w:eastAsia="Arial" w:hAnsi="Arial"/>
          <w:sz w:val="16"/>
          <w:szCs w:val="16"/>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114" w:lineRule="exact"/>
        <w:rPr>
          <w:rFonts w:ascii="Arial" w:cs="Arial" w:eastAsia="Arial" w:hAnsi="Arial"/>
          <w:sz w:val="18"/>
          <w:szCs w:val="18"/>
          <w:color w:val="auto"/>
        </w:rPr>
      </w:pPr>
    </w:p>
    <w:p>
      <w:pPr>
        <w:ind w:left="700" w:right="120" w:hanging="346"/>
        <w:spacing w:after="0" w:line="27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of natural gas to be a competitive source of energy in the markets in which we operate, and seek to operate;</w:t>
      </w:r>
    </w:p>
    <w:p>
      <w:pPr>
        <w:spacing w:after="0" w:line="126" w:lineRule="exact"/>
        <w:rPr>
          <w:rFonts w:ascii="Arial" w:cs="Arial" w:eastAsia="Arial" w:hAnsi="Arial"/>
          <w:sz w:val="17"/>
          <w:szCs w:val="17"/>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114" w:lineRule="exact"/>
        <w:rPr>
          <w:rFonts w:ascii="Arial" w:cs="Arial" w:eastAsia="Arial" w:hAnsi="Arial"/>
          <w:sz w:val="18"/>
          <w:szCs w:val="18"/>
          <w:color w:val="auto"/>
        </w:rPr>
      </w:pPr>
    </w:p>
    <w:p>
      <w:pPr>
        <w:ind w:left="700" w:right="180" w:hanging="346"/>
        <w:spacing w:after="0" w:line="27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 including our ability to successfully complete an opportunistic debt refinancing and/or upsizing after the consummation of this offering;</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114" w:lineRule="exact"/>
        <w:rPr>
          <w:rFonts w:ascii="Arial" w:cs="Arial" w:eastAsia="Arial" w:hAnsi="Arial"/>
          <w:sz w:val="18"/>
          <w:szCs w:val="18"/>
          <w:color w:val="auto"/>
        </w:rPr>
      </w:pPr>
    </w:p>
    <w:p>
      <w:pPr>
        <w:ind w:left="700" w:right="480" w:hanging="346"/>
        <w:spacing w:after="0" w:line="27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 including with respect to our proposed agreement with the Puerto Rico Electric Power Authority;</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increased labor costs, and the unavailability of skilled workers or our failure to attract and retain qualified personnel; and</w:t>
      </w:r>
    </w:p>
    <w:p>
      <w:pPr>
        <w:spacing w:after="0" w:line="137" w:lineRule="exact"/>
        <w:rPr>
          <w:rFonts w:ascii="Arial" w:cs="Arial" w:eastAsia="Arial" w:hAnsi="Arial"/>
          <w:sz w:val="16"/>
          <w:szCs w:val="16"/>
          <w:color w:val="auto"/>
        </w:rPr>
      </w:pPr>
    </w:p>
    <w:p>
      <w:pPr>
        <w:jc w:val="both"/>
        <w:ind w:left="360" w:right="180" w:hanging="6"/>
        <w:spacing w:after="0" w:line="289"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jurisdictions in which we do, or seek to do business, particularly Florida, Jamaica and the Caribbean. When considering forward-looking statements, you should keep in mind the risks set forth under the heading “Risk Factors”</w:t>
      </w:r>
    </w:p>
    <w:p>
      <w:pPr>
        <w:spacing w:after="0" w:line="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and other cautionary statements included in this prospectus.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150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60440" cy="7150735"/>
                    </a:xfrm>
                    <a:prstGeom prst="rect">
                      <a:avLst/>
                    </a:prstGeom>
                    <a:noFill/>
                  </pic:spPr>
                </pic:pic>
              </a:graphicData>
            </a:graphic>
          </wp:anchor>
        </w:drawing>
      </w: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w:t>
      </w:r>
    </w:p>
    <w:p>
      <w:pPr>
        <w:spacing w:after="0" w:line="119" w:lineRule="exact"/>
        <w:rPr>
          <w:sz w:val="20"/>
          <w:szCs w:val="20"/>
          <w:color w:val="auto"/>
        </w:rPr>
      </w:pPr>
    </w:p>
    <w:p>
      <w:pPr>
        <w:ind w:left="120" w:right="140" w:firstLine="358"/>
        <w:spacing w:after="0" w:line="268"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Because it is abbreviated, this summary does not contain all of the information that you should consider before investing in our Class A shares. While this summary highlights what we consider to be the most important information about us, you should read this entire prospectus carefully including, in particular, “Risk Factors,” “Forward-Looking Statements,” “Management’s Discussion and Analysis of Financial Condition and Results of Operations” and the consolidated financial statements and notes included elsewhere in this prospectus. The information presented in this prospectus assumes (i) unless otherwise indicated, that the underwriters’ option to purchase additional Class A shares is not exercised and (ii) excludes Class A shares reserved for issuance under our equity incentive plan. This summary is qualified in its entirety by the more detailed information and financial statements and notes thereto included elsewhere in this prospectus.</w:t>
      </w:r>
    </w:p>
    <w:p>
      <w:pPr>
        <w:spacing w:after="0" w:line="74" w:lineRule="exact"/>
        <w:rPr>
          <w:sz w:val="20"/>
          <w:szCs w:val="20"/>
          <w:color w:val="auto"/>
        </w:rPr>
      </w:pPr>
    </w:p>
    <w:p>
      <w:pPr>
        <w:ind w:left="120" w:right="40" w:firstLine="358"/>
        <w:spacing w:after="0" w:line="268" w:lineRule="auto"/>
        <w:rPr>
          <w:sz w:val="20"/>
          <w:szCs w:val="20"/>
          <w:color w:val="auto"/>
        </w:rPr>
      </w:pPr>
      <w:r>
        <w:rPr>
          <w:rFonts w:ascii="Arial" w:cs="Arial" w:eastAsia="Arial" w:hAnsi="Arial"/>
          <w:sz w:val="17"/>
          <w:szCs w:val="17"/>
          <w:i w:val="1"/>
          <w:iCs w:val="1"/>
          <w:color w:val="auto"/>
        </w:rPr>
        <w:t>Unless the context otherwise requires, references in this prospectus to “Company,” “NFE,” “we,” “our,” “us” or like terms refer to New Fortress Energy LLC and its subsidiaries. When used in a historical context, “our,” “us,” “we” or like terms refer to New Fortress Energy Holdings LLC, a Delaware limited liability company (“New Fortress Energy Holdings”), our predecessor for financial reporting purposes. References in this prospectus to “NFI” refer to New Fortress Intermediate LLC, which following the transactions discussed in this prospectus, will own our operating subsidiaries, including NFE Atlantic Holdings LLC (“NFE Atlantic”) as well as limited assets or liabilities of New Fortress Energy Holdings held prior to the completion of this offering. Upon the completion of this offering, we will own a controlling 12.0% membership interest in NFI (through our role as the sole managing member of NFI), and New Fortress Energy Holdings will own a non-controlling 88.0% membership interest in NFI. You should also see the “Glossary of Terms” for definitions of some of the terms we use to describe our business and industry and other terms used in this prospectus.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Fortress Energy LLC</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left="120" w:right="20" w:firstLine="358"/>
        <w:spacing w:after="0" w:line="273" w:lineRule="auto"/>
        <w:rPr>
          <w:sz w:val="20"/>
          <w:szCs w:val="20"/>
          <w:color w:val="auto"/>
        </w:rPr>
      </w:pPr>
      <w:r>
        <w:rPr>
          <w:rFonts w:ascii="Arial" w:cs="Arial" w:eastAsia="Arial" w:hAnsi="Arial"/>
          <w:sz w:val="17"/>
          <w:szCs w:val="17"/>
          <w:color w:val="auto"/>
        </w:rPr>
        <w:t>We are an integrated gas-to-power company that seeks to use “stranded” natural gas to satisfy the world’s large and growing power needs. Our mission is to provide modern infrastructure solutions to create cleaner, reliable energy while generating a positive economic impact worldwide. Our business model is simple, yet, we believe, unique for the liquefied natural gas (“LNG”) industry. We aim to deliver targeted energy solutions to customers around the world, thereby reducing their energy costs and diversifying their energy resources, while also reducing pollution and generating compelling margins.</w:t>
      </w:r>
    </w:p>
    <w:p>
      <w:pPr>
        <w:spacing w:after="0" w:line="6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aim to deliver targeted energy solutions by employing a four-part integrated LNG production and delivery model:</w:t>
      </w:r>
    </w:p>
    <w:p>
      <w:pPr>
        <w:spacing w:after="0" w:line="126" w:lineRule="exact"/>
        <w:rPr>
          <w:sz w:val="20"/>
          <w:szCs w:val="20"/>
          <w:color w:val="auto"/>
        </w:rPr>
      </w:pPr>
    </w:p>
    <w:p>
      <w:pPr>
        <w:ind w:left="120" w:right="60" w:firstLine="358"/>
        <w:spacing w:after="0" w:line="255" w:lineRule="auto"/>
        <w:rPr>
          <w:sz w:val="20"/>
          <w:szCs w:val="20"/>
          <w:color w:val="auto"/>
        </w:rPr>
      </w:pPr>
      <w:r>
        <w:rPr>
          <w:rFonts w:ascii="Arial" w:cs="Arial" w:eastAsia="Arial" w:hAnsi="Arial"/>
          <w:sz w:val="18"/>
          <w:szCs w:val="18"/>
          <w:i w:val="1"/>
          <w:iCs w:val="1"/>
          <w:color w:val="auto"/>
        </w:rPr>
        <w:t xml:space="preserve">Liquefaction </w:t>
      </w:r>
      <w:r>
        <w:rPr>
          <w:rFonts w:ascii="Arial" w:cs="Arial" w:eastAsia="Arial" w:hAnsi="Arial"/>
          <w:sz w:val="18"/>
          <w:szCs w:val="18"/>
          <w:color w:val="auto"/>
        </w:rPr>
        <w:t>– Our approach is to enter into long-term, largely fixed-price contracts for feedgas, then liquefy that gas at or</w:t>
      </w:r>
      <w:r>
        <w:rPr>
          <w:rFonts w:ascii="Arial" w:cs="Arial" w:eastAsia="Arial" w:hAnsi="Arial"/>
          <w:sz w:val="18"/>
          <w:szCs w:val="18"/>
          <w:i w:val="1"/>
          <w:iCs w:val="1"/>
          <w:color w:val="auto"/>
        </w:rPr>
        <w:t xml:space="preserve"> </w:t>
      </w:r>
      <w:r>
        <w:rPr>
          <w:rFonts w:ascii="Arial" w:cs="Arial" w:eastAsia="Arial" w:hAnsi="Arial"/>
          <w:sz w:val="18"/>
          <w:szCs w:val="18"/>
          <w:color w:val="auto"/>
        </w:rPr>
        <w:t>proximate to its site of extraction, minimizing transport and pipeline costs for the feedgas producers. We are currently developing a liquefier on land we have purchased in the Marcellus area of Pennsylvania, which is expected to have the capacity to produce approximately 3 to 4 million gallons of LNG (which is the equivalent of 250,000 to 350,000 MMBtu) per day, and intend to develop five or more additional liquefiers over the next five years.</w:t>
      </w:r>
    </w:p>
    <w:p>
      <w:pPr>
        <w:spacing w:after="0" w:line="81" w:lineRule="exact"/>
        <w:rPr>
          <w:sz w:val="20"/>
          <w:szCs w:val="20"/>
          <w:color w:val="auto"/>
        </w:rPr>
      </w:pPr>
    </w:p>
    <w:p>
      <w:pPr>
        <w:ind w:left="120" w:right="40" w:firstLine="358"/>
        <w:spacing w:after="0" w:line="261"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 We expect to own or control the logistics assets necessary to deliver LNG to our customers through our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Tanker trucks will transport LNG from our liquefier to a port on the Delaware River, at which point LNG will be transloaded directly to large marine vessels.</w:t>
      </w:r>
    </w:p>
    <w:p>
      <w:pPr>
        <w:spacing w:after="0" w:line="76" w:lineRule="exact"/>
        <w:rPr>
          <w:sz w:val="20"/>
          <w:szCs w:val="20"/>
          <w:color w:val="auto"/>
        </w:rPr>
      </w:pPr>
    </w:p>
    <w:p>
      <w:pPr>
        <w:ind w:left="120" w:right="180" w:firstLine="358"/>
        <w:spacing w:after="0" w:line="257"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both large-scale floating storage units (“FSUs”) and floating storage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regasification units (“FSRUs”), and smaller liquefied natural gas carriers (“LNGCs”). These assets transport LNG from ports to our downstream terminals for ultimate delivery to our customers. There is approximately a five day sail time from a Delaware River port to our downstream terminals in the Caribbean.</w:t>
      </w:r>
    </w:p>
    <w:p>
      <w:pPr>
        <w:spacing w:after="0" w:line="79" w:lineRule="exact"/>
        <w:rPr>
          <w:sz w:val="20"/>
          <w:szCs w:val="20"/>
          <w:color w:val="auto"/>
        </w:rPr>
      </w:pPr>
    </w:p>
    <w:p>
      <w:pPr>
        <w:ind w:left="120" w:right="80" w:firstLine="358"/>
        <w:spacing w:after="0" w:line="257" w:lineRule="auto"/>
        <w:rPr>
          <w:sz w:val="20"/>
          <w:szCs w:val="20"/>
          <w:color w:val="auto"/>
        </w:rPr>
      </w:pPr>
      <w:r>
        <w:rPr>
          <w:rFonts w:ascii="Arial" w:cs="Arial" w:eastAsia="Arial" w:hAnsi="Arial"/>
          <w:sz w:val="18"/>
          <w:szCs w:val="18"/>
          <w:i w:val="1"/>
          <w:iCs w:val="1"/>
          <w:color w:val="auto"/>
        </w:rPr>
        <w:t xml:space="preserve">Terminals </w:t>
      </w:r>
      <w:r>
        <w:rPr>
          <w:rFonts w:ascii="Arial" w:cs="Arial" w:eastAsia="Arial" w:hAnsi="Arial"/>
          <w:sz w:val="18"/>
          <w:szCs w:val="18"/>
          <w:color w:val="auto"/>
        </w:rPr>
        <w:t>– Through our network of current and planned downstream terminals, we will be positioned to deliver gas and</w:t>
      </w:r>
      <w:r>
        <w:rPr>
          <w:rFonts w:ascii="Arial" w:cs="Arial" w:eastAsia="Arial" w:hAnsi="Arial"/>
          <w:sz w:val="18"/>
          <w:szCs w:val="18"/>
          <w:i w:val="1"/>
          <w:iCs w:val="1"/>
          <w:color w:val="auto"/>
        </w:rPr>
        <w:t xml:space="preserve"> </w:t>
      </w:r>
      <w:r>
        <w:rPr>
          <w:rFonts w:ascii="Arial" w:cs="Arial" w:eastAsia="Arial" w:hAnsi="Arial"/>
          <w:sz w:val="18"/>
          <w:szCs w:val="18"/>
          <w:color w:val="auto"/>
        </w:rPr>
        <w:t>power solutions to our customers seeking either to transition from environmentally dirtier distillate fuels such as ADO and heavy fuel oil (“HFO”) or to purchase natural gas to meet their current fuel needs. Our goal is to build 10 - 20 downstream terminals and 5 - 10 liquefaction facilities over the next five years.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5855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60440" cy="5855970"/>
                    </a:xfrm>
                    <a:prstGeom prst="rect">
                      <a:avLst/>
                    </a:prstGeom>
                    <a:noFill/>
                  </pic:spPr>
                </pic:pic>
              </a:graphicData>
            </a:graphic>
          </wp:anchor>
        </w:drawing>
      </w:r>
    </w:p>
    <w:p>
      <w:pPr>
        <w:spacing w:after="0" w:line="243" w:lineRule="exact"/>
        <w:rPr>
          <w:sz w:val="20"/>
          <w:szCs w:val="20"/>
          <w:color w:val="auto"/>
        </w:rPr>
      </w:pPr>
    </w:p>
    <w:p>
      <w:pPr>
        <w:ind w:left="120" w:right="80" w:firstLine="358"/>
        <w:spacing w:after="0" w:line="254" w:lineRule="auto"/>
        <w:rPr>
          <w:sz w:val="20"/>
          <w:szCs w:val="20"/>
          <w:color w:val="auto"/>
        </w:rPr>
      </w:pPr>
      <w:r>
        <w:rPr>
          <w:rFonts w:ascii="Arial" w:cs="Arial" w:eastAsia="Arial" w:hAnsi="Arial"/>
          <w:sz w:val="18"/>
          <w:szCs w:val="18"/>
          <w:color w:val="auto"/>
        </w:rPr>
        <w:t>We believe this compelling business model will provide opportunities to generate average revenues in excess of approximately $10.00 per MMBtu, including both fuel sales and capacity charges (we often invest capital in infrastructure in connection with our entry into a new market, and customers agree to pay a “capacity charge” as consideration for the right to use the underlying infrastructure). We expect individual contract pricing is likely to range between $8.00 and $13.00 per MMBtu, depending on the customer’s size, purchased volume, credit profile, the complexity of the delivery and the infrastructure required to deliver it.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NFE’s Global Market Landscape</w:t>
      </w:r>
    </w:p>
    <w:p>
      <w:pPr>
        <w:spacing w:after="0" w:line="119" w:lineRule="exact"/>
        <w:rPr>
          <w:sz w:val="20"/>
          <w:szCs w:val="20"/>
          <w:color w:val="auto"/>
        </w:rPr>
      </w:pPr>
    </w:p>
    <w:p>
      <w:pPr>
        <w:ind w:left="120" w:right="60" w:firstLine="358"/>
        <w:spacing w:after="0" w:line="270" w:lineRule="auto"/>
        <w:rPr>
          <w:sz w:val="20"/>
          <w:szCs w:val="20"/>
          <w:color w:val="auto"/>
        </w:rPr>
      </w:pPr>
      <w:r>
        <w:rPr>
          <w:rFonts w:ascii="Arial" w:cs="Arial" w:eastAsia="Arial" w:hAnsi="Arial"/>
          <w:sz w:val="17"/>
          <w:szCs w:val="17"/>
          <w:color w:val="auto"/>
        </w:rPr>
        <w:t>We believe that the world is “long” gas and “short” power, and that natural gas is a compelling fuel for power production. But because much of the world’s natural gas reserves are not directly connected by pipeline to electricity producers and other end users, it must be otherwise transported. An efficient way to transport is through the conversion of natural gas to LNG, which involves treating natural gas to remove impurities and then chilling it to approximately negative 260 degrees Fahrenheit, a process generally referred to as liquefaction. In LNG form, natural gas is typically transported in bulk by containers or tankers hauled by rail or truck or by marine vessels, such as LNG carriers. Once delivered to its end destination, LNG can be reconverted to natural gas through a process referred to as “regasification.”</w:t>
      </w:r>
    </w:p>
    <w:p>
      <w:pPr>
        <w:spacing w:after="0" w:line="70" w:lineRule="exact"/>
        <w:rPr>
          <w:sz w:val="20"/>
          <w:szCs w:val="20"/>
          <w:color w:val="auto"/>
        </w:rPr>
      </w:pPr>
    </w:p>
    <w:p>
      <w:pPr>
        <w:ind w:left="120" w:right="40" w:firstLine="358"/>
        <w:spacing w:after="0" w:line="267" w:lineRule="auto"/>
        <w:rPr>
          <w:sz w:val="20"/>
          <w:szCs w:val="20"/>
          <w:color w:val="auto"/>
        </w:rPr>
      </w:pPr>
      <w:r>
        <w:rPr>
          <w:rFonts w:ascii="Arial" w:cs="Arial" w:eastAsia="Arial" w:hAnsi="Arial"/>
          <w:sz w:val="17"/>
          <w:szCs w:val="17"/>
          <w:color w:val="auto"/>
        </w:rPr>
        <w:t>Today approximately 70% of the world’s electricity is consumed by 10 countries and over a billion people, or approximately 14% of the world’s population, currently lack access to electricity, according to the International Energy Agency’s October 2017 report. As economic development worldwide spurs demand for electricity, approximately 1.5 million MW of new power is expected to be needed by 2040, according to Exxon Mobil’s 2017 Outlook on Energy. To satisfy these power needs with gas-fired power would require approximately 3.75 billion gallons of LNG (or 310 TBtu) per day (based upon an estimated conversion of 2,500 gallons per day of LNG for every MW of power capacity). Further, we believe that many countries around the world – keenly focused on economics as well as the environment – will increasingly look to natural gas to displace environmentally dirtier fuels such as HFO, ADO and coal that are used to generate power, particularly if natural gas is cheaper than these environmentally dirtier fuels. For example, most islands in the Caribbean generate 90% to 100% of their electricity from HFO or ADO, as compared to less than 1% of electricity generation in the United States. We believe there is a significant market opportunity.</w:t>
      </w:r>
    </w:p>
    <w:p>
      <w:pPr>
        <w:spacing w:after="0" w:line="76" w:lineRule="exact"/>
        <w:rPr>
          <w:sz w:val="20"/>
          <w:szCs w:val="20"/>
          <w:color w:val="auto"/>
        </w:rPr>
      </w:pPr>
    </w:p>
    <w:p>
      <w:pPr>
        <w:ind w:left="120" w:right="60" w:firstLine="358"/>
        <w:spacing w:after="0" w:line="268" w:lineRule="auto"/>
        <w:rPr>
          <w:sz w:val="20"/>
          <w:szCs w:val="20"/>
          <w:color w:val="auto"/>
        </w:rPr>
      </w:pPr>
      <w:r>
        <w:rPr>
          <w:rFonts w:ascii="Arial" w:cs="Arial" w:eastAsia="Arial" w:hAnsi="Arial"/>
          <w:sz w:val="17"/>
          <w:szCs w:val="17"/>
          <w:color w:val="auto"/>
        </w:rPr>
        <w:t>Liquefaction projects currently under construction are expected to come online by 2020. Afterward, LNG supply growth is expected to slow through 2025. According to the Shell 2018 LNG Outlook Report, from 2020 through 2025, LNG demand expectations exceed supply estimates and, at 2025, supply estimates are almost half that of demand expectations. By 2025, this equates to an addressable LNG market with 450 mtpa (approximately 740 million gallons per day) of demand, which management estimates to represent a global market value of approximately $212 billion per annum. According to the 2018 World LNG Report by the International Gas Union, existing global liquefaction capacity is estimated to be 369 mtpa. Based on this report, by 2025, we expect the shortfall in supply to be approximately 200 mtpa versus current operating plants and 100 mtpa versus projects under construction. This shortfall is the equivalent of approximately 50 to 100 liquefiers of similar capacity to our liquefier in Pennsylvania.</w:t>
      </w:r>
    </w:p>
    <w:p>
      <w:pPr>
        <w:spacing w:after="0" w:line="74" w:lineRule="exact"/>
        <w:rPr>
          <w:sz w:val="20"/>
          <w:szCs w:val="20"/>
          <w:color w:val="auto"/>
        </w:rPr>
      </w:pPr>
    </w:p>
    <w:p>
      <w:pPr>
        <w:ind w:left="120" w:right="80" w:firstLine="358"/>
        <w:spacing w:after="0" w:line="277" w:lineRule="auto"/>
        <w:rPr>
          <w:sz w:val="20"/>
          <w:szCs w:val="20"/>
          <w:color w:val="auto"/>
        </w:rPr>
      </w:pPr>
      <w:r>
        <w:rPr>
          <w:rFonts w:ascii="Arial" w:cs="Arial" w:eastAsia="Arial" w:hAnsi="Arial"/>
          <w:sz w:val="17"/>
          <w:szCs w:val="17"/>
          <w:color w:val="auto"/>
        </w:rPr>
        <w:t>We plan to capitalize on this growing supply-demand gap and create new markets for natural gas by developing liquefaction assets, particularly in areas with significant “stranded” reserves, which we define as natural gas reserves not connected to large interstate or transnational pipelines. That is, not only are these reserves not connected by pipeline to end users, they are not connected to any significant pipeline – as is the case in Pennsylvania.</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62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0440" cy="762825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hanging="34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Federal Institute for Geosciences and Natural Resources, “BGR Energy Study” 2017</w:t>
      </w:r>
    </w:p>
    <w:p>
      <w:pPr>
        <w:spacing w:after="0" w:line="107" w:lineRule="exact"/>
        <w:rPr>
          <w:rFonts w:ascii="Arial" w:cs="Arial" w:eastAsia="Arial" w:hAnsi="Arial"/>
          <w:sz w:val="14"/>
          <w:szCs w:val="14"/>
          <w:color w:val="auto"/>
        </w:rPr>
      </w:pPr>
    </w:p>
    <w:p>
      <w:pPr>
        <w:ind w:left="460" w:hanging="34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World Bank, “Electric Power Consumption (KWh per Capita)”</w:t>
      </w:r>
    </w:p>
    <w:p>
      <w:pPr>
        <w:spacing w:after="0" w:line="107" w:lineRule="exact"/>
        <w:rPr>
          <w:rFonts w:ascii="Arial" w:cs="Arial" w:eastAsia="Arial" w:hAnsi="Arial"/>
          <w:sz w:val="14"/>
          <w:szCs w:val="14"/>
          <w:color w:val="auto"/>
        </w:rPr>
      </w:pPr>
    </w:p>
    <w:p>
      <w:pPr>
        <w:ind w:left="460" w:hanging="34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Shell 2018 LNG Outlook Report</w:t>
      </w:r>
    </w:p>
    <w:p>
      <w:pPr>
        <w:spacing w:after="0" w:line="107" w:lineRule="exact"/>
        <w:rPr>
          <w:rFonts w:ascii="Arial" w:cs="Arial" w:eastAsia="Arial" w:hAnsi="Arial"/>
          <w:sz w:val="14"/>
          <w:szCs w:val="14"/>
          <w:color w:val="auto"/>
        </w:rPr>
      </w:pPr>
    </w:p>
    <w:p>
      <w:pPr>
        <w:ind w:left="460" w:hanging="34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2018 World LNG Report, International Gas Union, Ranked by Nominal Liquefaction Capacity (2017)</w:t>
      </w:r>
    </w:p>
    <w:p>
      <w:pPr>
        <w:sectPr>
          <w:pgSz w:w="12240" w:h="15840" w:orient="portrait"/>
          <w:cols w:equalWidth="0" w:num="1">
            <w:col w:w="9440"/>
          </w:cols>
          <w:pgMar w:left="1360" w:top="138" w:right="1440"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603059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4834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0440" cy="483425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19" w:lineRule="exact"/>
        <w:rPr>
          <w:sz w:val="20"/>
          <w:szCs w:val="20"/>
          <w:color w:val="auto"/>
        </w:rPr>
      </w:pPr>
    </w:p>
    <w:p>
      <w:pPr>
        <w:ind w:left="120" w:right="40" w:firstLine="358"/>
        <w:spacing w:after="0" w:line="291" w:lineRule="auto"/>
        <w:rPr>
          <w:sz w:val="20"/>
          <w:szCs w:val="20"/>
          <w:color w:val="auto"/>
        </w:rPr>
      </w:pPr>
      <w:r>
        <w:rPr>
          <w:rFonts w:ascii="Arial" w:cs="Arial" w:eastAsia="Arial" w:hAnsi="Arial"/>
          <w:sz w:val="16"/>
          <w:szCs w:val="16"/>
          <w:color w:val="auto"/>
        </w:rPr>
        <w:t>As an integrated gas-to-power LNG company, our business model spans the entire production and delivery chain from natural gas procurement and liquefaction to logistics, shipping, terminals and conversion or development of natural gas-fired generation. While historically,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57" w:lineRule="exact"/>
        <w:rPr>
          <w:sz w:val="20"/>
          <w:szCs w:val="20"/>
          <w:color w:val="auto"/>
        </w:rPr>
      </w:pPr>
    </w:p>
    <w:p>
      <w:pPr>
        <w:ind w:left="120" w:right="20" w:firstLine="358"/>
        <w:spacing w:after="0" w:line="282" w:lineRule="auto"/>
        <w:rPr>
          <w:sz w:val="20"/>
          <w:szCs w:val="20"/>
          <w:color w:val="auto"/>
        </w:rPr>
      </w:pPr>
      <w:r>
        <w:rPr>
          <w:rFonts w:ascii="Arial" w:cs="Arial" w:eastAsia="Arial" w:hAnsi="Arial"/>
          <w:sz w:val="16"/>
          <w:szCs w:val="16"/>
          <w:color w:val="auto"/>
        </w:rPr>
        <w:t>Our goal is to purchase gas, liquefy it, and transport it to one of our export facilities at a cost of approximately $4.20 per MMBtu or less (before owner’s costs such as marketing and administrative costs, financing costs and contingencies). We expect our downstream transportation, shipping and regasification costs to approximate $1.50 per MMBtu, which is consistent with the costs of our current operations. Our goal is to sell substantially all of this gas to downstream customers under long-term contracts at targeted pricing in excess of approximately $10.00 per MMBtu, including both fuel sales and capacity charges. Gas not delivered to downstream customers would be sold on the spot market. Currently, the market price for LNG delivered via LNGC is approximately $7.00 to $12.00 per MMBtu, depending on the size of cargoes purchased. For contracted delivery, assuming the costs and sales prices described above, we seek to earn a margin of $4.30 per MMBtu, or $0.36 per gallon, which would equal a margin of 40% or more, on our gas sales. For spot sales, we seek to earn an attractive margin by adjusting our sales price based on current market rates. Our operations, which are currently conducted at our LNG storage and regasification terminal at the Port of Montego Bay, Jamaica (the “Montego Bay Terminal”) and at our liquefaction, storage and production facility in Miami, Florida (the “Miami Facility”), are currently generating revenue on sales of approximately 400,000 gallons of LNG (33,000 MMBtu) per day. We have contracts, letters of intent or expect to secure contracts in the near term to sell LNG volumes in excess of 12.4 million gallons (1,025,000 MMBtu) per day, which includes approximately 2.2 million gallons per day that we expect to sell to customers under existing contracts, assuming with respect to the Puerto Rico Electric Power Authority (“PREPA”) contract, satisfactory completion of the ongoing review by the Puerto Rico Energy Bureau (the “PREB”) and the Financial Oversight and Management Board for Puerto Rico (the “FOMB”) and final entry into the contract related to such volumes. On January 25, 2019, the PREB approved our proposed agreement with PREPA. See “Risk Factors—Our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 We are in active discussions with additional customers who may have significant demand for additional LNG, although there can be no assurance that these discussions will result in additional contracts or the terms of such contracts or that we will achieve our target pricing or margins. See “Risk Factors—Our ability to implement our business strategy may be materially and adversely affected by many known and unknown factors.”</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457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0440" cy="7457440"/>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Terminals</w:t>
      </w:r>
    </w:p>
    <w:p>
      <w:pPr>
        <w:spacing w:after="0" w:line="119" w:lineRule="exact"/>
        <w:rPr>
          <w:sz w:val="20"/>
          <w:szCs w:val="20"/>
          <w:color w:val="auto"/>
        </w:rPr>
      </w:pPr>
    </w:p>
    <w:p>
      <w:pPr>
        <w:ind w:left="120" w:right="80" w:firstLine="358"/>
        <w:spacing w:after="0" w:line="274" w:lineRule="auto"/>
        <w:rPr>
          <w:sz w:val="20"/>
          <w:szCs w:val="20"/>
          <w:color w:val="auto"/>
        </w:rPr>
      </w:pPr>
      <w:r>
        <w:rPr>
          <w:rFonts w:ascii="Arial" w:cs="Arial" w:eastAsia="Arial" w:hAnsi="Arial"/>
          <w:sz w:val="18"/>
          <w:szCs w:val="18"/>
          <w:color w:val="auto"/>
        </w:rPr>
        <w:t>Downstream, we have six terminals operational or under development. Our terminals will position us to access customers in a number of attractive markets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right="100" w:firstLine="358"/>
        <w:spacing w:after="0" w:line="257" w:lineRule="auto"/>
        <w:rPr>
          <w:sz w:val="20"/>
          <w:szCs w:val="20"/>
          <w:color w:val="auto"/>
        </w:rPr>
      </w:pPr>
      <w:r>
        <w:rPr>
          <w:rFonts w:ascii="Arial" w:cs="Arial" w:eastAsia="Arial" w:hAnsi="Arial"/>
          <w:sz w:val="18"/>
          <w:szCs w:val="18"/>
          <w:color w:val="auto"/>
        </w:rPr>
        <w:t>We look to build terminals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79" w:lineRule="exact"/>
        <w:rPr>
          <w:sz w:val="20"/>
          <w:szCs w:val="20"/>
          <w:color w:val="auto"/>
        </w:rPr>
      </w:pPr>
    </w:p>
    <w:p>
      <w:pPr>
        <w:ind w:left="120" w:right="20" w:firstLine="358"/>
        <w:spacing w:after="0" w:line="255" w:lineRule="auto"/>
        <w:rPr>
          <w:sz w:val="20"/>
          <w:szCs w:val="20"/>
          <w:color w:val="auto"/>
        </w:rPr>
      </w:pPr>
      <w:r>
        <w:rPr>
          <w:rFonts w:ascii="Arial" w:cs="Arial" w:eastAsia="Arial" w:hAnsi="Arial"/>
          <w:sz w:val="18"/>
          <w:szCs w:val="18"/>
          <w:color w:val="auto"/>
        </w:rPr>
        <w:t>We currently have two operational terminals and four under development, as described below. We design and construct terminals to meet the supply and demand specifications of our current and potential future customers in the applicable region. Our terminals currently operating or under development are expected to be capable of receiving between 700,000 and 6 million LNG gallons (58,000 and 500,000 MMBtu) per day depending upon the needs of our customers and potential demand in the region. Set forth below is additional detail regarding each terminal:</w:t>
      </w:r>
    </w:p>
    <w:p>
      <w:pPr>
        <w:spacing w:after="0" w:line="81" w:lineRule="exact"/>
        <w:rPr>
          <w:sz w:val="20"/>
          <w:szCs w:val="20"/>
          <w:color w:val="auto"/>
        </w:rPr>
      </w:pPr>
    </w:p>
    <w:p>
      <w:pPr>
        <w:ind w:left="120" w:right="40" w:firstLine="358"/>
        <w:spacing w:after="0" w:line="268" w:lineRule="auto"/>
        <w:rPr>
          <w:sz w:val="20"/>
          <w:szCs w:val="20"/>
          <w:color w:val="auto"/>
        </w:rPr>
      </w:pPr>
      <w:r>
        <w:rPr>
          <w:rFonts w:ascii="Arial" w:cs="Arial" w:eastAsia="Arial" w:hAnsi="Arial"/>
          <w:sz w:val="17"/>
          <w:szCs w:val="17"/>
          <w:i w:val="1"/>
          <w:iCs w:val="1"/>
          <w:color w:val="auto"/>
        </w:rPr>
        <w:t xml:space="preserve">Montego Bay, Jamaica – </w:t>
      </w:r>
      <w:r>
        <w:rPr>
          <w:rFonts w:ascii="Arial" w:cs="Arial" w:eastAsia="Arial" w:hAnsi="Arial"/>
          <w:sz w:val="17"/>
          <w:szCs w:val="17"/>
          <w:color w:val="auto"/>
        </w:rPr>
        <w:t>Our Montego Bay Terminal commenced commercial operations in October 2016. The terminal is</w:t>
      </w:r>
      <w:r>
        <w:rPr>
          <w:rFonts w:ascii="Arial" w:cs="Arial" w:eastAsia="Arial" w:hAnsi="Arial"/>
          <w:sz w:val="17"/>
          <w:szCs w:val="17"/>
          <w:i w:val="1"/>
          <w:iCs w:val="1"/>
          <w:color w:val="auto"/>
        </w:rPr>
        <w:t xml:space="preserve"> </w:t>
      </w:r>
      <w:r>
        <w:rPr>
          <w:rFonts w:ascii="Arial" w:cs="Arial" w:eastAsia="Arial" w:hAnsi="Arial"/>
          <w:sz w:val="17"/>
          <w:szCs w:val="17"/>
          <w:color w:val="auto"/>
        </w:rPr>
        <w:t>capable of processing up to 740,000 LNG gallons (61,000 MMBtu) per day and features approximately 7,000 cubic meters of onsite storage. It supplies natural gas to 145MW turbines at the power plant operated by Jamaican Public Service Company Limited (“JPS”) pursuant to a long-term contract for natural gas equivalent to approximately 300,000 gallons of LNG (25,000 MMBtu) per day. The Montego Bay Terminal also supplies several on-island industrial users with natural gas or LNG pursuant to other long-term take-or-pay contracts. Our Montego Bay Terminal is currently operating at 42% capacity to service JPS and these other industrial users. We have the ability to service other potential customers with the excess capacity of the Montego Bay Terminal, and we are seeking to enter into long-term contracts with new customers for such purposes. We deliver LNG to the Montego Bay Terminal via small LNGC.</w:t>
      </w:r>
    </w:p>
    <w:p>
      <w:pPr>
        <w:spacing w:after="0" w:line="74" w:lineRule="exact"/>
        <w:rPr>
          <w:sz w:val="20"/>
          <w:szCs w:val="20"/>
          <w:color w:val="auto"/>
        </w:rPr>
      </w:pPr>
    </w:p>
    <w:p>
      <w:pPr>
        <w:ind w:left="120" w:right="40" w:firstLine="358"/>
        <w:spacing w:after="0" w:line="287" w:lineRule="auto"/>
        <w:rPr>
          <w:sz w:val="20"/>
          <w:szCs w:val="20"/>
          <w:color w:val="auto"/>
        </w:rPr>
      </w:pPr>
      <w:r>
        <w:rPr>
          <w:rFonts w:ascii="Arial" w:cs="Arial" w:eastAsia="Arial" w:hAnsi="Arial"/>
          <w:sz w:val="16"/>
          <w:szCs w:val="16"/>
          <w:i w:val="1"/>
          <w:iCs w:val="1"/>
          <w:color w:val="auto"/>
        </w:rPr>
        <w:t xml:space="preserve">Old Harbour, Jamaica – </w:t>
      </w:r>
      <w:r>
        <w:rPr>
          <w:rFonts w:ascii="Arial" w:cs="Arial" w:eastAsia="Arial" w:hAnsi="Arial"/>
          <w:sz w:val="16"/>
          <w:szCs w:val="16"/>
          <w:color w:val="auto"/>
        </w:rPr>
        <w:t>Our marine LNG storage and regasification terminal in Old Harbour, Jamaica (the “Old Harbour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 and, together with the Montego Bay Terminal, the “Jamaica Terminals”) is substantially complete and expected to commence commercial operations in the first quarter of 2019. It is capable of processing approximately 6 million gallons of LNG (500,000 MMBtu) per day. The Old Harbour Terminal is expected to supply gas to a new 190MW Old Harbour power plant (the “Old Harbour Power Plant”) operated by South Jamaica Power Company Limited (“JPC”) pursuant to a long-term contract for natural gas equivalent to approximately 350,000 gallons of LNG (29,000 MMBtu) per day. We also expect the Old Harbour Terminal to supply gas to a new 150MW power plant that we are constructing, and approximately 269,000 gallons of LNG (22,000 MMBtu) per day to the alumina refinery operated by Jamalco, an entity owned by the government of Jamaica with a focus on bauxite mining and alumina production in Jamaica. We have also entered</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6673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60440" cy="6673850"/>
                    </a:xfrm>
                    <a:prstGeom prst="rect">
                      <a:avLst/>
                    </a:prstGeom>
                    <a:noFill/>
                  </pic:spPr>
                </pic:pic>
              </a:graphicData>
            </a:graphic>
          </wp:anchor>
        </w:drawing>
      </w:r>
    </w:p>
    <w:p>
      <w:pPr>
        <w:spacing w:after="0" w:line="136"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into a 20-year steam supply agreement (“SSA”) to supply Jamalco with steam for use in its alumina refinery operations. We expect that our Old Harbour Terminal will operate at 16% capacity to service JPC and Jamalco. We will have the ability to service other potential customers with the excess capacity of the Old Harbour Terminal, and we are seeking to enter into long-term contracts with new customers for such purposes. The Old Harbour Terminal is an offshore terminal with storage and regasification equipment via FSRU. The offshore design eliminates the need for expensive storage tanks and permanent, onshore infrastructure.</w:t>
      </w:r>
    </w:p>
    <w:p>
      <w:pPr>
        <w:spacing w:after="0" w:line="81" w:lineRule="exact"/>
        <w:rPr>
          <w:sz w:val="20"/>
          <w:szCs w:val="20"/>
          <w:color w:val="auto"/>
        </w:rPr>
      </w:pPr>
    </w:p>
    <w:p>
      <w:pPr>
        <w:ind w:left="120" w:right="40" w:firstLine="358"/>
        <w:spacing w:after="0" w:line="282" w:lineRule="auto"/>
        <w:rPr>
          <w:sz w:val="20"/>
          <w:szCs w:val="20"/>
          <w:color w:val="auto"/>
        </w:rPr>
      </w:pPr>
      <w:r>
        <w:rPr>
          <w:rFonts w:ascii="Arial" w:cs="Arial" w:eastAsia="Arial" w:hAnsi="Arial"/>
          <w:sz w:val="16"/>
          <w:szCs w:val="16"/>
          <w:i w:val="1"/>
          <w:iCs w:val="1"/>
          <w:color w:val="auto"/>
        </w:rPr>
        <w:t xml:space="preserve">San Juan, Puerto Rico </w:t>
      </w:r>
      <w:r>
        <w:rPr>
          <w:rFonts w:ascii="Arial" w:cs="Arial" w:eastAsia="Arial" w:hAnsi="Arial"/>
          <w:sz w:val="16"/>
          <w:szCs w:val="16"/>
          <w:color w:val="auto"/>
        </w:rPr>
        <w:t>– Our San Juan facility is currently under development and is expected to commence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 the second quarter of 2019. It is designed as a landed multi-fuel handling facility located in the Port of San Juan, Puerto Rico (the “San Juan Facility”). The San Juan Facility is being constructed with multiple truck loading bays to provide LNG to on-island industrial users. In addition, PREPA selected our proposal to convert and supply natural gas to Units 5 and 6 of the San Juan Combined Cycle Power Plant (the “San Juan Power Plant”) – which together have a capacity of 440MW. The San Juan Power Plant is currently running on diesel, and we plan to convert the San Juan Power Plant to run on natural gas and provide up to approximately 25 TBtu of natural gas per year, which would equal approximately 850,000 gallons of LNG (70,000 MMBtu) per day. We are in advanced stages of finalizing an agreement with PREPA for the conversion of the San Juan Power Plant and the right to provide natural gas to PREPA for use as fuel for Units 5 and 6 of the San Juan Power Plant. On January 25, 2019, the PREB approved our proposed agreement with PREPA, and the agreement is currently under review by the FOMB. Although we expect such review to be completed by the end of January 2019, there can be no assurance that such regulatory review will be completed on this timeline or that we will not need to make adjustments to the agreement as a result of such regulatory review or that we will be able to enter into such contract at all. It is also possible that our ability to enter into an agreement with PREPA may be delayed, or the terms of any agreement may be changed, by litigation or other challenges that impact our ability to be awarded the PREPA contract. See “Risk Factors—Our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 We expect the conversion to natural gas would allow PREPA to realize significant, recurring annual cost savings of approximately $285 million (based on current diesel pricing and information provided in PREPA’s request for proposals) after one time conversion costs while also using a more sustainable, environmentally friendly form of energy.</w:t>
      </w:r>
    </w:p>
    <w:p>
      <w:pPr>
        <w:spacing w:after="0" w:line="75" w:lineRule="exact"/>
        <w:rPr>
          <w:sz w:val="20"/>
          <w:szCs w:val="20"/>
          <w:color w:val="auto"/>
        </w:rPr>
      </w:pPr>
    </w:p>
    <w:p>
      <w:pPr>
        <w:ind w:left="120" w:right="140" w:firstLine="358"/>
        <w:spacing w:after="0" w:line="287" w:lineRule="auto"/>
        <w:rPr>
          <w:sz w:val="20"/>
          <w:szCs w:val="20"/>
          <w:color w:val="auto"/>
        </w:rPr>
      </w:pPr>
      <w:r>
        <w:rPr>
          <w:rFonts w:ascii="Arial" w:cs="Arial" w:eastAsia="Arial" w:hAnsi="Arial"/>
          <w:sz w:val="16"/>
          <w:szCs w:val="16"/>
          <w:i w:val="1"/>
          <w:iCs w:val="1"/>
          <w:color w:val="auto"/>
        </w:rPr>
        <w:t xml:space="preserve">La Paz, Baja California Sur, Mexico </w:t>
      </w:r>
      <w:r>
        <w:rPr>
          <w:rFonts w:ascii="Arial" w:cs="Arial" w:eastAsia="Arial" w:hAnsi="Arial"/>
          <w:sz w:val="16"/>
          <w:szCs w:val="16"/>
          <w:color w:val="auto"/>
        </w:rPr>
        <w:t>– We were awarded a public tender to build, own and operate an LNG regasification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 (the “La Paz Terminal”) on August 13, 2018. The La Paz terminal is currently under development and is expected to commence commercial operations in the fourth quarter of 2019. It is being designed as an LNG receiving terminal located at the Port of Pichilingue in Baja California Sur, Mexico, where LNG will be delivered via a small LNGC vessel or barge from a mothership moored nearby. Initially, the La Paz Terminal is expected to supply approximately 225,000 gallons of LNG (18,000 MMBtu) per day under an intercompany GSA for a 93MW gas-fired mobile power unit that we plan to develop, own, and operate. Similarly, we expect that we will use the La Paz Terminal infrastructure, which includes truckloading bays, to facilitate the conversion of, and supply approximately 180,000 gallons of LNG (15,000 MMBtu) per day to the 85MW Los Cabos power plant owned by Comision Federal de Electridad, as well as regional industrial users such as ferries and hotels.</w:t>
      </w:r>
    </w:p>
    <w:p>
      <w:pPr>
        <w:spacing w:after="0" w:line="59" w:lineRule="exact"/>
        <w:rPr>
          <w:sz w:val="20"/>
          <w:szCs w:val="20"/>
          <w:color w:val="auto"/>
        </w:rPr>
      </w:pPr>
    </w:p>
    <w:p>
      <w:pPr>
        <w:ind w:left="120" w:right="20" w:firstLine="358"/>
        <w:spacing w:after="0" w:line="268" w:lineRule="auto"/>
        <w:rPr>
          <w:sz w:val="20"/>
          <w:szCs w:val="20"/>
          <w:color w:val="auto"/>
        </w:rPr>
      </w:pPr>
      <w:r>
        <w:rPr>
          <w:rFonts w:ascii="Arial" w:cs="Arial" w:eastAsia="Arial" w:hAnsi="Arial"/>
          <w:sz w:val="17"/>
          <w:szCs w:val="17"/>
          <w:i w:val="1"/>
          <w:iCs w:val="1"/>
          <w:color w:val="auto"/>
        </w:rPr>
        <w:t xml:space="preserve">Shannon, Ireland </w:t>
      </w:r>
      <w:r>
        <w:rPr>
          <w:rFonts w:ascii="Arial" w:cs="Arial" w:eastAsia="Arial" w:hAnsi="Arial"/>
          <w:sz w:val="17"/>
          <w:szCs w:val="17"/>
          <w:color w:val="auto"/>
        </w:rPr>
        <w:t>– We have entered into an agreement to purchase all of the ownership interests in a project company that</w:t>
      </w:r>
      <w:r>
        <w:rPr>
          <w:rFonts w:ascii="Arial" w:cs="Arial" w:eastAsia="Arial" w:hAnsi="Arial"/>
          <w:sz w:val="17"/>
          <w:szCs w:val="17"/>
          <w:i w:val="1"/>
          <w:iCs w:val="1"/>
          <w:color w:val="auto"/>
        </w:rPr>
        <w:t xml:space="preserve"> </w:t>
      </w:r>
      <w:r>
        <w:rPr>
          <w:rFonts w:ascii="Arial" w:cs="Arial" w:eastAsia="Arial" w:hAnsi="Arial"/>
          <w:sz w:val="17"/>
          <w:szCs w:val="17"/>
          <w:color w:val="auto"/>
        </w:rPr>
        <w:t>owns the rights to develop and operate an LNG terminal and a CHP plant on the Shannon Estuary near Ballylongford, Ireland. We intend this terminal to include a storage facility with onshore regasification equipment and pipeline connection into the distribution system of Gas Networks Ireland, Ireland’s national gas network (the “Ireland Terminal” and, together with the Jamaica Terminals, the San Juan Facility and the La Paz Terminal, our “Terminals”). We plan to deliver LNG to the terminal via a traditional size LNGC. The equipment on site will have the capacity to import and regasify more than 6 million gallons of LNG (500,000 MMBtu) per day, which is the equivalent of Ireland’s total foreign natural gas imports. Additionally, the planning permission approval for the terminal includes the ability to build an integrated 500MW power plant on-site with priority dispatch. We will begin construction of the Ireland Terminal once we have secured contracts with downstream customers for volumes that are sufficient to support the development.</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150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60440" cy="7150735"/>
                    </a:xfrm>
                    <a:prstGeom prst="rect">
                      <a:avLst/>
                    </a:prstGeom>
                    <a:noFill/>
                  </pic:spPr>
                </pic:pic>
              </a:graphicData>
            </a:graphic>
          </wp:anchor>
        </w:drawing>
      </w:r>
    </w:p>
    <w:p>
      <w:pPr>
        <w:spacing w:after="0" w:line="243" w:lineRule="exact"/>
        <w:rPr>
          <w:sz w:val="20"/>
          <w:szCs w:val="20"/>
          <w:color w:val="auto"/>
        </w:rPr>
      </w:pPr>
    </w:p>
    <w:p>
      <w:pPr>
        <w:ind w:left="120" w:right="20" w:firstLine="358"/>
        <w:spacing w:after="0" w:line="252" w:lineRule="auto"/>
        <w:rPr>
          <w:sz w:val="20"/>
          <w:szCs w:val="20"/>
          <w:color w:val="auto"/>
        </w:rPr>
      </w:pPr>
      <w:r>
        <w:rPr>
          <w:rFonts w:ascii="Arial" w:cs="Arial" w:eastAsia="Arial" w:hAnsi="Arial"/>
          <w:sz w:val="18"/>
          <w:szCs w:val="18"/>
          <w:i w:val="1"/>
          <w:iCs w:val="1"/>
          <w:color w:val="auto"/>
        </w:rPr>
        <w:t xml:space="preserve">Dominican Republic </w:t>
      </w:r>
      <w:r>
        <w:rPr>
          <w:rFonts w:ascii="Arial" w:cs="Arial" w:eastAsia="Arial" w:hAnsi="Arial"/>
          <w:sz w:val="18"/>
          <w:szCs w:val="18"/>
          <w:color w:val="auto"/>
        </w:rPr>
        <w:t>– We are in the advanced stages of negotiations to enter into a long-term contract for the supply of up</w:t>
      </w:r>
      <w:r>
        <w:rPr>
          <w:rFonts w:ascii="Arial" w:cs="Arial" w:eastAsia="Arial" w:hAnsi="Arial"/>
          <w:sz w:val="18"/>
          <w:szCs w:val="18"/>
          <w:i w:val="1"/>
          <w:iCs w:val="1"/>
          <w:color w:val="auto"/>
        </w:rPr>
        <w:t xml:space="preserve"> </w:t>
      </w:r>
      <w:r>
        <w:rPr>
          <w:rFonts w:ascii="Arial" w:cs="Arial" w:eastAsia="Arial" w:hAnsi="Arial"/>
          <w:sz w:val="18"/>
          <w:szCs w:val="18"/>
          <w:color w:val="auto"/>
        </w:rPr>
        <w:t>to 1.7 million gallons of LNG per day (140,500 MMBtu) to supply power plants with natural gas in the Southeastern portion of the Dominican Republic. We plan to develop an LNG import terminal off the Southeastern coast of the Dominican Republic which will receive shipments of LNG via an LNGC and will transfer the LNG onshore. LNG will be transferred from an LNGC to an FSRU which will be semi-permanently moored at the terminal and will be transported via a subsea pipeline to the San Pedro de Macoris area where the natural gas will be sent on to power plants in the region. The LNG import terminal may also be utilized to transport natural gas to industrial users in the Dominican Republic. We anticipate commencing commercial operations in the first quarter of 2020.</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Liquefaction Assets</w:t>
      </w:r>
    </w:p>
    <w:p>
      <w:pPr>
        <w:spacing w:after="0" w:line="119" w:lineRule="exact"/>
        <w:rPr>
          <w:sz w:val="20"/>
          <w:szCs w:val="20"/>
          <w:color w:val="auto"/>
        </w:rPr>
      </w:pPr>
    </w:p>
    <w:p>
      <w:pPr>
        <w:jc w:val="both"/>
        <w:ind w:left="120" w:right="260" w:firstLine="358"/>
        <w:spacing w:after="0" w:line="257" w:lineRule="auto"/>
        <w:rPr>
          <w:sz w:val="20"/>
          <w:szCs w:val="20"/>
          <w:color w:val="auto"/>
        </w:rPr>
      </w:pPr>
      <w:r>
        <w:rPr>
          <w:rFonts w:ascii="Arial" w:cs="Arial" w:eastAsia="Arial" w:hAnsi="Arial"/>
          <w:sz w:val="18"/>
          <w:szCs w:val="18"/>
          <w:color w:val="auto"/>
        </w:rPr>
        <w:t>We intend to supply all existing and future customers with LNG produced primarily at our own liquefaction facilities. We have one operational liquefaction facility in Miami and are currently developing one liquefaction facility in Pennsylvania (our “Pennsylvania Facility” and, together with the Miami Facility, the “Liquefaction Facilities”) and plan to develop five or more additional liquefaction facilities over the next five years.</w:t>
      </w:r>
    </w:p>
    <w:p>
      <w:pPr>
        <w:spacing w:after="0" w:line="79" w:lineRule="exact"/>
        <w:rPr>
          <w:sz w:val="20"/>
          <w:szCs w:val="20"/>
          <w:color w:val="auto"/>
        </w:rPr>
      </w:pPr>
    </w:p>
    <w:p>
      <w:pPr>
        <w:ind w:left="120" w:right="180" w:firstLine="358"/>
        <w:spacing w:after="0" w:line="252" w:lineRule="auto"/>
        <w:rPr>
          <w:sz w:val="20"/>
          <w:szCs w:val="20"/>
          <w:color w:val="auto"/>
        </w:rPr>
      </w:pPr>
      <w:r>
        <w:rPr>
          <w:rFonts w:ascii="Arial" w:cs="Arial" w:eastAsia="Arial" w:hAnsi="Arial"/>
          <w:sz w:val="18"/>
          <w:szCs w:val="18"/>
          <w:color w:val="auto"/>
        </w:rPr>
        <w:t>We believe that, by building smaller facilities and optimizing efficiencies, we will be able to construct our liquefaction facilities significantly faster and more economically than those typically developed in the industry. We expect to construct each liquefaction facility for a total cost (including ancillary logistics infrastructure) of between $750 to $850 million, which implies an anticipated cost of LNG production of approximately $374 per ton. There can be no assurance development costs will not exceed our targets. If we can achieve these cost targets, this would be considerably more cost-effective than the industry’s published liquefaction costs, which range from $511 to $867 per ton excluding ancillary infrastructure. Each of our liquefaction facilities is anticipated to produce approximately 3.6 million gallons of LNG (298,000 MMBtu) per day, or approximately 2.23 mtpa of LNG.</w:t>
      </w:r>
    </w:p>
    <w:p>
      <w:pPr>
        <w:spacing w:after="0" w:line="86" w:lineRule="exact"/>
        <w:rPr>
          <w:sz w:val="20"/>
          <w:szCs w:val="20"/>
          <w:color w:val="auto"/>
        </w:rPr>
      </w:pPr>
    </w:p>
    <w:p>
      <w:pPr>
        <w:ind w:left="120" w:right="20" w:firstLine="358"/>
        <w:spacing w:after="0" w:line="253" w:lineRule="auto"/>
        <w:rPr>
          <w:sz w:val="20"/>
          <w:szCs w:val="20"/>
          <w:color w:val="auto"/>
        </w:rPr>
      </w:pPr>
      <w:r>
        <w:rPr>
          <w:rFonts w:ascii="Arial" w:cs="Arial" w:eastAsia="Arial" w:hAnsi="Arial"/>
          <w:sz w:val="18"/>
          <w:szCs w:val="18"/>
          <w:color w:val="auto"/>
        </w:rPr>
        <w:t>We constructed the Miami Facility, which commenced commercial operations in 2016, in under 12 months at a cost to build of approximately $70 million. The Miami Facility employs what we believe is one of the largest private ISO container fleets in the world. It has one liquefaction train, with liquefaction production capacity of approximately 100,000 gallons of LNG (8,200 MMBtu) per day and was 96.6% dispatchable during 2018. The facility also has three LNG storage tanks, with total capacity of approximately 1,000 cubic meters. The plant also includes two separate LNG transfer areas capable of serving both truck and rail. We are currently delivering approximately 31,000 gallons of LNG per day from the Miami Facility pursuant to long-term, take-or-pay contracts.</w:t>
      </w:r>
    </w:p>
    <w:p>
      <w:pPr>
        <w:spacing w:after="0" w:line="82" w:lineRule="exact"/>
        <w:rPr>
          <w:sz w:val="20"/>
          <w:szCs w:val="20"/>
          <w:color w:val="auto"/>
        </w:rPr>
      </w:pPr>
    </w:p>
    <w:p>
      <w:pPr>
        <w:ind w:left="120" w:right="120" w:firstLine="358"/>
        <w:spacing w:after="0" w:line="266" w:lineRule="auto"/>
        <w:rPr>
          <w:sz w:val="20"/>
          <w:szCs w:val="20"/>
          <w:color w:val="auto"/>
        </w:rPr>
      </w:pPr>
      <w:r>
        <w:rPr>
          <w:rFonts w:ascii="Arial" w:cs="Arial" w:eastAsia="Arial" w:hAnsi="Arial"/>
          <w:sz w:val="17"/>
          <w:szCs w:val="17"/>
          <w:color w:val="auto"/>
        </w:rPr>
        <w:t>We are in advanced stages of the design, development and permitting for our Pennsylvania Facility, and we are targeting completion in the first quarter of 2021. In January 2019, we entered into a definitive engineering, procurement and construction agreement (the “EPC Agreement”) with a global engineering, procurement and construction company specializing in energy infrastructure (the “Contractor”) for the construction of our Pennsylvania Facility. We expect our Pennsylvania Facility to have the capacity to liquefy approximately 3.6 million gallons of LNG (250,000 – 330,000 MMBtu) per day. We have already entered into a 15-year contract to acquire all of the feedgas needed to operate our Pennsylvania Facility at capacity, with pricing that is generally fixed at $2.50 per MMBtu. Once LNG is produced at this facility, a dedicated tanker truck fleet will transport the LNG to a nearby port. We are in the advanced stages of negotiating a long-term lease with a company managed by an affiliate of Fortress for the use of a facility at a port approximately 195 miles away along the Delaware River, and we expect to finalize the lease prior to the completion of this offering. Under such lease, we expect to have the exclusive rights to use such facility for the term of the lease and that LNG will be transferred directly from tanker truck, rail or other non-pipeline means to marine vessels through multiple transloading bays, allowing for simultaneous and continuous operations. From there, our dedicated fleet of marine vessels will be able to transport the LNG to our Terminals, from which we will deliver natural gas or LNG to our customers. We expect to have liquefaction capacity of approximately 3.6 million gallons of LNG per day after the completion of our Pennsylvania Facility.</w:t>
      </w:r>
    </w:p>
    <w:p>
      <w:pPr>
        <w:spacing w:after="0" w:line="77" w:lineRule="exact"/>
        <w:rPr>
          <w:sz w:val="20"/>
          <w:szCs w:val="20"/>
          <w:color w:val="auto"/>
        </w:rPr>
      </w:pPr>
    </w:p>
    <w:p>
      <w:pPr>
        <w:ind w:left="120" w:right="60" w:firstLine="358"/>
        <w:spacing w:after="0" w:line="257" w:lineRule="auto"/>
        <w:rPr>
          <w:sz w:val="20"/>
          <w:szCs w:val="20"/>
          <w:color w:val="auto"/>
        </w:rPr>
      </w:pPr>
      <w:r>
        <w:rPr>
          <w:rFonts w:ascii="Arial" w:cs="Arial" w:eastAsia="Arial" w:hAnsi="Arial"/>
          <w:sz w:val="18"/>
          <w:szCs w:val="18"/>
          <w:color w:val="auto"/>
        </w:rPr>
        <w:t>At the completion of this offering, we will have spent approximately $350 million in building and developing our facilities since 2014 and have commitments to spend an additional approximately $1.35 billion. We expect to fund these commitments through a combination of cash on hand, operating cash flows, additional borrowings and the proceeds from this offering. Pending completion and commissioning of our liquefier in</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6835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0440" cy="6835775"/>
                    </a:xfrm>
                    <a:prstGeom prst="rect">
                      <a:avLst/>
                    </a:prstGeom>
                    <a:noFill/>
                  </pic:spPr>
                </pic:pic>
              </a:graphicData>
            </a:graphic>
          </wp:anchor>
        </w:drawing>
      </w:r>
    </w:p>
    <w:p>
      <w:pPr>
        <w:spacing w:after="0" w:line="13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development, we expect to continue to supply our downstream customers with LNG and natural gas sourced from a combination of our Miami Facility, purchases of LNG under a multi-cargo contract with Centrica LNG Company Limited (“Centrica”) and open market purchases as necessary. We are drawing on our experience from the construction and operation of our Miami Facility to optimize the development of our Pennsylvania Facility.</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Current Customers</w:t>
      </w:r>
    </w:p>
    <w:p>
      <w:pPr>
        <w:spacing w:after="0" w:line="119" w:lineRule="exact"/>
        <w:rPr>
          <w:sz w:val="20"/>
          <w:szCs w:val="20"/>
          <w:color w:val="auto"/>
        </w:rPr>
      </w:pPr>
    </w:p>
    <w:p>
      <w:pPr>
        <w:ind w:left="120" w:right="80" w:firstLine="358"/>
        <w:spacing w:after="0" w:line="309" w:lineRule="auto"/>
        <w:rPr>
          <w:sz w:val="20"/>
          <w:szCs w:val="20"/>
          <w:color w:val="auto"/>
        </w:rPr>
      </w:pPr>
      <w:r>
        <w:rPr>
          <w:rFonts w:ascii="Arial" w:cs="Arial" w:eastAsia="Arial" w:hAnsi="Arial"/>
          <w:sz w:val="16"/>
          <w:szCs w:val="16"/>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In addition, we also intend to sell power and steam directly to some of our customers.</w:t>
      </w:r>
    </w:p>
    <w:p>
      <w:pPr>
        <w:spacing w:after="0" w:line="41" w:lineRule="exact"/>
        <w:rPr>
          <w:sz w:val="20"/>
          <w:szCs w:val="20"/>
          <w:color w:val="auto"/>
        </w:rPr>
      </w:pPr>
    </w:p>
    <w:p>
      <w:pPr>
        <w:ind w:left="120" w:right="100" w:firstLine="358"/>
        <w:spacing w:after="0" w:line="255" w:lineRule="auto"/>
        <w:rPr>
          <w:sz w:val="20"/>
          <w:szCs w:val="20"/>
          <w:color w:val="auto"/>
        </w:rPr>
      </w:pPr>
      <w:r>
        <w:rPr>
          <w:rFonts w:ascii="Arial" w:cs="Arial" w:eastAsia="Arial" w:hAnsi="Arial"/>
          <w:sz w:val="18"/>
          <w:szCs w:val="18"/>
          <w:color w:val="auto"/>
        </w:rPr>
        <w:t>We seek to enter into long-term, take-or-pay contracts to deliver natural gas or LNG, which generally include targeted pricing of approximately $10.00 per MMBtu. Pricing for any particular customer depends on the size of the customer, purchased volume, the customer’s credit profile, the complexity of the delivery and the infrastructure required to deliver it, and there can be no assurance we will achieve our targeted pricing. In general, the better the credit and larger the size of the user, the lower the contract price of our fuel.</w:t>
      </w:r>
    </w:p>
    <w:p>
      <w:pPr>
        <w:spacing w:after="0" w:line="81" w:lineRule="exact"/>
        <w:rPr>
          <w:sz w:val="20"/>
          <w:szCs w:val="20"/>
          <w:color w:val="auto"/>
        </w:rPr>
      </w:pPr>
    </w:p>
    <w:p>
      <w:pPr>
        <w:ind w:left="120" w:right="60" w:firstLine="358"/>
        <w:spacing w:after="0" w:line="266" w:lineRule="auto"/>
        <w:rPr>
          <w:sz w:val="20"/>
          <w:szCs w:val="20"/>
          <w:color w:val="auto"/>
        </w:rPr>
      </w:pPr>
      <w:r>
        <w:rPr>
          <w:rFonts w:ascii="Arial" w:cs="Arial" w:eastAsia="Arial" w:hAnsi="Arial"/>
          <w:sz w:val="17"/>
          <w:szCs w:val="17"/>
          <w:color w:val="auto"/>
        </w:rPr>
        <w:t>To date, we have contracts, letters of intent or expect to secure contracts in the near term to sell LNG volumes in excess of 12.4 million gallons (1,025,000 MMBtu) per day, which includes approximately 2.2 million gallons per day that we expect to sell to customers under existing contracts, assuming with respect to the PREPA contract, satisfactory completion of the ongoing review by FOMB and final entry into the contract related to such volumes. See “Risk Factors—Our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 Our operations, which are currently conducted primarily at our Montego Bay Terminal and at our Miami Facility, are currently generating revenue from sales of approximately 400,000 gallons (33,000 MMBtu) per day. Pending completion and commissioning of our liquefier in development, we expect to continue to supply our downstream customers with LNG and natural gas sourced from a combination of our Miami Facility, purchases of LNG under a multi-cargo contract with Centrica and open market purchases as necessary. We have entered into contracts with Centrica for the purchase of cargoes of 1.1 billion gallons of LNG (86.8 million MMBtu). The cargoes are scheduled for delivery between June 2019 and December 2021. Our ambition is to continue to aggressively grow this customer portfolio. We are in active discussions with additional customers who may have significant demand for additional LNG.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Growth Opportunities and Track Record</w:t>
      </w:r>
    </w:p>
    <w:p>
      <w:pPr>
        <w:spacing w:after="0" w:line="119" w:lineRule="exact"/>
        <w:rPr>
          <w:sz w:val="20"/>
          <w:szCs w:val="20"/>
          <w:color w:val="auto"/>
        </w:rPr>
      </w:pPr>
    </w:p>
    <w:p>
      <w:pPr>
        <w:ind w:left="120" w:right="60" w:firstLine="358"/>
        <w:spacing w:after="0" w:line="277" w:lineRule="auto"/>
        <w:rPr>
          <w:sz w:val="20"/>
          <w:szCs w:val="20"/>
          <w:color w:val="auto"/>
        </w:rPr>
      </w:pPr>
      <w:r>
        <w:rPr>
          <w:rFonts w:ascii="Arial" w:cs="Arial" w:eastAsia="Arial" w:hAnsi="Arial"/>
          <w:sz w:val="17"/>
          <w:szCs w:val="17"/>
          <w:color w:val="auto"/>
        </w:rPr>
        <w:t>As the world continues to electrify and demand for power grows, we believe that countries will continue to look to natural gas as a viable, efficient, cost-effective and more environmentally friendly fuel. With a potential 3.75 billion LNG-gallon-per-day addressable market created by the approximately 1.5 million MW of new power expected to be needed by 2040, according to Exxon Mobil’s 2017 Outlook on Energy, we see multiple opportunities for our business to grow.</w:t>
      </w:r>
    </w:p>
    <w:p>
      <w:pPr>
        <w:spacing w:after="0" w:line="63" w:lineRule="exact"/>
        <w:rPr>
          <w:sz w:val="20"/>
          <w:szCs w:val="20"/>
          <w:color w:val="auto"/>
        </w:rPr>
      </w:pPr>
    </w:p>
    <w:p>
      <w:pPr>
        <w:ind w:left="120" w:right="80" w:firstLine="358"/>
        <w:spacing w:after="0" w:line="267" w:lineRule="auto"/>
        <w:rPr>
          <w:sz w:val="20"/>
          <w:szCs w:val="20"/>
          <w:color w:val="auto"/>
        </w:rPr>
      </w:pPr>
      <w:r>
        <w:rPr>
          <w:rFonts w:ascii="Arial" w:cs="Arial" w:eastAsia="Arial" w:hAnsi="Arial"/>
          <w:sz w:val="17"/>
          <w:szCs w:val="17"/>
          <w:i w:val="1"/>
          <w:iCs w:val="1"/>
          <w:color w:val="auto"/>
        </w:rPr>
        <w:t xml:space="preserve">Proven Ability to Execute. </w:t>
      </w:r>
      <w:r>
        <w:rPr>
          <w:rFonts w:ascii="Arial" w:cs="Arial" w:eastAsia="Arial" w:hAnsi="Arial"/>
          <w:sz w:val="17"/>
          <w:szCs w:val="17"/>
          <w:color w:val="auto"/>
        </w:rPr>
        <w:t>We are confident in our ability to execute and scale our business model to support our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growth because we have a successful track record of infrastructure project development. We developed, constructed and commissioned our Miami Facility, a 100,000 gallon-per-day (8,300 MMBtu) liquefier in Miami-Dade County, Florida, in under 12 months. This liquefier includes two truckloading bays capable of loading LNG tank trucks at 200 gallons-per-minute per truck, and through which we currently service our South Florida customers. We also ship ISO tankers by rail to Port Everglades for shipment to customers in the Bahamas and Barbados. We followed our Miami Facility by designing, permitting, constructing and commissioning our Montego Bay Terminal in under 14 months. This terminal is equipped with 7,000 cubic meters (2 million gallons) of on-land storage, has a direct pipeline connection to JPS’s 145MW turbines at the Bogue Power Plant, and has two truckloading bays for deliveries to on-island customers. We also commissioned our Old Harbour Terminal in December 2018. Construction of the Old Harbour Terminal was completed in October 2018, and our chartered FSRU arrived in December 2018. When operational, the Old Harbour Terminal will service a new 190MW power plant operated by JPC and a new 150MW power plant that we have begun constructing at</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6741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60440" cy="6741795"/>
                    </a:xfrm>
                    <a:prstGeom prst="rect">
                      <a:avLst/>
                    </a:prstGeom>
                    <a:noFill/>
                  </pic:spPr>
                </pic:pic>
              </a:graphicData>
            </a:graphic>
          </wp:anchor>
        </w:drawing>
      </w:r>
    </w:p>
    <w:p>
      <w:pPr>
        <w:spacing w:after="0" w:line="136" w:lineRule="exact"/>
        <w:rPr>
          <w:sz w:val="20"/>
          <w:szCs w:val="20"/>
          <w:color w:val="auto"/>
        </w:rPr>
      </w:pPr>
    </w:p>
    <w:p>
      <w:pPr>
        <w:jc w:val="both"/>
        <w:ind w:left="120" w:right="340"/>
        <w:spacing w:after="0" w:line="309" w:lineRule="auto"/>
        <w:rPr>
          <w:sz w:val="20"/>
          <w:szCs w:val="20"/>
          <w:color w:val="auto"/>
        </w:rPr>
      </w:pPr>
      <w:r>
        <w:rPr>
          <w:rFonts w:ascii="Arial" w:cs="Arial" w:eastAsia="Arial" w:hAnsi="Arial"/>
          <w:sz w:val="16"/>
          <w:szCs w:val="16"/>
          <w:color w:val="auto"/>
        </w:rPr>
        <w:t>Jamalco. These projects demonstrate our proven ability to design, construct and commission large and complex infrastructure projects on accelerated timeframes and encompassing a broad range of operations – liquefaction, logistics, onshore terminals, offshore terminals, pipeline connections, marine assets and integrated power generation assets.</w:t>
      </w:r>
    </w:p>
    <w:p>
      <w:pPr>
        <w:spacing w:after="0" w:line="41" w:lineRule="exact"/>
        <w:rPr>
          <w:sz w:val="20"/>
          <w:szCs w:val="20"/>
          <w:color w:val="auto"/>
        </w:rPr>
      </w:pPr>
    </w:p>
    <w:p>
      <w:pPr>
        <w:ind w:left="120" w:right="180" w:firstLine="358"/>
        <w:spacing w:after="0" w:line="294" w:lineRule="auto"/>
        <w:rPr>
          <w:sz w:val="20"/>
          <w:szCs w:val="20"/>
          <w:color w:val="auto"/>
        </w:rPr>
      </w:pPr>
      <w:r>
        <w:rPr>
          <w:rFonts w:ascii="Arial" w:cs="Arial" w:eastAsia="Arial" w:hAnsi="Arial"/>
          <w:sz w:val="16"/>
          <w:szCs w:val="16"/>
          <w:i w:val="1"/>
          <w:iCs w:val="1"/>
          <w:color w:val="auto"/>
        </w:rPr>
        <w:t>Growth Opportunity — Africa</w:t>
      </w:r>
      <w:r>
        <w:rPr>
          <w:rFonts w:ascii="Arial" w:cs="Arial" w:eastAsia="Arial" w:hAnsi="Arial"/>
          <w:sz w:val="16"/>
          <w:szCs w:val="16"/>
          <w:color w:val="auto"/>
        </w:rPr>
        <w:t>. In Sub-Saharan Africa, 590 million people, or 57% of the population, lack access to</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As a result, power generation on the continent is anticipated to more than double to 253GW by 2030. Natural gas consumption is expected to grow by nearly 150% over this timeframe, outpacing nearly every other fuel. We recognize the immense opportunity that Africa affords and opened our first office in Ghana in late 2018. We have engaged with multiple local counterparties, and we anticipate deploying meaningful capital in African projects in the future.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Strategies</w:t>
      </w:r>
    </w:p>
    <w:p>
      <w:pPr>
        <w:spacing w:after="0" w:line="119" w:lineRule="exact"/>
        <w:rPr>
          <w:sz w:val="20"/>
          <w:szCs w:val="20"/>
          <w:color w:val="auto"/>
        </w:rPr>
      </w:pPr>
    </w:p>
    <w:p>
      <w:pPr>
        <w:ind w:left="120" w:right="880" w:firstLine="358"/>
        <w:spacing w:after="0" w:line="305" w:lineRule="auto"/>
        <w:rPr>
          <w:sz w:val="20"/>
          <w:szCs w:val="20"/>
          <w:color w:val="auto"/>
        </w:rPr>
      </w:pPr>
      <w:r>
        <w:rPr>
          <w:rFonts w:ascii="Arial" w:cs="Arial" w:eastAsia="Arial" w:hAnsi="Arial"/>
          <w:sz w:val="17"/>
          <w:szCs w:val="17"/>
          <w:color w:val="auto"/>
        </w:rPr>
        <w:t>Our primary business objective is to provide superior returns to our shareholders as a vertically integrated energy infrastructure company. We intend to accomplish this objective by implementing the following strategies:</w:t>
      </w:r>
    </w:p>
    <w:p>
      <w:pPr>
        <w:spacing w:after="0" w:line="40" w:lineRule="exact"/>
        <w:rPr>
          <w:sz w:val="20"/>
          <w:szCs w:val="20"/>
          <w:color w:val="auto"/>
        </w:rPr>
      </w:pPr>
    </w:p>
    <w:p>
      <w:pPr>
        <w:ind w:left="820" w:right="40" w:hanging="353"/>
        <w:spacing w:after="0" w:line="253"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develop LNG liquefaction and distribution facilities</w:t>
      </w:r>
      <w:r>
        <w:rPr>
          <w:rFonts w:ascii="Arial" w:cs="Arial" w:eastAsia="Arial" w:hAnsi="Arial"/>
          <w:sz w:val="18"/>
          <w:szCs w:val="18"/>
          <w:color w:val="auto"/>
        </w:rPr>
        <w:t>. We currently procure our LNG either by purchasing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on the open markets in amounts sufficient to service our customers’ needs or by manufacturing it in our Miami Facility. Following this offering, we intend to continue to develop the infrastructure necessary to supply our existing and future customers with LNG produced primarily at our facilities, including our Pennsylvania Facility. We expect that ownership of this vertical supply chain, from fixed-price gas procurement to liquefaction to delivery of LNG, will reduce our (and our customers’) future LNG price variations, thereby reinforcing our competitive standing in the LNG market.</w:t>
      </w:r>
    </w:p>
    <w:p>
      <w:pPr>
        <w:spacing w:after="0" w:line="82" w:lineRule="exact"/>
        <w:rPr>
          <w:rFonts w:ascii="Arial" w:cs="Arial" w:eastAsia="Arial" w:hAnsi="Arial"/>
          <w:sz w:val="18"/>
          <w:szCs w:val="18"/>
          <w:color w:val="auto"/>
        </w:rPr>
      </w:pPr>
    </w:p>
    <w:p>
      <w:pPr>
        <w:ind w:left="820" w:right="580" w:hanging="353"/>
        <w:spacing w:after="0" w:line="286"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LNG distribution business</w:t>
      </w:r>
      <w:r>
        <w:rPr>
          <w:rFonts w:ascii="Arial" w:cs="Arial" w:eastAsia="Arial" w:hAnsi="Arial"/>
          <w:sz w:val="16"/>
          <w:szCs w:val="16"/>
          <w:color w:val="auto"/>
        </w:rPr>
        <w:t>. Our sales and marketing team seeks to identify utilities, transportation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and industrial end-users who may view natural gas or LNG as a potentially compelling alternative to traditional distillate fuels and typically enter into long-term, take-or-pay contracts for our products and services.</w:t>
      </w:r>
    </w:p>
    <w:p>
      <w:pPr>
        <w:ind w:left="820" w:right="40"/>
        <w:spacing w:after="0" w:line="267" w:lineRule="auto"/>
        <w:rPr>
          <w:rFonts w:ascii="Arial" w:cs="Arial" w:eastAsia="Arial" w:hAnsi="Arial"/>
          <w:sz w:val="16"/>
          <w:szCs w:val="16"/>
          <w:color w:val="auto"/>
        </w:rPr>
      </w:pPr>
      <w:r>
        <w:rPr>
          <w:rFonts w:ascii="Arial" w:cs="Arial" w:eastAsia="Arial" w:hAnsi="Arial"/>
          <w:sz w:val="17"/>
          <w:szCs w:val="17"/>
          <w:color w:val="auto"/>
        </w:rPr>
        <w:t>Following entry into these agreements, we intend to develop the necessary infrastructure to deliver natural gas or LNG directly to the consumer in readily usable form and, in the case of power generation or steam production, to produce and deliver the required quantities of power or steam. Our comprehensive infrastructure and management services and our experience as a first mover in the Atlantic Basin should allow us to expand our footprint in the Atlantic Basin and beyond to new customers as demand for alternatives to traditional energy sources continues to expand. Following this offering, we intend to expand our footprint and enhance our service offerings to our current customers while developing relationships with new customers.</w:t>
      </w:r>
    </w:p>
    <w:p>
      <w:pPr>
        <w:spacing w:after="0" w:line="72" w:lineRule="exact"/>
        <w:rPr>
          <w:rFonts w:ascii="Arial" w:cs="Arial" w:eastAsia="Arial" w:hAnsi="Arial"/>
          <w:sz w:val="16"/>
          <w:szCs w:val="16"/>
          <w:color w:val="auto"/>
        </w:rPr>
      </w:pPr>
    </w:p>
    <w:p>
      <w:pPr>
        <w:ind w:left="820" w:right="140" w:hanging="353"/>
        <w:spacing w:after="0" w:line="269"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Develop gas-fired power generation assets</w:t>
      </w:r>
      <w:r>
        <w:rPr>
          <w:rFonts w:ascii="Arial" w:cs="Arial" w:eastAsia="Arial" w:hAnsi="Arial"/>
          <w:sz w:val="17"/>
          <w:szCs w:val="17"/>
          <w:color w:val="auto"/>
        </w:rPr>
        <w:t>. We believe that developing and constructing our own gas-fired power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assets is a compelling growth strategy for our company. We are currently developing and have obtained a power generation license for a dual-fired combined heat and power facility in Clarendon, Jamaica (the “CHP Plant”), from which we expect to supply electricity to JPS under a long-term contract. Because we intend to control the entire “spark spread” from upstream production to delivery of electricity to a customer or grid, we are able to capture economic value in a way a traditional power producer likely cannot. For example, the cost of fuel is a pass-through for most power producers. Because we would supply these power plants with our own LNG and natural gas, we capture fuel economics which can be significant.</w:t>
      </w:r>
    </w:p>
    <w:p>
      <w:pPr>
        <w:spacing w:after="0" w:line="71" w:lineRule="exact"/>
        <w:rPr>
          <w:rFonts w:ascii="Arial" w:cs="Arial" w:eastAsia="Arial" w:hAnsi="Arial"/>
          <w:sz w:val="17"/>
          <w:szCs w:val="17"/>
          <w:color w:val="auto"/>
        </w:rPr>
      </w:pPr>
    </w:p>
    <w:p>
      <w:pPr>
        <w:ind w:left="820" w:right="40" w:hanging="353"/>
        <w:spacing w:after="0" w:line="269"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build-out our Caribbean infrastructure</w:t>
      </w:r>
      <w:r>
        <w:rPr>
          <w:rFonts w:ascii="Arial" w:cs="Arial" w:eastAsia="Arial" w:hAnsi="Arial"/>
          <w:sz w:val="17"/>
          <w:szCs w:val="17"/>
          <w:color w:val="auto"/>
        </w:rPr>
        <w:t>. Our take-or-pay gas supply agreements and steam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with electric utilities and industrial end-users in Jamaica provide us with the opportunity for stable, long-term contracted cash flows. In order to service these contracts efficiently and cost effectively, we have begun to develop the necessary assets and infrastructure in Jamaica. Following this offering, we intend to develop and optimize our Caribbean infrastructure to provide natural gas, LNG, steam or electricity in readily usable form directly to our customers in Jamaica and other places in the Caribbean, such as Puerto Rico. Beyond these prospects, we intend to selectively identify and market our services to energy customers who view natural gas or LNG as a compelling alternative to other fuel sources that will allow us to further expand our footprint.</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6878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0440" cy="6878320"/>
                    </a:xfrm>
                    <a:prstGeom prst="rect">
                      <a:avLst/>
                    </a:prstGeom>
                    <a:noFill/>
                  </pic:spPr>
                </pic:pic>
              </a:graphicData>
            </a:graphic>
          </wp:anchor>
        </w:drawing>
      </w:r>
    </w:p>
    <w:p>
      <w:pPr>
        <w:spacing w:after="0" w:line="243" w:lineRule="exact"/>
        <w:rPr>
          <w:sz w:val="20"/>
          <w:szCs w:val="20"/>
          <w:color w:val="auto"/>
        </w:rPr>
      </w:pPr>
    </w:p>
    <w:p>
      <w:pPr>
        <w:ind w:left="820" w:right="80" w:hanging="353"/>
        <w:spacing w:after="0" w:line="267"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Maintain financial strength and flexibility</w:t>
      </w:r>
      <w:r>
        <w:rPr>
          <w:rFonts w:ascii="Arial" w:cs="Arial" w:eastAsia="Arial" w:hAnsi="Arial"/>
          <w:sz w:val="17"/>
          <w:szCs w:val="17"/>
          <w:color w:val="auto"/>
        </w:rPr>
        <w:t>. We will seek to maintain a conservative balance sheet, which will allow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better react to our customers’ changing needs. As of September 30, 2018, on a pro forma basis after giving effect to this offering and the amendment to the Term Loan Facility executed on December 31, 2018, we would have had $892.7 million in total assets (including $459.5 million in cash and cash equivalents) and $280.0 million of total indebtedness outstanding. We expect to draw the remaining $220 million under our Term Loan Facility contemporaneously with the completion of this offering. After giving effect to drawing the remaining $220 million available under the Term Loan Facility, we would have had $1,112.7 million in total assets (including $679.5 million in cash and cash equivalents) and $500 million of total indebtedness outstanding as of September 30, 2018. The pro forma total indebtedness outstanding as of September 30, 2018 does not include deferred financing costs and does not give effect to any debt we may incur following the consummation of this offering. We believe this low leverage and cash position, along with our cash flows from operations and other potential sources of liquidity will provide us with sufficient liquidity to execute on the business strategies discussed above.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19" w:lineRule="exact"/>
        <w:rPr>
          <w:sz w:val="20"/>
          <w:szCs w:val="20"/>
          <w:color w:val="auto"/>
        </w:rPr>
      </w:pPr>
    </w:p>
    <w:p>
      <w:pPr>
        <w:ind w:left="120" w:right="200" w:firstLine="358"/>
        <w:spacing w:after="0" w:line="274" w:lineRule="auto"/>
        <w:rPr>
          <w:sz w:val="20"/>
          <w:szCs w:val="20"/>
          <w:color w:val="auto"/>
        </w:rPr>
      </w:pPr>
      <w:r>
        <w:rPr>
          <w:rFonts w:ascii="Arial" w:cs="Arial" w:eastAsia="Arial" w:hAnsi="Arial"/>
          <w:sz w:val="18"/>
          <w:szCs w:val="18"/>
          <w:color w:val="auto"/>
        </w:rPr>
        <w:t>We believe we are well positioned to achieve our primary business objectives and execute our business strategies based on the following competitive strengths:</w:t>
      </w:r>
    </w:p>
    <w:p>
      <w:pPr>
        <w:spacing w:after="0" w:line="64" w:lineRule="exact"/>
        <w:rPr>
          <w:sz w:val="20"/>
          <w:szCs w:val="20"/>
          <w:color w:val="auto"/>
        </w:rPr>
      </w:pPr>
    </w:p>
    <w:p>
      <w:pPr>
        <w:ind w:left="820" w:right="100" w:hanging="353"/>
        <w:spacing w:after="0" w:line="270"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Comprehensive energy solution creates new customer base</w:t>
      </w:r>
      <w:r>
        <w:rPr>
          <w:rFonts w:ascii="Arial" w:cs="Arial" w:eastAsia="Arial" w:hAnsi="Arial"/>
          <w:sz w:val="17"/>
          <w:szCs w:val="17"/>
          <w:color w:val="auto"/>
        </w:rPr>
        <w:t>. We offer our customers a comprehensive energy solution.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the infrastructure and manage the logistics necessary to deliver natural gas or LNG directly to our customers in amounts tailored to their consumption needs. In addition, we offer to construct or convert power generation assets to burn natural gas, thereby producing cleaner and cheaper electricity. By offering a comprehensive solution, we believe we can prompt meaningful numbers of significant energy consumers—such as power utilities, railroads, ships, mining and other industrial operations—looking for a better alternative to oil to convert to natural gas and enter into contracts with us.</w:t>
      </w:r>
    </w:p>
    <w:p>
      <w:pPr>
        <w:spacing w:after="0" w:line="70" w:lineRule="exact"/>
        <w:rPr>
          <w:rFonts w:ascii="Arial" w:cs="Arial" w:eastAsia="Arial" w:hAnsi="Arial"/>
          <w:sz w:val="17"/>
          <w:szCs w:val="17"/>
          <w:color w:val="auto"/>
        </w:rPr>
      </w:pPr>
    </w:p>
    <w:p>
      <w:pPr>
        <w:ind w:left="820" w:right="140" w:hanging="353"/>
        <w:spacing w:after="0" w:line="289"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Demonstrated ability to execute</w:t>
      </w:r>
      <w:r>
        <w:rPr>
          <w:rFonts w:ascii="Arial" w:cs="Arial" w:eastAsia="Arial" w:hAnsi="Arial"/>
          <w:sz w:val="16"/>
          <w:szCs w:val="16"/>
          <w:color w:val="auto"/>
        </w:rPr>
        <w:t>. The success of our business strategy and its benefit to our customers is demonstrated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our proven ability to secure long-term, take-or-pay contracts. Our Montego Bay Terminal and related infrastructure (operational since October 30, 2016) has enabled JPS to use natural gas at the Bogue Power Plant, rather than rely on automotive diesel oil (“ADO”), at prices that are competitive with ADO. We have also entered into a long-term, take-or-pay contract with JPC to supply the Old Harbour Power Plant with LNG, a 20-year SSA to supply Jamalco with steam for use in its alumina refinery operations, and a 20-year power purchase agreement (“PPA”) to supply electricity to the Jamaica power grid from our CHP Plant in Clarendon, Jamaica, when completed.</w:t>
      </w:r>
    </w:p>
    <w:p>
      <w:pPr>
        <w:spacing w:after="0" w:line="58" w:lineRule="exact"/>
        <w:rPr>
          <w:rFonts w:ascii="Arial" w:cs="Arial" w:eastAsia="Arial" w:hAnsi="Arial"/>
          <w:sz w:val="16"/>
          <w:szCs w:val="16"/>
          <w:color w:val="auto"/>
        </w:rPr>
      </w:pPr>
    </w:p>
    <w:p>
      <w:pPr>
        <w:ind w:left="820" w:right="140" w:hanging="353"/>
        <w:spacing w:after="0" w:line="288"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Economically and environmentally attractive product</w:t>
      </w:r>
      <w:r>
        <w:rPr>
          <w:rFonts w:ascii="Arial" w:cs="Arial" w:eastAsia="Arial" w:hAnsi="Arial"/>
          <w:sz w:val="16"/>
          <w:szCs w:val="16"/>
          <w:color w:val="auto"/>
        </w:rPr>
        <w:t>. We believe natural gas is a cheaper, cleaner and thus superior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alternative energy source to traditional oil-based fuels. According to our internal estimates, on an energy equivalent basis using recent pricing, natural gas provides meaningfully more energy per dollar spent compared to diesel. Importantly, natural gas is also an environmentally cleaner fuel source compared to oil. In a June 2015 study, the U.S. Energy Information Administration conducted an analysis to compare the amount of carbon dioxide emissions per unit of energy output among fossil fuels, including oil, and found that natural gas produces the lowest amount of carbon dioxide of all fossil fuels in the study. Natural gas’s attributes, coupled with an increased focus on economics and the environment, make it a compelling energy source for many energy consumers.</w:t>
      </w:r>
    </w:p>
    <w:p>
      <w:pPr>
        <w:spacing w:after="0" w:line="58" w:lineRule="exact"/>
        <w:rPr>
          <w:rFonts w:ascii="Arial" w:cs="Arial" w:eastAsia="Arial" w:hAnsi="Arial"/>
          <w:sz w:val="16"/>
          <w:szCs w:val="16"/>
          <w:color w:val="auto"/>
        </w:rPr>
      </w:pPr>
    </w:p>
    <w:p>
      <w:pPr>
        <w:ind w:left="820" w:right="100" w:hanging="353"/>
        <w:spacing w:after="0" w:line="288"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Scalable infrastructure can drive margin expansion</w:t>
      </w:r>
      <w:r>
        <w:rPr>
          <w:rFonts w:ascii="Arial" w:cs="Arial" w:eastAsia="Arial" w:hAnsi="Arial"/>
          <w:sz w:val="16"/>
          <w:szCs w:val="16"/>
          <w:color w:val="auto"/>
        </w:rPr>
        <w:t>. Our Montego Bay Terminal and other infrastructure that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developing or will develop in the future, including the CHP Plant and the Old Harbour Terminal, will position us to deliver natural gas to additional islands throughout the Atlantic Basin and beyond. We believe we can augment our existing infrastructure by investing limited amounts of additional capital to expand uses with our largest customers and to secure new customers at favorable margins. We expect that significant expansion of our liquefaction capabilities and our delivery logistics chain through the development, ownership and operation of the Pennsylvania Facility, together with the current operations at the Miami Facility, will enable us to supply our existing and future customers with LNG produced primarily at our own Liquefaction Facilities and will help to reduce the risk of future LNG price variations.</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150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0440" cy="715073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New Fortress Energy Holdings and its Affiliates</w:t>
      </w:r>
    </w:p>
    <w:p>
      <w:pPr>
        <w:spacing w:after="0" w:line="119" w:lineRule="exact"/>
        <w:rPr>
          <w:sz w:val="20"/>
          <w:szCs w:val="20"/>
          <w:color w:val="auto"/>
        </w:rPr>
      </w:pPr>
    </w:p>
    <w:p>
      <w:pPr>
        <w:ind w:left="120" w:right="20" w:firstLine="358"/>
        <w:spacing w:after="0" w:line="257" w:lineRule="auto"/>
        <w:rPr>
          <w:sz w:val="20"/>
          <w:szCs w:val="20"/>
          <w:color w:val="auto"/>
        </w:rPr>
      </w:pPr>
      <w:r>
        <w:rPr>
          <w:rFonts w:ascii="Arial" w:cs="Arial" w:eastAsia="Arial" w:hAnsi="Arial"/>
          <w:sz w:val="18"/>
          <w:szCs w:val="18"/>
          <w:color w:val="auto"/>
        </w:rPr>
        <w:t>Following the completion of this offering, New Fortress Energy Holdings will retain a significant interest in us through its ownership of 147,058,824 Class B shares, representing a 88.0% voting and non-economic limited liability company interest in us, and a 88.0% economic interest in NFI. New Fortress Energy Holdings, its stockholders, or entities affiliated with them agreed to purchase 5,000,000 Class A shares in the offering.</w:t>
      </w:r>
    </w:p>
    <w:p>
      <w:pPr>
        <w:spacing w:after="0" w:line="79" w:lineRule="exact"/>
        <w:rPr>
          <w:sz w:val="20"/>
          <w:szCs w:val="20"/>
          <w:color w:val="auto"/>
        </w:rPr>
      </w:pPr>
    </w:p>
    <w:p>
      <w:pPr>
        <w:ind w:left="120" w:right="180" w:firstLine="358"/>
        <w:spacing w:after="0" w:line="284" w:lineRule="auto"/>
        <w:rPr>
          <w:sz w:val="20"/>
          <w:szCs w:val="20"/>
          <w:color w:val="auto"/>
        </w:rPr>
      </w:pPr>
      <w:r>
        <w:rPr>
          <w:rFonts w:ascii="Arial" w:cs="Arial" w:eastAsia="Arial" w:hAnsi="Arial"/>
          <w:sz w:val="17"/>
          <w:szCs w:val="17"/>
          <w:color w:val="auto"/>
        </w:rPr>
        <w:t>A substantial majority of the equity of New Fortress Energy Holdings is owned by Fortress Equity Partners (A) LP (the “Fortress Shareholder”), a Delaware limited partnership. The Fortress Shareholder is managed by FIG LLC, a Delaware limited liability company (“FIG LLC”), which is an affiliate of Fortress Investment Group LLC (“Fortress”).</w:t>
      </w:r>
    </w:p>
    <w:p>
      <w:pPr>
        <w:spacing w:after="0" w:line="57" w:lineRule="exact"/>
        <w:rPr>
          <w:sz w:val="20"/>
          <w:szCs w:val="20"/>
          <w:color w:val="auto"/>
        </w:rPr>
      </w:pPr>
    </w:p>
    <w:p>
      <w:pPr>
        <w:ind w:left="120" w:right="320" w:firstLine="358"/>
        <w:spacing w:after="0" w:line="274" w:lineRule="auto"/>
        <w:rPr>
          <w:sz w:val="20"/>
          <w:szCs w:val="20"/>
          <w:color w:val="auto"/>
        </w:rPr>
      </w:pPr>
      <w:r>
        <w:rPr>
          <w:rFonts w:ascii="Arial" w:cs="Arial" w:eastAsia="Arial" w:hAnsi="Arial"/>
          <w:sz w:val="18"/>
          <w:szCs w:val="18"/>
          <w:color w:val="auto"/>
        </w:rPr>
        <w:t>While our relationship with New Fortress Energy Holdings and its affiliates is a significant strength, it is also a source of potential conflicts. Please read “—Controlled Company Status” and “Risk Factors.”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Emerging Growth Company Status</w:t>
      </w:r>
    </w:p>
    <w:p>
      <w:pPr>
        <w:spacing w:after="0" w:line="119" w:lineRule="exact"/>
        <w:rPr>
          <w:sz w:val="20"/>
          <w:szCs w:val="20"/>
          <w:color w:val="auto"/>
        </w:rPr>
      </w:pPr>
    </w:p>
    <w:p>
      <w:pPr>
        <w:ind w:left="120" w:right="180" w:firstLine="358"/>
        <w:spacing w:after="0" w:line="274"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For as long as we are an emerging growth company, unlike other public companies, we will not be required to:</w:t>
      </w:r>
    </w:p>
    <w:p>
      <w:pPr>
        <w:spacing w:after="0" w:line="64" w:lineRule="exact"/>
        <w:rPr>
          <w:sz w:val="20"/>
          <w:szCs w:val="20"/>
          <w:color w:val="auto"/>
        </w:rPr>
      </w:pPr>
    </w:p>
    <w:p>
      <w:pPr>
        <w:ind w:left="820" w:right="380" w:hanging="353"/>
        <w:spacing w:after="0" w:line="305"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provide an auditor’s attestation report on the effectiveness of our system of internal control over financial reporting pursuant to Section 404(b) of the Sarbanes-Oxley Act of 2002 (the “Sarbanes-Oxley Act”);</w:t>
      </w:r>
    </w:p>
    <w:p>
      <w:pPr>
        <w:spacing w:after="0" w:line="39" w:lineRule="exact"/>
        <w:rPr>
          <w:rFonts w:ascii="Arial" w:cs="Arial" w:eastAsia="Arial" w:hAnsi="Arial"/>
          <w:sz w:val="17"/>
          <w:szCs w:val="17"/>
          <w:color w:val="auto"/>
        </w:rPr>
      </w:pPr>
    </w:p>
    <w:p>
      <w:pPr>
        <w:ind w:left="820" w:right="200" w:hanging="353"/>
        <w:spacing w:after="0" w:line="284"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comply with any new requirements adopted by the Public Company Accounting Oversight Board, or the “PCAOB,” requiring mandatory audit firm rotation or a supplement to the auditor’s report in which the auditor would be required to provide additional information about the audit and the financial statements of the issuer;</w:t>
      </w:r>
    </w:p>
    <w:p>
      <w:pPr>
        <w:spacing w:after="0" w:line="57" w:lineRule="exact"/>
        <w:rPr>
          <w:rFonts w:ascii="Arial" w:cs="Arial" w:eastAsia="Arial" w:hAnsi="Arial"/>
          <w:sz w:val="17"/>
          <w:szCs w:val="17"/>
          <w:color w:val="auto"/>
        </w:rPr>
      </w:pPr>
    </w:p>
    <w:p>
      <w:pPr>
        <w:ind w:left="820" w:hanging="353"/>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comply with any new audit rules adopted by the PCAOB, unless the SEC determines otherwise;</w:t>
      </w:r>
    </w:p>
    <w:p>
      <w:pPr>
        <w:spacing w:after="0" w:line="114" w:lineRule="exact"/>
        <w:rPr>
          <w:rFonts w:ascii="Arial" w:cs="Arial" w:eastAsia="Arial" w:hAnsi="Arial"/>
          <w:sz w:val="18"/>
          <w:szCs w:val="18"/>
          <w:color w:val="auto"/>
        </w:rPr>
      </w:pPr>
    </w:p>
    <w:p>
      <w:pPr>
        <w:ind w:left="820" w:hanging="353"/>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certain disclosure regarding executive compensation required of larger public companies; or</w:t>
      </w:r>
    </w:p>
    <w:p>
      <w:pPr>
        <w:spacing w:after="0" w:line="114" w:lineRule="exact"/>
        <w:rPr>
          <w:rFonts w:ascii="Arial" w:cs="Arial" w:eastAsia="Arial" w:hAnsi="Arial"/>
          <w:sz w:val="18"/>
          <w:szCs w:val="18"/>
          <w:color w:val="auto"/>
        </w:rPr>
      </w:pPr>
    </w:p>
    <w:p>
      <w:pPr>
        <w:ind w:left="820" w:hanging="353"/>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shareholder approval of any golden parachute payments not previously approved.</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will cease to be an “emerging growth company” upon the earliest of:</w:t>
      </w:r>
    </w:p>
    <w:p>
      <w:pPr>
        <w:spacing w:after="0" w:line="115" w:lineRule="exact"/>
        <w:rPr>
          <w:sz w:val="20"/>
          <w:szCs w:val="20"/>
          <w:color w:val="auto"/>
        </w:rPr>
      </w:pPr>
    </w:p>
    <w:p>
      <w:pPr>
        <w:ind w:left="820" w:hanging="35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we have $1.07 billion or more in annual revenues;</w:t>
      </w:r>
    </w:p>
    <w:p>
      <w:pPr>
        <w:spacing w:after="0" w:line="114" w:lineRule="exact"/>
        <w:rPr>
          <w:rFonts w:ascii="Arial" w:cs="Arial" w:eastAsia="Arial" w:hAnsi="Arial"/>
          <w:sz w:val="18"/>
          <w:szCs w:val="18"/>
          <w:color w:val="auto"/>
        </w:rPr>
      </w:pPr>
    </w:p>
    <w:p>
      <w:pPr>
        <w:ind w:left="820" w:right="140" w:hanging="353"/>
        <w:spacing w:after="0" w:line="274"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date on which we become a “large-accelerated filer” (i.e., the end of the fiscal year on which the total market value of our common equity securities held by non-affiliates is $700.0 million or more as of the preceding June 30</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820" w:hanging="35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we issue more than $1.0 billion of non-convertible debt over a three-year period; or</w:t>
      </w:r>
    </w:p>
    <w:p>
      <w:pPr>
        <w:spacing w:after="0" w:line="98" w:lineRule="exact"/>
        <w:rPr>
          <w:rFonts w:ascii="Arial" w:cs="Arial" w:eastAsia="Arial" w:hAnsi="Arial"/>
          <w:sz w:val="18"/>
          <w:szCs w:val="18"/>
          <w:color w:val="auto"/>
        </w:rPr>
      </w:pPr>
    </w:p>
    <w:p>
      <w:pPr>
        <w:ind w:left="820" w:hanging="35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initial public offering.</w:t>
      </w:r>
    </w:p>
    <w:p>
      <w:pPr>
        <w:spacing w:after="0" w:line="115" w:lineRule="exact"/>
        <w:rPr>
          <w:sz w:val="20"/>
          <w:szCs w:val="20"/>
          <w:color w:val="auto"/>
        </w:rPr>
      </w:pPr>
    </w:p>
    <w:p>
      <w:pPr>
        <w:ind w:left="120" w:right="20" w:firstLine="358"/>
        <w:spacing w:after="0" w:line="269"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of 1933 (the “Securities Act”) for complying with new or revised accounting standards. In other words, an emerging growth company can delay the adoption of certain accounting standards until those standards would otherwise apply to private companies. We have elected to use the extended transition period for complying with new or revised accounting standards under Section 102(b)(2) of the JOBS Act, that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public company effective dates.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Status</w:t>
      </w:r>
    </w:p>
    <w:p>
      <w:pPr>
        <w:spacing w:after="0" w:line="119" w:lineRule="exact"/>
        <w:rPr>
          <w:sz w:val="20"/>
          <w:szCs w:val="20"/>
          <w:color w:val="auto"/>
        </w:rPr>
      </w:pPr>
    </w:p>
    <w:p>
      <w:pPr>
        <w:ind w:left="120" w:right="80" w:firstLine="358"/>
        <w:spacing w:after="0" w:line="257" w:lineRule="auto"/>
        <w:rPr>
          <w:sz w:val="20"/>
          <w:szCs w:val="20"/>
          <w:color w:val="auto"/>
        </w:rPr>
      </w:pPr>
      <w:r>
        <w:rPr>
          <w:rFonts w:ascii="Arial" w:cs="Arial" w:eastAsia="Arial" w:hAnsi="Arial"/>
          <w:sz w:val="18"/>
          <w:szCs w:val="18"/>
          <w:color w:val="auto"/>
        </w:rPr>
        <w:t>Because New Fortress Energy Holdings will initially hold approximately 88.0% of the voting power of our shares following the completion of this offering (or approximately 86.5% if the underwriters’ option to purchase additional Class A shares is exercised in full), we expect to be a controlled company as of the completion of the offering under the Sarbanes-Oxley Act and Nasdaq Global Select Market (“NASDAQ”) rules. A controlled</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423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0440" cy="7423785"/>
                    </a:xfrm>
                    <a:prstGeom prst="rect">
                      <a:avLst/>
                    </a:prstGeom>
                    <a:noFill/>
                  </pic:spPr>
                </pic:pic>
              </a:graphicData>
            </a:graphic>
          </wp:anchor>
        </w:drawing>
      </w:r>
    </w:p>
    <w:p>
      <w:pPr>
        <w:spacing w:after="0" w:line="13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company does not need its board of directors to have a majority of independent directors or to form an independent compensation or nominating and corporate governance committee. As a controlled company, we will remain subject to rules of the Sarbanes-Oxley Act and NASDAQ that require us to have an audit committee composed entirely of independent directors. Under these rules, we must have at least one independent director on our audit committee by the date our Class A shares are listed on NASDAQ, at least two independent directors on our audit committee within 90 days of the listing date, and at least three independent directors on our audit committee within one year of the listing date. We expect to have six independent directors upon the closing of this offering.</w:t>
      </w:r>
    </w:p>
    <w:p>
      <w:pPr>
        <w:spacing w:after="0" w:line="82" w:lineRule="exact"/>
        <w:rPr>
          <w:sz w:val="20"/>
          <w:szCs w:val="20"/>
          <w:color w:val="auto"/>
        </w:rPr>
      </w:pPr>
    </w:p>
    <w:p>
      <w:pPr>
        <w:jc w:val="both"/>
        <w:ind w:left="120" w:right="60" w:firstLine="358"/>
        <w:spacing w:after="0" w:line="261"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the Sarbanes-Oxley Act and NASDAQ rules, including by appointing a majority of independent directors to our board of directors, subject to a permitted “phase-in” period.</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w:t>
      </w:r>
    </w:p>
    <w:p>
      <w:pPr>
        <w:spacing w:after="0" w:line="119" w:lineRule="exact"/>
        <w:rPr>
          <w:sz w:val="20"/>
          <w:szCs w:val="20"/>
          <w:color w:val="auto"/>
        </w:rPr>
      </w:pPr>
    </w:p>
    <w:p>
      <w:pPr>
        <w:jc w:val="both"/>
        <w:ind w:left="120" w:right="180" w:firstLine="358"/>
        <w:spacing w:after="0" w:line="299" w:lineRule="auto"/>
        <w:rPr>
          <w:sz w:val="20"/>
          <w:szCs w:val="20"/>
          <w:color w:val="auto"/>
        </w:rPr>
      </w:pPr>
      <w:r>
        <w:rPr>
          <w:rFonts w:ascii="Arial" w:cs="Arial" w:eastAsia="Arial" w:hAnsi="Arial"/>
          <w:sz w:val="16"/>
          <w:szCs w:val="16"/>
          <w:color w:val="auto"/>
        </w:rPr>
        <w:t>An investment in our Class A shares involves risks associated with our business, regulatory and legal matters, our limited liability company structure and the tax characteristics of our Class A shares. Below is a summary of certain key risk factors that you should consider in evaluating an investment in our Class A shares. However, this list is not exhaustive. Please read the full discussion of these risks and the other risks described under “Risk Factors” and “Forward-Looking Statements.”</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These risks include the following:</w:t>
      </w:r>
    </w:p>
    <w:p>
      <w:pPr>
        <w:spacing w:after="0" w:line="115" w:lineRule="exact"/>
        <w:rPr>
          <w:sz w:val="20"/>
          <w:szCs w:val="20"/>
          <w:color w:val="auto"/>
        </w:rPr>
      </w:pPr>
    </w:p>
    <w:p>
      <w:pPr>
        <w:ind w:left="820" w:right="380" w:hanging="353"/>
        <w:spacing w:after="0" w:line="261"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not yet completed contracting, construction and commissioning of all of our Terminals and Liquefaction Facilities. There can be no assurance that our Terminals and Liquefaction Facilities will operate as described in this prospectus or at all.</w:t>
      </w:r>
    </w:p>
    <w:p>
      <w:pPr>
        <w:spacing w:after="0" w:line="75" w:lineRule="exact"/>
        <w:rPr>
          <w:rFonts w:ascii="Arial" w:cs="Arial" w:eastAsia="Arial" w:hAnsi="Arial"/>
          <w:sz w:val="18"/>
          <w:szCs w:val="18"/>
          <w:color w:val="auto"/>
        </w:rPr>
      </w:pPr>
    </w:p>
    <w:p>
      <w:pPr>
        <w:ind w:left="820" w:hanging="353"/>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limited operating history, and an investment in our Class A shares is highly speculative.</w:t>
      </w:r>
    </w:p>
    <w:p>
      <w:pPr>
        <w:spacing w:after="0" w:line="114" w:lineRule="exact"/>
        <w:rPr>
          <w:rFonts w:ascii="Arial" w:cs="Arial" w:eastAsia="Arial" w:hAnsi="Arial"/>
          <w:sz w:val="18"/>
          <w:szCs w:val="18"/>
          <w:color w:val="auto"/>
        </w:rPr>
      </w:pPr>
    </w:p>
    <w:p>
      <w:pPr>
        <w:ind w:left="820" w:right="4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and may be forced to take other actions to satisfy our obligations under our indebtedness, which may not be successful.</w:t>
      </w:r>
    </w:p>
    <w:p>
      <w:pPr>
        <w:spacing w:after="0" w:line="63" w:lineRule="exact"/>
        <w:rPr>
          <w:rFonts w:ascii="Arial" w:cs="Arial" w:eastAsia="Arial" w:hAnsi="Arial"/>
          <w:sz w:val="18"/>
          <w:szCs w:val="18"/>
          <w:color w:val="auto"/>
        </w:rPr>
      </w:pPr>
    </w:p>
    <w:p>
      <w:pPr>
        <w:ind w:left="820" w:right="38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LNG to be a competitive source of energy in the markets in which we operate, and seek to operate, could adversely affect our expansion strategy.</w:t>
      </w:r>
    </w:p>
    <w:p>
      <w:pPr>
        <w:spacing w:after="0" w:line="63" w:lineRule="exact"/>
        <w:rPr>
          <w:rFonts w:ascii="Arial" w:cs="Arial" w:eastAsia="Arial" w:hAnsi="Arial"/>
          <w:sz w:val="18"/>
          <w:szCs w:val="18"/>
          <w:color w:val="auto"/>
        </w:rPr>
      </w:pPr>
    </w:p>
    <w:p>
      <w:pPr>
        <w:jc w:val="both"/>
        <w:ind w:left="820" w:right="140" w:hanging="353"/>
        <w:spacing w:after="0" w:line="261"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certain provisions in our operating agreement regarding exculpation and indemnification of our officers and directors that differ from Delaware General Corporation Law (“DGCL”) in a manner that may be less protective of the interests of our Class A shareholders.</w:t>
      </w:r>
    </w:p>
    <w:p>
      <w:pPr>
        <w:spacing w:after="0" w:line="75" w:lineRule="exact"/>
        <w:rPr>
          <w:rFonts w:ascii="Arial" w:cs="Arial" w:eastAsia="Arial" w:hAnsi="Arial"/>
          <w:sz w:val="18"/>
          <w:szCs w:val="18"/>
          <w:color w:val="auto"/>
        </w:rPr>
      </w:pPr>
    </w:p>
    <w:p>
      <w:pPr>
        <w:ind w:left="820" w:right="52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spacing w:after="0" w:line="63" w:lineRule="exact"/>
        <w:rPr>
          <w:rFonts w:ascii="Arial" w:cs="Arial" w:eastAsia="Arial" w:hAnsi="Arial"/>
          <w:sz w:val="18"/>
          <w:szCs w:val="18"/>
          <w:color w:val="auto"/>
        </w:rPr>
      </w:pPr>
    </w:p>
    <w:p>
      <w:pPr>
        <w:ind w:left="820" w:right="56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is dependent upon obtaining substantial additional funding from various sources, which may not be available or may only be available on unfavorable terms.</w:t>
      </w:r>
    </w:p>
    <w:p>
      <w:pPr>
        <w:spacing w:after="0" w:line="63" w:lineRule="exact"/>
        <w:rPr>
          <w:rFonts w:ascii="Arial" w:cs="Arial" w:eastAsia="Arial" w:hAnsi="Arial"/>
          <w:sz w:val="18"/>
          <w:szCs w:val="18"/>
          <w:color w:val="auto"/>
        </w:rPr>
      </w:pPr>
    </w:p>
    <w:p>
      <w:pPr>
        <w:ind w:left="820" w:right="64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current lack of asset and geographic diversification could have an adverse effect on our business, contracts, financial condition, operating results, cash flow, liquidity and prospects.</w:t>
      </w:r>
    </w:p>
    <w:p>
      <w:pPr>
        <w:spacing w:after="0" w:line="63" w:lineRule="exact"/>
        <w:rPr>
          <w:rFonts w:ascii="Arial" w:cs="Arial" w:eastAsia="Arial" w:hAnsi="Arial"/>
          <w:sz w:val="18"/>
          <w:szCs w:val="18"/>
          <w:color w:val="auto"/>
        </w:rPr>
      </w:pPr>
    </w:p>
    <w:p>
      <w:pPr>
        <w:ind w:left="820" w:right="22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currently highly dependent upon economic, political and other conditions and developments in the Caribbean, particularly Jamaica, and the other jurisdictions in which we operate.</w:t>
      </w:r>
    </w:p>
    <w:p>
      <w:pPr>
        <w:spacing w:after="0" w:line="63" w:lineRule="exact"/>
        <w:rPr>
          <w:rFonts w:ascii="Arial" w:cs="Arial" w:eastAsia="Arial" w:hAnsi="Arial"/>
          <w:sz w:val="18"/>
          <w:szCs w:val="18"/>
          <w:color w:val="auto"/>
        </w:rPr>
      </w:pPr>
    </w:p>
    <w:p>
      <w:pPr>
        <w:ind w:left="820" w:right="340" w:hanging="353"/>
        <w:spacing w:after="0" w:line="25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79" w:lineRule="exact"/>
        <w:rPr>
          <w:rFonts w:ascii="Arial" w:cs="Arial" w:eastAsia="Arial" w:hAnsi="Arial"/>
          <w:sz w:val="18"/>
          <w:szCs w:val="18"/>
          <w:color w:val="auto"/>
        </w:rPr>
      </w:pPr>
    </w:p>
    <w:p>
      <w:pPr>
        <w:ind w:left="820" w:hanging="353"/>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Shareholders will experience immediate and substantial dilution of $10.63 per Class A share.</w:t>
      </w:r>
    </w:p>
    <w:p>
      <w:pPr>
        <w:spacing w:after="0" w:line="114" w:lineRule="exact"/>
        <w:rPr>
          <w:rFonts w:ascii="Arial" w:cs="Arial" w:eastAsia="Arial" w:hAnsi="Arial"/>
          <w:sz w:val="18"/>
          <w:szCs w:val="18"/>
          <w:color w:val="auto"/>
        </w:rPr>
      </w:pPr>
    </w:p>
    <w:p>
      <w:pPr>
        <w:ind w:left="820" w:right="46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Fortress Energy Holdings has the ability to direct the voting of a majority of our shares, and its interests may conflict with those of our other shareholders.</w:t>
      </w:r>
    </w:p>
    <w:p>
      <w:pPr>
        <w:spacing w:after="0" w:line="63" w:lineRule="exact"/>
        <w:rPr>
          <w:rFonts w:ascii="Arial" w:cs="Arial" w:eastAsia="Arial" w:hAnsi="Arial"/>
          <w:sz w:val="18"/>
          <w:szCs w:val="18"/>
          <w:color w:val="auto"/>
        </w:rPr>
      </w:pPr>
    </w:p>
    <w:p>
      <w:pPr>
        <w:ind w:left="820" w:right="120" w:hanging="353"/>
        <w:spacing w:after="0" w:line="27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intend to pay cash dividends on our Class A shares. Consequently, your only opportunity to achieve a return on your investment is if the price of our Class A shares appreciates.</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287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0440" cy="7287260"/>
                    </a:xfrm>
                    <a:prstGeom prst="rect">
                      <a:avLst/>
                    </a:prstGeom>
                    <a:noFill/>
                  </pic:spPr>
                </pic:pic>
              </a:graphicData>
            </a:graphic>
          </wp:anchor>
        </w:drawing>
      </w:r>
    </w:p>
    <w:p>
      <w:pPr>
        <w:spacing w:after="0" w:line="243" w:lineRule="exact"/>
        <w:rPr>
          <w:sz w:val="20"/>
          <w:szCs w:val="20"/>
          <w:color w:val="auto"/>
        </w:rPr>
      </w:pPr>
    </w:p>
    <w:p>
      <w:pPr>
        <w:ind w:left="820" w:right="140" w:hanging="353"/>
        <w:spacing w:after="0" w:line="26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p>
      <w:pPr>
        <w:spacing w:after="0" w:line="75" w:lineRule="exact"/>
        <w:rPr>
          <w:rFonts w:ascii="Arial" w:cs="Arial" w:eastAsia="Arial" w:hAnsi="Arial"/>
          <w:sz w:val="18"/>
          <w:szCs w:val="18"/>
          <w:color w:val="auto"/>
        </w:rPr>
      </w:pPr>
    </w:p>
    <w:p>
      <w:pPr>
        <w:ind w:left="820" w:right="340" w:hanging="353"/>
        <w:spacing w:after="0" w:line="27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to be a “controlled company” within the meaning of NASDAQ rules and, as a result, will qualify for and intend to rely on exemptions from certain corporate governance requirements.</w:t>
      </w:r>
    </w:p>
    <w:p>
      <w:pPr>
        <w:spacing w:after="0" w:line="63" w:lineRule="exact"/>
        <w:rPr>
          <w:rFonts w:ascii="Arial" w:cs="Arial" w:eastAsia="Arial" w:hAnsi="Arial"/>
          <w:sz w:val="18"/>
          <w:szCs w:val="18"/>
          <w:color w:val="auto"/>
        </w:rPr>
      </w:pPr>
    </w:p>
    <w:p>
      <w:pPr>
        <w:ind w:left="820" w:right="100" w:hanging="353"/>
        <w:spacing w:after="0" w:line="26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NFE is a holding company. NFE’s sole material asset after completion of this offering will be its equity interest in NFI, and accordingly, NFE will be dependent upon dividends from NFI to pay taxes and cover its corporate and other overhead expenses.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Formation Transactions and Structure</w:t>
      </w:r>
    </w:p>
    <w:p>
      <w:pPr>
        <w:spacing w:after="0" w:line="119" w:lineRule="exact"/>
        <w:rPr>
          <w:sz w:val="20"/>
          <w:szCs w:val="20"/>
          <w:color w:val="auto"/>
        </w:rPr>
      </w:pPr>
    </w:p>
    <w:p>
      <w:pPr>
        <w:ind w:left="120" w:right="320" w:firstLine="358"/>
        <w:spacing w:after="0" w:line="277" w:lineRule="auto"/>
        <w:rPr>
          <w:sz w:val="20"/>
          <w:szCs w:val="20"/>
          <w:color w:val="auto"/>
        </w:rPr>
      </w:pPr>
      <w:r>
        <w:rPr>
          <w:rFonts w:ascii="Arial" w:cs="Arial" w:eastAsia="Arial" w:hAnsi="Arial"/>
          <w:sz w:val="17"/>
          <w:szCs w:val="17"/>
          <w:color w:val="auto"/>
        </w:rPr>
        <w:t>NFE was formed as a Delaware limited liability company by New Fortress Energy Holdings on August 6, 2018. NFE currently has no assets or liabilities and has conducted no operations. New Fortress Energy Holdings currently owns all of the outstanding membership interests of the subsidiaries through which we operate our business, including NFE Atlantic. New Fortress Energy Holdings’ only asset other than cash is its investments in consolidated subsidiaries.</w:t>
      </w:r>
    </w:p>
    <w:p>
      <w:pPr>
        <w:spacing w:after="0" w:line="63" w:lineRule="exact"/>
        <w:rPr>
          <w:sz w:val="20"/>
          <w:szCs w:val="20"/>
          <w:color w:val="auto"/>
        </w:rPr>
      </w:pPr>
    </w:p>
    <w:p>
      <w:pPr>
        <w:ind w:left="120" w:right="100" w:firstLine="358"/>
        <w:spacing w:after="0" w:line="277" w:lineRule="auto"/>
        <w:rPr>
          <w:sz w:val="20"/>
          <w:szCs w:val="20"/>
          <w:color w:val="auto"/>
        </w:rPr>
      </w:pPr>
      <w:r>
        <w:rPr>
          <w:rFonts w:ascii="Arial" w:cs="Arial" w:eastAsia="Arial" w:hAnsi="Arial"/>
          <w:sz w:val="17"/>
          <w:szCs w:val="17"/>
          <w:color w:val="auto"/>
        </w:rPr>
        <w:t>Following this offering and the related transactions described below, NFE will be a holding company whose only material asset will consist of membership interests in NFI, which will own all of the outstanding membership interests in NFE Atlantic. NFE will be the sole managing member of NFI, will be responsible for all operational, management and administrative decisions relating to NFI’s business and will consolidate financial results of NFI and its subsidiaries.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connection with this offering, the following transactions have occurred or will occur:</w:t>
      </w:r>
    </w:p>
    <w:p>
      <w:pPr>
        <w:spacing w:after="0" w:line="115" w:lineRule="exact"/>
        <w:rPr>
          <w:sz w:val="20"/>
          <w:szCs w:val="20"/>
          <w:color w:val="auto"/>
        </w:rPr>
      </w:pPr>
    </w:p>
    <w:p>
      <w:pPr>
        <w:ind w:left="820" w:right="120" w:hanging="353"/>
        <w:spacing w:after="0" w:line="339"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New Fortress Energy Holdings will contribute all of its interests in NFE Atlantic and its limited assets and liabilities, if any, to NFI in exchange for common units of NFI (“NFI LLC Units”), which will be the only class of units of NFI;</w:t>
      </w:r>
    </w:p>
    <w:p>
      <w:pPr>
        <w:spacing w:after="0" w:line="16" w:lineRule="exact"/>
        <w:rPr>
          <w:rFonts w:ascii="Arial" w:cs="Arial" w:eastAsia="Arial" w:hAnsi="Arial"/>
          <w:sz w:val="16"/>
          <w:szCs w:val="16"/>
          <w:color w:val="auto"/>
        </w:rPr>
      </w:pPr>
    </w:p>
    <w:p>
      <w:pPr>
        <w:ind w:left="820" w:right="100" w:hanging="353"/>
        <w:spacing w:after="0" w:line="305"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NFE will issue 20,000,000 Class A shares in this offering to the public, representing limited liability company interests with 100% of the economic rights in NFE, at an initial offering price of $14.00 per Class A share;</w:t>
      </w:r>
    </w:p>
    <w:p>
      <w:pPr>
        <w:spacing w:after="0" w:line="39" w:lineRule="exact"/>
        <w:rPr>
          <w:rFonts w:ascii="Arial" w:cs="Arial" w:eastAsia="Arial" w:hAnsi="Arial"/>
          <w:sz w:val="17"/>
          <w:szCs w:val="17"/>
          <w:color w:val="auto"/>
        </w:rPr>
      </w:pPr>
    </w:p>
    <w:p>
      <w:pPr>
        <w:ind w:left="820" w:right="60" w:hanging="353"/>
        <w:spacing w:after="0" w:line="26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NFE will contribute the net proceeds from this offering (including any net proceeds from the exercise of the underwriters’ option to purchase additional Class A shares from us) to NFI in exchange for 20,000,000 NFI LLC Units, equal to the number of Class A shares sold in this offering;</w:t>
      </w:r>
    </w:p>
    <w:p>
      <w:pPr>
        <w:spacing w:after="0" w:line="75" w:lineRule="exact"/>
        <w:rPr>
          <w:rFonts w:ascii="Arial" w:cs="Arial" w:eastAsia="Arial" w:hAnsi="Arial"/>
          <w:sz w:val="18"/>
          <w:szCs w:val="18"/>
          <w:color w:val="auto"/>
        </w:rPr>
      </w:pPr>
    </w:p>
    <w:p>
      <w:pPr>
        <w:ind w:left="820" w:right="440" w:hanging="353"/>
        <w:spacing w:after="0" w:line="305"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NFI will use the net proceeds from this offering (including any net proceeds from the exercise of the underwriters’ option to purchase additional Class A shares from us) as described in “Use of Proceeds;” and</w:t>
      </w:r>
    </w:p>
    <w:p>
      <w:pPr>
        <w:spacing w:after="0" w:line="39" w:lineRule="exact"/>
        <w:rPr>
          <w:rFonts w:ascii="Arial" w:cs="Arial" w:eastAsia="Arial" w:hAnsi="Arial"/>
          <w:sz w:val="17"/>
          <w:szCs w:val="17"/>
          <w:color w:val="auto"/>
        </w:rPr>
      </w:pPr>
    </w:p>
    <w:p>
      <w:pPr>
        <w:ind w:left="820" w:right="140" w:hanging="353"/>
        <w:spacing w:after="0" w:line="27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Fortress Energy Holdings will receive a number of Class B shares equal to the number of NFI LLC Units held by it immediately following the completion of this offering.</w:t>
      </w:r>
    </w:p>
    <w:p>
      <w:pPr>
        <w:spacing w:after="0" w:line="64" w:lineRule="exact"/>
        <w:rPr>
          <w:sz w:val="20"/>
          <w:szCs w:val="20"/>
          <w:color w:val="auto"/>
        </w:rPr>
      </w:pPr>
    </w:p>
    <w:p>
      <w:pPr>
        <w:ind w:left="120" w:right="460" w:firstLine="358"/>
        <w:spacing w:after="0" w:line="274" w:lineRule="auto"/>
        <w:rPr>
          <w:sz w:val="20"/>
          <w:szCs w:val="20"/>
          <w:color w:val="auto"/>
        </w:rPr>
      </w:pPr>
      <w:r>
        <w:rPr>
          <w:rFonts w:ascii="Arial" w:cs="Arial" w:eastAsia="Arial" w:hAnsi="Arial"/>
          <w:sz w:val="18"/>
          <w:szCs w:val="18"/>
          <w:color w:val="auto"/>
        </w:rPr>
        <w:t>The diagram under “—Organizational Structure” below depicts a simplified version of our organization and ownership structure after giving effect to this offering and the related formation transactions.</w:t>
      </w:r>
    </w:p>
    <w:p>
      <w:pPr>
        <w:spacing w:after="0" w:line="64" w:lineRule="exact"/>
        <w:rPr>
          <w:sz w:val="20"/>
          <w:szCs w:val="20"/>
          <w:color w:val="auto"/>
        </w:rPr>
      </w:pPr>
    </w:p>
    <w:p>
      <w:pPr>
        <w:ind w:left="120" w:right="960" w:firstLine="358"/>
        <w:spacing w:after="0" w:line="274" w:lineRule="auto"/>
        <w:rPr>
          <w:sz w:val="20"/>
          <w:szCs w:val="20"/>
          <w:color w:val="auto"/>
        </w:rPr>
      </w:pPr>
      <w:r>
        <w:rPr>
          <w:rFonts w:ascii="Arial" w:cs="Arial" w:eastAsia="Arial" w:hAnsi="Arial"/>
          <w:sz w:val="18"/>
          <w:szCs w:val="18"/>
          <w:color w:val="auto"/>
        </w:rPr>
        <w:t>For further details on our agreements with New Fortress Energy Holdings and its affiliates, please read “Certain Relationships and Related Transactions.”</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refer to the above transactions throughout this prospectus as the “Transactions.”</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Class A shares and Class B shares</w:t>
      </w:r>
    </w:p>
    <w:p>
      <w:pPr>
        <w:spacing w:after="0" w:line="115" w:lineRule="exact"/>
        <w:rPr>
          <w:sz w:val="20"/>
          <w:szCs w:val="20"/>
          <w:color w:val="auto"/>
        </w:rPr>
      </w:pPr>
    </w:p>
    <w:p>
      <w:pPr>
        <w:jc w:val="both"/>
        <w:ind w:left="120" w:right="20" w:firstLine="358"/>
        <w:spacing w:after="0" w:line="255" w:lineRule="auto"/>
        <w:rPr>
          <w:sz w:val="20"/>
          <w:szCs w:val="20"/>
          <w:color w:val="auto"/>
        </w:rPr>
      </w:pPr>
      <w:r>
        <w:rPr>
          <w:rFonts w:ascii="Arial" w:cs="Arial" w:eastAsia="Arial" w:hAnsi="Arial"/>
          <w:sz w:val="18"/>
          <w:szCs w:val="18"/>
          <w:color w:val="auto"/>
        </w:rPr>
        <w:t>Our first amended and restated limited liability company agreement (the “operating agreement”) will provide for two classes of shares, Class A shares and Class B shares, representing limited liability company interests in us. Only the holders of our Class A shares are entitled to participate in any dividends our board of directors may declare. Each Class A share will also be entitled to one vote on the limited matters to be voted on by our shareholders. We have been authorized to list our Class A shares for trading on NASDAQ under the symbol “NFE.”</w:t>
      </w:r>
    </w:p>
    <w:p>
      <w:pPr>
        <w:spacing w:after="0" w:line="81" w:lineRule="exact"/>
        <w:rPr>
          <w:sz w:val="20"/>
          <w:szCs w:val="20"/>
          <w:color w:val="auto"/>
        </w:rPr>
      </w:pPr>
    </w:p>
    <w:p>
      <w:pPr>
        <w:ind w:left="120" w:right="500" w:firstLine="358"/>
        <w:spacing w:after="0" w:line="305" w:lineRule="auto"/>
        <w:rPr>
          <w:sz w:val="20"/>
          <w:szCs w:val="20"/>
          <w:color w:val="auto"/>
        </w:rPr>
      </w:pPr>
      <w:r>
        <w:rPr>
          <w:rFonts w:ascii="Arial" w:cs="Arial" w:eastAsia="Arial" w:hAnsi="Arial"/>
          <w:sz w:val="17"/>
          <w:szCs w:val="17"/>
          <w:color w:val="auto"/>
        </w:rPr>
        <w:t>Class B shares are not entitled to receive dividends but will be entitled to vote on the same basis as the Class A shares. Holders of Class A shares and Class B shares will vote together as a single class on all matters</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6810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60440" cy="6810375"/>
                    </a:xfrm>
                    <a:prstGeom prst="rect">
                      <a:avLst/>
                    </a:prstGeom>
                    <a:noFill/>
                  </pic:spPr>
                </pic:pic>
              </a:graphicData>
            </a:graphic>
          </wp:anchor>
        </w:drawing>
      </w:r>
    </w:p>
    <w:p>
      <w:pPr>
        <w:spacing w:after="0" w:line="136"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presented to our shareholders for their vote or approval, except as otherwise required by applicable law. We do not intend to list the Class B shares on any stock exchange. All of our Class B shares will initially be owned by New Fortress Energy Holdings. For a description of the rights and privileges of shareholders under our operating agreement, including voting rights, please read “Our Operating Agreement.”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w:t>
      </w:r>
    </w:p>
    <w:p>
      <w:pPr>
        <w:spacing w:after="0" w:line="115" w:lineRule="exact"/>
        <w:rPr>
          <w:sz w:val="20"/>
          <w:szCs w:val="20"/>
          <w:color w:val="auto"/>
        </w:rPr>
      </w:pPr>
    </w:p>
    <w:p>
      <w:pPr>
        <w:ind w:left="120" w:right="80" w:firstLine="358"/>
        <w:spacing w:after="0" w:line="284" w:lineRule="auto"/>
        <w:rPr>
          <w:sz w:val="20"/>
          <w:szCs w:val="20"/>
          <w:color w:val="auto"/>
        </w:rPr>
      </w:pPr>
      <w:r>
        <w:rPr>
          <w:rFonts w:ascii="Arial" w:cs="Arial" w:eastAsia="Arial" w:hAnsi="Arial"/>
          <w:sz w:val="16"/>
          <w:szCs w:val="16"/>
          <w:color w:val="auto"/>
        </w:rPr>
        <w:t>Following this offering, under the NFI limited liability company agreement (the “NFI LLC Agreement”), New Fortress Energy Holdings and any permitted transferees of New Fortress Energy Holdings’ NFI LLC Units will, subject to certain limitations, have the right (the “Redemption Right”) to cause NFI to acquire all or a portion of their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NFI will determine whether to issue Class A shares or cash based on facts in existence at the time of the decision, which we expect would include the relative value of the Class A shares (including the trading price for the Class A shares at the time), the cash purchase price, the availability of other sources of liquidity to acquire the NFI LLC Units and alternative uses for such cash. As the sole managing member of NFI, our decision to make a cash payment upon the redemption of NFI LLC Units will be made by a committee of disinterested members of our board of directors. Alternatively, upon the exercise of the Redemption Right, NFE (instead of NFI) will have the right (the “Call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In connection with any redemption of NFI LLC Units pursuant to the Redemption Right or our Call Right, the corresponding number of Class B shares will be automatically cancelled.</w:t>
      </w:r>
    </w:p>
    <w:p>
      <w:pPr>
        <w:spacing w:after="0" w:line="61" w:lineRule="exact"/>
        <w:rPr>
          <w:sz w:val="20"/>
          <w:szCs w:val="20"/>
          <w:color w:val="auto"/>
        </w:rPr>
      </w:pPr>
    </w:p>
    <w:p>
      <w:pPr>
        <w:ind w:left="120" w:right="60" w:firstLine="358"/>
        <w:spacing w:after="0" w:line="257" w:lineRule="auto"/>
        <w:rPr>
          <w:sz w:val="20"/>
          <w:szCs w:val="20"/>
          <w:color w:val="auto"/>
        </w:rPr>
      </w:pPr>
      <w:r>
        <w:rPr>
          <w:rFonts w:ascii="Arial" w:cs="Arial" w:eastAsia="Arial" w:hAnsi="Arial"/>
          <w:sz w:val="18"/>
          <w:szCs w:val="18"/>
          <w:color w:val="auto"/>
        </w:rPr>
        <w:t>For purposes of any transfer or exchange of NFI LLC Units initially owned by New Fortress Energy Holdings and our Class B shares, the NFI LLC Agreement and our operating agreement will contain provisions effectively linking each NFI LLC Unit with one of our Class B shares. Class B shares cannot be transferred without transferring an equal number of NFI LLC Units and vice versa.</w:t>
      </w:r>
    </w:p>
    <w:p>
      <w:pPr>
        <w:spacing w:after="0" w:line="79" w:lineRule="exact"/>
        <w:rPr>
          <w:sz w:val="20"/>
          <w:szCs w:val="20"/>
          <w:color w:val="auto"/>
        </w:rPr>
      </w:pPr>
    </w:p>
    <w:p>
      <w:pPr>
        <w:ind w:left="120" w:right="360" w:firstLine="358"/>
        <w:spacing w:after="0" w:line="305" w:lineRule="auto"/>
        <w:rPr>
          <w:sz w:val="20"/>
          <w:szCs w:val="20"/>
          <w:color w:val="auto"/>
        </w:rPr>
      </w:pPr>
      <w:r>
        <w:rPr>
          <w:rFonts w:ascii="Arial" w:cs="Arial" w:eastAsia="Arial" w:hAnsi="Arial"/>
          <w:sz w:val="17"/>
          <w:szCs w:val="17"/>
          <w:color w:val="auto"/>
        </w:rPr>
        <w:t>For additional information, please read “Certain Relationships and Related Transactions—Agreements with Affiliates in Connection with the Transactions—Amended and Restated Limited Liability Company Agreement of NFI.”</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Holding Company Structure</w:t>
      </w:r>
    </w:p>
    <w:p>
      <w:pPr>
        <w:spacing w:after="0" w:line="115" w:lineRule="exact"/>
        <w:rPr>
          <w:sz w:val="20"/>
          <w:szCs w:val="20"/>
          <w:color w:val="auto"/>
        </w:rPr>
      </w:pPr>
    </w:p>
    <w:p>
      <w:pPr>
        <w:ind w:left="120" w:right="60" w:firstLine="358"/>
        <w:spacing w:after="0" w:line="255" w:lineRule="auto"/>
        <w:rPr>
          <w:sz w:val="20"/>
          <w:szCs w:val="20"/>
          <w:color w:val="auto"/>
        </w:rPr>
      </w:pPr>
      <w:r>
        <w:rPr>
          <w:rFonts w:ascii="Arial" w:cs="Arial" w:eastAsia="Arial" w:hAnsi="Arial"/>
          <w:sz w:val="18"/>
          <w:szCs w:val="18"/>
          <w:color w:val="auto"/>
        </w:rPr>
        <w:t>Our post-offering organizational structure will allow New Fortress Energy Holdings to retain a direct equity ownership in NFI, which will be classified as a partnership for U.S. federal income tax purposes following the offering. Investors in this offering will, by contrast, hold a direct equity ownership in us in the form of Class A shares, and an indirect ownership interest in NFI through our ownership of NFI LLC Units. Although we were formed as a limited liability company, we have elected to be taxed as a corporation for U.S. federal income tax purposes.</w:t>
      </w:r>
    </w:p>
    <w:p>
      <w:pPr>
        <w:spacing w:after="0" w:line="81" w:lineRule="exact"/>
        <w:rPr>
          <w:sz w:val="20"/>
          <w:szCs w:val="20"/>
          <w:color w:val="auto"/>
        </w:rPr>
      </w:pPr>
    </w:p>
    <w:p>
      <w:pPr>
        <w:ind w:left="120" w:right="120" w:firstLine="358"/>
        <w:spacing w:after="0" w:line="261" w:lineRule="auto"/>
        <w:rPr>
          <w:sz w:val="20"/>
          <w:szCs w:val="20"/>
          <w:color w:val="auto"/>
        </w:rPr>
      </w:pPr>
      <w:r>
        <w:rPr>
          <w:rFonts w:ascii="Arial" w:cs="Arial" w:eastAsia="Arial" w:hAnsi="Arial"/>
          <w:sz w:val="18"/>
          <w:szCs w:val="18"/>
          <w:color w:val="auto"/>
        </w:rPr>
        <w:t>Pursuant to our operating agreement and the NFI LLC Agreement, our capital structure and the capital structure of NFI will generally replicate one another and will provide for customary antidilution mechanisms in order to maintain the one-for-one exchange ratio between the NFI LLC Units and our Class A shares.</w:t>
      </w:r>
    </w:p>
    <w:p>
      <w:pPr>
        <w:spacing w:after="0" w:line="76" w:lineRule="exact"/>
        <w:rPr>
          <w:sz w:val="20"/>
          <w:szCs w:val="20"/>
          <w:color w:val="auto"/>
        </w:rPr>
      </w:pPr>
    </w:p>
    <w:p>
      <w:pPr>
        <w:jc w:val="both"/>
        <w:ind w:left="120" w:right="40" w:firstLine="358"/>
        <w:spacing w:after="0" w:line="261" w:lineRule="auto"/>
        <w:rPr>
          <w:sz w:val="20"/>
          <w:szCs w:val="20"/>
          <w:color w:val="auto"/>
        </w:rPr>
      </w:pPr>
      <w:r>
        <w:rPr>
          <w:rFonts w:ascii="Arial" w:cs="Arial" w:eastAsia="Arial" w:hAnsi="Arial"/>
          <w:sz w:val="18"/>
          <w:szCs w:val="18"/>
          <w:color w:val="auto"/>
        </w:rPr>
        <w:t>For additional information, please read “—Organizational Structure” and “Certain Relationships and Related Transactions— Agreements with Affiliates in Connection with the Transactions—Amended and Restated Limited Liability Company Agreement of NFI.”</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19" w:lineRule="exact"/>
        <w:rPr>
          <w:sz w:val="20"/>
          <w:szCs w:val="20"/>
          <w:color w:val="auto"/>
        </w:rPr>
      </w:pPr>
    </w:p>
    <w:p>
      <w:pPr>
        <w:ind w:left="120" w:right="40" w:firstLine="358"/>
        <w:spacing w:after="0" w:line="284" w:lineRule="auto"/>
        <w:rPr>
          <w:sz w:val="20"/>
          <w:szCs w:val="20"/>
          <w:color w:val="auto"/>
        </w:rPr>
      </w:pPr>
      <w:r>
        <w:rPr>
          <w:rFonts w:ascii="Arial" w:cs="Arial" w:eastAsia="Arial" w:hAnsi="Arial"/>
          <w:sz w:val="17"/>
          <w:szCs w:val="17"/>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25850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0440" cy="2585085"/>
                    </a:xfrm>
                    <a:prstGeom prst="rect">
                      <a:avLst/>
                    </a:prstGeom>
                    <a:noFill/>
                  </pic:spPr>
                </pic:pic>
              </a:graphicData>
            </a:graphic>
          </wp:anchor>
        </w:drawing>
      </w:r>
    </w:p>
    <w:p>
      <w:pPr>
        <w:spacing w:after="0" w:line="243" w:lineRule="exact"/>
        <w:rPr>
          <w:sz w:val="20"/>
          <w:szCs w:val="20"/>
          <w:color w:val="auto"/>
        </w:rPr>
      </w:pPr>
    </w:p>
    <w:p>
      <w:pPr>
        <w:ind w:left="120" w:right="60" w:firstLine="358"/>
        <w:spacing w:after="0" w:line="289" w:lineRule="auto"/>
        <w:rPr>
          <w:sz w:val="20"/>
          <w:szCs w:val="20"/>
          <w:color w:val="auto"/>
        </w:rPr>
      </w:pPr>
      <w:r>
        <w:rPr>
          <w:rFonts w:ascii="Arial" w:cs="Arial" w:eastAsia="Arial" w:hAnsi="Arial"/>
          <w:sz w:val="16"/>
          <w:szCs w:val="16"/>
          <w:color w:val="auto"/>
        </w:rPr>
        <w:t>One or more of our officers and directors have responsibilities and commitments to entities other than us. For example, we have some of the same directors and officers as other entities affiliated with Fortress. In addition, we do not have a policy that expressly prohibits our directors, officers, securityholders or affiliates from engaging in business activities of the types conducted by us for their own account. Fortress and its members, managers, officers and employees may pursue acquisition opportunities that we may acquire or dispose of assets in which such persons have a personal interest. In the event of a violation of this code of business conduct and ethics that does not constitute bad faith, willful misconduct, gross negligence or reckless disregard of our directors’ or officers’ duties, our directors, officers or employees will not be liable to us.</w:t>
      </w:r>
    </w:p>
    <w:p>
      <w:pPr>
        <w:spacing w:after="0" w:line="59" w:lineRule="exact"/>
        <w:rPr>
          <w:sz w:val="20"/>
          <w:szCs w:val="20"/>
          <w:color w:val="auto"/>
        </w:rPr>
      </w:pPr>
    </w:p>
    <w:p>
      <w:pPr>
        <w:ind w:left="120" w:right="60" w:firstLine="358"/>
        <w:spacing w:after="0" w:line="261" w:lineRule="auto"/>
        <w:rPr>
          <w:sz w:val="20"/>
          <w:szCs w:val="20"/>
          <w:color w:val="auto"/>
        </w:rPr>
      </w:pPr>
      <w:r>
        <w:rPr>
          <w:rFonts w:ascii="Arial" w:cs="Arial" w:eastAsia="Arial" w:hAnsi="Arial"/>
          <w:sz w:val="18"/>
          <w:szCs w:val="18"/>
          <w:color w:val="auto"/>
        </w:rPr>
        <w:t>Our key agreements, including our operating agreement and the NFI LLC Agreement, were negotiated among related parties, and their respective terms, including fees and other amounts payable, may not be as favorable to us as terms negotiated at an arm’s-length basis with unaffiliated parties.</w:t>
      </w:r>
    </w:p>
    <w:p>
      <w:pPr>
        <w:spacing w:after="0" w:line="76" w:lineRule="exact"/>
        <w:rPr>
          <w:sz w:val="20"/>
          <w:szCs w:val="20"/>
          <w:color w:val="auto"/>
        </w:rPr>
      </w:pPr>
    </w:p>
    <w:p>
      <w:pPr>
        <w:ind w:left="120" w:right="80" w:firstLine="358"/>
        <w:spacing w:after="0" w:line="291" w:lineRule="auto"/>
        <w:rPr>
          <w:sz w:val="20"/>
          <w:szCs w:val="20"/>
          <w:color w:val="auto"/>
        </w:rPr>
      </w:pPr>
      <w:r>
        <w:rPr>
          <w:rFonts w:ascii="Arial" w:cs="Arial" w:eastAsia="Arial" w:hAnsi="Arial"/>
          <w:sz w:val="16"/>
          <w:szCs w:val="16"/>
          <w:color w:val="auto"/>
        </w:rPr>
        <w:t>We may compete with entities affiliated with Fortress for certain business opportunities. From time to time, affiliates of Fortress may focus on investments in assets in industries in which we currently, and may seek to in the future, operate. These affiliates may have meaningful access to capital, which may change over time depending upon a variety of factors, including, but not limited to, available equity capital and debt financing, market conditions and cash on hand. Fortress has multiple existing and planned funds focused on investing in the industries in which we currently, and may seek to in the future, operate, each with significant current or expected capital commitments. We may also co-invest with these funds in certain business opportunities.</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7295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60440" cy="729551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w:t>
      </w:r>
    </w:p>
    <w:p>
      <w:pPr>
        <w:spacing w:after="0" w:line="119" w:lineRule="exact"/>
        <w:rPr>
          <w:sz w:val="20"/>
          <w:szCs w:val="20"/>
          <w:color w:val="auto"/>
        </w:rPr>
      </w:pPr>
    </w:p>
    <w:p>
      <w:pPr>
        <w:ind w:left="120" w:right="800" w:firstLine="358"/>
        <w:spacing w:after="0" w:line="339" w:lineRule="auto"/>
        <w:rPr>
          <w:sz w:val="20"/>
          <w:szCs w:val="20"/>
          <w:color w:val="auto"/>
        </w:rPr>
      </w:pPr>
      <w:r>
        <w:rPr>
          <w:rFonts w:ascii="Arial" w:cs="Arial" w:eastAsia="Arial" w:hAnsi="Arial"/>
          <w:sz w:val="16"/>
          <w:szCs w:val="16"/>
          <w:color w:val="auto"/>
        </w:rPr>
        <w:t>The following is a simplified diagram of our ownership structure after giving effect to this offering and the related transactions assuming the underwriters do not exercise their option to purchase additional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0" w:right="120" w:hanging="342"/>
        <w:spacing w:after="0" w:line="247" w:lineRule="auto"/>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New Fortress Energy Holdings, which directly holds the Class B shares of the Company, is majority-owned and controlled by the Fortress Shareholder. Fortress Shareholder is controlled by Wesley R. Edens, our Chief Executive Officer. Mr. Edens exercises voting and dispositive power over the shares held by New Fortress Energy Holdings and may be deemed to be the beneficial owner thereof. Mr. Edens disclaims beneficial ownership of shares in excess of his pecuniary interest therein. New Fortress Energy Holdings, its stockholders, or entities affiliated with them agreed to purchase 5,000,000 Class A shares in the offering.</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109" w:lineRule="exact"/>
        <w:rPr>
          <w:sz w:val="20"/>
          <w:szCs w:val="20"/>
          <w:color w:val="auto"/>
        </w:rPr>
      </w:pPr>
    </w:p>
    <w:p>
      <w:pPr>
        <w:ind w:left="120" w:right="40" w:firstLine="358"/>
        <w:spacing w:after="0" w:line="257" w:lineRule="auto"/>
        <w:rPr>
          <w:sz w:val="20"/>
          <w:szCs w:val="20"/>
          <w:color w:val="auto"/>
        </w:rPr>
      </w:pPr>
      <w:r>
        <w:rPr>
          <w:rFonts w:ascii="Arial" w:cs="Arial" w:eastAsia="Arial" w:hAnsi="Arial"/>
          <w:sz w:val="16"/>
          <w:szCs w:val="16"/>
          <w:color w:val="auto"/>
        </w:rPr>
        <w:t>Our principal executive offices are located at 111 W. 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10011 and our telephone number is (516) 268-7400. Our website is located at </w:t>
      </w:r>
      <w:r>
        <w:rPr>
          <w:rFonts w:ascii="Arial" w:cs="Arial" w:eastAsia="Arial" w:hAnsi="Arial"/>
          <w:sz w:val="16"/>
          <w:szCs w:val="16"/>
          <w:i w:val="1"/>
          <w:iCs w:val="1"/>
          <w:color w:val="auto"/>
        </w:rPr>
        <w:t>www.newfortressenergy.com</w:t>
      </w:r>
      <w:r>
        <w:rPr>
          <w:rFonts w:ascii="Arial" w:cs="Arial" w:eastAsia="Arial" w:hAnsi="Arial"/>
          <w:sz w:val="16"/>
          <w:szCs w:val="16"/>
          <w:color w:val="auto"/>
        </w:rPr>
        <w:t>. We expect to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408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0440" cy="4084320"/>
                    </a:xfrm>
                    <a:prstGeom prst="rect">
                      <a:avLst/>
                    </a:prstGeom>
                    <a:noFill/>
                  </pic:spPr>
                </pic:pic>
              </a:graphicData>
            </a:graphic>
          </wp:anchor>
        </w:drawing>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Offering</w:t>
      </w:r>
    </w:p>
    <w:p>
      <w:pPr>
        <w:spacing w:after="0" w:line="119" w:lineRule="exact"/>
        <w:rPr>
          <w:sz w:val="20"/>
          <w:szCs w:val="20"/>
          <w:color w:val="auto"/>
        </w:rPr>
      </w:pPr>
    </w:p>
    <w:p>
      <w:pPr>
        <w:ind w:left="120"/>
        <w:spacing w:after="0"/>
        <w:tabs>
          <w:tab w:leader="none" w:pos="4400" w:val="left"/>
        </w:tabs>
        <w:rPr>
          <w:sz w:val="20"/>
          <w:szCs w:val="20"/>
          <w:color w:val="auto"/>
        </w:rPr>
      </w:pPr>
      <w:r>
        <w:rPr>
          <w:rFonts w:ascii="Arial" w:cs="Arial" w:eastAsia="Arial" w:hAnsi="Arial"/>
          <w:sz w:val="18"/>
          <w:szCs w:val="18"/>
          <w:color w:val="auto"/>
        </w:rPr>
        <w:t>Class A shares offered to the public</w:t>
      </w:r>
      <w:r>
        <w:rPr>
          <w:sz w:val="20"/>
          <w:szCs w:val="20"/>
          <w:color w:val="auto"/>
        </w:rPr>
        <w:tab/>
      </w:r>
      <w:r>
        <w:rPr>
          <w:rFonts w:ascii="Arial" w:cs="Arial" w:eastAsia="Arial" w:hAnsi="Arial"/>
          <w:sz w:val="15"/>
          <w:szCs w:val="15"/>
          <w:color w:val="auto"/>
        </w:rPr>
        <w:t>20,000,000 Class A shares, or 23,000,000 Class A shares if the</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underwriters exercise their option to purchase additional Class A</w:t>
      </w:r>
    </w:p>
    <w:p>
      <w:pPr>
        <w:spacing w:after="0" w:line="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shares in full.</w:t>
      </w:r>
    </w:p>
    <w:p>
      <w:pPr>
        <w:spacing w:after="0" w:line="100" w:lineRule="exact"/>
        <w:rPr>
          <w:sz w:val="20"/>
          <w:szCs w:val="20"/>
          <w:color w:val="auto"/>
        </w:rPr>
      </w:pPr>
    </w:p>
    <w:p>
      <w:pPr>
        <w:ind w:left="120"/>
        <w:spacing w:after="0"/>
        <w:tabs>
          <w:tab w:leader="none" w:pos="4400" w:val="left"/>
        </w:tabs>
        <w:rPr>
          <w:sz w:val="20"/>
          <w:szCs w:val="20"/>
          <w:color w:val="auto"/>
        </w:rPr>
      </w:pPr>
      <w:r>
        <w:rPr>
          <w:rFonts w:ascii="Arial" w:cs="Arial" w:eastAsia="Arial" w:hAnsi="Arial"/>
          <w:sz w:val="18"/>
          <w:szCs w:val="18"/>
          <w:color w:val="auto"/>
        </w:rPr>
        <w:t>Class A shares outstanding after this offering</w:t>
      </w:r>
      <w:r>
        <w:rPr>
          <w:sz w:val="20"/>
          <w:szCs w:val="20"/>
          <w:color w:val="auto"/>
        </w:rPr>
        <w:tab/>
      </w:r>
      <w:r>
        <w:rPr>
          <w:rFonts w:ascii="Arial" w:cs="Arial" w:eastAsia="Arial" w:hAnsi="Arial"/>
          <w:sz w:val="15"/>
          <w:szCs w:val="15"/>
          <w:color w:val="auto"/>
        </w:rPr>
        <w:t>20,000,000 Class A shares, or 23,000,000 Class A shares if the</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underwriters exercise their option to purchase additional Class A</w:t>
      </w:r>
    </w:p>
    <w:p>
      <w:pPr>
        <w:spacing w:after="0" w:line="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shares in full.</w:t>
      </w:r>
    </w:p>
    <w:p>
      <w:pPr>
        <w:spacing w:after="0" w:line="100" w:lineRule="exact"/>
        <w:rPr>
          <w:sz w:val="20"/>
          <w:szCs w:val="20"/>
          <w:color w:val="auto"/>
        </w:rPr>
      </w:pPr>
    </w:p>
    <w:p>
      <w:pPr>
        <w:ind w:left="120"/>
        <w:spacing w:after="0"/>
        <w:tabs>
          <w:tab w:leader="none" w:pos="4400" w:val="left"/>
        </w:tabs>
        <w:rPr>
          <w:sz w:val="20"/>
          <w:szCs w:val="20"/>
          <w:color w:val="auto"/>
        </w:rPr>
      </w:pPr>
      <w:r>
        <w:rPr>
          <w:rFonts w:ascii="Arial" w:cs="Arial" w:eastAsia="Arial" w:hAnsi="Arial"/>
          <w:sz w:val="18"/>
          <w:szCs w:val="18"/>
          <w:color w:val="auto"/>
        </w:rPr>
        <w:t>Class B shares outstanding after this offering</w:t>
      </w:r>
      <w:r>
        <w:rPr>
          <w:sz w:val="20"/>
          <w:szCs w:val="20"/>
          <w:color w:val="auto"/>
        </w:rPr>
        <w:tab/>
      </w:r>
      <w:r>
        <w:rPr>
          <w:rFonts w:ascii="Arial" w:cs="Arial" w:eastAsia="Arial" w:hAnsi="Arial"/>
          <w:sz w:val="16"/>
          <w:szCs w:val="16"/>
          <w:color w:val="auto"/>
        </w:rPr>
        <w:t>147,058,824 Class B shares, or one Class B share for each NFI LLC</w:t>
      </w:r>
    </w:p>
    <w:p>
      <w:pPr>
        <w:spacing w:after="0" w:line="22" w:lineRule="exact"/>
        <w:rPr>
          <w:sz w:val="20"/>
          <w:szCs w:val="20"/>
          <w:color w:val="auto"/>
        </w:rPr>
      </w:pPr>
    </w:p>
    <w:p>
      <w:pPr>
        <w:ind w:left="4420" w:right="60"/>
        <w:spacing w:after="0" w:line="269" w:lineRule="auto"/>
        <w:rPr>
          <w:sz w:val="20"/>
          <w:szCs w:val="20"/>
          <w:color w:val="auto"/>
        </w:rPr>
      </w:pPr>
      <w:r>
        <w:rPr>
          <w:rFonts w:ascii="Arial" w:cs="Arial" w:eastAsia="Arial" w:hAnsi="Arial"/>
          <w:sz w:val="17"/>
          <w:szCs w:val="17"/>
          <w:color w:val="auto"/>
        </w:rPr>
        <w:t>Unit held by New Fortress Energy Holdings immediately following this offering. Class B shares vote together as a single class with Class A shares, but have no right to receive any dividends. When a NFI LLC Unit currently held by New Fortress Energy Holdings is redeemed for a Class A share, a Class B share will be cancelled.</w:t>
      </w:r>
    </w:p>
    <w:p>
      <w:pPr>
        <w:sectPr>
          <w:pgSz w:w="12240" w:h="15840" w:orient="portrait"/>
          <w:cols w:equalWidth="0" w:num="1">
            <w:col w:w="9440"/>
          </w:cols>
          <w:pgMar w:left="1360" w:top="138" w:right="1440" w:bottom="1440" w:gutter="0" w:footer="0" w:header="0"/>
        </w:sectPr>
      </w:pPr>
    </w:p>
    <w:p>
      <w:pPr>
        <w:spacing w:after="0" w:line="70" w:lineRule="exact"/>
        <w:rPr>
          <w:sz w:val="20"/>
          <w:szCs w:val="20"/>
          <w:color w:val="auto"/>
        </w:rPr>
      </w:pPr>
    </w:p>
    <w:p>
      <w:pPr>
        <w:ind w:left="300" w:hanging="178"/>
        <w:spacing w:after="0" w:line="274" w:lineRule="auto"/>
        <w:rPr>
          <w:sz w:val="20"/>
          <w:szCs w:val="20"/>
          <w:color w:val="auto"/>
        </w:rPr>
      </w:pPr>
      <w:r>
        <w:rPr>
          <w:rFonts w:ascii="Arial" w:cs="Arial" w:eastAsia="Arial" w:hAnsi="Arial"/>
          <w:sz w:val="18"/>
          <w:szCs w:val="18"/>
          <w:color w:val="auto"/>
        </w:rPr>
        <w:t>Voting power of Class A shares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0" w:hanging="178"/>
        <w:spacing w:after="0" w:line="274" w:lineRule="auto"/>
        <w:rPr>
          <w:sz w:val="20"/>
          <w:szCs w:val="20"/>
          <w:color w:val="auto"/>
        </w:rPr>
      </w:pPr>
      <w:r>
        <w:rPr>
          <w:rFonts w:ascii="Arial" w:cs="Arial" w:eastAsia="Arial" w:hAnsi="Arial"/>
          <w:sz w:val="18"/>
          <w:szCs w:val="18"/>
          <w:color w:val="auto"/>
        </w:rPr>
        <w:t>Voting power of Class B shares after giving effect to this offering</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12.0% (or 13.5% if the underwriters’ option to purchase additional Class A shares is exercised in full). The voting power of our Class A shares would be 100% if all outstanding NFI LLC Units held by New Fortress Energy Holdings were redeemed (and a corresponding number of our Class B shares was cancelled) for newly issued Class A shares on a one-for-one basis.</w:t>
      </w:r>
    </w:p>
    <w:p>
      <w:pPr>
        <w:spacing w:after="0" w:line="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88.0% (or 86.5% if the underwriters’ option to purchase additional Class A shares is exercised in full). The voting power of our Class B shares would be 0% if all outstanding NFI LLC Units held by New Fortress Energy Holdings were redeemed (along with the cancellation of a corresponding number of our Class B shares) for newly issued Class A shares on a one-for-one basis.</w:t>
      </w:r>
    </w:p>
    <w:p>
      <w:pPr>
        <w:spacing w:after="0" w:line="200" w:lineRule="exact"/>
        <w:rPr>
          <w:sz w:val="20"/>
          <w:szCs w:val="20"/>
          <w:color w:val="auto"/>
        </w:rPr>
      </w:pPr>
    </w:p>
    <w:p>
      <w:pPr>
        <w:sectPr>
          <w:pgSz w:w="12240" w:h="15840" w:orient="portrait"/>
          <w:cols w:equalWidth="0" w:num="2">
            <w:col w:w="4180" w:space="240"/>
            <w:col w:w="5020"/>
          </w:cols>
          <w:pgMar w:left="1360" w:top="138" w:right="1440" w:bottom="1440" w:gutter="0" w:footer="0" w:header="0"/>
          <w:type w:val="continuous"/>
        </w:sect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603059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92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Voting rights</w:t>
            </w:r>
          </w:p>
        </w:tc>
        <w:tc>
          <w:tcPr>
            <w:tcW w:w="6620" w:type="dxa"/>
            <w:vAlign w:val="bottom"/>
            <w:tcBorders>
              <w:top w:val="single" w:sz="8" w:color="auto"/>
              <w:right w:val="single" w:sz="8" w:color="auto"/>
            </w:tcBorders>
            <w:gridSpan w:val="2"/>
          </w:tcPr>
          <w:p>
            <w:pPr>
              <w:ind w:left="1500"/>
              <w:spacing w:after="0"/>
              <w:rPr>
                <w:sz w:val="20"/>
                <w:szCs w:val="20"/>
                <w:color w:val="auto"/>
              </w:rPr>
            </w:pPr>
            <w:r>
              <w:rPr>
                <w:rFonts w:ascii="Arial" w:cs="Arial" w:eastAsia="Arial" w:hAnsi="Arial"/>
                <w:sz w:val="18"/>
                <w:szCs w:val="18"/>
                <w:color w:val="auto"/>
                <w:w w:val="92"/>
              </w:rPr>
              <w:t>Each Class A share entitles its holder to one vote on all matters to be</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5"/>
              </w:rPr>
              <w:t>voted on by shareholders generally. Each Class B share entitles its</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9"/>
              </w:rPr>
              <w:t>holder to one vote on all matters to be voted on by shareholders</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7"/>
              </w:rPr>
              <w:t>generally. Holders of our Class A shares and Class B shares vote</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0"/>
              </w:rPr>
              <w:t>together as a single class on all matters presented to our shareholders</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for their vote or approval, except as otherwise required by applicable</w:t>
            </w:r>
          </w:p>
        </w:tc>
      </w:tr>
      <w:tr>
        <w:trPr>
          <w:trHeight w:val="229"/>
        </w:trPr>
        <w:tc>
          <w:tcPr>
            <w:tcW w:w="2920" w:type="dxa"/>
            <w:vAlign w:val="bottom"/>
            <w:tcBorders>
              <w:left w:val="single" w:sz="8" w:color="auto"/>
            </w:tcBorders>
          </w:tcPr>
          <w:p>
            <w:pPr>
              <w:spacing w:after="0"/>
              <w:rPr>
                <w:sz w:val="19"/>
                <w:szCs w:val="19"/>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9"/>
              </w:rPr>
              <w:t>law or by our operating agreement. See “Description of Shares.”</w:t>
            </w:r>
          </w:p>
        </w:tc>
      </w:tr>
      <w:tr>
        <w:trPr>
          <w:trHeight w:val="307"/>
        </w:trPr>
        <w:tc>
          <w:tcPr>
            <w:tcW w:w="29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Use of proceeds</w:t>
            </w: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We expect the estimated net proceeds from this offering to be</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approximately $257.6 million, after deducting the underwriting</w:t>
            </w:r>
          </w:p>
        </w:tc>
      </w:tr>
      <w:tr>
        <w:trPr>
          <w:trHeight w:val="229"/>
        </w:trPr>
        <w:tc>
          <w:tcPr>
            <w:tcW w:w="2920" w:type="dxa"/>
            <w:vAlign w:val="bottom"/>
            <w:tcBorders>
              <w:left w:val="single" w:sz="8" w:color="auto"/>
            </w:tcBorders>
          </w:tcPr>
          <w:p>
            <w:pPr>
              <w:spacing w:after="0"/>
              <w:rPr>
                <w:sz w:val="19"/>
                <w:szCs w:val="19"/>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discounts and offering expenses.</w:t>
            </w:r>
          </w:p>
        </w:tc>
      </w:tr>
      <w:tr>
        <w:trPr>
          <w:trHeight w:val="307"/>
        </w:trPr>
        <w:tc>
          <w:tcPr>
            <w:tcW w:w="2920" w:type="dxa"/>
            <w:vAlign w:val="bottom"/>
            <w:tcBorders>
              <w:left w:val="single" w:sz="8" w:color="auto"/>
            </w:tcBorders>
          </w:tcPr>
          <w:p>
            <w:pPr>
              <w:spacing w:after="0"/>
              <w:rPr>
                <w:sz w:val="24"/>
                <w:szCs w:val="24"/>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We will contribute the net proceeds of this offering to NFI in</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exchange for NFI’s issuance to us of 20,000,000 NFI LLC Units. NFI</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5"/>
              </w:rPr>
              <w:t>will use the net proceeds in connection with the construction of our</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5"/>
              </w:rPr>
              <w:t>Terminals and Liquefaction Facilities, as well as for working capital</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and general corporate purposes, including the development of future</w:t>
            </w:r>
          </w:p>
        </w:tc>
      </w:tr>
      <w:tr>
        <w:trPr>
          <w:trHeight w:val="229"/>
        </w:trPr>
        <w:tc>
          <w:tcPr>
            <w:tcW w:w="2920" w:type="dxa"/>
            <w:vAlign w:val="bottom"/>
            <w:tcBorders>
              <w:left w:val="single" w:sz="8" w:color="auto"/>
            </w:tcBorders>
          </w:tcPr>
          <w:p>
            <w:pPr>
              <w:spacing w:after="0"/>
              <w:rPr>
                <w:sz w:val="19"/>
                <w:szCs w:val="19"/>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6"/>
              </w:rPr>
              <w:t>projects. Please read “Use of Proceeds” for additional information.</w:t>
            </w:r>
          </w:p>
        </w:tc>
      </w:tr>
      <w:tr>
        <w:trPr>
          <w:trHeight w:val="307"/>
        </w:trPr>
        <w:tc>
          <w:tcPr>
            <w:tcW w:w="2920" w:type="dxa"/>
            <w:vAlign w:val="bottom"/>
            <w:tcBorders>
              <w:left w:val="single" w:sz="8" w:color="auto"/>
            </w:tcBorders>
          </w:tcPr>
          <w:p>
            <w:pPr>
              <w:spacing w:after="0"/>
              <w:rPr>
                <w:sz w:val="24"/>
                <w:szCs w:val="24"/>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If the underwriters exercise their option to purchase additional Class</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8"/>
              </w:rPr>
              <w:t>A shares in full, the additional net proceeds will be approximately</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$39.6 million. The net proceeds from any exercise of such option will</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be contributed to NFI in exchange for NFI’s issuance to us of</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7"/>
              </w:rPr>
              <w:t>additional NFI LLC Units. After the application of the net proceeds</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6"/>
              </w:rPr>
              <w:t>from this offering, we will own a 12.0% membership interest in NFI</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(or a 13.5% membership interest if the underwriters’ option to</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purchase additional Class A shares is exercised in full). Please read</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“Security Ownership of Certain Beneficial Owners and</w:t>
            </w:r>
          </w:p>
        </w:tc>
      </w:tr>
      <w:tr>
        <w:trPr>
          <w:trHeight w:val="229"/>
        </w:trPr>
        <w:tc>
          <w:tcPr>
            <w:tcW w:w="2920" w:type="dxa"/>
            <w:vAlign w:val="bottom"/>
            <w:tcBorders>
              <w:left w:val="single" w:sz="8" w:color="auto"/>
            </w:tcBorders>
          </w:tcPr>
          <w:p>
            <w:pPr>
              <w:spacing w:after="0"/>
              <w:rPr>
                <w:sz w:val="19"/>
                <w:szCs w:val="19"/>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Management.”</w:t>
            </w:r>
          </w:p>
        </w:tc>
      </w:tr>
      <w:tr>
        <w:trPr>
          <w:trHeight w:val="307"/>
        </w:trPr>
        <w:tc>
          <w:tcPr>
            <w:tcW w:w="29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Dividend policy</w:t>
            </w: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0"/>
              </w:rPr>
              <w:t>We do not anticipate paying any dividends on our Class A shares. See</w:t>
            </w:r>
          </w:p>
        </w:tc>
      </w:tr>
      <w:tr>
        <w:trPr>
          <w:trHeight w:val="229"/>
        </w:trPr>
        <w:tc>
          <w:tcPr>
            <w:tcW w:w="2920" w:type="dxa"/>
            <w:vAlign w:val="bottom"/>
            <w:tcBorders>
              <w:left w:val="single" w:sz="8" w:color="auto"/>
            </w:tcBorders>
          </w:tcPr>
          <w:p>
            <w:pPr>
              <w:spacing w:after="0"/>
              <w:rPr>
                <w:sz w:val="19"/>
                <w:szCs w:val="19"/>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“Dividend Policy.”</w:t>
            </w:r>
          </w:p>
        </w:tc>
      </w:tr>
      <w:tr>
        <w:trPr>
          <w:trHeight w:val="307"/>
        </w:trPr>
        <w:tc>
          <w:tcPr>
            <w:tcW w:w="29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Redemption Right</w:t>
            </w: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5"/>
              </w:rPr>
              <w:t>Under the NFI LLC Agreement, New Fortress Energy Holdings and</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9"/>
              </w:rPr>
              <w:t>any permitted transferees of New Fortress Energy Holdings’ NFI</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4"/>
              </w:rPr>
              <w:t>LLC Units will, subject to certain limitations, have the right, pursuant</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5"/>
              </w:rPr>
              <w:t>to the Redemption Right, to cause NFI to acquire all or a portion of</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their NFI LLC Units for, at NFI’s election, (i) Class A shares at a</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redemption ratio of one Class A share for each NFI LLC Unit</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6"/>
              </w:rPr>
              <w:t>redeemed, subject to conversion rate adjustments for equity splits,</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2"/>
              </w:rPr>
              <w:t>equity dividends and reclassification and other similar transactions or</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4"/>
              </w:rPr>
              <w:t>(ii) an equivalent amount of cash. Alternatively, upon the exercise of</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the Redemption Right, NFE (instead of NFI) will have the right,</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7"/>
              </w:rPr>
              <w:t>pursuant to the Call Right, to acquire each tendered NFI LLC Unit</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4"/>
              </w:rPr>
              <w:t>directly from the redeeming NFI unitholder for, at NFE’s election, (x)</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w w:val="93"/>
              </w:rPr>
              <w:t>one Class A share, subject to conversion rate adjustments for equity</w:t>
            </w:r>
          </w:p>
        </w:tc>
      </w:tr>
      <w:tr>
        <w:trPr>
          <w:trHeight w:val="215"/>
        </w:trPr>
        <w:tc>
          <w:tcPr>
            <w:tcW w:w="29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splits, equity dividends and reclassification and other similar</w:t>
            </w:r>
          </w:p>
        </w:tc>
      </w:tr>
      <w:tr>
        <w:trPr>
          <w:trHeight w:val="229"/>
        </w:trPr>
        <w:tc>
          <w:tcPr>
            <w:tcW w:w="2920" w:type="dxa"/>
            <w:vAlign w:val="bottom"/>
            <w:tcBorders>
              <w:left w:val="single" w:sz="8" w:color="auto"/>
            </w:tcBorders>
          </w:tcPr>
          <w:p>
            <w:pPr>
              <w:spacing w:after="0"/>
              <w:rPr>
                <w:sz w:val="19"/>
                <w:szCs w:val="19"/>
                <w:color w:val="auto"/>
              </w:rPr>
            </w:pPr>
          </w:p>
        </w:tc>
        <w:tc>
          <w:tcPr>
            <w:tcW w:w="6620" w:type="dxa"/>
            <w:vAlign w:val="bottom"/>
            <w:tcBorders>
              <w:right w:val="single" w:sz="8" w:color="auto"/>
            </w:tcBorders>
            <w:gridSpan w:val="2"/>
          </w:tcPr>
          <w:p>
            <w:pPr>
              <w:ind w:left="1500"/>
              <w:spacing w:after="0"/>
              <w:rPr>
                <w:sz w:val="20"/>
                <w:szCs w:val="20"/>
                <w:color w:val="auto"/>
              </w:rPr>
            </w:pPr>
            <w:r>
              <w:rPr>
                <w:rFonts w:ascii="Arial" w:cs="Arial" w:eastAsia="Arial" w:hAnsi="Arial"/>
                <w:sz w:val="18"/>
                <w:szCs w:val="18"/>
                <w:color w:val="auto"/>
              </w:rPr>
              <w:t>transactions or (y) an equivalent amount of cash.</w:t>
            </w:r>
          </w:p>
        </w:tc>
      </w:tr>
      <w:tr>
        <w:trPr>
          <w:trHeight w:val="265"/>
        </w:trPr>
        <w:tc>
          <w:tcPr>
            <w:tcW w:w="2920" w:type="dxa"/>
            <w:vAlign w:val="bottom"/>
            <w:tcBorders>
              <w:left w:val="single" w:sz="8" w:color="auto"/>
              <w:bottom w:val="single" w:sz="8" w:color="auto"/>
            </w:tcBorders>
          </w:tcPr>
          <w:p>
            <w:pPr>
              <w:spacing w:after="0"/>
              <w:rPr>
                <w:sz w:val="23"/>
                <w:szCs w:val="23"/>
                <w:color w:val="auto"/>
              </w:rPr>
            </w:pPr>
          </w:p>
        </w:tc>
        <w:tc>
          <w:tcPr>
            <w:tcW w:w="658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426"/>
        </w:trPr>
        <w:tc>
          <w:tcPr>
            <w:tcW w:w="2920" w:type="dxa"/>
            <w:vAlign w:val="bottom"/>
          </w:tcPr>
          <w:p>
            <w:pPr>
              <w:spacing w:after="0"/>
              <w:rPr>
                <w:sz w:val="24"/>
                <w:szCs w:val="24"/>
                <w:color w:val="auto"/>
              </w:rPr>
            </w:pPr>
          </w:p>
        </w:tc>
        <w:tc>
          <w:tcPr>
            <w:tcW w:w="6580" w:type="dxa"/>
            <w:vAlign w:val="bottom"/>
          </w:tcPr>
          <w:p>
            <w:pPr>
              <w:ind w:left="17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r>
      <w:tr>
        <w:trPr>
          <w:trHeight w:val="442"/>
        </w:trPr>
        <w:tc>
          <w:tcPr>
            <w:tcW w:w="29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7"/>
        </w:trPr>
        <w:tc>
          <w:tcPr>
            <w:tcW w:w="2920" w:type="dxa"/>
            <w:vAlign w:val="bottom"/>
            <w:tcBorders>
              <w:left w:val="single" w:sz="8" w:color="auto"/>
            </w:tcBorders>
            <w:shd w:val="clear" w:color="auto" w:fill="000000"/>
          </w:tcPr>
          <w:p>
            <w:pPr>
              <w:spacing w:after="0"/>
              <w:rPr>
                <w:sz w:val="5"/>
                <w:szCs w:val="5"/>
                <w:color w:val="auto"/>
              </w:rPr>
            </w:pPr>
          </w:p>
        </w:tc>
        <w:tc>
          <w:tcPr>
            <w:tcW w:w="658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2240" w:h="15840" w:orient="portrait"/>
          <w:cols w:equalWidth="0" w:num="1">
            <w:col w:w="9540"/>
          </w:cols>
          <w:pgMar w:left="1360" w:top="138" w:right="13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60" w:type="dxa"/>
            <w:vAlign w:val="bottom"/>
            <w:tcBorders>
              <w:top w:val="single" w:sz="8" w:color="auto"/>
              <w:left w:val="single" w:sz="8" w:color="auto"/>
            </w:tcBorders>
          </w:tcPr>
          <w:p>
            <w:pPr>
              <w:spacing w:after="0"/>
              <w:rPr>
                <w:sz w:val="20"/>
                <w:szCs w:val="20"/>
                <w:color w:val="auto"/>
              </w:rPr>
            </w:pPr>
          </w:p>
        </w:tc>
        <w:tc>
          <w:tcPr>
            <w:tcW w:w="6680" w:type="dxa"/>
            <w:vAlign w:val="bottom"/>
            <w:tcBorders>
              <w:top w:val="single" w:sz="8" w:color="auto"/>
              <w:right w:val="single" w:sz="8" w:color="auto"/>
            </w:tcBorders>
            <w:gridSpan w:val="2"/>
          </w:tcPr>
          <w:p>
            <w:pPr>
              <w:ind w:left="1560"/>
              <w:spacing w:after="0"/>
              <w:rPr>
                <w:sz w:val="20"/>
                <w:szCs w:val="20"/>
                <w:color w:val="auto"/>
              </w:rPr>
            </w:pPr>
            <w:r>
              <w:rPr>
                <w:rFonts w:ascii="Arial" w:cs="Arial" w:eastAsia="Arial" w:hAnsi="Arial"/>
                <w:sz w:val="18"/>
                <w:szCs w:val="18"/>
                <w:color w:val="auto"/>
                <w:w w:val="94"/>
              </w:rPr>
              <w:t>In connection with any redemption of NFI LLC Units pursuant to the</w:t>
            </w:r>
          </w:p>
        </w:tc>
      </w:tr>
      <w:tr>
        <w:trPr>
          <w:trHeight w:val="215"/>
        </w:trPr>
        <w:tc>
          <w:tcPr>
            <w:tcW w:w="286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Redemption Right or our Call Right, the corresponding number of</w:t>
            </w:r>
          </w:p>
        </w:tc>
      </w:tr>
      <w:tr>
        <w:trPr>
          <w:trHeight w:val="215"/>
        </w:trPr>
        <w:tc>
          <w:tcPr>
            <w:tcW w:w="286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Class B shares will be cancelled. For additional information, please</w:t>
            </w:r>
          </w:p>
        </w:tc>
      </w:tr>
      <w:tr>
        <w:trPr>
          <w:trHeight w:val="215"/>
        </w:trPr>
        <w:tc>
          <w:tcPr>
            <w:tcW w:w="286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3"/>
              </w:rPr>
              <w:t>read “Certain Relationships and Related Transactions—Agreements</w:t>
            </w:r>
          </w:p>
        </w:tc>
      </w:tr>
      <w:tr>
        <w:trPr>
          <w:trHeight w:val="215"/>
        </w:trPr>
        <w:tc>
          <w:tcPr>
            <w:tcW w:w="286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with Affiliates in Connection with the Transactions—Amended and</w:t>
            </w:r>
          </w:p>
        </w:tc>
      </w:tr>
      <w:tr>
        <w:trPr>
          <w:trHeight w:val="229"/>
        </w:trPr>
        <w:tc>
          <w:tcPr>
            <w:tcW w:w="286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Restated Limited Liability Company Agreement of NFI.”</w:t>
            </w:r>
          </w:p>
        </w:tc>
      </w:tr>
      <w:tr>
        <w:trPr>
          <w:trHeight w:val="307"/>
        </w:trPr>
        <w:tc>
          <w:tcPr>
            <w:tcW w:w="28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Exchange listing</w:t>
            </w: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We have been authorized to list our Class A shares on NASDAQ,</w:t>
            </w:r>
          </w:p>
        </w:tc>
      </w:tr>
      <w:tr>
        <w:trPr>
          <w:trHeight w:val="229"/>
        </w:trPr>
        <w:tc>
          <w:tcPr>
            <w:tcW w:w="286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under the symbol “NFE.”</w:t>
            </w:r>
          </w:p>
        </w:tc>
      </w:tr>
      <w:tr>
        <w:trPr>
          <w:trHeight w:val="307"/>
        </w:trPr>
        <w:tc>
          <w:tcPr>
            <w:tcW w:w="28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Risk Factors</w:t>
            </w: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You should carefully read and consider the information set forth</w:t>
            </w:r>
          </w:p>
        </w:tc>
      </w:tr>
      <w:tr>
        <w:trPr>
          <w:trHeight w:val="215"/>
        </w:trPr>
        <w:tc>
          <w:tcPr>
            <w:tcW w:w="286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under the heading “Risk Factors” and all other information set forth</w:t>
            </w:r>
          </w:p>
        </w:tc>
      </w:tr>
      <w:tr>
        <w:trPr>
          <w:trHeight w:val="229"/>
        </w:trPr>
        <w:tc>
          <w:tcPr>
            <w:tcW w:w="286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in this prospectus before deciding to invest in our Class A shares.</w:t>
            </w:r>
          </w:p>
        </w:tc>
      </w:tr>
      <w:tr>
        <w:trPr>
          <w:trHeight w:val="265"/>
        </w:trPr>
        <w:tc>
          <w:tcPr>
            <w:tcW w:w="2860" w:type="dxa"/>
            <w:vAlign w:val="bottom"/>
            <w:tcBorders>
              <w:left w:val="single" w:sz="8" w:color="auto"/>
              <w:bottom w:val="single" w:sz="8" w:color="auto"/>
            </w:tcBorders>
          </w:tcPr>
          <w:p>
            <w:pPr>
              <w:spacing w:after="0"/>
              <w:rPr>
                <w:sz w:val="23"/>
                <w:szCs w:val="23"/>
                <w:color w:val="auto"/>
              </w:rPr>
            </w:pPr>
          </w:p>
        </w:tc>
        <w:tc>
          <w:tcPr>
            <w:tcW w:w="664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426"/>
        </w:trPr>
        <w:tc>
          <w:tcPr>
            <w:tcW w:w="2860" w:type="dxa"/>
            <w:vAlign w:val="bottom"/>
          </w:tcPr>
          <w:p>
            <w:pPr>
              <w:spacing w:after="0"/>
              <w:rPr>
                <w:sz w:val="24"/>
                <w:szCs w:val="24"/>
                <w:color w:val="auto"/>
              </w:rPr>
            </w:pPr>
          </w:p>
        </w:tc>
        <w:tc>
          <w:tcPr>
            <w:tcW w:w="6640" w:type="dxa"/>
            <w:vAlign w:val="bottom"/>
          </w:tcPr>
          <w:p>
            <w:pPr>
              <w:ind w:left="18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442"/>
        </w:trPr>
        <w:tc>
          <w:tcPr>
            <w:tcW w:w="28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7"/>
        </w:trPr>
        <w:tc>
          <w:tcPr>
            <w:tcW w:w="2860" w:type="dxa"/>
            <w:vAlign w:val="bottom"/>
            <w:tcBorders>
              <w:left w:val="single" w:sz="8" w:color="auto"/>
            </w:tcBorders>
            <w:shd w:val="clear" w:color="auto" w:fill="000000"/>
          </w:tcPr>
          <w:p>
            <w:pPr>
              <w:spacing w:after="0"/>
              <w:rPr>
                <w:sz w:val="5"/>
                <w:szCs w:val="5"/>
                <w:color w:val="auto"/>
              </w:rPr>
            </w:pPr>
          </w:p>
        </w:tc>
        <w:tc>
          <w:tcPr>
            <w:tcW w:w="664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2240" w:h="15840" w:orient="portrait"/>
          <w:cols w:equalWidth="0" w:num="1">
            <w:col w:w="9540"/>
          </w:cols>
          <w:pgMar w:left="1360" w:top="138" w:right="13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6844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60440" cy="6844030"/>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Data</w:t>
      </w:r>
    </w:p>
    <w:p>
      <w:pPr>
        <w:spacing w:after="0" w:line="119" w:lineRule="exact"/>
        <w:rPr>
          <w:sz w:val="20"/>
          <w:szCs w:val="20"/>
          <w:color w:val="auto"/>
        </w:rPr>
      </w:pPr>
    </w:p>
    <w:p>
      <w:pPr>
        <w:ind w:left="120" w:right="260" w:firstLine="358"/>
        <w:spacing w:after="0" w:line="261" w:lineRule="auto"/>
        <w:rPr>
          <w:sz w:val="20"/>
          <w:szCs w:val="20"/>
          <w:color w:val="auto"/>
        </w:rPr>
      </w:pPr>
      <w:r>
        <w:rPr>
          <w:rFonts w:ascii="Arial" w:cs="Arial" w:eastAsia="Arial" w:hAnsi="Arial"/>
          <w:sz w:val="18"/>
          <w:szCs w:val="18"/>
          <w:color w:val="auto"/>
        </w:rPr>
        <w:t>NFE was formed on August 6, 2018 and does not have historical financial results. NFE currently has no assets or liabilities and has conducted no operations. The following table shows summary historical financial information of New Fortress Energy Holdings, our predecessor, for the periods and as of the dates indicated.</w:t>
      </w:r>
    </w:p>
    <w:p>
      <w:pPr>
        <w:spacing w:after="0" w:line="76" w:lineRule="exact"/>
        <w:rPr>
          <w:sz w:val="20"/>
          <w:szCs w:val="20"/>
          <w:color w:val="auto"/>
        </w:rPr>
      </w:pPr>
    </w:p>
    <w:p>
      <w:pPr>
        <w:ind w:left="120" w:right="300" w:firstLine="358"/>
        <w:spacing w:after="0" w:line="270" w:lineRule="auto"/>
        <w:rPr>
          <w:sz w:val="20"/>
          <w:szCs w:val="20"/>
          <w:color w:val="auto"/>
        </w:rPr>
      </w:pPr>
      <w:r>
        <w:rPr>
          <w:rFonts w:ascii="Arial" w:cs="Arial" w:eastAsia="Arial" w:hAnsi="Arial"/>
          <w:sz w:val="17"/>
          <w:szCs w:val="17"/>
          <w:color w:val="auto"/>
        </w:rPr>
        <w:t>The summary historical financial data as of September 30, 2018 and for the nine months ended September 30, 2018 and 2017 was derived from the unaudited historical condensed consolidated financial statements of New Fortress Energy Holdings included elsewhere in this prospectus and which, in the opinion of management, contain all normal recurring adjustments necessary for a fair statement of the results for the unaudited interim periods and have been prepared on the same basis as the associated audited consolidated financial statements. The summary historical financial data as of and for the years ended December 31, 2017 and 2016 was derived from the audited historical consolidated financial statements of New Fortress Energy Holdings included elsewhere in this prospectus.</w:t>
      </w:r>
    </w:p>
    <w:p>
      <w:pPr>
        <w:spacing w:after="0" w:line="70" w:lineRule="exact"/>
        <w:rPr>
          <w:sz w:val="20"/>
          <w:szCs w:val="20"/>
          <w:color w:val="auto"/>
        </w:rPr>
      </w:pPr>
    </w:p>
    <w:p>
      <w:pPr>
        <w:ind w:left="120" w:right="120" w:firstLine="358"/>
        <w:spacing w:after="0" w:line="257" w:lineRule="auto"/>
        <w:rPr>
          <w:sz w:val="20"/>
          <w:szCs w:val="20"/>
          <w:color w:val="auto"/>
        </w:rPr>
      </w:pPr>
      <w:r>
        <w:rPr>
          <w:rFonts w:ascii="Arial" w:cs="Arial" w:eastAsia="Arial" w:hAnsi="Arial"/>
          <w:sz w:val="18"/>
          <w:szCs w:val="18"/>
          <w:color w:val="auto"/>
        </w:rPr>
        <w:t>You should read the information set forth below together with “Use of Proceeds,” “Selected Historical Financial Data,” “Management’s Discussion and Analysis of Financial Condition and Results of Operations,” and our consolidated financial statements and related notes included elsewhere in this prospectus. The historical financial results are not necessarily indicative of results to be expected for any future periods.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238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r>
      <w:tr>
        <w:trPr>
          <w:trHeight w:val="170"/>
        </w:trPr>
        <w:tc>
          <w:tcPr>
            <w:tcW w:w="1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38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r>
      <w:tr>
        <w:trPr>
          <w:trHeight w:val="181"/>
        </w:trPr>
        <w:tc>
          <w:tcPr>
            <w:tcW w:w="1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5"/>
        </w:trPr>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80" w:type="dxa"/>
            <w:vAlign w:val="bottom"/>
            <w:gridSpan w:val="13"/>
          </w:tcPr>
          <w:p>
            <w:pPr>
              <w:ind w:left="740"/>
              <w:spacing w:after="0"/>
              <w:rPr>
                <w:sz w:val="20"/>
                <w:szCs w:val="20"/>
                <w:color w:val="auto"/>
              </w:rPr>
            </w:pPr>
            <w:r>
              <w:rPr>
                <w:rFonts w:ascii="Arial" w:cs="Arial" w:eastAsia="Arial" w:hAnsi="Arial"/>
                <w:sz w:val="14"/>
                <w:szCs w:val="14"/>
                <w:b w:val="1"/>
                <w:bCs w:val="1"/>
                <w:color w:val="auto"/>
              </w:rPr>
              <w:t>(in thousands, except share and per share amounts)</w:t>
            </w:r>
          </w:p>
        </w:tc>
      </w:tr>
      <w:tr>
        <w:trPr>
          <w:trHeight w:val="241"/>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12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6"/>
        </w:trPr>
        <w:tc>
          <w:tcPr>
            <w:tcW w:w="120" w:type="dxa"/>
            <w:vAlign w:val="bottom"/>
          </w:tcPr>
          <w:p>
            <w:pPr>
              <w:spacing w:after="0"/>
              <w:rPr>
                <w:sz w:val="21"/>
                <w:szCs w:val="21"/>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69,545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60,653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82,104</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8"/>
        </w:trPr>
        <w:tc>
          <w:tcPr>
            <w:tcW w:w="1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11,387</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11,357</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15,158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7"/>
        </w:trPr>
        <w:tc>
          <w:tcPr>
            <w:tcW w:w="120" w:type="dxa"/>
            <w:vAlign w:val="bottom"/>
          </w:tcPr>
          <w:p>
            <w:pPr>
              <w:spacing w:after="0"/>
              <w:rPr>
                <w:sz w:val="2"/>
                <w:szCs w:val="2"/>
                <w:color w:val="auto"/>
              </w:rPr>
            </w:pPr>
          </w:p>
        </w:tc>
        <w:tc>
          <w:tcPr>
            <w:tcW w:w="4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5"/>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80,932</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72,010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97,262</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120" w:type="dxa"/>
            <w:vAlign w:val="bottom"/>
          </w:tcPr>
          <w:p>
            <w:pPr>
              <w:spacing w:after="0"/>
              <w:rPr>
                <w:sz w:val="20"/>
                <w:szCs w:val="20"/>
                <w:color w:val="auto"/>
              </w:rPr>
            </w:pPr>
          </w:p>
        </w:tc>
        <w:tc>
          <w:tcPr>
            <w:tcW w:w="444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5"/>
        </w:trPr>
        <w:tc>
          <w:tcPr>
            <w:tcW w:w="12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68,625</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57,854</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78,692</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22,747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8"/>
        </w:trPr>
        <w:tc>
          <w:tcPr>
            <w:tcW w:w="120" w:type="dxa"/>
            <w:vAlign w:val="bottom"/>
          </w:tcPr>
          <w:p>
            <w:pPr>
              <w:spacing w:after="0"/>
              <w:rPr>
                <w:sz w:val="21"/>
                <w:szCs w:val="21"/>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Operations and maintenance</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5,750</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7,456</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5"/>
        </w:trPr>
        <w:tc>
          <w:tcPr>
            <w:tcW w:w="12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40,827</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21,164</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33,343</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2,258</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2,761</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44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5"/>
        </w:trPr>
        <w:tc>
          <w:tcPr>
            <w:tcW w:w="12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117,460</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85,818</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122,252</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48,453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12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(36,528)</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(13,808)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(24,990)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(27,058)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6"/>
        </w:trPr>
        <w:tc>
          <w:tcPr>
            <w:tcW w:w="120" w:type="dxa"/>
            <w:vAlign w:val="bottom"/>
          </w:tcPr>
          <w:p>
            <w:pPr>
              <w:spacing w:after="0"/>
              <w:rPr>
                <w:sz w:val="21"/>
                <w:szCs w:val="21"/>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6,389</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6,456</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5"/>
        </w:trPr>
        <w:tc>
          <w:tcPr>
            <w:tcW w:w="12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44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(43,020)</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(18,583)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(31,145)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(33,287)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2"/>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provision (benefit)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44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120" w:type="dxa"/>
            <w:vAlign w:val="bottom"/>
          </w:tcPr>
          <w:p>
            <w:pPr>
              <w:spacing w:after="0"/>
              <w:rPr>
                <w:sz w:val="19"/>
                <w:szCs w:val="19"/>
                <w:color w:val="auto"/>
              </w:rPr>
            </w:pPr>
          </w:p>
        </w:tc>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(43,419)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(19,402)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(31,671)</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(32,926)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7"/>
        </w:trPr>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1"/>
        </w:trPr>
        <w:tc>
          <w:tcPr>
            <w:tcW w:w="1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5"/>
        </w:trPr>
        <w:tc>
          <w:tcPr>
            <w:tcW w:w="12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120" w:type="dxa"/>
            <w:vAlign w:val="bottom"/>
          </w:tcPr>
          <w:p>
            <w:pPr>
              <w:spacing w:after="0"/>
              <w:rPr>
                <w:sz w:val="19"/>
                <w:szCs w:val="19"/>
                <w:color w:val="auto"/>
              </w:rPr>
            </w:pPr>
          </w:p>
        </w:tc>
        <w:tc>
          <w:tcPr>
            <w:tcW w:w="4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Weighted average number of shares outstanding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2"/>
        </w:trPr>
        <w:tc>
          <w:tcPr>
            <w:tcW w:w="120" w:type="dxa"/>
            <w:vAlign w:val="bottom"/>
          </w:tcPr>
          <w:p>
            <w:pPr>
              <w:spacing w:after="0"/>
              <w:rPr>
                <w:sz w:val="21"/>
                <w:szCs w:val="21"/>
                <w:color w:val="auto"/>
              </w:rPr>
            </w:pPr>
          </w:p>
        </w:tc>
        <w:tc>
          <w:tcPr>
            <w:tcW w:w="44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67,915,822</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65,000,478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65,006,140</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58,753,425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5"/>
        </w:trPr>
        <w:tc>
          <w:tcPr>
            <w:tcW w:w="120" w:type="dxa"/>
            <w:vAlign w:val="bottom"/>
            <w:tcBorders>
              <w:bottom w:val="single" w:sz="8" w:color="auto"/>
            </w:tcBorders>
          </w:tcPr>
          <w:p>
            <w:pPr>
              <w:spacing w:after="0"/>
              <w:rPr>
                <w:sz w:val="23"/>
                <w:szCs w:val="23"/>
                <w:color w:val="auto"/>
              </w:rPr>
            </w:pPr>
          </w:p>
        </w:tc>
        <w:tc>
          <w:tcPr>
            <w:tcW w:w="4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426"/>
        </w:trPr>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74"/>
              <w:spacing w:after="0"/>
              <w:rPr>
                <w:sz w:val="20"/>
                <w:szCs w:val="20"/>
                <w:color w:val="auto"/>
              </w:rPr>
            </w:pPr>
            <w:r>
              <w:rPr>
                <w:rFonts w:ascii="Arial" w:cs="Arial" w:eastAsia="Arial" w:hAnsi="Arial"/>
                <w:sz w:val="18"/>
                <w:szCs w:val="18"/>
                <w:color w:val="auto"/>
                <w:w w:val="79"/>
              </w:rPr>
              <w:t>20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2"/>
        </w:trPr>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7"/>
        </w:trPr>
        <w:tc>
          <w:tcPr>
            <w:tcW w:w="120" w:type="dxa"/>
            <w:vAlign w:val="bottom"/>
            <w:shd w:val="clear" w:color="auto" w:fill="000000"/>
          </w:tcPr>
          <w:p>
            <w:pPr>
              <w:spacing w:after="0"/>
              <w:rPr>
                <w:sz w:val="5"/>
                <w:szCs w:val="5"/>
                <w:color w:val="auto"/>
              </w:rPr>
            </w:pPr>
          </w:p>
        </w:tc>
        <w:tc>
          <w:tcPr>
            <w:tcW w:w="444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2240" w:h="15840" w:orient="portrait"/>
          <w:cols w:equalWidth="0" w:num="1">
            <w:col w:w="9540"/>
          </w:cols>
          <w:pgMar w:left="1360" w:top="138" w:right="13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6060440" cy="2712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0440" cy="2712720"/>
                    </a:xfrm>
                    <a:prstGeom prst="rect">
                      <a:avLst/>
                    </a:prstGeom>
                    <a:noFill/>
                  </pic:spPr>
                </pic:pic>
              </a:graphicData>
            </a:graphic>
          </wp:anchor>
        </w:drawing>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0"/>
              </w:rPr>
              <w:t>As of 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188"/>
        </w:trPr>
        <w:tc>
          <w:tcPr>
            <w:tcW w:w="1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6"/>
                <w:szCs w:val="16"/>
                <w:color w:val="auto"/>
              </w:rPr>
            </w:pPr>
          </w:p>
        </w:tc>
      </w:tr>
      <w:tr>
        <w:trPr>
          <w:trHeight w:val="241"/>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85,526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69,350</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70,633</w:t>
            </w:r>
          </w:p>
        </w:tc>
        <w:tc>
          <w:tcPr>
            <w:tcW w:w="80" w:type="dxa"/>
            <w:vAlign w:val="bottom"/>
          </w:tcPr>
          <w:p>
            <w:pPr>
              <w:spacing w:after="0"/>
              <w:rPr>
                <w:sz w:val="20"/>
                <w:szCs w:val="20"/>
                <w:color w:val="auto"/>
              </w:rPr>
            </w:pPr>
          </w:p>
        </w:tc>
      </w:tr>
      <w:tr>
        <w:trPr>
          <w:trHeight w:val="248"/>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485,097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381,190</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80" w:type="dxa"/>
            <w:vAlign w:val="bottom"/>
            <w:shd w:val="clear" w:color="auto" w:fill="CCEEFF"/>
          </w:tcPr>
          <w:p>
            <w:pPr>
              <w:spacing w:after="0"/>
              <w:rPr>
                <w:sz w:val="21"/>
                <w:szCs w:val="21"/>
                <w:color w:val="auto"/>
              </w:rPr>
            </w:pPr>
          </w:p>
        </w:tc>
      </w:tr>
      <w:tr>
        <w:trPr>
          <w:trHeight w:val="241"/>
        </w:trPr>
        <w:tc>
          <w:tcPr>
            <w:tcW w:w="3840" w:type="dxa"/>
            <w:vAlign w:val="bottom"/>
            <w:gridSpan w:val="2"/>
          </w:tcPr>
          <w:p>
            <w:pPr>
              <w:ind w:left="180"/>
              <w:spacing w:after="0" w:line="241" w:lineRule="exact"/>
              <w:rPr>
                <w:sz w:val="20"/>
                <w:szCs w:val="20"/>
                <w:color w:val="auto"/>
              </w:rPr>
            </w:pPr>
            <w:r>
              <w:rPr>
                <w:rFonts w:ascii="Arial" w:cs="Arial" w:eastAsia="Arial" w:hAnsi="Arial"/>
                <w:sz w:val="17"/>
                <w:szCs w:val="17"/>
                <w:color w:val="auto"/>
              </w:rPr>
              <w:t>Long-term debt (includes current portion)</w:t>
            </w:r>
            <w:r>
              <w:rPr>
                <w:rFonts w:ascii="Arial" w:cs="Arial" w:eastAsia="Arial" w:hAnsi="Arial"/>
                <w:sz w:val="27"/>
                <w:szCs w:val="27"/>
                <w:color w:val="auto"/>
                <w:vertAlign w:val="superscript"/>
              </w:rPr>
              <w:t>(1)</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121,970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75,253</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80,385</w:t>
            </w:r>
          </w:p>
        </w:tc>
        <w:tc>
          <w:tcPr>
            <w:tcW w:w="80" w:type="dxa"/>
            <w:vAlign w:val="bottom"/>
          </w:tcPr>
          <w:p>
            <w:pPr>
              <w:spacing w:after="0"/>
              <w:rPr>
                <w:sz w:val="20"/>
                <w:szCs w:val="20"/>
                <w:color w:val="auto"/>
              </w:rPr>
            </w:pPr>
          </w:p>
        </w:tc>
      </w:tr>
      <w:tr>
        <w:trPr>
          <w:trHeight w:val="241"/>
        </w:trPr>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179,013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102,280</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80" w:type="dxa"/>
            <w:vAlign w:val="bottom"/>
            <w:shd w:val="clear" w:color="auto" w:fill="CCEEFF"/>
          </w:tcPr>
          <w:p>
            <w:pPr>
              <w:spacing w:after="0"/>
              <w:rPr>
                <w:sz w:val="20"/>
                <w:szCs w:val="20"/>
                <w:color w:val="auto"/>
              </w:rPr>
            </w:pPr>
          </w:p>
        </w:tc>
      </w:tr>
      <w:tr>
        <w:trPr>
          <w:trHeight w:val="219"/>
        </w:trPr>
        <w:tc>
          <w:tcPr>
            <w:tcW w:w="1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9"/>
          </w:tcPr>
          <w:p>
            <w:pPr>
              <w:jc w:val="center"/>
              <w:ind w:right="60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5"/>
          </w:tcPr>
          <w:p>
            <w:pPr>
              <w:jc w:val="center"/>
              <w:ind w:left="338"/>
              <w:spacing w:after="0"/>
              <w:rPr>
                <w:sz w:val="20"/>
                <w:szCs w:val="20"/>
                <w:color w:val="auto"/>
              </w:rPr>
            </w:pPr>
            <w:r>
              <w:rPr>
                <w:rFonts w:ascii="Arial" w:cs="Arial" w:eastAsia="Arial" w:hAnsi="Arial"/>
                <w:sz w:val="14"/>
                <w:szCs w:val="14"/>
                <w:b w:val="1"/>
                <w:bCs w:val="1"/>
                <w:color w:val="auto"/>
                <w:w w:val="93"/>
              </w:rPr>
              <w:t>Year Ended</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0"/>
        </w:trPr>
        <w:tc>
          <w:tcPr>
            <w:tcW w:w="1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ind w:left="358"/>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left="338"/>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8"/>
        </w:trPr>
        <w:tc>
          <w:tcPr>
            <w:tcW w:w="1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6"/>
                <w:szCs w:val="16"/>
                <w:color w:val="auto"/>
              </w:rPr>
            </w:pPr>
          </w:p>
        </w:tc>
      </w:tr>
      <w:tr>
        <w:trPr>
          <w:trHeight w:val="241"/>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Cash Flow Data:</w:t>
            </w: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840" w:type="dxa"/>
            <w:vAlign w:val="bottom"/>
            <w:gridSpan w:val="2"/>
          </w:tcPr>
          <w:p>
            <w:pPr>
              <w:spacing w:after="0"/>
              <w:rPr>
                <w:sz w:val="20"/>
                <w:szCs w:val="20"/>
                <w:color w:val="auto"/>
              </w:rPr>
            </w:pPr>
            <w:r>
              <w:rPr>
                <w:rFonts w:ascii="Arial" w:cs="Arial" w:eastAsia="Arial" w:hAnsi="Arial"/>
                <w:sz w:val="18"/>
                <w:szCs w:val="18"/>
                <w:color w:val="auto"/>
              </w:rPr>
              <w:t>Net cash provided by (used in):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(53,156)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(35,983) $</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(54,892) $</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(43,493)</w:t>
            </w:r>
          </w:p>
        </w:tc>
      </w:tr>
      <w:tr>
        <w:trPr>
          <w:trHeight w:val="235"/>
        </w:trPr>
        <w:tc>
          <w:tcPr>
            <w:tcW w:w="3840" w:type="dxa"/>
            <w:vAlign w:val="bottom"/>
            <w:gridSpan w:val="2"/>
          </w:tcPr>
          <w:p>
            <w:pPr>
              <w:ind w:left="360"/>
              <w:spacing w:after="0"/>
              <w:rPr>
                <w:sz w:val="20"/>
                <w:szCs w:val="20"/>
                <w:color w:val="auto"/>
              </w:rPr>
            </w:pPr>
            <w:r>
              <w:rPr>
                <w:rFonts w:ascii="Arial" w:cs="Arial" w:eastAsia="Arial" w:hAnsi="Arial"/>
                <w:sz w:val="18"/>
                <w:szCs w:val="18"/>
                <w:color w:val="auto"/>
              </w:rPr>
              <w:t>Investing activities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(105,152)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(36,109)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(104,040)</w:t>
            </w:r>
          </w:p>
        </w:tc>
      </w:tr>
      <w:tr>
        <w:trPr>
          <w:trHeight w:val="248"/>
        </w:trPr>
        <w:tc>
          <w:tcPr>
            <w:tcW w:w="3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Financing activities</w:t>
            </w: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125,503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11,346</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277,699</w:t>
            </w:r>
          </w:p>
        </w:tc>
        <w:tc>
          <w:tcPr>
            <w:tcW w:w="80" w:type="dxa"/>
            <w:vAlign w:val="bottom"/>
            <w:shd w:val="clear" w:color="auto" w:fill="CCEEFF"/>
          </w:tcPr>
          <w:p>
            <w:pPr>
              <w:spacing w:after="0"/>
              <w:rPr>
                <w:sz w:val="21"/>
                <w:szCs w:val="21"/>
                <w:color w:val="auto"/>
              </w:rPr>
            </w:pPr>
          </w:p>
        </w:tc>
      </w:tr>
      <w:tr>
        <w:trPr>
          <w:trHeight w:val="174"/>
        </w:trPr>
        <w:tc>
          <w:tcPr>
            <w:tcW w:w="1380" w:type="dxa"/>
            <w:vAlign w:val="bottom"/>
            <w:tcBorders>
              <w:bottom w:val="single" w:sz="8" w:color="auto"/>
            </w:tcBorders>
          </w:tcPr>
          <w:p>
            <w:pPr>
              <w:spacing w:after="0"/>
              <w:rPr>
                <w:sz w:val="15"/>
                <w:szCs w:val="15"/>
                <w:color w:val="auto"/>
              </w:rPr>
            </w:pPr>
          </w:p>
        </w:tc>
        <w:tc>
          <w:tcPr>
            <w:tcW w:w="2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2" w:lineRule="exact"/>
        <w:rPr>
          <w:sz w:val="20"/>
          <w:szCs w:val="20"/>
          <w:color w:val="auto"/>
        </w:rPr>
      </w:pPr>
    </w:p>
    <w:p>
      <w:pPr>
        <w:ind w:left="460" w:hanging="34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Does not include the amendment to our Term Loan Facility on December 31, 2018.</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19" w:lineRule="exact"/>
        <w:rPr>
          <w:sz w:val="20"/>
          <w:szCs w:val="20"/>
          <w:color w:val="auto"/>
        </w:rPr>
      </w:pPr>
    </w:p>
    <w:p>
      <w:pPr>
        <w:ind w:firstLine="357"/>
        <w:spacing w:after="0" w:line="294" w:lineRule="auto"/>
        <w:rPr>
          <w:sz w:val="20"/>
          <w:szCs w:val="20"/>
          <w:color w:val="auto"/>
        </w:rPr>
      </w:pPr>
      <w:r>
        <w:rPr>
          <w:rFonts w:ascii="Arial" w:cs="Arial" w:eastAsia="Arial" w:hAnsi="Arial"/>
          <w:sz w:val="16"/>
          <w:szCs w:val="16"/>
          <w:i w:val="1"/>
          <w:iCs w:val="1"/>
          <w:color w:val="auto"/>
        </w:rPr>
        <w:t>Investing in our Class A shares involves risks. You should carefully consider the following risk factors together with all of the other information included in this prospectus in evaluating an investment in our Class A shares. Additional risks not presently known to us or that we currently deem immaterial could also materially affect our business. This prospectus includes forward-looking statements regarding, among other things, our plans, strategies, prospects and projections, both business and financial. As a result, you should not place undue reliance on any such statements included in this prospectus or any other offering materials.</w:t>
      </w:r>
    </w:p>
    <w:p>
      <w:pPr>
        <w:spacing w:after="0" w:line="54" w:lineRule="exact"/>
        <w:rPr>
          <w:sz w:val="20"/>
          <w:szCs w:val="20"/>
          <w:color w:val="auto"/>
        </w:rPr>
      </w:pPr>
    </w:p>
    <w:p>
      <w:pPr>
        <w:ind w:right="480" w:firstLine="357"/>
        <w:spacing w:after="0" w:line="261" w:lineRule="auto"/>
        <w:rPr>
          <w:sz w:val="20"/>
          <w:szCs w:val="20"/>
          <w:color w:val="auto"/>
        </w:rPr>
      </w:pPr>
      <w:r>
        <w:rPr>
          <w:rFonts w:ascii="Arial" w:cs="Arial" w:eastAsia="Arial" w:hAnsi="Arial"/>
          <w:sz w:val="18"/>
          <w:szCs w:val="18"/>
          <w:i w:val="1"/>
          <w:iCs w:val="1"/>
          <w:color w:val="auto"/>
        </w:rPr>
        <w:t>If any of the following risks were to occur, our business, financial condition and results of operations could be materially adversely affected. In that case, the trading price of our Class A shares could decline and you could lose all or part of your investment.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6" w:lineRule="exact"/>
        <w:rPr>
          <w:sz w:val="20"/>
          <w:szCs w:val="20"/>
          <w:color w:val="auto"/>
        </w:rPr>
      </w:pPr>
    </w:p>
    <w:p>
      <w:pPr>
        <w:jc w:val="both"/>
        <w:ind w:left="360" w:right="20"/>
        <w:spacing w:after="0" w:line="233" w:lineRule="auto"/>
        <w:rPr>
          <w:sz w:val="20"/>
          <w:szCs w:val="20"/>
          <w:color w:val="auto"/>
        </w:rPr>
      </w:pPr>
      <w:r>
        <w:rPr>
          <w:rFonts w:ascii="Arial" w:cs="Arial" w:eastAsia="Arial" w:hAnsi="Arial"/>
          <w:sz w:val="18"/>
          <w:szCs w:val="18"/>
          <w:b w:val="1"/>
          <w:bCs w:val="1"/>
          <w:i w:val="1"/>
          <w:iCs w:val="1"/>
          <w:color w:val="auto"/>
        </w:rPr>
        <w:t>We have not yet completed contracting, construction and commissioning of all of our Terminals and Liquefaction Facilities. There can be no assurance that our Terminals and Liquefaction Facilities will operate as described in this prospectus, or at all.</w:t>
      </w:r>
    </w:p>
    <w:p>
      <w:pPr>
        <w:spacing w:after="0" w:line="81" w:lineRule="exact"/>
        <w:rPr>
          <w:sz w:val="20"/>
          <w:szCs w:val="20"/>
          <w:color w:val="auto"/>
        </w:rPr>
      </w:pPr>
    </w:p>
    <w:p>
      <w:pPr>
        <w:ind w:firstLine="357"/>
        <w:spacing w:after="0" w:line="282" w:lineRule="auto"/>
        <w:rPr>
          <w:sz w:val="20"/>
          <w:szCs w:val="20"/>
          <w:color w:val="auto"/>
        </w:rPr>
      </w:pPr>
      <w:r>
        <w:rPr>
          <w:rFonts w:ascii="Arial" w:cs="Arial" w:eastAsia="Arial" w:hAnsi="Arial"/>
          <w:sz w:val="16"/>
          <w:szCs w:val="16"/>
          <w:color w:val="auto"/>
        </w:rPr>
        <w:t>While our marine LNG storage and regasification terminal approximately three nautical miles from the Old Harbour Power Plant (the “Old Harbour Terminal” and, together with the Montego Bay Terminal, the “Jamaica Terminals”) is substantially complete, it must still undergo extensive testing and commissioning before operations can commence. There can be no assurance that we will not need to make adjustments to these facilities as a result of such testing or commissioning, which could cause delays and be costly. Additionally, we have not yet entered into binding construction contracts or obtained all necessary environmental, regulatory, construction and zoning permissions for all of our Terminals and Liquefaction Facilities. In January 2019, we entered into the EPC Agreement providing for the construction of our Pennsylvania Facility. For additional information on the EPC for our Pennsylvania Facility, see “Business—Our Liquefaction Assets—Pennsylvania EPC Agreement.” There can be no assurance that we will be able to enter into the contracts required for the development of our Terminals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 from our transportation assets to our occupying vessel. If we are unable to enter into favorable contracts or to obtain the necessary regulatory and land use approvals on favorable terms, we may not be able to construct and operate these assets as described in this prospectus, or at all. Finally, the construction of facilities is inherently subject to the risks of cost overruns and delays.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Terminals and Liquefaction Facilities as described in this prospectus, or, when and if constructed, they do not accomplish the goals described in this prospectus, or if we experience delays or cost overruns in construction, our business, operating results, cash flows and liquidity could be materially and adversely affected. Expenses related to our pursuit of contracts and regulatory approvals related to our Terminals and Liquefaction Facilities still under development may be significant and will be incurred by us regardless of whether these assets are ultimately constructed and operational.</w:t>
      </w:r>
    </w:p>
    <w:p>
      <w:pPr>
        <w:spacing w:after="0" w:line="382" w:lineRule="exact"/>
        <w:rPr>
          <w:sz w:val="20"/>
          <w:szCs w:val="20"/>
          <w:color w:val="auto"/>
        </w:rPr>
      </w:pPr>
    </w:p>
    <w:p>
      <w:pPr>
        <w:ind w:left="360" w:right="440"/>
        <w:spacing w:after="0" w:line="243" w:lineRule="auto"/>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77" w:lineRule="exact"/>
        <w:rPr>
          <w:sz w:val="20"/>
          <w:szCs w:val="20"/>
          <w:color w:val="auto"/>
        </w:rPr>
      </w:pPr>
    </w:p>
    <w:p>
      <w:pPr>
        <w:ind w:right="20" w:firstLine="357"/>
        <w:spacing w:after="0" w:line="269" w:lineRule="auto"/>
        <w:rPr>
          <w:sz w:val="20"/>
          <w:szCs w:val="20"/>
          <w:color w:val="auto"/>
        </w:rPr>
      </w:pPr>
      <w:r>
        <w:rPr>
          <w:rFonts w:ascii="Arial" w:cs="Arial" w:eastAsia="Arial" w:hAnsi="Arial"/>
          <w:sz w:val="17"/>
          <w:szCs w:val="17"/>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the Dominican Republic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Old Harbour Terminal, the Pennsylvania Facility and the CHP Plant,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w:t>
      </w:r>
      <w:r>
        <w:rPr>
          <w:rFonts w:ascii="Arial" w:cs="Arial" w:eastAsia="Arial" w:hAnsi="Arial"/>
          <w:sz w:val="17"/>
          <w:szCs w:val="17"/>
          <w:b w:val="1"/>
          <w:bCs w:val="1"/>
          <w:color w:val="auto"/>
        </w:rPr>
        <w:t>-</w:t>
      </w:r>
      <w:r>
        <w:rPr>
          <w:rFonts w:ascii="Arial" w:cs="Arial" w:eastAsia="Arial" w:hAnsi="Arial"/>
          <w:sz w:val="17"/>
          <w:szCs w:val="17"/>
          <w:color w:val="auto"/>
        </w:rPr>
        <w:t>term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59" w:lineRule="exact"/>
        <w:rPr>
          <w:sz w:val="20"/>
          <w:szCs w:val="20"/>
          <w:color w:val="auto"/>
        </w:rPr>
      </w:pPr>
    </w:p>
    <w:p>
      <w:pPr>
        <w:ind w:right="140" w:firstLine="357"/>
        <w:spacing w:after="0" w:line="257" w:lineRule="auto"/>
        <w:rPr>
          <w:sz w:val="20"/>
          <w:szCs w:val="20"/>
          <w:color w:val="auto"/>
        </w:rPr>
      </w:pPr>
      <w:r>
        <w:rPr>
          <w:rFonts w:ascii="Arial" w:cs="Arial" w:eastAsia="Arial" w:hAnsi="Arial"/>
          <w:sz w:val="18"/>
          <w:szCs w:val="18"/>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79" w:lineRule="exact"/>
        <w:rPr>
          <w:sz w:val="20"/>
          <w:szCs w:val="20"/>
          <w:color w:val="auto"/>
        </w:rPr>
      </w:pPr>
    </w:p>
    <w:p>
      <w:pPr>
        <w:ind w:left="700" w:right="38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achieve our target costs for the purchase, liquefaction and export of natural gas and/or LNG and our target pricing for long-term contracts;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develop cost-effective logistics solutions;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manage expanding operations in the projected time frame;</w:t>
      </w:r>
    </w:p>
    <w:p>
      <w:pPr>
        <w:spacing w:after="0" w:line="114" w:lineRule="exact"/>
        <w:rPr>
          <w:rFonts w:ascii="Arial" w:cs="Arial" w:eastAsia="Arial" w:hAnsi="Arial"/>
          <w:sz w:val="18"/>
          <w:szCs w:val="18"/>
          <w:color w:val="auto"/>
        </w:rPr>
      </w:pPr>
    </w:p>
    <w:p>
      <w:pPr>
        <w:ind w:left="700" w:right="2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structure innovative and profitable energy-related transactions as part of our sales and trading operations and to optimally price and manage position, performance and counter-party risks;</w:t>
      </w:r>
    </w:p>
    <w:p>
      <w:pPr>
        <w:spacing w:after="0" w:line="63" w:lineRule="exact"/>
        <w:rPr>
          <w:rFonts w:ascii="Arial" w:cs="Arial" w:eastAsia="Arial" w:hAnsi="Arial"/>
          <w:sz w:val="18"/>
          <w:szCs w:val="18"/>
          <w:color w:val="auto"/>
        </w:rPr>
      </w:pPr>
    </w:p>
    <w:p>
      <w:pPr>
        <w:ind w:left="70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develop infrastructure, including our Terminals and Liquefaction Facilities, as well as other future projects, in a timely and cost-effective manner;</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attract and retain personnel in a timely and cost-effective manner;</w:t>
      </w:r>
    </w:p>
    <w:p>
      <w:pPr>
        <w:spacing w:after="0" w:line="114" w:lineRule="exact"/>
        <w:rPr>
          <w:rFonts w:ascii="Arial" w:cs="Arial" w:eastAsia="Arial" w:hAnsi="Arial"/>
          <w:sz w:val="18"/>
          <w:szCs w:val="18"/>
          <w:color w:val="auto"/>
        </w:rPr>
      </w:pPr>
    </w:p>
    <w:p>
      <w:pPr>
        <w:ind w:left="700" w:right="36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investments in technology and machinery, such as liquefaction technology or LNG tank truck technology, to perform as expected;</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competition which could increase our costs and undermine our profits;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source LNG and/or natural gas in sufficient quantities and/or at economically attractive prices;</w:t>
      </w:r>
    </w:p>
    <w:p>
      <w:pPr>
        <w:spacing w:after="0" w:line="114" w:lineRule="exact"/>
        <w:rPr>
          <w:rFonts w:ascii="Arial" w:cs="Arial" w:eastAsia="Arial" w:hAnsi="Arial"/>
          <w:sz w:val="18"/>
          <w:szCs w:val="18"/>
          <w:color w:val="auto"/>
        </w:rPr>
      </w:pPr>
    </w:p>
    <w:p>
      <w:pPr>
        <w:ind w:left="700" w:right="12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anticipate and adapt to new trends in the energy sector in the U.S., Jamaica, the Caribbean, Mexico, Ireland and elsewhere;</w:t>
      </w:r>
    </w:p>
    <w:p>
      <w:pPr>
        <w:spacing w:after="0" w:line="63" w:lineRule="exact"/>
        <w:rPr>
          <w:rFonts w:ascii="Arial" w:cs="Arial" w:eastAsia="Arial" w:hAnsi="Arial"/>
          <w:sz w:val="18"/>
          <w:szCs w:val="18"/>
          <w:color w:val="auto"/>
        </w:rPr>
      </w:pPr>
    </w:p>
    <w:p>
      <w:pPr>
        <w:ind w:left="700" w:right="22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operating costs, including the need for capital improvements, insurance premiums, general taxes, real estate taxes and utilities, affecting our profit margins;</w:t>
      </w:r>
    </w:p>
    <w:p>
      <w:pPr>
        <w:spacing w:after="0" w:line="63" w:lineRule="exact"/>
        <w:rPr>
          <w:rFonts w:ascii="Arial" w:cs="Arial" w:eastAsia="Arial" w:hAnsi="Arial"/>
          <w:sz w:val="18"/>
          <w:szCs w:val="18"/>
          <w:color w:val="auto"/>
        </w:rPr>
      </w:pPr>
    </w:p>
    <w:p>
      <w:pPr>
        <w:ind w:left="700" w:right="10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raise significant additional debt and equity capital in the future to implement our strategy as well as to operate and expand our business;</w:t>
      </w:r>
    </w:p>
    <w:p>
      <w:pPr>
        <w:spacing w:after="0" w:line="63" w:lineRule="exact"/>
        <w:rPr>
          <w:rFonts w:ascii="Arial" w:cs="Arial" w:eastAsia="Arial" w:hAnsi="Arial"/>
          <w:sz w:val="18"/>
          <w:szCs w:val="18"/>
          <w:color w:val="auto"/>
        </w:rPr>
      </w:pPr>
    </w:p>
    <w:p>
      <w:pPr>
        <w:ind w:left="700" w:right="16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the U.S., Jamaica, the Caribbean, Mexico, Ireland and in the other geographic areas in which we intend to operate;</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inflation, depreciation of the currencies of the countries in which we operate and fluctuations in interest rates;</w:t>
      </w:r>
    </w:p>
    <w:p>
      <w:pPr>
        <w:spacing w:after="0" w:line="114" w:lineRule="exact"/>
        <w:rPr>
          <w:rFonts w:ascii="Arial" w:cs="Arial" w:eastAsia="Arial" w:hAnsi="Arial"/>
          <w:sz w:val="18"/>
          <w:szCs w:val="18"/>
          <w:color w:val="auto"/>
        </w:rPr>
      </w:pPr>
    </w:p>
    <w:p>
      <w:pPr>
        <w:ind w:left="700" w:right="18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obtain approvals from the Pennsylvania Department of Environmental Protection and relevant local authorities for the construction and operation of the Pennsylvania Facility and other relevant approvals;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win new bids or contracts;</w:t>
      </w:r>
    </w:p>
    <w:p>
      <w:pPr>
        <w:spacing w:after="0" w:line="114" w:lineRule="exact"/>
        <w:rPr>
          <w:rFonts w:ascii="Arial" w:cs="Arial" w:eastAsia="Arial" w:hAnsi="Arial"/>
          <w:sz w:val="18"/>
          <w:szCs w:val="18"/>
          <w:color w:val="auto"/>
        </w:rPr>
      </w:pPr>
    </w:p>
    <w:p>
      <w:pPr>
        <w:ind w:left="700" w:right="160" w:hanging="346"/>
        <w:spacing w:after="0" w:line="27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obtain approvals from governmental regulators and relevant local authorities for the construction and operation of potential future projects and other relevant approvals;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existing and future governmental laws and regulations; or</w:t>
      </w:r>
    </w:p>
    <w:p>
      <w:pPr>
        <w:spacing w:after="0" w:line="114" w:lineRule="exact"/>
        <w:rPr>
          <w:rFonts w:ascii="Arial" w:cs="Arial" w:eastAsia="Arial" w:hAnsi="Arial"/>
          <w:sz w:val="18"/>
          <w:szCs w:val="18"/>
          <w:color w:val="auto"/>
        </w:rPr>
      </w:pPr>
    </w:p>
    <w:p>
      <w:pPr>
        <w:ind w:left="700" w:right="380" w:hanging="346"/>
        <w:spacing w:after="0" w:line="261"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or failure, of any customer or contract counterparty to perform their contractual obligations to us (for further discussion of counterparty risk, see “—Risks Related to Our Business—Our current ability to generate cash is substantially dependent upon the entry into and performance by customers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left="720" w:right="200"/>
        <w:spacing w:after="0" w:line="261" w:lineRule="auto"/>
        <w:rPr>
          <w:sz w:val="20"/>
          <w:szCs w:val="20"/>
          <w:color w:val="auto"/>
        </w:rPr>
      </w:pPr>
      <w:r>
        <w:rPr>
          <w:rFonts w:ascii="Arial" w:cs="Arial" w:eastAsia="Arial" w:hAnsi="Arial"/>
          <w:sz w:val="18"/>
          <w:szCs w:val="18"/>
          <w:color w:val="auto"/>
        </w:rPr>
        <w:t>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76" w:lineRule="exact"/>
        <w:rPr>
          <w:sz w:val="20"/>
          <w:szCs w:val="20"/>
          <w:color w:val="auto"/>
        </w:rPr>
      </w:pPr>
    </w:p>
    <w:p>
      <w:pPr>
        <w:ind w:right="480" w:firstLine="357"/>
        <w:spacing w:after="0" w:line="274" w:lineRule="auto"/>
        <w:rPr>
          <w:sz w:val="20"/>
          <w:szCs w:val="20"/>
          <w:color w:val="auto"/>
        </w:rPr>
      </w:pPr>
      <w:r>
        <w:rPr>
          <w:rFonts w:ascii="Arial" w:cs="Arial" w:eastAsia="Arial" w:hAnsi="Arial"/>
          <w:sz w:val="18"/>
          <w:szCs w:val="18"/>
          <w:color w:val="auto"/>
        </w:rPr>
        <w:t>If we experience any of these failures, such failure may adversely affect our financial condition, results of operations and ability to execute our business strategy.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a limited operating history, and an investment in our Class A shares is highly speculative.</w:t>
      </w:r>
    </w:p>
    <w:p>
      <w:pPr>
        <w:spacing w:after="0" w:line="115" w:lineRule="exact"/>
        <w:rPr>
          <w:sz w:val="20"/>
          <w:szCs w:val="20"/>
          <w:color w:val="auto"/>
        </w:rPr>
      </w:pPr>
    </w:p>
    <w:p>
      <w:pPr>
        <w:ind w:right="60" w:firstLine="357"/>
        <w:spacing w:after="0" w:line="268" w:lineRule="auto"/>
        <w:rPr>
          <w:sz w:val="20"/>
          <w:szCs w:val="20"/>
          <w:color w:val="auto"/>
        </w:rPr>
      </w:pPr>
      <w:r>
        <w:rPr>
          <w:rFonts w:ascii="Arial" w:cs="Arial" w:eastAsia="Arial" w:hAnsi="Arial"/>
          <w:sz w:val="17"/>
          <w:szCs w:val="17"/>
          <w:color w:val="auto"/>
        </w:rPr>
        <w:t>We have a limited operating history and track record. As a result, our prior operating history and historical financial statements may not be a reliable basis for evaluating our business prospects or the future value of our Class A shares. We commenced operations on February 25, 2014, and we had net losses of approximately $1.6 million in 2014, $14.2 million in 2015, $32.9 million in 2016 and $31.7 million in 2017.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Accordingly, your investment in our Class A shares is speculative and subject to a high degree of risk. Prior to investing in our Class A shares, you should understand that there is a possibility of the loss of your entire investment. Our limited history also means that we continue to develop and implement various policies and procedures including those related to data privacy and other matters. We will need to continue to build our team to implement our strategies.</w:t>
      </w:r>
    </w:p>
    <w:p>
      <w:pPr>
        <w:spacing w:after="0" w:line="71" w:lineRule="exact"/>
        <w:rPr>
          <w:sz w:val="20"/>
          <w:szCs w:val="20"/>
          <w:color w:val="auto"/>
        </w:rPr>
      </w:pPr>
    </w:p>
    <w:p>
      <w:pPr>
        <w:ind w:right="20" w:firstLine="357"/>
        <w:spacing w:after="0" w:line="267" w:lineRule="auto"/>
        <w:rPr>
          <w:sz w:val="20"/>
          <w:szCs w:val="20"/>
          <w:color w:val="auto"/>
        </w:rPr>
      </w:pPr>
      <w:r>
        <w:rPr>
          <w:rFonts w:ascii="Arial" w:cs="Arial" w:eastAsia="Arial" w:hAnsi="Arial"/>
          <w:sz w:val="17"/>
          <w:szCs w:val="17"/>
          <w:color w:val="auto"/>
        </w:rPr>
        <w:t>We will continue to incur significant capital and operating expenditures while we develop infrastructure for our supply chain, including for the completion of our Terminals and Liquefaction Facilities under construction, as well as other future projects. We will need to invest significant amounts of additional capital to implement our strategy. We have not yet entered into all arrangements necessary to obtain and ship LNG to the Jamaica Terminals, and we have not completed constructing all of our Terminals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and successfully and timely complete necessary infrastructure, including our Terminals and Liquefaction Facilities under construction, and fulfill our gas delivery obligations under our customer contracts.</w:t>
      </w:r>
    </w:p>
    <w:p>
      <w:pPr>
        <w:spacing w:after="0" w:line="167" w:lineRule="exact"/>
        <w:rPr>
          <w:sz w:val="20"/>
          <w:szCs w:val="20"/>
          <w:color w:val="auto"/>
        </w:rPr>
      </w:pPr>
    </w:p>
    <w:p>
      <w:pPr>
        <w:ind w:left="360" w:right="80"/>
        <w:spacing w:after="0" w:line="243"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77" w:lineRule="exact"/>
        <w:rPr>
          <w:sz w:val="20"/>
          <w:szCs w:val="20"/>
          <w:color w:val="auto"/>
        </w:rPr>
      </w:pPr>
    </w:p>
    <w:p>
      <w:pPr>
        <w:ind w:firstLine="357"/>
        <w:spacing w:after="0" w:line="283" w:lineRule="auto"/>
        <w:rPr>
          <w:sz w:val="20"/>
          <w:szCs w:val="20"/>
          <w:color w:val="auto"/>
        </w:rPr>
      </w:pPr>
      <w:r>
        <w:rPr>
          <w:rFonts w:ascii="Arial" w:cs="Arial" w:eastAsia="Arial" w:hAnsi="Arial"/>
          <w:sz w:val="16"/>
          <w:szCs w:val="16"/>
          <w:color w:val="auto"/>
        </w:rPr>
        <w:t>The net proceeds from this offering will not be sufficient to fully execute our business plan. After giving effect to this offering, assuming the accuracy of our assumptions relating to construction, we believe that our cash resources will be sufficient to meet projected capital expenditures, financing obligations and operating requirements related to the construction and development of our Pennsylvania Facility, the San Juan Facility and the La Paz Terminal, which are further described in “Business.” In the future, we expect to incur additional indebtedness to assist us in developing our operations, including opportunistically refinancing and/or upsizing our Term Loan Facility following the consummation of this offering. If we are unable to secure additional funding, or if it is only available on terms that we determine are not acceptable to us, we may be unable to fully execute our business plan and our business, financial condition or results of operations may be adversely affected. Additionally, we may need to adjust the timing of our planned capital expenditures and facilities development depending on the availability of such additional funding. Our ability to raise additional capital will depend on financial, economic and market conditions and other factors, many of which are beyond our control. We cannot assure you that such additional funding will be available on acceptable terms, or at all. To the extent that we raise additional equity capital by issuing additional securities at any point in the future, our then-existing shareholders may experience dilution. Debt financing, if available, may subject us to restrictive covenants that could limit our flexibility in conducting future business activities and could result in us expending significant resources to service our obligations. If we are unable to comply with these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 and reduce the value of your investment.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 w:firstLine="357"/>
        <w:spacing w:after="0" w:line="287" w:lineRule="auto"/>
        <w:rPr>
          <w:sz w:val="20"/>
          <w:szCs w:val="20"/>
          <w:color w:val="auto"/>
        </w:rPr>
      </w:pPr>
      <w:r>
        <w:rPr>
          <w:rFonts w:ascii="Arial" w:cs="Arial" w:eastAsia="Arial" w:hAnsi="Arial"/>
          <w:sz w:val="16"/>
          <w:szCs w:val="16"/>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rely on borrowings under our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115" w:lineRule="exact"/>
        <w:rPr>
          <w:sz w:val="20"/>
          <w:szCs w:val="20"/>
          <w:color w:val="auto"/>
        </w:rPr>
      </w:pPr>
    </w:p>
    <w:p>
      <w:pPr>
        <w:ind w:right="160" w:firstLine="357"/>
        <w:spacing w:after="0" w:line="252" w:lineRule="auto"/>
        <w:rPr>
          <w:sz w:val="20"/>
          <w:szCs w:val="20"/>
          <w:color w:val="auto"/>
        </w:rPr>
      </w:pPr>
      <w:r>
        <w:rPr>
          <w:rFonts w:ascii="Arial" w:cs="Arial" w:eastAsia="Arial" w:hAnsi="Arial"/>
          <w:sz w:val="18"/>
          <w:szCs w:val="18"/>
          <w:color w:val="auto"/>
        </w:rPr>
        <w:t>We have a limited operating history and did not commence revenue-generating activities until 2016, and therefore did not achieve profitability as of December 31, 2017. We will invest a substantial portion of the proceeds of this offering in capital expenditures or in pursuit of development opportunities. We will need to make a significant initial investment to complete construction and begin operations of all of our Terminals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and equity capital to achieve our goals.</w:t>
      </w:r>
    </w:p>
    <w:p>
      <w:pPr>
        <w:spacing w:after="0" w:line="83"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We may not be able to achieve profitability, and if we do, we cannot assure you that we would be able to sustain such profitability in the future. Our failure to achieve or sustain profitability would have a material adverse effect on our business and the value of our Class A shares.</w:t>
      </w:r>
    </w:p>
    <w:p>
      <w:pPr>
        <w:spacing w:after="0" w:line="170" w:lineRule="exact"/>
        <w:rPr>
          <w:sz w:val="20"/>
          <w:szCs w:val="20"/>
          <w:color w:val="auto"/>
        </w:rPr>
      </w:pPr>
    </w:p>
    <w:p>
      <w:pPr>
        <w:ind w:left="360" w:right="120"/>
        <w:spacing w:after="0" w:line="243" w:lineRule="auto"/>
        <w:rPr>
          <w:sz w:val="20"/>
          <w:szCs w:val="20"/>
          <w:color w:val="auto"/>
        </w:rPr>
      </w:pPr>
      <w:r>
        <w:rPr>
          <w:rFonts w:ascii="Arial" w:cs="Arial" w:eastAsia="Arial" w:hAnsi="Arial"/>
          <w:sz w:val="18"/>
          <w:szCs w:val="18"/>
          <w:b w:val="1"/>
          <w:bCs w:val="1"/>
          <w:i w:val="1"/>
          <w:iCs w:val="1"/>
          <w:color w:val="auto"/>
        </w:rPr>
        <w:t>Our business is heavily dependent upon our international operations, particularly in Jamaica, and any disruption to those operations would adversely affect us.</w:t>
      </w:r>
    </w:p>
    <w:p>
      <w:pPr>
        <w:spacing w:after="0" w:line="77" w:lineRule="exact"/>
        <w:rPr>
          <w:sz w:val="20"/>
          <w:szCs w:val="20"/>
          <w:color w:val="auto"/>
        </w:rPr>
      </w:pPr>
    </w:p>
    <w:p>
      <w:pPr>
        <w:ind w:right="20" w:firstLine="357"/>
        <w:spacing w:after="0" w:line="285" w:lineRule="auto"/>
        <w:rPr>
          <w:sz w:val="20"/>
          <w:szCs w:val="20"/>
          <w:color w:val="auto"/>
        </w:rPr>
      </w:pPr>
      <w:r>
        <w:rPr>
          <w:rFonts w:ascii="Arial" w:cs="Arial" w:eastAsia="Arial" w:hAnsi="Arial"/>
          <w:sz w:val="16"/>
          <w:szCs w:val="16"/>
          <w:color w:val="auto"/>
        </w:rPr>
        <w:t>Our operations in Jamaica began in October 2016, when our Montego Bay Terminal commenced commercial operations, and continue to grow. Jamaica is subject to political instability, acts of terrorism,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affordability and desirability of air travel and cruises. Additionally, unexpected factors could reduce tourism at any time, including, local or global economic recessions, terrorism,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159" w:lineRule="exact"/>
        <w:rPr>
          <w:sz w:val="20"/>
          <w:szCs w:val="20"/>
          <w:color w:val="auto"/>
        </w:rPr>
      </w:pPr>
    </w:p>
    <w:p>
      <w:pPr>
        <w:ind w:left="360" w:right="20"/>
        <w:spacing w:after="0" w:line="243"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77" w:lineRule="exact"/>
        <w:rPr>
          <w:sz w:val="20"/>
          <w:szCs w:val="20"/>
          <w:color w:val="auto"/>
        </w:rPr>
      </w:pPr>
    </w:p>
    <w:p>
      <w:pPr>
        <w:ind w:right="220" w:firstLine="357"/>
        <w:spacing w:after="0" w:line="289" w:lineRule="auto"/>
        <w:rPr>
          <w:sz w:val="20"/>
          <w:szCs w:val="20"/>
          <w:color w:val="auto"/>
        </w:rPr>
      </w:pPr>
      <w:r>
        <w:rPr>
          <w:rFonts w:ascii="Arial" w:cs="Arial" w:eastAsia="Arial" w:hAnsi="Arial"/>
          <w:sz w:val="16"/>
          <w:szCs w:val="16"/>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JPS, JPC and Jamalco and as a result, are subject to any risks specific to those entities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right="60"/>
        <w:spacing w:after="0" w:line="241" w:lineRule="auto"/>
        <w:rPr>
          <w:sz w:val="20"/>
          <w:szCs w:val="20"/>
          <w:color w:val="auto"/>
        </w:rPr>
      </w:pPr>
      <w:r>
        <w:rPr>
          <w:rFonts w:ascii="Arial" w:cs="Arial" w:eastAsia="Arial" w:hAnsi="Arial"/>
          <w:sz w:val="18"/>
          <w:szCs w:val="18"/>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81" w:lineRule="exact"/>
        <w:rPr>
          <w:sz w:val="20"/>
          <w:szCs w:val="20"/>
          <w:color w:val="auto"/>
        </w:rPr>
      </w:pPr>
    </w:p>
    <w:p>
      <w:pPr>
        <w:ind w:right="20" w:firstLine="357"/>
        <w:spacing w:after="0" w:line="267" w:lineRule="auto"/>
        <w:rPr>
          <w:sz w:val="20"/>
          <w:szCs w:val="20"/>
          <w:color w:val="auto"/>
        </w:rPr>
      </w:pPr>
      <w:r>
        <w:rPr>
          <w:rFonts w:ascii="Arial" w:cs="Arial" w:eastAsia="Arial" w:hAnsi="Arial"/>
          <w:sz w:val="17"/>
          <w:szCs w:val="17"/>
          <w:color w:val="auto"/>
        </w:rPr>
        <w:t>Our current results of operations and liquidity are, and will continue to be in the near future, substantially dependent upon performance by JPS and JPC, which have each entered into long-term GSAs and, in the case of JPS, a PPA in relation to the power produced at the CHP Plant, with us, and Jamalco, which has entered into a long-term SSA with us. As of January 9, 2019, our GSAs, PPA and SSA have a weighted average of 12.4 years remaining under such contracts, weighted based on contracted volumes. While certain of our long-term contracts contain minimum volume commitments, our expected sales to customers under existing contracts is substantially in excess of such minimum volume commitments. Our near term ability to generate cash is dependent on JPS’s, JPC’s and Jamalco’s continued willingness and ability to continue purchasing our products and services and to perform their obligations under their respective contracts. If any of JPS, JPC or Jamalco fails to perform its obligations under its contract, our operating results, cash flow and liquidity could be materially and adversely affected, even if we were ultimately successful in seeking damages from JPS, JPC or Jamalco for a breach of the contract. Additionally, as many of our facilities are still in developmental stage, our entry into long-term contracts before such facilities are fully operational exposes us to extended counter-party credit risk.</w:t>
      </w:r>
    </w:p>
    <w:p>
      <w:pPr>
        <w:spacing w:after="0" w:line="73" w:lineRule="exact"/>
        <w:rPr>
          <w:sz w:val="20"/>
          <w:szCs w:val="20"/>
          <w:color w:val="auto"/>
        </w:rPr>
      </w:pPr>
    </w:p>
    <w:p>
      <w:pPr>
        <w:ind w:firstLine="357"/>
        <w:spacing w:after="0" w:line="281" w:lineRule="auto"/>
        <w:rPr>
          <w:sz w:val="20"/>
          <w:szCs w:val="20"/>
          <w:color w:val="auto"/>
        </w:rPr>
      </w:pPr>
      <w:r>
        <w:rPr>
          <w:rFonts w:ascii="Arial" w:cs="Arial" w:eastAsia="Arial" w:hAnsi="Arial"/>
          <w:sz w:val="16"/>
          <w:szCs w:val="16"/>
          <w:color w:val="auto"/>
        </w:rPr>
        <w:t>Risks of nonpayment and nonperformance by customers are a consideration in our businesses, and our credit procedures and policies may be inadequate to sufficiently eliminate customer credit risk. In assessing customer credit risk, we perform background checks on our potential customers before we enter into a long-term contract with them. As part of the background check, we assess a potential customer’s credit profile and financial position, including their operating results, liquidity and outstanding debt, as well as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In particular, JPS and 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JPC’s ability to make payments under their long-term GSAs and, in the case of JPS, its ability to make payments under its PPA, with us. In addition, our ability to operate the CHP Plant is dependent on our ability to enforce the related lease. General Alumina Jamaica (“GAJ”), one of the lessors, is a subsidiary of Noble Group, which is undergoing a financial restructuring that was recently approved by its shareholders.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We are in advanced stages of finalizing an agreement with PREPA for the conversion of the San Juan Power Plant and the right to provide natural gas to PREPA for use as fuel for Units 5 and 6 of the San Juan Power Plant. On January 25, 2019, the PREB approved our proposed agreement with PREPA, and the agreement is currently under review in Puerto Rico by FOMB, which review must be completed in a satisfactory manner prior to our entry into a final contract with PREPA. Although we have a general agreement on the proposed terms of such contract, subject to regulatory review, we have not entered into a final contract with PREPA and can give no guarantee that we will be able to do so on substantially the terms negotiated or enter into such contract at all. Although we expect such review to be completed by the end of January 2019, there can be no assurance that such regulatory review will be completed on this timeline or that we will not need to make adjustments to the agreement as a result of such regulatory review, or that we will be able to enter into such contract at all.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right="120"/>
        <w:spacing w:after="0" w:line="309" w:lineRule="auto"/>
        <w:rPr>
          <w:sz w:val="20"/>
          <w:szCs w:val="20"/>
          <w:color w:val="auto"/>
        </w:rPr>
      </w:pPr>
      <w:r>
        <w:rPr>
          <w:rFonts w:ascii="Arial" w:cs="Arial" w:eastAsia="Arial" w:hAnsi="Arial"/>
          <w:sz w:val="16"/>
          <w:szCs w:val="16"/>
          <w:color w:val="auto"/>
        </w:rPr>
        <w:t>agreement we are negotiating with PREPA or terminates the agreement prior to the end of the agreed term, our financial condition, results of operations and cash flows could be materially and adversely affected. Additionally, we may face difficulties in enforcing our contractual rights against contractual counterparties that have not submitted to the jurisdiction of U.S. courts.</w:t>
      </w:r>
    </w:p>
    <w:p>
      <w:pPr>
        <w:spacing w:after="0" w:line="41" w:lineRule="exact"/>
        <w:rPr>
          <w:sz w:val="20"/>
          <w:szCs w:val="20"/>
          <w:color w:val="auto"/>
        </w:rPr>
      </w:pPr>
    </w:p>
    <w:p>
      <w:pPr>
        <w:ind w:right="20" w:firstLine="357"/>
        <w:spacing w:after="0" w:line="289" w:lineRule="auto"/>
        <w:rPr>
          <w:sz w:val="20"/>
          <w:szCs w:val="20"/>
          <w:color w:val="auto"/>
        </w:rPr>
      </w:pPr>
      <w:r>
        <w:rPr>
          <w:rFonts w:ascii="Arial" w:cs="Arial" w:eastAsia="Arial" w:hAnsi="Arial"/>
          <w:sz w:val="16"/>
          <w:szCs w:val="16"/>
          <w:color w:val="auto"/>
        </w:rPr>
        <w:t>PREPA has commenced a bidding process through which potential bidders could take control and ownership of PREPA’s transmission and distribution system. PREPA will solicit proposals from four selected bidders and expects to select a winner in the third quarter of 2019. We cannot predict how our relationship with PREPA could change if PREPA’s transmission and distribution system were to become privatized. If such event were to occur, PREPA may seek to find alternative power sources or purchase substantially less natural gas from us than what we currently expect to sell to PREPA, which could have a material adverse effect on our financial condition, results of operations and cash flows. There can be no assurance as to whether or how this bidding process may impact the ongoing review by FOMB of our agreement with PREPA.</w:t>
      </w:r>
    </w:p>
    <w:p>
      <w:pPr>
        <w:spacing w:after="0" w:line="59" w:lineRule="exact"/>
        <w:rPr>
          <w:sz w:val="20"/>
          <w:szCs w:val="20"/>
          <w:color w:val="auto"/>
        </w:rPr>
      </w:pPr>
    </w:p>
    <w:p>
      <w:pPr>
        <w:ind w:right="460" w:firstLine="357"/>
        <w:spacing w:after="0" w:line="274" w:lineRule="auto"/>
        <w:rPr>
          <w:sz w:val="20"/>
          <w:szCs w:val="20"/>
          <w:color w:val="auto"/>
        </w:rPr>
      </w:pPr>
      <w:r>
        <w:rPr>
          <w:rFonts w:ascii="Arial" w:cs="Arial" w:eastAsia="Arial" w:hAnsi="Arial"/>
          <w:sz w:val="18"/>
          <w:szCs w:val="18"/>
          <w:color w:val="auto"/>
        </w:rPr>
        <w:t>Further, adverse economic conditions in our industry increase the risk of nonpayment and nonperformance by customers, particularly customers that have sub-investment grade credit ratings.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115" w:lineRule="exact"/>
        <w:rPr>
          <w:sz w:val="20"/>
          <w:szCs w:val="20"/>
          <w:color w:val="auto"/>
        </w:rPr>
      </w:pPr>
    </w:p>
    <w:p>
      <w:pPr>
        <w:ind w:right="200" w:firstLine="357"/>
        <w:spacing w:after="0" w:line="261" w:lineRule="auto"/>
        <w:rPr>
          <w:sz w:val="20"/>
          <w:szCs w:val="20"/>
          <w:color w:val="auto"/>
        </w:rPr>
      </w:pPr>
      <w:r>
        <w:rPr>
          <w:rFonts w:ascii="Arial" w:cs="Arial" w:eastAsia="Arial" w:hAnsi="Arial"/>
          <w:sz w:val="18"/>
          <w:szCs w:val="18"/>
          <w:color w:val="auto"/>
        </w:rPr>
        <w:t>Our contracts with our customers contain various termination rights. For example, each of our long-term customer contracts, including the contracts with JPS, JPC and Jamalco, contains various termination rights allowing our customers to terminate the contract, including, without limitation:</w:t>
      </w:r>
    </w:p>
    <w:p>
      <w:pPr>
        <w:spacing w:after="0" w:line="76" w:lineRule="exact"/>
        <w:rPr>
          <w:sz w:val="20"/>
          <w:szCs w:val="20"/>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115" w:lineRule="exact"/>
        <w:rPr>
          <w:sz w:val="20"/>
          <w:szCs w:val="20"/>
          <w:color w:val="auto"/>
        </w:rPr>
      </w:pPr>
    </w:p>
    <w:p>
      <w:pPr>
        <w:ind w:firstLine="357"/>
        <w:spacing w:after="0" w:line="309" w:lineRule="auto"/>
        <w:rPr>
          <w:sz w:val="20"/>
          <w:szCs w:val="20"/>
          <w:color w:val="auto"/>
        </w:rPr>
      </w:pPr>
      <w:r>
        <w:rPr>
          <w:rFonts w:ascii="Arial" w:cs="Arial" w:eastAsia="Arial" w:hAnsi="Arial"/>
          <w:sz w:val="16"/>
          <w:szCs w:val="16"/>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34" w:lineRule="exact"/>
        <w:rPr>
          <w:sz w:val="20"/>
          <w:szCs w:val="20"/>
          <w:color w:val="auto"/>
        </w:rPr>
      </w:pPr>
    </w:p>
    <w:p>
      <w:pPr>
        <w:ind w:left="360" w:right="220"/>
        <w:spacing w:after="0" w:line="233"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81" w:lineRule="exact"/>
        <w:rPr>
          <w:sz w:val="20"/>
          <w:szCs w:val="20"/>
          <w:color w:val="auto"/>
        </w:rPr>
      </w:pPr>
    </w:p>
    <w:p>
      <w:pPr>
        <w:jc w:val="both"/>
        <w:ind w:right="220" w:firstLine="357"/>
        <w:spacing w:after="0" w:line="309" w:lineRule="auto"/>
        <w:rPr>
          <w:sz w:val="20"/>
          <w:szCs w:val="20"/>
          <w:color w:val="auto"/>
        </w:rPr>
      </w:pPr>
      <w:r>
        <w:rPr>
          <w:rFonts w:ascii="Arial" w:cs="Arial" w:eastAsia="Arial" w:hAnsi="Arial"/>
          <w:sz w:val="16"/>
          <w:szCs w:val="16"/>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41" w:lineRule="exact"/>
        <w:rPr>
          <w:sz w:val="20"/>
          <w:szCs w:val="20"/>
          <w:color w:val="auto"/>
        </w:rPr>
      </w:pPr>
    </w:p>
    <w:p>
      <w:pPr>
        <w:ind w:left="700" w:right="300" w:hanging="346"/>
        <w:spacing w:after="0" w:line="274"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Europe, Asia and other markets, which could divert LNG or natural gas from our business;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oil and natural gas exploration activities, which may decrease the production of natural gas;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220" w:hanging="346"/>
        <w:spacing w:after="0" w:line="27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spacing w:after="0" w:line="63" w:lineRule="exact"/>
        <w:rPr>
          <w:rFonts w:ascii="Arial" w:cs="Arial" w:eastAsia="Arial" w:hAnsi="Arial"/>
          <w:sz w:val="18"/>
          <w:szCs w:val="18"/>
          <w:color w:val="auto"/>
        </w:rPr>
      </w:pPr>
    </w:p>
    <w:p>
      <w:pPr>
        <w:ind w:left="700" w:right="180" w:hanging="346"/>
        <w:spacing w:after="0" w:line="305" w:lineRule="auto"/>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regulatory, tax or other governmental policies regarding imported or exported LNG, natural gas or alternative energy sources, which may reduce the demand for imported or exported LNG and/or natural gas;</w:t>
      </w:r>
    </w:p>
    <w:p>
      <w:pPr>
        <w:spacing w:after="0" w:line="39" w:lineRule="exact"/>
        <w:rPr>
          <w:rFonts w:ascii="Arial" w:cs="Arial" w:eastAsia="Arial" w:hAnsi="Arial"/>
          <w:sz w:val="17"/>
          <w:szCs w:val="17"/>
          <w:color w:val="auto"/>
        </w:rPr>
      </w:pPr>
    </w:p>
    <w:p>
      <w:pPr>
        <w:ind w:left="700" w:hanging="34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spacing w:after="0" w:line="114" w:lineRule="exact"/>
        <w:rPr>
          <w:rFonts w:ascii="Arial" w:cs="Arial" w:eastAsia="Arial" w:hAnsi="Arial"/>
          <w:sz w:val="18"/>
          <w:szCs w:val="18"/>
          <w:color w:val="auto"/>
        </w:rPr>
      </w:pPr>
    </w:p>
    <w:p>
      <w:pPr>
        <w:ind w:left="700" w:right="420" w:hanging="346"/>
        <w:spacing w:after="0" w:line="27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relative demand for LNG compared to other markets, which may decrease LNG imports into or exports from North America; and</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cyclical trends in general business and economic conditions that cause changes in the demand for natural gas.</w:t>
      </w:r>
    </w:p>
    <w:p>
      <w:pPr>
        <w:spacing w:after="0" w:line="126" w:lineRule="exact"/>
        <w:rPr>
          <w:sz w:val="20"/>
          <w:szCs w:val="20"/>
          <w:color w:val="auto"/>
        </w:rPr>
      </w:pPr>
    </w:p>
    <w:p>
      <w:pPr>
        <w:ind w:right="20" w:firstLine="357"/>
        <w:spacing w:after="0" w:line="267" w:lineRule="auto"/>
        <w:rPr>
          <w:sz w:val="20"/>
          <w:szCs w:val="20"/>
          <w:color w:val="auto"/>
        </w:rPr>
      </w:pPr>
      <w:r>
        <w:rPr>
          <w:rFonts w:ascii="Arial" w:cs="Arial" w:eastAsia="Arial" w:hAnsi="Arial"/>
          <w:sz w:val="17"/>
          <w:szCs w:val="17"/>
          <w:color w:val="auto"/>
        </w:rPr>
        <w:t>Adverse trends or developments affecting any of these factors – in particular prior to our Pennsylvania Facility becoming operational – could result in decreases in the prices at which we are able to sell LNG and natural gas or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There can be no assurance we will achieve our target cost or pricing goals. In particular, because we have not currently procured fixed-price, long-term LNG supply (our plan being to liquefy natural gas ourselves in our Liquefaction Facilities), increases in LNG prices and/or shortages of LNG supply could be material and adverse to our business. Additionally, we intend to rely on long 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170" w:lineRule="exact"/>
        <w:rPr>
          <w:sz w:val="20"/>
          <w:szCs w:val="20"/>
          <w:color w:val="auto"/>
        </w:rPr>
      </w:pPr>
    </w:p>
    <w:p>
      <w:pPr>
        <w:ind w:left="360" w:right="160"/>
        <w:spacing w:after="0" w:line="243"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77" w:lineRule="exact"/>
        <w:rPr>
          <w:sz w:val="20"/>
          <w:szCs w:val="20"/>
          <w:color w:val="auto"/>
        </w:rPr>
      </w:pPr>
    </w:p>
    <w:p>
      <w:pPr>
        <w:ind w:right="80" w:firstLine="357"/>
        <w:spacing w:after="0" w:line="289" w:lineRule="auto"/>
        <w:rPr>
          <w:sz w:val="20"/>
          <w:szCs w:val="20"/>
          <w:color w:val="auto"/>
        </w:rPr>
      </w:pPr>
      <w:r>
        <w:rPr>
          <w:rFonts w:ascii="Arial" w:cs="Arial" w:eastAsia="Arial" w:hAnsi="Arial"/>
          <w:sz w:val="16"/>
          <w:szCs w:val="16"/>
          <w:color w:val="auto"/>
        </w:rPr>
        <w:t>Our ability to make scheduled payments on or to refinance our existing or future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As of September 30, 2018, we had $130 million of total indebtedness outstanding, excluding deferred financing costs, and, as of the closing of this offering, we expect to have $280 million of total indebtedness outstanding (which does not give effect to additional indebtedness we may incur following the consummation of this offering).</w:t>
      </w:r>
    </w:p>
    <w:p>
      <w:pPr>
        <w:spacing w:after="0" w:line="59" w:lineRule="exact"/>
        <w:rPr>
          <w:sz w:val="20"/>
          <w:szCs w:val="20"/>
          <w:color w:val="auto"/>
        </w:rPr>
      </w:pPr>
    </w:p>
    <w:p>
      <w:pPr>
        <w:ind w:right="120" w:firstLine="357"/>
        <w:spacing w:after="0" w:line="269" w:lineRule="auto"/>
        <w:rPr>
          <w:sz w:val="20"/>
          <w:szCs w:val="20"/>
          <w:color w:val="auto"/>
        </w:rPr>
      </w:pPr>
      <w:r>
        <w:rPr>
          <w:rFonts w:ascii="Arial" w:cs="Arial" w:eastAsia="Arial" w:hAnsi="Arial"/>
          <w:sz w:val="17"/>
          <w:szCs w:val="17"/>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indebtedness or operations. We may not be able to affect any such alternative measures, if necessary, on commercially reasonable terms or at all and, even if successful, such alternative actions may not allow us to meet our scheduled debt service obligations. The agreements that govern our indebtedness restrict our ability to dispose of assets and use the proceeds from any such dispositions and our ability to raise debt capital to be used to repay our indebtedness when it becomes due. We may not be able to consummate those dispositions or to obtain proceeds in an amount sufficient to meet any debt service obligations then due.</w:t>
      </w:r>
    </w:p>
    <w:p>
      <w:pPr>
        <w:spacing w:after="0" w:line="72" w:lineRule="exact"/>
        <w:rPr>
          <w:sz w:val="20"/>
          <w:szCs w:val="20"/>
          <w:color w:val="auto"/>
        </w:rPr>
      </w:pPr>
    </w:p>
    <w:p>
      <w:pPr>
        <w:ind w:right="60" w:firstLine="357"/>
        <w:spacing w:after="0" w:line="261" w:lineRule="auto"/>
        <w:rPr>
          <w:sz w:val="20"/>
          <w:szCs w:val="20"/>
          <w:color w:val="auto"/>
        </w:rPr>
      </w:pPr>
      <w:r>
        <w:rPr>
          <w:rFonts w:ascii="Arial" w:cs="Arial" w:eastAsia="Arial" w:hAnsi="Arial"/>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76" w:lineRule="exact"/>
        <w:rPr>
          <w:sz w:val="20"/>
          <w:szCs w:val="20"/>
          <w:color w:val="auto"/>
        </w:rPr>
      </w:pPr>
    </w:p>
    <w:p>
      <w:pPr>
        <w:ind w:firstLine="357"/>
        <w:spacing w:after="0" w:line="299" w:lineRule="auto"/>
        <w:rPr>
          <w:sz w:val="20"/>
          <w:szCs w:val="20"/>
          <w:color w:val="auto"/>
        </w:rPr>
      </w:pPr>
      <w:r>
        <w:rPr>
          <w:rFonts w:ascii="Arial" w:cs="Arial" w:eastAsia="Arial" w:hAnsi="Arial"/>
          <w:sz w:val="16"/>
          <w:szCs w:val="16"/>
          <w:color w:val="auto"/>
        </w:rPr>
        <w:t>If we cannot make scheduled payments on our debt, we will be in default and, as a result, lenders under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in each case, which could result in your losing your investment.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360" w:right="500"/>
        <w:spacing w:after="0" w:line="243" w:lineRule="auto"/>
        <w:rPr>
          <w:sz w:val="20"/>
          <w:szCs w:val="20"/>
          <w:color w:val="auto"/>
        </w:rPr>
      </w:pPr>
      <w:r>
        <w:rPr>
          <w:rFonts w:ascii="Arial" w:cs="Arial" w:eastAsia="Arial" w:hAnsi="Arial"/>
          <w:sz w:val="18"/>
          <w:szCs w:val="18"/>
          <w:b w:val="1"/>
          <w:bCs w:val="1"/>
          <w:i w:val="1"/>
          <w:iCs w:val="1"/>
          <w:color w:val="auto"/>
        </w:rPr>
        <w:t>Failure to maintain sufficient working capital could limit our growth and harm our business, financial condition and results of operations.</w:t>
      </w:r>
    </w:p>
    <w:p>
      <w:pPr>
        <w:spacing w:after="0" w:line="77" w:lineRule="exact"/>
        <w:rPr>
          <w:sz w:val="20"/>
          <w:szCs w:val="20"/>
          <w:color w:val="auto"/>
        </w:rPr>
      </w:pPr>
    </w:p>
    <w:p>
      <w:pPr>
        <w:ind w:right="40" w:firstLine="357"/>
        <w:spacing w:after="0" w:line="271"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Operation of our LNG infrastructure and other facilities that we may construct involves significant risks.</w:t>
      </w:r>
    </w:p>
    <w:p>
      <w:pPr>
        <w:spacing w:after="0" w:line="115" w:lineRule="exact"/>
        <w:rPr>
          <w:sz w:val="20"/>
          <w:szCs w:val="20"/>
          <w:color w:val="auto"/>
        </w:rPr>
      </w:pPr>
    </w:p>
    <w:p>
      <w:pPr>
        <w:ind w:right="60" w:firstLine="357"/>
        <w:spacing w:after="0" w:line="277" w:lineRule="auto"/>
        <w:rPr>
          <w:sz w:val="20"/>
          <w:szCs w:val="20"/>
          <w:color w:val="auto"/>
        </w:rPr>
      </w:pPr>
      <w:r>
        <w:rPr>
          <w:rFonts w:ascii="Arial" w:cs="Arial" w:eastAsia="Arial" w:hAnsi="Arial"/>
          <w:sz w:val="17"/>
          <w:szCs w:val="17"/>
          <w:color w:val="auto"/>
        </w:rPr>
        <w:t>As more fully discussed in this prospectus, our existing facilities and expected future facilities face operational risks, including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63" w:lineRule="exact"/>
        <w:rPr>
          <w:sz w:val="20"/>
          <w:szCs w:val="20"/>
          <w:color w:val="auto"/>
        </w:rPr>
      </w:pPr>
    </w:p>
    <w:p>
      <w:pPr>
        <w:ind w:right="280" w:firstLine="357"/>
        <w:spacing w:after="0" w:line="274" w:lineRule="auto"/>
        <w:rPr>
          <w:sz w:val="20"/>
          <w:szCs w:val="20"/>
          <w:color w:val="auto"/>
        </w:rPr>
      </w:pPr>
      <w:r>
        <w:rPr>
          <w:rFonts w:ascii="Arial" w:cs="Arial" w:eastAsia="Arial" w:hAnsi="Arial"/>
          <w:sz w:val="18"/>
          <w:szCs w:val="18"/>
          <w:color w:val="auto"/>
        </w:rPr>
        <w:t>Any of these risks could disrupt our operations and increase our costs, which would adversely affect our business, operating results, cash flows and liquidity.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operation of the CHP Plant will involve particular, significant risks.</w:t>
      </w:r>
    </w:p>
    <w:p>
      <w:pPr>
        <w:spacing w:after="0" w:line="115" w:lineRule="exact"/>
        <w:rPr>
          <w:sz w:val="20"/>
          <w:szCs w:val="20"/>
          <w:color w:val="auto"/>
        </w:rPr>
      </w:pPr>
    </w:p>
    <w:p>
      <w:pPr>
        <w:ind w:firstLine="357"/>
        <w:spacing w:after="0" w:line="283" w:lineRule="auto"/>
        <w:rPr>
          <w:sz w:val="20"/>
          <w:szCs w:val="20"/>
          <w:color w:val="auto"/>
        </w:rPr>
      </w:pPr>
      <w:r>
        <w:rPr>
          <w:rFonts w:ascii="Arial" w:cs="Arial" w:eastAsia="Arial" w:hAnsi="Arial"/>
          <w:sz w:val="16"/>
          <w:szCs w:val="16"/>
          <w:color w:val="auto"/>
        </w:rPr>
        <w:t>The operation of the CHP Plant will involve particular, significant risks, including, among others: failure to maintain the required power generation license(s) or other permits required to operate the CHP Plant; pollution or environmental contamination affecting operation of the CHP Plant; the inability, or failure, of any counterparty to any plant-related agreements to perform their contractual obligations to us including, but not limited to, the Lessor’s obligations to us under the CHP Plant Lease;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If the CHP Plant is unable to generate or deliver power to JPS, pursuant to the PPA, or steam (or gas to power Jamalco’s boilers in lieu of steam) to Jamalco, pursuant to the SSA, JPS or Jamalco, as applicable, may not be required to make payments under their respective agreements so long as the event continues. JPS and Jamalco, as counterparties to the PPA and SSA, respectively, and the counterparties to any other key plant-related agreements may have the right to terminate those agreements for certain failures to generate or deliver power or steam, as applicable. As a consequence, there may be reduced or no revenues from the CHP Plant which could have a material adverse effect on our business, contracts, financial condition, operating results, cash flow, liquidity and prospects. In addition, termination of the SSA may give rise to termination rights under the CHP Plant Lease. If JPS terminates the PPA, Jamalco terminates the SSA, or any counterparty to any other key plant-related agreement terminates such agreement, we may not be able to enter into a replacement agreement with respect to the CHP Plant on terms as favorable as the terminated agreement.</w:t>
      </w:r>
    </w:p>
    <w:p>
      <w:pPr>
        <w:spacing w:after="0" w:line="164" w:lineRule="exact"/>
        <w:rPr>
          <w:sz w:val="20"/>
          <w:szCs w:val="20"/>
          <w:color w:val="auto"/>
        </w:rPr>
      </w:pPr>
    </w:p>
    <w:p>
      <w:pPr>
        <w:jc w:val="both"/>
        <w:ind w:left="360" w:right="420"/>
        <w:spacing w:after="0" w:line="233" w:lineRule="auto"/>
        <w:rPr>
          <w:sz w:val="20"/>
          <w:szCs w:val="20"/>
          <w:color w:val="auto"/>
        </w:rPr>
      </w:pPr>
      <w:r>
        <w:rPr>
          <w:rFonts w:ascii="Arial" w:cs="Arial" w:eastAsia="Arial" w:hAnsi="Arial"/>
          <w:sz w:val="18"/>
          <w:szCs w:val="18"/>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81" w:lineRule="exact"/>
        <w:rPr>
          <w:sz w:val="20"/>
          <w:szCs w:val="20"/>
          <w:color w:val="auto"/>
        </w:rPr>
      </w:pPr>
    </w:p>
    <w:p>
      <w:pPr>
        <w:ind w:right="20" w:firstLine="357"/>
        <w:spacing w:after="0" w:line="268" w:lineRule="auto"/>
        <w:rPr>
          <w:sz w:val="20"/>
          <w:szCs w:val="20"/>
          <w:color w:val="auto"/>
        </w:rPr>
      </w:pPr>
      <w:r>
        <w:rPr>
          <w:rFonts w:ascii="Arial" w:cs="Arial" w:eastAsia="Arial" w:hAnsi="Arial"/>
          <w:sz w:val="17"/>
          <w:szCs w:val="17"/>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terminals are operating or under development is impacted by such a natural catastrophe in the future, it could have a material adverse effect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our business. Further, the economies of such impacted areas may require significant time to recover and there is no assurance that a full recovery will occur. Even the threat of a severe weather event could impact our business, financial condition or the price of our Class A shares.</w:t>
      </w:r>
    </w:p>
    <w:p>
      <w:pPr>
        <w:spacing w:after="0" w:line="170" w:lineRule="exact"/>
        <w:rPr>
          <w:sz w:val="20"/>
          <w:szCs w:val="20"/>
          <w:color w:val="auto"/>
        </w:rPr>
      </w:pPr>
    </w:p>
    <w:p>
      <w:pPr>
        <w:ind w:left="360" w:right="120"/>
        <w:spacing w:after="0" w:line="233" w:lineRule="auto"/>
        <w:rPr>
          <w:sz w:val="20"/>
          <w:szCs w:val="20"/>
          <w:color w:val="auto"/>
        </w:rPr>
      </w:pPr>
      <w:r>
        <w:rPr>
          <w:rFonts w:ascii="Arial" w:cs="Arial" w:eastAsia="Arial" w:hAnsi="Arial"/>
          <w:sz w:val="18"/>
          <w:szCs w:val="18"/>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81" w:lineRule="exact"/>
        <w:rPr>
          <w:sz w:val="20"/>
          <w:szCs w:val="20"/>
          <w:color w:val="auto"/>
        </w:rPr>
      </w:pPr>
    </w:p>
    <w:p>
      <w:pPr>
        <w:ind w:right="220" w:firstLine="357"/>
        <w:spacing w:after="0" w:line="287" w:lineRule="auto"/>
        <w:rPr>
          <w:sz w:val="20"/>
          <w:szCs w:val="20"/>
          <w:color w:val="auto"/>
        </w:rPr>
      </w:pPr>
      <w:r>
        <w:rPr>
          <w:rFonts w:ascii="Arial" w:cs="Arial" w:eastAsia="Arial" w:hAnsi="Arial"/>
          <w:sz w:val="16"/>
          <w:szCs w:val="16"/>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We are unable to predict with certainty the impact of future storms on our customers, our infrastructure or our operations.</w:t>
      </w:r>
    </w:p>
    <w:p>
      <w:pPr>
        <w:spacing w:after="0" w:line="59"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If one or more tankers, terminals,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and could have a material adverse effect on our business, contracts, financial condition, operating results, cash flow, liquidity and prospects.</w:t>
      </w:r>
    </w:p>
    <w:p>
      <w:pPr>
        <w:spacing w:after="0" w:line="86" w:lineRule="exact"/>
        <w:rPr>
          <w:sz w:val="20"/>
          <w:szCs w:val="20"/>
          <w:color w:val="auto"/>
        </w:rPr>
      </w:pPr>
    </w:p>
    <w:p>
      <w:pPr>
        <w:ind w:right="20" w:firstLine="357"/>
        <w:spacing w:after="0" w:line="257" w:lineRule="auto"/>
        <w:rPr>
          <w:sz w:val="20"/>
          <w:szCs w:val="20"/>
          <w:color w:val="auto"/>
        </w:rPr>
      </w:pPr>
      <w:r>
        <w:rPr>
          <w:rFonts w:ascii="Arial" w:cs="Arial" w:eastAsia="Arial" w:hAnsi="Arial"/>
          <w:sz w:val="18"/>
          <w:szCs w:val="18"/>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insurance may be insufficient to cover losses that may occur to our property or result from our operations.</w:t>
      </w:r>
    </w:p>
    <w:p>
      <w:pPr>
        <w:spacing w:after="0" w:line="113" w:lineRule="exact"/>
        <w:rPr>
          <w:sz w:val="20"/>
          <w:szCs w:val="20"/>
          <w:color w:val="auto"/>
        </w:rPr>
      </w:pPr>
    </w:p>
    <w:p>
      <w:pPr>
        <w:ind w:right="120" w:firstLine="357"/>
        <w:spacing w:after="0" w:line="286" w:lineRule="auto"/>
        <w:rPr>
          <w:sz w:val="20"/>
          <w:szCs w:val="20"/>
          <w:color w:val="auto"/>
        </w:rPr>
      </w:pPr>
      <w:r>
        <w:rPr>
          <w:rFonts w:ascii="Arial" w:cs="Arial" w:eastAsia="Arial" w:hAnsi="Arial"/>
          <w:sz w:val="16"/>
          <w:szCs w:val="16"/>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61"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From time to time, we may be involved in legal proceedings and may experience unfavorable outcomes.</w:t>
      </w:r>
    </w:p>
    <w:p>
      <w:pPr>
        <w:spacing w:after="0" w:line="115" w:lineRule="exact"/>
        <w:rPr>
          <w:sz w:val="20"/>
          <w:szCs w:val="20"/>
          <w:color w:val="auto"/>
        </w:rPr>
      </w:pPr>
    </w:p>
    <w:p>
      <w:pPr>
        <w:ind w:firstLine="357"/>
        <w:spacing w:after="0" w:line="294" w:lineRule="auto"/>
        <w:rPr>
          <w:sz w:val="20"/>
          <w:szCs w:val="20"/>
          <w:color w:val="auto"/>
        </w:rPr>
      </w:pPr>
      <w:r>
        <w:rPr>
          <w:rFonts w:ascii="Arial" w:cs="Arial" w:eastAsia="Arial" w:hAnsi="Arial"/>
          <w:sz w:val="16"/>
          <w:szCs w:val="16"/>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 consuming and expensive. Further, if any such proceedings were to result in an unfavorable outcome, it could have a material adverse effect on our business, financial position and results of operations.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success depends on key members of our management, the loss of any of whom could disrupt our business operations.</w:t>
      </w:r>
    </w:p>
    <w:p>
      <w:pPr>
        <w:spacing w:after="0" w:line="136" w:lineRule="exact"/>
        <w:rPr>
          <w:sz w:val="20"/>
          <w:szCs w:val="20"/>
          <w:color w:val="auto"/>
        </w:rPr>
      </w:pPr>
    </w:p>
    <w:p>
      <w:pPr>
        <w:ind w:right="220" w:firstLine="357"/>
        <w:spacing w:after="0" w:line="255" w:lineRule="auto"/>
        <w:rPr>
          <w:sz w:val="20"/>
          <w:szCs w:val="20"/>
          <w:color w:val="auto"/>
        </w:rPr>
      </w:pPr>
      <w:r>
        <w:rPr>
          <w:rFonts w:ascii="Arial" w:cs="Arial" w:eastAsia="Arial" w:hAnsi="Arial"/>
          <w:sz w:val="18"/>
          <w:szCs w:val="18"/>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“Risk Factors” section. We do not maintain key man insurance on Mr. Edens or any of our employees. As a result, we are not insured against any losses resulting from the death of our key employees.</w:t>
      </w:r>
    </w:p>
    <w:p>
      <w:pPr>
        <w:spacing w:after="0" w:line="175" w:lineRule="exact"/>
        <w:rPr>
          <w:sz w:val="20"/>
          <w:szCs w:val="20"/>
          <w:color w:val="auto"/>
        </w:rPr>
      </w:pPr>
    </w:p>
    <w:p>
      <w:pPr>
        <w:ind w:left="360" w:right="220"/>
        <w:spacing w:after="0" w:line="272" w:lineRule="auto"/>
        <w:rPr>
          <w:sz w:val="20"/>
          <w:szCs w:val="20"/>
          <w:color w:val="auto"/>
        </w:rPr>
      </w:pPr>
      <w:r>
        <w:rPr>
          <w:rFonts w:ascii="Arial" w:cs="Arial" w:eastAsia="Arial" w:hAnsi="Arial"/>
          <w:sz w:val="17"/>
          <w:szCs w:val="17"/>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53" w:lineRule="exact"/>
        <w:rPr>
          <w:sz w:val="20"/>
          <w:szCs w:val="20"/>
          <w:color w:val="auto"/>
        </w:rPr>
      </w:pPr>
    </w:p>
    <w:p>
      <w:pPr>
        <w:ind w:right="100" w:firstLine="357"/>
        <w:spacing w:after="0" w:line="257" w:lineRule="auto"/>
        <w:rPr>
          <w:sz w:val="20"/>
          <w:szCs w:val="20"/>
          <w:color w:val="auto"/>
        </w:rPr>
      </w:pPr>
      <w:r>
        <w:rPr>
          <w:rFonts w:ascii="Arial" w:cs="Arial" w:eastAsia="Arial" w:hAnsi="Arial"/>
          <w:sz w:val="18"/>
          <w:szCs w:val="18"/>
          <w:color w:val="auto"/>
        </w:rPr>
        <w:t>The construction of energy-related infrastructure, including our Terminals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79" w:lineRule="exact"/>
        <w:rPr>
          <w:sz w:val="20"/>
          <w:szCs w:val="20"/>
          <w:color w:val="auto"/>
        </w:rPr>
      </w:pPr>
    </w:p>
    <w:p>
      <w:pPr>
        <w:ind w:left="700" w:right="560" w:hanging="346"/>
        <w:spacing w:after="0" w:line="27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complete construction projects on schedule or at the budgeted cost due to the unavailability of required construction personnel or materials, accidents or weather conditions;</w:t>
      </w:r>
    </w:p>
    <w:p>
      <w:pPr>
        <w:spacing w:after="0" w:line="63" w:lineRule="exact"/>
        <w:rPr>
          <w:rFonts w:ascii="Arial" w:cs="Arial" w:eastAsia="Arial" w:hAnsi="Arial"/>
          <w:sz w:val="18"/>
          <w:szCs w:val="18"/>
          <w:color w:val="auto"/>
        </w:rPr>
      </w:pPr>
    </w:p>
    <w:p>
      <w:pPr>
        <w:ind w:left="700" w:right="20" w:hanging="346"/>
        <w:spacing w:after="0" w:line="26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change orders under existing or future EPC contracts resulting from the occurrence of certain specified events that may give our customers the right to cause us to enter into change orders or resulting from changes with which we otherwise agree;</w:t>
      </w:r>
    </w:p>
    <w:p>
      <w:pPr>
        <w:spacing w:after="0" w:line="75" w:lineRule="exact"/>
        <w:rPr>
          <w:rFonts w:ascii="Arial" w:cs="Arial" w:eastAsia="Arial" w:hAnsi="Arial"/>
          <w:sz w:val="18"/>
          <w:szCs w:val="18"/>
          <w:color w:val="auto"/>
        </w:rPr>
      </w:pPr>
    </w:p>
    <w:p>
      <w:pPr>
        <w:ind w:left="700" w:right="220" w:hanging="346"/>
        <w:spacing w:after="0" w:line="27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not receive any material increase in operating cash flows until a project is completed, even though we may have expended considerable funds during the construction phase, which may be prolonged;</w:t>
      </w:r>
    </w:p>
    <w:p>
      <w:pPr>
        <w:spacing w:after="0" w:line="63" w:lineRule="exact"/>
        <w:rPr>
          <w:rFonts w:ascii="Arial" w:cs="Arial" w:eastAsia="Arial" w:hAnsi="Arial"/>
          <w:sz w:val="18"/>
          <w:szCs w:val="18"/>
          <w:color w:val="auto"/>
        </w:rPr>
      </w:pPr>
    </w:p>
    <w:p>
      <w:pPr>
        <w:ind w:left="700" w:hanging="346"/>
        <w:spacing w:after="0" w:line="27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construct facilities to capture anticipated future energy consumption growth in a region in which such growth does not materialize;</w:t>
      </w:r>
    </w:p>
    <w:p>
      <w:pPr>
        <w:spacing w:after="0" w:line="63" w:lineRule="exact"/>
        <w:rPr>
          <w:rFonts w:ascii="Arial" w:cs="Arial" w:eastAsia="Arial" w:hAnsi="Arial"/>
          <w:sz w:val="18"/>
          <w:szCs w:val="18"/>
          <w:color w:val="auto"/>
        </w:rPr>
      </w:pPr>
    </w:p>
    <w:p>
      <w:pPr>
        <w:ind w:left="700" w:right="160" w:hanging="346"/>
        <w:spacing w:after="0" w:line="26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completion or success of our construction project may depend on the completion of a third-party construction project (e.g., additional public utility infrastructure projects) that we do not control and that may be subject to numerous additional potential risks, delays and complexities;</w:t>
      </w:r>
    </w:p>
    <w:p>
      <w:pPr>
        <w:spacing w:after="0" w:line="75" w:lineRule="exact"/>
        <w:rPr>
          <w:rFonts w:ascii="Arial" w:cs="Arial" w:eastAsia="Arial" w:hAnsi="Arial"/>
          <w:sz w:val="18"/>
          <w:szCs w:val="18"/>
          <w:color w:val="auto"/>
        </w:rPr>
      </w:pPr>
    </w:p>
    <w:p>
      <w:pPr>
        <w:jc w:val="both"/>
        <w:ind w:left="700" w:right="120" w:hanging="346"/>
        <w:spacing w:after="0" w:line="26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of the project company holding the rights to develop and operate the Ireland Terminal is subject to a number of contingencies, many of which are beyond our control and could cause us to not complete the acquisition of the project company or delay construction of our Ireland Terminal;</w:t>
      </w:r>
    </w:p>
    <w:p>
      <w:pPr>
        <w:spacing w:after="0" w:line="75" w:lineRule="exact"/>
        <w:rPr>
          <w:rFonts w:ascii="Arial" w:cs="Arial" w:eastAsia="Arial" w:hAnsi="Arial"/>
          <w:sz w:val="18"/>
          <w:szCs w:val="18"/>
          <w:color w:val="auto"/>
        </w:rPr>
      </w:pPr>
    </w:p>
    <w:p>
      <w:pPr>
        <w:ind w:left="700" w:right="240" w:hanging="346"/>
        <w:spacing w:after="0" w:line="277" w:lineRule="auto"/>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63" w:lineRule="exact"/>
        <w:rPr>
          <w:rFonts w:ascii="Arial" w:cs="Arial" w:eastAsia="Arial" w:hAnsi="Arial"/>
          <w:sz w:val="17"/>
          <w:szCs w:val="17"/>
          <w:color w:val="auto"/>
        </w:rPr>
      </w:pPr>
    </w:p>
    <w:p>
      <w:pPr>
        <w:ind w:left="700" w:right="380" w:hanging="346"/>
        <w:spacing w:after="0" w:line="305" w:lineRule="auto"/>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(and have been in select circumstances) subject to local opposition, including the efforts by environmental groups, which may attract negative publicity or have an adverse impact on our reputation;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120" w:hanging="346"/>
        <w:spacing w:after="0" w:line="27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obtain rights-of-way to construct additional energy-related infrastructure or the cost to do so may be uneconomical.</w:t>
      </w:r>
    </w:p>
    <w:p>
      <w:pPr>
        <w:spacing w:after="0" w:line="64"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70" w:lineRule="exact"/>
        <w:rPr>
          <w:sz w:val="20"/>
          <w:szCs w:val="20"/>
          <w:color w:val="auto"/>
        </w:rPr>
      </w:pPr>
    </w:p>
    <w:p>
      <w:pPr>
        <w:ind w:left="360" w:right="240"/>
        <w:spacing w:after="0" w:line="243" w:lineRule="auto"/>
        <w:rPr>
          <w:sz w:val="20"/>
          <w:szCs w:val="20"/>
          <w:color w:val="auto"/>
        </w:rPr>
      </w:pPr>
      <w:r>
        <w:rPr>
          <w:rFonts w:ascii="Arial" w:cs="Arial" w:eastAsia="Arial" w:hAnsi="Arial"/>
          <w:sz w:val="18"/>
          <w:szCs w:val="18"/>
          <w:b w:val="1"/>
          <w:bCs w:val="1"/>
          <w:i w:val="1"/>
          <w:iCs w:val="1"/>
          <w:color w:val="auto"/>
        </w:rPr>
        <w:t>We expect to be dependent on our primary building contractor and other contractors for the successful completion of our energy-related infrastructure.</w:t>
      </w:r>
    </w:p>
    <w:p>
      <w:pPr>
        <w:spacing w:after="0" w:line="77" w:lineRule="exact"/>
        <w:rPr>
          <w:sz w:val="20"/>
          <w:szCs w:val="20"/>
          <w:color w:val="auto"/>
        </w:rPr>
      </w:pPr>
    </w:p>
    <w:p>
      <w:pPr>
        <w:ind w:right="60" w:firstLine="357"/>
        <w:spacing w:after="0" w:line="255" w:lineRule="auto"/>
        <w:rPr>
          <w:sz w:val="20"/>
          <w:szCs w:val="20"/>
          <w:color w:val="auto"/>
        </w:rPr>
      </w:pPr>
      <w:r>
        <w:rPr>
          <w:rFonts w:ascii="Arial" w:cs="Arial" w:eastAsia="Arial" w:hAnsi="Arial"/>
          <w:sz w:val="18"/>
          <w:szCs w:val="18"/>
          <w:color w:val="auto"/>
        </w:rPr>
        <w:t>Timely and cost-effective completion of our energy-related infrastructure, including our Terminals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81" w:lineRule="exact"/>
        <w:rPr>
          <w:sz w:val="20"/>
          <w:szCs w:val="20"/>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 and engineer each of our facilities to operate in accordance with specifications;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and retain third-party subcontractors and procure equipment and supplies;</w:t>
      </w:r>
    </w:p>
    <w:p>
      <w:pPr>
        <w:spacing w:after="0" w:line="114" w:lineRule="exact"/>
        <w:rPr>
          <w:rFonts w:ascii="Arial" w:cs="Arial" w:eastAsia="Arial" w:hAnsi="Arial"/>
          <w:sz w:val="18"/>
          <w:szCs w:val="18"/>
          <w:color w:val="auto"/>
        </w:rPr>
      </w:pPr>
    </w:p>
    <w:p>
      <w:pPr>
        <w:ind w:left="700" w:right="940" w:hanging="346"/>
        <w:spacing w:after="0" w:line="274"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respond to difficulties such as equipment failure, delivery delays, schedule changes and failures to perform by subcontractors, some of which are beyond their control;</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develop and retain skilled personnel, including engineers;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post required construction bonds and comply with the terms thereof;</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 the construction process generally, including coordinating with other contractors and regulatory agencies; and</w:t>
      </w:r>
    </w:p>
    <w:p>
      <w:pPr>
        <w:spacing w:after="0" w:line="137" w:lineRule="exact"/>
        <w:rPr>
          <w:rFonts w:ascii="Arial" w:cs="Arial" w:eastAsia="Arial" w:hAnsi="Arial"/>
          <w:sz w:val="16"/>
          <w:szCs w:val="16"/>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their own financial condition, including adequate working capital.</w:t>
      </w:r>
    </w:p>
    <w:p>
      <w:pPr>
        <w:spacing w:after="0" w:line="115" w:lineRule="exact"/>
        <w:rPr>
          <w:sz w:val="20"/>
          <w:szCs w:val="20"/>
          <w:color w:val="auto"/>
        </w:rPr>
      </w:pPr>
    </w:p>
    <w:p>
      <w:pPr>
        <w:ind w:right="20" w:firstLine="357"/>
        <w:spacing w:after="0" w:line="284" w:lineRule="auto"/>
        <w:rPr>
          <w:sz w:val="20"/>
          <w:szCs w:val="20"/>
          <w:color w:val="auto"/>
        </w:rPr>
      </w:pPr>
      <w:r>
        <w:rPr>
          <w:rFonts w:ascii="Arial" w:cs="Arial" w:eastAsia="Arial" w:hAnsi="Arial"/>
          <w:sz w:val="16"/>
          <w:szCs w:val="16"/>
          <w:color w:val="auto"/>
        </w:rPr>
        <w:t>Until we have entered into an EPC contract for a particular project, in which the EPC contractor agrees to meet our planned schedule and projected total costs for a project, we are subject to potential fluctuations in construction costs and other related project costs. We entered into an EPC contract for our Pennsylvania Facility in the first quarter of 2019. See “Business—Our Liquefaction Assets—Pennsylvania EPC Agreement.”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155" w:lineRule="exact"/>
        <w:rPr>
          <w:sz w:val="20"/>
          <w:szCs w:val="20"/>
          <w:color w:val="auto"/>
        </w:rPr>
      </w:pPr>
    </w:p>
    <w:p>
      <w:pPr>
        <w:ind w:left="360" w:right="260"/>
        <w:spacing w:after="0" w:line="243" w:lineRule="auto"/>
        <w:rPr>
          <w:sz w:val="20"/>
          <w:szCs w:val="20"/>
          <w:color w:val="auto"/>
        </w:rPr>
      </w:pPr>
      <w:r>
        <w:rPr>
          <w:rFonts w:ascii="Arial" w:cs="Arial" w:eastAsia="Arial" w:hAnsi="Arial"/>
          <w:sz w:val="18"/>
          <w:szCs w:val="18"/>
          <w:b w:val="1"/>
          <w:bCs w:val="1"/>
          <w:i w:val="1"/>
          <w:iCs w:val="1"/>
          <w:color w:val="auto"/>
        </w:rPr>
        <w:t>We are relying on third party engineers to estimate the future rated capacity and performance capabilities of our existing and future facilities, and these estimates may prove to be inaccurate.</w:t>
      </w:r>
    </w:p>
    <w:p>
      <w:pPr>
        <w:spacing w:after="0" w:line="77"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We are relying on third parties for the design and engineering services underlying our estimates of the future rated capacity and performance capabilities of our Terminals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360" w:right="240"/>
        <w:spacing w:after="0" w:line="233" w:lineRule="auto"/>
        <w:rPr>
          <w:sz w:val="20"/>
          <w:szCs w:val="20"/>
          <w:color w:val="auto"/>
        </w:rPr>
      </w:pPr>
      <w:r>
        <w:rPr>
          <w:rFonts w:ascii="Arial" w:cs="Arial" w:eastAsia="Arial" w:hAnsi="Arial"/>
          <w:sz w:val="18"/>
          <w:szCs w:val="18"/>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81" w:lineRule="exact"/>
        <w:rPr>
          <w:sz w:val="20"/>
          <w:szCs w:val="20"/>
          <w:color w:val="auto"/>
        </w:rPr>
      </w:pPr>
    </w:p>
    <w:p>
      <w:pPr>
        <w:ind w:right="120" w:firstLine="357"/>
        <w:spacing w:after="0" w:line="271" w:lineRule="auto"/>
        <w:rPr>
          <w:sz w:val="20"/>
          <w:szCs w:val="20"/>
          <w:color w:val="auto"/>
        </w:rPr>
      </w:pPr>
      <w:r>
        <w:rPr>
          <w:rFonts w:ascii="Arial" w:cs="Arial" w:eastAsia="Arial" w:hAnsi="Arial"/>
          <w:sz w:val="17"/>
          <w:szCs w:val="17"/>
          <w:color w:val="auto"/>
        </w:rPr>
        <w:t>Under the GSAs with JPS and JPC, we are required to deliver to JPS and JPC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JPC or Jamalco with the right to terminate its GSA, PPA or SSA, as applicable. In addition, price fluctuations in natural gas and LNG may make it expensive or uneconomical for us to acquire adequate supply of these items.</w:t>
      </w:r>
    </w:p>
    <w:p>
      <w:pPr>
        <w:spacing w:after="0" w:line="71" w:lineRule="exact"/>
        <w:rPr>
          <w:sz w:val="20"/>
          <w:szCs w:val="20"/>
          <w:color w:val="auto"/>
        </w:rPr>
      </w:pPr>
    </w:p>
    <w:p>
      <w:pPr>
        <w:ind w:firstLine="357"/>
        <w:spacing w:after="0" w:line="267" w:lineRule="auto"/>
        <w:rPr>
          <w:sz w:val="20"/>
          <w:szCs w:val="20"/>
          <w:color w:val="auto"/>
        </w:rPr>
      </w:pPr>
      <w:r>
        <w:rPr>
          <w:rFonts w:ascii="Arial" w:cs="Arial" w:eastAsia="Arial" w:hAnsi="Arial"/>
          <w:sz w:val="17"/>
          <w:szCs w:val="17"/>
          <w:color w:val="auto"/>
        </w:rPr>
        <w:t>We are dependent upon third 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such as an affiliate of Chesapeake Energy Corporation (“Chesapeake”), were to default on their obligations under our contracts or seek bankruptcy protection, we may not be able to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73" w:lineRule="exact"/>
        <w:rPr>
          <w:sz w:val="20"/>
          <w:szCs w:val="20"/>
          <w:color w:val="auto"/>
        </w:rPr>
      </w:pPr>
    </w:p>
    <w:p>
      <w:pPr>
        <w:ind w:right="220" w:firstLine="357"/>
        <w:spacing w:after="0" w:line="257" w:lineRule="auto"/>
        <w:rPr>
          <w:sz w:val="20"/>
          <w:szCs w:val="20"/>
          <w:color w:val="auto"/>
        </w:rPr>
      </w:pPr>
      <w:r>
        <w:rPr>
          <w:rFonts w:ascii="Arial" w:cs="Arial" w:eastAsia="Arial" w:hAnsi="Arial"/>
          <w:sz w:val="18"/>
          <w:szCs w:val="18"/>
          <w:color w:val="auto"/>
        </w:rPr>
        <w:t>While we have entered into contracts with Centrica to purchase a substantial portion of our expected LNG volumes for 2019 and 2020,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79" w:lineRule="exact"/>
        <w:rPr>
          <w:sz w:val="20"/>
          <w:szCs w:val="20"/>
          <w:color w:val="auto"/>
        </w:rPr>
      </w:pPr>
    </w:p>
    <w:p>
      <w:pPr>
        <w:ind w:right="40" w:firstLine="357"/>
        <w:spacing w:after="0" w:line="271" w:lineRule="auto"/>
        <w:rPr>
          <w:sz w:val="20"/>
          <w:szCs w:val="20"/>
          <w:color w:val="auto"/>
        </w:rPr>
      </w:pPr>
      <w:r>
        <w:rPr>
          <w:rFonts w:ascii="Arial" w:cs="Arial" w:eastAsia="Arial" w:hAnsi="Arial"/>
          <w:sz w:val="17"/>
          <w:szCs w:val="17"/>
          <w:color w:val="auto"/>
        </w:rPr>
        <w:t>Recently, the LNG industry has experienced increased volatility. If market disruptions and bankruptcies of third 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facilities. Even if we do complete the Pennsylvania Facility, there can be no assurance that it will operate as we expect or that we will succeed in our goal of reducing the risk to our operations of future LNG price variations.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face competition based upon the international market price for LNG or natural gas.</w:t>
      </w:r>
    </w:p>
    <w:p>
      <w:pPr>
        <w:spacing w:after="0" w:line="115"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81" w:lineRule="exact"/>
        <w:rPr>
          <w:sz w:val="20"/>
          <w:szCs w:val="20"/>
          <w:color w:val="auto"/>
        </w:rPr>
      </w:pPr>
    </w:p>
    <w:p>
      <w:pPr>
        <w:ind w:left="700" w:hanging="3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114" w:lineRule="exact"/>
        <w:rPr>
          <w:rFonts w:ascii="Arial" w:cs="Arial" w:eastAsia="Arial" w:hAnsi="Arial"/>
          <w:sz w:val="18"/>
          <w:szCs w:val="18"/>
          <w:color w:val="auto"/>
        </w:rPr>
      </w:pPr>
    </w:p>
    <w:p>
      <w:pPr>
        <w:ind w:left="700" w:right="20" w:hanging="346"/>
        <w:spacing w:after="0" w:line="274"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decreases in the cost of competing sources of natural gas, LNG or alternate fuels such as coal, HFO and diesel;</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hanging="3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spacing w:after="0" w:line="114" w:lineRule="exact"/>
        <w:rPr>
          <w:rFonts w:ascii="Arial" w:cs="Arial" w:eastAsia="Arial" w:hAnsi="Arial"/>
          <w:sz w:val="18"/>
          <w:szCs w:val="18"/>
          <w:color w:val="auto"/>
        </w:rPr>
      </w:pPr>
    </w:p>
    <w:p>
      <w:pPr>
        <w:ind w:left="700" w:right="180" w:hanging="346"/>
        <w:spacing w:after="0" w:line="261"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76" w:lineRule="exact"/>
        <w:rPr>
          <w:sz w:val="20"/>
          <w:szCs w:val="20"/>
          <w:color w:val="auto"/>
        </w:rPr>
      </w:pPr>
    </w:p>
    <w:p>
      <w:pPr>
        <w:ind w:right="160" w:firstLine="357"/>
        <w:spacing w:after="0" w:line="299" w:lineRule="auto"/>
        <w:rPr>
          <w:sz w:val="20"/>
          <w:szCs w:val="20"/>
          <w:color w:val="auto"/>
        </w:rPr>
      </w:pPr>
      <w:r>
        <w:rPr>
          <w:rFonts w:ascii="Arial" w:cs="Arial" w:eastAsia="Arial" w:hAnsi="Arial"/>
          <w:sz w:val="16"/>
          <w:szCs w:val="16"/>
          <w:color w:val="auto"/>
        </w:rPr>
        <w:t>In addition, we may not be able to successfully execute on our strategy to supply our existing and future customers with LNG produced primarily at our own facilities upon completion of the Pennsylvania Facility. See “Risk Related to Our Business—We have not yet completed construction and commissioning of all of our Terminals and Liquefaction Facilities. There can be no assurance that our Terminals and Liquefaction Facilities will operate as described in this prospectus, or at all.”</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Technological innovation may render our processes obsolete.</w:t>
      </w:r>
    </w:p>
    <w:p>
      <w:pPr>
        <w:spacing w:after="0" w:line="115" w:lineRule="exact"/>
        <w:rPr>
          <w:sz w:val="20"/>
          <w:szCs w:val="20"/>
          <w:color w:val="auto"/>
        </w:rPr>
      </w:pPr>
    </w:p>
    <w:p>
      <w:pPr>
        <w:ind w:right="20" w:firstLine="357"/>
        <w:spacing w:after="0" w:line="289" w:lineRule="auto"/>
        <w:rPr>
          <w:sz w:val="20"/>
          <w:szCs w:val="20"/>
          <w:color w:val="auto"/>
        </w:rPr>
      </w:pPr>
      <w:r>
        <w:rPr>
          <w:rFonts w:ascii="Arial" w:cs="Arial" w:eastAsia="Arial" w:hAnsi="Arial"/>
          <w:sz w:val="16"/>
          <w:szCs w:val="16"/>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53" w:lineRule="exact"/>
        <w:rPr>
          <w:sz w:val="20"/>
          <w:szCs w:val="20"/>
          <w:color w:val="auto"/>
        </w:rPr>
      </w:pPr>
    </w:p>
    <w:p>
      <w:pPr>
        <w:ind w:left="360" w:right="660"/>
        <w:spacing w:after="0" w:line="243" w:lineRule="auto"/>
        <w:rPr>
          <w:sz w:val="20"/>
          <w:szCs w:val="20"/>
          <w:color w:val="auto"/>
        </w:rPr>
      </w:pPr>
      <w:r>
        <w:rPr>
          <w:rFonts w:ascii="Arial" w:cs="Arial" w:eastAsia="Arial" w:hAnsi="Arial"/>
          <w:sz w:val="18"/>
          <w:szCs w:val="18"/>
          <w:b w:val="1"/>
          <w:bCs w:val="1"/>
          <w:i w:val="1"/>
          <w:iCs w:val="1"/>
          <w:color w:val="auto"/>
        </w:rPr>
        <w:t>Changes in legislation and regulations could have a material adverse impact on our business, results of operations, financial condition, liquidity and prospects.</w:t>
      </w:r>
    </w:p>
    <w:p>
      <w:pPr>
        <w:spacing w:after="0" w:line="77"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Our business is subject to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Increasing trucking regulations may increase our costs and negatively impact our results of operations.</w:t>
      </w:r>
    </w:p>
    <w:p>
      <w:pPr>
        <w:spacing w:after="0" w:line="115" w:lineRule="exact"/>
        <w:rPr>
          <w:sz w:val="20"/>
          <w:szCs w:val="20"/>
          <w:color w:val="auto"/>
        </w:rPr>
      </w:pPr>
    </w:p>
    <w:p>
      <w:pPr>
        <w:ind w:right="160" w:firstLine="357"/>
        <w:spacing w:after="0" w:line="288" w:lineRule="auto"/>
        <w:rPr>
          <w:sz w:val="20"/>
          <w:szCs w:val="20"/>
          <w:color w:val="auto"/>
        </w:rPr>
      </w:pPr>
      <w:r>
        <w:rPr>
          <w:rFonts w:ascii="Arial" w:cs="Arial" w:eastAsia="Arial" w:hAnsi="Arial"/>
          <w:sz w:val="16"/>
          <w:szCs w:val="16"/>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58" w:lineRule="exact"/>
        <w:rPr>
          <w:sz w:val="20"/>
          <w:szCs w:val="20"/>
          <w:color w:val="auto"/>
        </w:rPr>
      </w:pPr>
    </w:p>
    <w:p>
      <w:pPr>
        <w:ind w:right="200" w:firstLine="357"/>
        <w:spacing w:after="0" w:line="254" w:lineRule="auto"/>
        <w:rPr>
          <w:sz w:val="20"/>
          <w:szCs w:val="20"/>
          <w:color w:val="auto"/>
        </w:rPr>
      </w:pPr>
      <w:r>
        <w:rPr>
          <w:rFonts w:ascii="Arial" w:cs="Arial" w:eastAsia="Arial" w:hAnsi="Arial"/>
          <w:sz w:val="18"/>
          <w:szCs w:val="18"/>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79" w:lineRule="exact"/>
        <w:rPr>
          <w:sz w:val="20"/>
          <w:szCs w:val="20"/>
          <w:color w:val="auto"/>
        </w:rPr>
      </w:pPr>
    </w:p>
    <w:p>
      <w:pPr>
        <w:ind w:right="160" w:firstLine="357"/>
        <w:spacing w:after="0" w:line="257"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173" w:lineRule="exact"/>
        <w:rPr>
          <w:sz w:val="20"/>
          <w:szCs w:val="20"/>
          <w:color w:val="auto"/>
        </w:rPr>
      </w:pPr>
    </w:p>
    <w:p>
      <w:pPr>
        <w:ind w:left="360" w:right="500"/>
        <w:spacing w:after="0" w:line="243"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77"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We have obtained long-term leases and corresponding rights-of-way agreements with respect to the land on which the Jamaica Terminals, the pipeline connecting the Montego Bay Terminal to the Bogue Power Plant, the Miami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Terminals.</w:t>
      </w:r>
    </w:p>
    <w:p>
      <w:pPr>
        <w:spacing w:after="0" w:line="59" w:lineRule="exact"/>
        <w:rPr>
          <w:sz w:val="20"/>
          <w:szCs w:val="20"/>
          <w:color w:val="auto"/>
        </w:rPr>
      </w:pPr>
    </w:p>
    <w:p>
      <w:pPr>
        <w:ind w:right="160" w:firstLine="357"/>
        <w:spacing w:after="0" w:line="270" w:lineRule="auto"/>
        <w:rPr>
          <w:sz w:val="20"/>
          <w:szCs w:val="20"/>
          <w:color w:val="auto"/>
        </w:rPr>
      </w:pPr>
      <w:r>
        <w:rPr>
          <w:rFonts w:ascii="Arial" w:cs="Arial" w:eastAsia="Arial" w:hAnsi="Arial"/>
          <w:sz w:val="17"/>
          <w:szCs w:val="17"/>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37" w:lineRule="exact"/>
        <w:rPr>
          <w:sz w:val="20"/>
          <w:szCs w:val="20"/>
          <w:color w:val="auto"/>
        </w:rPr>
      </w:pPr>
    </w:p>
    <w:p>
      <w:pPr>
        <w:ind w:left="360"/>
        <w:spacing w:after="0" w:line="272" w:lineRule="auto"/>
        <w:rPr>
          <w:sz w:val="20"/>
          <w:szCs w:val="20"/>
          <w:color w:val="auto"/>
        </w:rPr>
      </w:pPr>
      <w:r>
        <w:rPr>
          <w:rFonts w:ascii="Arial" w:cs="Arial" w:eastAsia="Arial" w:hAnsi="Arial"/>
          <w:sz w:val="17"/>
          <w:szCs w:val="17"/>
          <w:b w:val="1"/>
          <w:bCs w:val="1"/>
          <w:i w:val="1"/>
          <w:iCs w:val="1"/>
          <w:color w:val="auto"/>
        </w:rPr>
        <w:t>We may not be able to successfully enter into contracts or renew existing contracts to charter tankers and to lease or acquire ship-to-ship kits in the future, which may result in us not being able to meet our obligations.</w:t>
      </w:r>
    </w:p>
    <w:p>
      <w:pPr>
        <w:spacing w:after="0" w:line="53"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We enter into time charters of ocean-going tankers for the transportation of LNG, which extend for varying lengths of time. We also rely on two ship-to-ship kits, one of which we currently own and one of which we currently lease, and one ship-to-shore kit, which we currently own, to transmit LNG between ships and to transport it onshore. We may need to purchase additional kits, or upgrade our existing kits, in the future. We may not be able to successfully enter into contracts or renew existing contracts to charter tankers and to lease or acquire kits in the future, which may result in us not being able to meet our obligations. We are also exposed to changes in market rates and availability for tankers and kits,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74" w:lineRule="exact"/>
        <w:rPr>
          <w:sz w:val="20"/>
          <w:szCs w:val="20"/>
          <w:color w:val="auto"/>
        </w:rPr>
      </w:pPr>
    </w:p>
    <w:p>
      <w:pPr>
        <w:ind w:right="260" w:firstLine="357"/>
        <w:spacing w:after="0" w:line="274" w:lineRule="auto"/>
        <w:rPr>
          <w:sz w:val="20"/>
          <w:szCs w:val="20"/>
          <w:color w:val="auto"/>
        </w:rPr>
      </w:pPr>
      <w:r>
        <w:rPr>
          <w:rFonts w:ascii="Arial" w:cs="Arial" w:eastAsia="Arial" w:hAnsi="Arial"/>
          <w:sz w:val="18"/>
          <w:szCs w:val="18"/>
          <w:color w:val="auto"/>
        </w:rPr>
        <w:t>We rely on the operation of tankers under our time charters and kits to transfer LNG between ships. The operation of ocean-going tankers and kits carries inherent risks. These risks include the possibility of:</w:t>
      </w:r>
    </w:p>
    <w:p>
      <w:pPr>
        <w:spacing w:after="0" w:line="64" w:lineRule="exact"/>
        <w:rPr>
          <w:sz w:val="20"/>
          <w:szCs w:val="20"/>
          <w:color w:val="auto"/>
        </w:rPr>
      </w:pPr>
    </w:p>
    <w:p>
      <w:pPr>
        <w:ind w:left="700" w:hanging="3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piracy;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5" w:lineRule="exact"/>
        <w:rPr>
          <w:sz w:val="20"/>
          <w:szCs w:val="20"/>
          <w:color w:val="auto"/>
        </w:rPr>
      </w:pPr>
    </w:p>
    <w:p>
      <w:pPr>
        <w:ind w:right="500" w:firstLine="357"/>
        <w:spacing w:after="0" w:line="274" w:lineRule="auto"/>
        <w:rPr>
          <w:sz w:val="20"/>
          <w:szCs w:val="20"/>
          <w:color w:val="auto"/>
        </w:rPr>
      </w:pPr>
      <w:r>
        <w:rPr>
          <w:rFonts w:ascii="Arial" w:cs="Arial" w:eastAsia="Arial" w:hAnsi="Arial"/>
          <w:sz w:val="18"/>
          <w:szCs w:val="18"/>
          <w:color w:val="auto"/>
        </w:rPr>
        <w:t>We do not currently maintain a redundant supply of ships, ship-to-ship kits or other equipment. As a result, if our current equipment fails, is unavailable or insufficient to service our LNG production, we may need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procure new equipment, which may not be available or be expensive to obtain. Any such occurrence could interrupt our operations and increase our operating costs. Any of these results could have a material adverse effect on our business, financial condition and operating results.</w:t>
      </w:r>
    </w:p>
    <w:p>
      <w:pPr>
        <w:spacing w:after="0" w:line="156" w:lineRule="exact"/>
        <w:rPr>
          <w:sz w:val="20"/>
          <w:szCs w:val="20"/>
          <w:color w:val="auto"/>
        </w:rPr>
      </w:pPr>
    </w:p>
    <w:p>
      <w:pPr>
        <w:ind w:left="360" w:right="840"/>
        <w:spacing w:after="0" w:line="259" w:lineRule="auto"/>
        <w:rPr>
          <w:sz w:val="20"/>
          <w:szCs w:val="20"/>
          <w:color w:val="auto"/>
        </w:rPr>
      </w:pPr>
      <w:r>
        <w:rPr>
          <w:rFonts w:ascii="Arial" w:cs="Arial" w:eastAsia="Arial" w:hAnsi="Arial"/>
          <w:sz w:val="18"/>
          <w:szCs w:val="18"/>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Cargoes of LNG and our chartered vessels are at risk of being damaged or lost because of events such as:</w:t>
      </w:r>
    </w:p>
    <w:p>
      <w:pPr>
        <w:spacing w:after="0" w:line="115" w:lineRule="exact"/>
        <w:rPr>
          <w:sz w:val="20"/>
          <w:szCs w:val="20"/>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piracy;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accident involving our cargoes or any of our chartered vessels could result in any of the following:</w:t>
      </w:r>
    </w:p>
    <w:p>
      <w:pPr>
        <w:spacing w:after="0" w:line="115" w:lineRule="exact"/>
        <w:rPr>
          <w:sz w:val="20"/>
          <w:szCs w:val="20"/>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charter contracts;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Any of these circumstances or events could increase our costs or lower our revenues.</w:t>
      </w:r>
    </w:p>
    <w:p>
      <w:pPr>
        <w:spacing w:after="0" w:line="115" w:lineRule="exact"/>
        <w:rPr>
          <w:sz w:val="20"/>
          <w:szCs w:val="20"/>
          <w:color w:val="auto"/>
        </w:rPr>
      </w:pPr>
    </w:p>
    <w:p>
      <w:pPr>
        <w:ind w:right="60" w:firstLine="357"/>
        <w:spacing w:after="0" w:line="299" w:lineRule="auto"/>
        <w:rPr>
          <w:sz w:val="20"/>
          <w:szCs w:val="20"/>
          <w:color w:val="auto"/>
        </w:rPr>
      </w:pPr>
      <w:r>
        <w:rPr>
          <w:rFonts w:ascii="Arial" w:cs="Arial" w:eastAsia="Arial" w:hAnsi="Arial"/>
          <w:sz w:val="16"/>
          <w:szCs w:val="16"/>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w:t>
      </w:r>
    </w:p>
    <w:p>
      <w:pPr>
        <w:spacing w:after="0" w:line="156" w:lineRule="exact"/>
        <w:rPr>
          <w:sz w:val="20"/>
          <w:szCs w:val="20"/>
          <w:color w:val="auto"/>
        </w:rPr>
      </w:pPr>
    </w:p>
    <w:p>
      <w:pPr>
        <w:ind w:left="360" w:right="200"/>
        <w:spacing w:after="0" w:line="259" w:lineRule="auto"/>
        <w:rPr>
          <w:sz w:val="20"/>
          <w:szCs w:val="20"/>
          <w:color w:val="auto"/>
        </w:rPr>
      </w:pPr>
      <w:r>
        <w:rPr>
          <w:rFonts w:ascii="Arial" w:cs="Arial" w:eastAsia="Arial" w:hAnsi="Arial"/>
          <w:sz w:val="18"/>
          <w:szCs w:val="18"/>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63"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and the handling and disposal of hazardous substances and wastes.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(“ECAs”)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International Safety Management Code for the Safe Operation of Ships and for Pollution Prevention (the “ISM Code”), the IMO International Convention on Load Lines of 1966, as amended from time to time and the International Convention for the Control and Management of Ships’ Ballast Water and Sediments in February 2004.</w:t>
      </w:r>
    </w:p>
    <w:p>
      <w:pPr>
        <w:spacing w:after="0" w:line="76" w:lineRule="exact"/>
        <w:rPr>
          <w:sz w:val="20"/>
          <w:szCs w:val="20"/>
          <w:color w:val="auto"/>
        </w:rPr>
      </w:pPr>
    </w:p>
    <w:p>
      <w:pPr>
        <w:ind w:right="20" w:firstLine="357"/>
        <w:spacing w:after="0" w:line="273" w:lineRule="auto"/>
        <w:rPr>
          <w:sz w:val="20"/>
          <w:szCs w:val="20"/>
          <w:color w:val="auto"/>
        </w:rPr>
      </w:pPr>
      <w:r>
        <w:rPr>
          <w:rFonts w:ascii="Arial" w:cs="Arial" w:eastAsia="Arial" w:hAnsi="Arial"/>
          <w:sz w:val="17"/>
          <w:szCs w:val="17"/>
          <w:color w:val="auto"/>
        </w:rPr>
        <w:t>Moreover, the overall trends are towards more regulations and more stringent requirements which are likely to add to our costs of doing business.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69" w:lineRule="exact"/>
        <w:rPr>
          <w:sz w:val="20"/>
          <w:szCs w:val="20"/>
          <w:color w:val="auto"/>
        </w:rPr>
      </w:pPr>
    </w:p>
    <w:p>
      <w:pPr>
        <w:ind w:right="20" w:firstLine="357"/>
        <w:spacing w:after="0" w:line="289" w:lineRule="auto"/>
        <w:rPr>
          <w:sz w:val="20"/>
          <w:szCs w:val="20"/>
          <w:color w:val="auto"/>
        </w:rPr>
      </w:pPr>
      <w:r>
        <w:rPr>
          <w:rFonts w:ascii="Arial" w:cs="Arial" w:eastAsia="Arial" w:hAnsi="Arial"/>
          <w:sz w:val="16"/>
          <w:szCs w:val="16"/>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53" w:lineRule="exact"/>
        <w:rPr>
          <w:sz w:val="20"/>
          <w:szCs w:val="20"/>
          <w:color w:val="auto"/>
        </w:rPr>
      </w:pPr>
    </w:p>
    <w:p>
      <w:pPr>
        <w:ind w:left="360" w:right="100"/>
        <w:spacing w:after="0" w:line="243" w:lineRule="auto"/>
        <w:rPr>
          <w:sz w:val="20"/>
          <w:szCs w:val="20"/>
          <w:color w:val="auto"/>
        </w:rPr>
      </w:pPr>
      <w:r>
        <w:rPr>
          <w:rFonts w:ascii="Arial" w:cs="Arial" w:eastAsia="Arial" w:hAnsi="Arial"/>
          <w:sz w:val="18"/>
          <w:szCs w:val="18"/>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77"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81" w:lineRule="exact"/>
        <w:rPr>
          <w:sz w:val="20"/>
          <w:szCs w:val="20"/>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inadequate number of shipyards constructing LNG tankers and a backlog of orders at these shipyards;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or economic disturbances in the countries where the tankers are being constructed;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bankruptcy or other financial crisis of shipbuilders;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tsunami or fire; or</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w:t>
      </w:r>
    </w:p>
    <w:p>
      <w:pPr>
        <w:spacing w:after="0" w:line="115" w:lineRule="exact"/>
        <w:rPr>
          <w:sz w:val="20"/>
          <w:szCs w:val="20"/>
          <w:color w:val="auto"/>
        </w:rPr>
      </w:pPr>
    </w:p>
    <w:p>
      <w:pPr>
        <w:ind w:firstLine="357"/>
        <w:spacing w:after="0" w:line="277" w:lineRule="auto"/>
        <w:rPr>
          <w:sz w:val="20"/>
          <w:szCs w:val="20"/>
          <w:color w:val="auto"/>
        </w:rPr>
      </w:pPr>
      <w:r>
        <w:rPr>
          <w:rFonts w:ascii="Arial" w:cs="Arial" w:eastAsia="Arial" w:hAnsi="Arial"/>
          <w:sz w:val="17"/>
          <w:szCs w:val="17"/>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57" w:lineRule="exact"/>
        <w:rPr>
          <w:sz w:val="20"/>
          <w:szCs w:val="20"/>
          <w:color w:val="auto"/>
        </w:rPr>
      </w:pPr>
    </w:p>
    <w:p>
      <w:pPr>
        <w:ind w:left="360" w:right="240"/>
        <w:spacing w:after="0" w:line="243"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77" w:lineRule="exact"/>
        <w:rPr>
          <w:sz w:val="20"/>
          <w:szCs w:val="20"/>
          <w:color w:val="auto"/>
        </w:rPr>
      </w:pPr>
    </w:p>
    <w:p>
      <w:pPr>
        <w:ind w:right="20" w:firstLine="357"/>
        <w:spacing w:after="0" w:line="261" w:lineRule="auto"/>
        <w:rPr>
          <w:sz w:val="20"/>
          <w:szCs w:val="20"/>
          <w:color w:val="auto"/>
        </w:rPr>
      </w:pPr>
      <w:r>
        <w:rPr>
          <w:rFonts w:ascii="Arial" w:cs="Arial" w:eastAsia="Arial" w:hAnsi="Arial"/>
          <w:sz w:val="18"/>
          <w:szCs w:val="18"/>
          <w:color w:val="auto"/>
        </w:rPr>
        <w:t>We plan to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76" w:lineRule="exact"/>
        <w:rPr>
          <w:sz w:val="20"/>
          <w:szCs w:val="20"/>
          <w:color w:val="auto"/>
        </w:rPr>
      </w:pPr>
    </w:p>
    <w:p>
      <w:pPr>
        <w:ind w:right="300" w:firstLine="357"/>
        <w:spacing w:after="0" w:line="274" w:lineRule="auto"/>
        <w:rPr>
          <w:sz w:val="20"/>
          <w:szCs w:val="20"/>
          <w:color w:val="auto"/>
        </w:rPr>
      </w:pPr>
      <w:r>
        <w:rPr>
          <w:rFonts w:ascii="Arial" w:cs="Arial" w:eastAsia="Arial" w:hAnsi="Arial"/>
          <w:sz w:val="18"/>
          <w:szCs w:val="18"/>
          <w:color w:val="auto"/>
        </w:rPr>
        <w:t>Many competing companies have secured access to, or are pursuing development or acquisition of, LNG facilities in North America. We may face competition from major energy companies and others in pursuing our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proposed business strategy to provide liquefaction and export products and services. In addition, competitors have and are developing LNG terminals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64" w:lineRule="exact"/>
        <w:rPr>
          <w:sz w:val="20"/>
          <w:szCs w:val="20"/>
          <w:color w:val="auto"/>
        </w:rPr>
      </w:pPr>
    </w:p>
    <w:p>
      <w:pPr>
        <w:ind w:left="360" w:right="680"/>
        <w:spacing w:after="0" w:line="243"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77"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w:t>
      </w:r>
    </w:p>
    <w:p>
      <w:pPr>
        <w:spacing w:after="0" w:line="57"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81" w:lineRule="exact"/>
        <w:rPr>
          <w:sz w:val="20"/>
          <w:szCs w:val="20"/>
          <w:color w:val="auto"/>
        </w:rPr>
      </w:pPr>
    </w:p>
    <w:p>
      <w:pPr>
        <w:ind w:right="80" w:firstLine="357"/>
        <w:spacing w:after="0" w:line="294" w:lineRule="auto"/>
        <w:rPr>
          <w:sz w:val="20"/>
          <w:szCs w:val="20"/>
          <w:color w:val="auto"/>
        </w:rPr>
      </w:pPr>
      <w:r>
        <w:rPr>
          <w:rFonts w:ascii="Arial" w:cs="Arial" w:eastAsia="Arial" w:hAnsi="Arial"/>
          <w:sz w:val="16"/>
          <w:szCs w:val="16"/>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54" w:lineRule="exact"/>
        <w:rPr>
          <w:sz w:val="20"/>
          <w:szCs w:val="20"/>
          <w:color w:val="auto"/>
        </w:rPr>
      </w:pPr>
    </w:p>
    <w:p>
      <w:pPr>
        <w:ind w:right="160" w:firstLine="357"/>
        <w:spacing w:after="0" w:line="257"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115" w:lineRule="exact"/>
        <w:rPr>
          <w:sz w:val="20"/>
          <w:szCs w:val="20"/>
          <w:color w:val="auto"/>
        </w:rPr>
      </w:pPr>
    </w:p>
    <w:p>
      <w:pPr>
        <w:ind w:right="20" w:firstLine="357"/>
        <w:spacing w:after="0" w:line="277" w:lineRule="auto"/>
        <w:rPr>
          <w:sz w:val="20"/>
          <w:szCs w:val="20"/>
          <w:color w:val="auto"/>
        </w:rPr>
      </w:pPr>
      <w:r>
        <w:rPr>
          <w:rFonts w:ascii="Arial" w:cs="Arial" w:eastAsia="Arial" w:hAnsi="Arial"/>
          <w:sz w:val="17"/>
          <w:szCs w:val="17"/>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63" w:lineRule="exact"/>
        <w:rPr>
          <w:sz w:val="20"/>
          <w:szCs w:val="20"/>
          <w:color w:val="auto"/>
        </w:rPr>
      </w:pPr>
    </w:p>
    <w:p>
      <w:pPr>
        <w:ind w:left="700" w:hanging="3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supply is less than the amount hedged;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counterparty to the hedging contract defaults on its contractual obligations; or</w:t>
      </w:r>
    </w:p>
    <w:p>
      <w:pPr>
        <w:spacing w:after="0" w:line="114" w:lineRule="exact"/>
        <w:rPr>
          <w:rFonts w:ascii="Arial" w:cs="Arial" w:eastAsia="Arial" w:hAnsi="Arial"/>
          <w:sz w:val="18"/>
          <w:szCs w:val="18"/>
          <w:color w:val="auto"/>
        </w:rPr>
      </w:pPr>
    </w:p>
    <w:p>
      <w:pPr>
        <w:ind w:left="700" w:right="420" w:hanging="346"/>
        <w:spacing w:after="0" w:line="27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hedging agreement and actual prices received.</w:t>
      </w:r>
    </w:p>
    <w:p>
      <w:pPr>
        <w:spacing w:after="0" w:line="64" w:lineRule="exact"/>
        <w:rPr>
          <w:sz w:val="20"/>
          <w:szCs w:val="20"/>
          <w:color w:val="auto"/>
        </w:rPr>
      </w:pPr>
    </w:p>
    <w:p>
      <w:pPr>
        <w:ind w:right="240" w:firstLine="357"/>
        <w:spacing w:after="0" w:line="257" w:lineRule="auto"/>
        <w:rPr>
          <w:sz w:val="20"/>
          <w:szCs w:val="20"/>
          <w:color w:val="auto"/>
        </w:rPr>
      </w:pPr>
      <w:r>
        <w:rPr>
          <w:rFonts w:ascii="Arial" w:cs="Arial" w:eastAsia="Arial" w:hAnsi="Arial"/>
          <w:sz w:val="18"/>
          <w:szCs w:val="18"/>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have a material adverse effect on our business, financial condition and operating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360" w:right="40"/>
        <w:spacing w:after="0" w:line="243"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77" w:lineRule="exact"/>
        <w:rPr>
          <w:sz w:val="20"/>
          <w:szCs w:val="20"/>
          <w:color w:val="auto"/>
        </w:rPr>
      </w:pPr>
    </w:p>
    <w:p>
      <w:pPr>
        <w:ind w:right="20" w:firstLine="357"/>
        <w:spacing w:after="0" w:line="283" w:lineRule="auto"/>
        <w:rPr>
          <w:sz w:val="20"/>
          <w:szCs w:val="20"/>
          <w:color w:val="auto"/>
        </w:rPr>
      </w:pPr>
      <w:r>
        <w:rPr>
          <w:rFonts w:ascii="Arial" w:cs="Arial" w:eastAsia="Arial" w:hAnsi="Arial"/>
          <w:sz w:val="16"/>
          <w:szCs w:val="16"/>
          <w:color w:val="auto"/>
        </w:rPr>
        <w:t>When engaged in marketing activities, it is our strategy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diesel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In addition, our marketing operations involve the risk of non-compliance with our risk management policies. We cannot assure you that our processes and procedures will detect and prevent all violations of our risk management strategies, particularly if deception or other intentional misconduct is involved. If we were to incur a material loss related to commodity price risks, including non-compliance with our risk management strategies,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described in this prospectus or that we will succeed in our goal of reducing the risk to our operations of future LNG price variations.</w:t>
      </w:r>
    </w:p>
    <w:p>
      <w:pPr>
        <w:spacing w:after="0" w:line="164" w:lineRule="exact"/>
        <w:rPr>
          <w:sz w:val="20"/>
          <w:szCs w:val="20"/>
          <w:color w:val="auto"/>
        </w:rPr>
      </w:pPr>
    </w:p>
    <w:p>
      <w:pPr>
        <w:ind w:left="360" w:right="540"/>
        <w:spacing w:after="0" w:line="243" w:lineRule="auto"/>
        <w:rPr>
          <w:sz w:val="20"/>
          <w:szCs w:val="20"/>
          <w:color w:val="auto"/>
        </w:rPr>
      </w:pPr>
      <w:r>
        <w:rPr>
          <w:rFonts w:ascii="Arial" w:cs="Arial" w:eastAsia="Arial" w:hAnsi="Arial"/>
          <w:sz w:val="18"/>
          <w:szCs w:val="18"/>
          <w:b w:val="1"/>
          <w:bCs w:val="1"/>
          <w:i w:val="1"/>
          <w:iCs w:val="1"/>
          <w:color w:val="auto"/>
        </w:rPr>
        <w:t>We may experience increased labor costs, and the unavailability of skilled workers or our failure to attract and retain qualified personnel could adversely affect us.</w:t>
      </w:r>
    </w:p>
    <w:p>
      <w:pPr>
        <w:spacing w:after="0" w:line="77"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55" w:lineRule="exact"/>
        <w:rPr>
          <w:sz w:val="20"/>
          <w:szCs w:val="20"/>
          <w:color w:val="auto"/>
        </w:rPr>
      </w:pPr>
    </w:p>
    <w:p>
      <w:pPr>
        <w:ind w:left="360" w:right="160"/>
        <w:spacing w:after="0" w:line="243"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77"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The substantial majority of our anticipated revenue in 2019 will be dependent upon our assets and customers in Jamaica. Jamaica has historically experienced economic volatility and the general condition and performance of the Jamaican economy, over which we have no control, may affect our business, financial condition and results of operations. Due to our current lack of asset and geographic diversification, an adverse development at the Jamaica Terminals, in the energy industry or in the economic conditions in Jamaica, would have a significantly greater impact on our financial condition and operating results than if we maintained more diverse assets and operating areas.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incur impairments to goodwill or long-lived assets.</w:t>
      </w:r>
    </w:p>
    <w:p>
      <w:pPr>
        <w:spacing w:after="0" w:line="115" w:lineRule="exact"/>
        <w:rPr>
          <w:sz w:val="20"/>
          <w:szCs w:val="20"/>
          <w:color w:val="auto"/>
        </w:rPr>
      </w:pPr>
    </w:p>
    <w:p>
      <w:pPr>
        <w:ind w:right="60" w:firstLine="357"/>
        <w:spacing w:after="0" w:line="257" w:lineRule="auto"/>
        <w:rPr>
          <w:sz w:val="20"/>
          <w:szCs w:val="20"/>
          <w:color w:val="auto"/>
        </w:rPr>
      </w:pPr>
      <w:r>
        <w:rPr>
          <w:rFonts w:ascii="Arial" w:cs="Arial" w:eastAsia="Arial" w:hAnsi="Arial"/>
          <w:sz w:val="18"/>
          <w:szCs w:val="18"/>
          <w:color w:val="auto"/>
        </w:rPr>
        <w:t>We test our long-lived assets for impairment whenever events or changes in circumstances indicate that the carrying amount of these assets may not be recoverable. We currently intend to test goodwill for impairment annually, or more frequently as circumstances dictate. Significant negative industry or economic trends, and decline of our market capitalization, reduced estimates of future cash flows for our business segments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disruptions to our business could lead to an impairment charge of our long-lived assets, including goodwill.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goodwill or long-lived assets, we may be required to record a charge to earnings in our consolidated financial statements during a period in which such impairment is determined to exist, which may negatively impact our operating results.</w:t>
      </w:r>
    </w:p>
    <w:p>
      <w:pPr>
        <w:spacing w:after="0" w:line="165" w:lineRule="exact"/>
        <w:rPr>
          <w:sz w:val="20"/>
          <w:szCs w:val="20"/>
          <w:color w:val="auto"/>
        </w:rPr>
      </w:pPr>
    </w:p>
    <w:p>
      <w:pPr>
        <w:ind w:left="360" w:right="20"/>
        <w:spacing w:after="0" w:line="229" w:lineRule="auto"/>
        <w:rPr>
          <w:sz w:val="20"/>
          <w:szCs w:val="20"/>
          <w:color w:val="auto"/>
        </w:rPr>
      </w:pPr>
      <w:r>
        <w:rPr>
          <w:rFonts w:ascii="Arial" w:cs="Arial" w:eastAsia="Arial" w:hAnsi="Arial"/>
          <w:sz w:val="18"/>
          <w:szCs w:val="18"/>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82" w:lineRule="exact"/>
        <w:rPr>
          <w:sz w:val="20"/>
          <w:szCs w:val="20"/>
          <w:color w:val="auto"/>
        </w:rPr>
      </w:pPr>
    </w:p>
    <w:p>
      <w:pPr>
        <w:ind w:right="40" w:firstLine="357"/>
        <w:spacing w:after="0" w:line="267" w:lineRule="auto"/>
        <w:rPr>
          <w:sz w:val="20"/>
          <w:szCs w:val="20"/>
          <w:color w:val="auto"/>
        </w:rPr>
      </w:pPr>
      <w:r>
        <w:rPr>
          <w:rFonts w:ascii="Arial" w:cs="Arial" w:eastAsia="Arial" w:hAnsi="Arial"/>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67" w:lineRule="exact"/>
        <w:rPr>
          <w:sz w:val="20"/>
          <w:szCs w:val="20"/>
          <w:color w:val="auto"/>
        </w:rPr>
      </w:pPr>
    </w:p>
    <w:p>
      <w:pPr>
        <w:ind w:left="360" w:right="280"/>
        <w:spacing w:after="0" w:line="287" w:lineRule="auto"/>
        <w:rPr>
          <w:sz w:val="20"/>
          <w:szCs w:val="20"/>
          <w:color w:val="auto"/>
        </w:rPr>
      </w:pPr>
      <w:r>
        <w:rPr>
          <w:rFonts w:ascii="Arial" w:cs="Arial" w:eastAsia="Arial" w:hAnsi="Arial"/>
          <w:sz w:val="15"/>
          <w:szCs w:val="15"/>
          <w:b w:val="1"/>
          <w:bCs w:val="1"/>
          <w:i w:val="1"/>
          <w:iCs w:val="1"/>
          <w:color w:val="auto"/>
        </w:rPr>
        <w:t>The swaps regulatory and other provisions of the Dodd-Frank Wall Street Reform and Consumer Protection Act (the “Dodd-Frank Act”) and the rules adopted thereunder and other regulations, including European Market Infrastructure Regulation (“EMIR”) and Regulation on Wholesale Energy Market Integrity and Transparency (“REMIT”), could adversely affect our ability to hedge risks associated with our business and our operating results and cash flows.</w:t>
      </w:r>
    </w:p>
    <w:p>
      <w:pPr>
        <w:spacing w:after="0" w:line="47" w:lineRule="exact"/>
        <w:rPr>
          <w:sz w:val="20"/>
          <w:szCs w:val="20"/>
          <w:color w:val="auto"/>
        </w:rPr>
      </w:pPr>
    </w:p>
    <w:p>
      <w:pPr>
        <w:ind w:right="40" w:firstLine="357"/>
        <w:spacing w:after="0" w:line="289" w:lineRule="auto"/>
        <w:rPr>
          <w:sz w:val="20"/>
          <w:szCs w:val="20"/>
          <w:color w:val="auto"/>
        </w:rPr>
      </w:pPr>
      <w:r>
        <w:rPr>
          <w:rFonts w:ascii="Arial" w:cs="Arial" w:eastAsia="Arial" w:hAnsi="Arial"/>
          <w:sz w:val="16"/>
          <w:szCs w:val="16"/>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the Liquefaction Facilities.</w:t>
      </w:r>
    </w:p>
    <w:p>
      <w:pPr>
        <w:spacing w:after="0" w:line="59" w:lineRule="exact"/>
        <w:rPr>
          <w:sz w:val="20"/>
          <w:szCs w:val="20"/>
          <w:color w:val="auto"/>
        </w:rPr>
      </w:pPr>
    </w:p>
    <w:p>
      <w:pPr>
        <w:ind w:firstLine="357"/>
        <w:spacing w:after="0" w:line="286" w:lineRule="auto"/>
        <w:rPr>
          <w:sz w:val="20"/>
          <w:szCs w:val="20"/>
          <w:color w:val="auto"/>
        </w:rPr>
      </w:pPr>
      <w:r>
        <w:rPr>
          <w:rFonts w:ascii="Arial" w:cs="Arial" w:eastAsia="Arial" w:hAnsi="Arial"/>
          <w:sz w:val="16"/>
          <w:szCs w:val="16"/>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2019—from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61" w:lineRule="exact"/>
        <w:rPr>
          <w:sz w:val="20"/>
          <w:szCs w:val="20"/>
          <w:color w:val="auto"/>
        </w:rPr>
      </w:pPr>
    </w:p>
    <w:p>
      <w:pPr>
        <w:ind w:right="560" w:firstLine="357"/>
        <w:spacing w:after="0" w:line="274" w:lineRule="auto"/>
        <w:rPr>
          <w:sz w:val="20"/>
          <w:szCs w:val="20"/>
          <w:color w:val="auto"/>
        </w:rPr>
      </w:pPr>
      <w:r>
        <w:rPr>
          <w:rFonts w:ascii="Arial" w:cs="Arial" w:eastAsia="Arial" w:hAnsi="Arial"/>
          <w:sz w:val="18"/>
          <w:szCs w:val="18"/>
          <w:color w:val="auto"/>
        </w:rPr>
        <w:t>Under the Dodd-Frank Act and the rules adopted thereunder, we may be required to clear through a derivatives clearing organization any swaps into which we enter that fall within a class of swaps designated by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enter. Moreover, the application of the mandatory clearing and trade execution requirements to other market participants, such as Swap Dealers, may change the cost and availability of the swaps that we use for hedging.</w:t>
      </w:r>
    </w:p>
    <w:p>
      <w:pPr>
        <w:spacing w:after="0" w:line="59" w:lineRule="exact"/>
        <w:rPr>
          <w:sz w:val="20"/>
          <w:szCs w:val="20"/>
          <w:color w:val="auto"/>
        </w:rPr>
      </w:pPr>
    </w:p>
    <w:p>
      <w:pPr>
        <w:ind w:right="20" w:firstLine="357"/>
        <w:spacing w:after="0" w:line="268" w:lineRule="auto"/>
        <w:rPr>
          <w:sz w:val="20"/>
          <w:szCs w:val="20"/>
          <w:color w:val="auto"/>
        </w:rPr>
      </w:pPr>
      <w:r>
        <w:rPr>
          <w:rFonts w:ascii="Arial" w:cs="Arial" w:eastAsia="Arial" w:hAnsi="Arial"/>
          <w:sz w:val="17"/>
          <w:szCs w:val="17"/>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74" w:lineRule="exact"/>
        <w:rPr>
          <w:sz w:val="20"/>
          <w:szCs w:val="20"/>
          <w:color w:val="auto"/>
        </w:rPr>
      </w:pPr>
    </w:p>
    <w:p>
      <w:pPr>
        <w:ind w:right="100" w:firstLine="357"/>
        <w:spacing w:after="0" w:line="305" w:lineRule="auto"/>
        <w:rPr>
          <w:sz w:val="20"/>
          <w:szCs w:val="20"/>
          <w:color w:val="auto"/>
        </w:rPr>
      </w:pPr>
      <w:r>
        <w:rPr>
          <w:rFonts w:ascii="Arial" w:cs="Arial" w:eastAsia="Arial" w:hAnsi="Arial"/>
          <w:sz w:val="15"/>
          <w:szCs w:val="15"/>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w:t>
      </w:r>
    </w:p>
    <w:p>
      <w:pPr>
        <w:spacing w:after="0" w:line="1" w:lineRule="exact"/>
        <w:rPr>
          <w:sz w:val="20"/>
          <w:szCs w:val="20"/>
          <w:color w:val="auto"/>
        </w:rPr>
      </w:pPr>
    </w:p>
    <w:p>
      <w:pPr>
        <w:ind w:firstLine="5"/>
        <w:spacing w:after="0" w:line="287" w:lineRule="auto"/>
        <w:tabs>
          <w:tab w:leader="none" w:pos="223"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our existing derivative contracts and to execute our hedging strategies. If, as a result of the swaps regulatory regime discussed above, we were to forgo or reduce our use of swaps to hedge our risks, such as commodity price risks that we encounter in our operations, our operating results and cash flows may become more volatile and could be otherwise adversely affected.</w:t>
      </w:r>
    </w:p>
    <w:p>
      <w:pPr>
        <w:spacing w:after="0" w:line="60" w:lineRule="exact"/>
        <w:rPr>
          <w:sz w:val="20"/>
          <w:szCs w:val="20"/>
          <w:color w:val="auto"/>
        </w:rPr>
      </w:pPr>
    </w:p>
    <w:p>
      <w:pPr>
        <w:ind w:right="20" w:firstLine="357"/>
        <w:spacing w:after="0" w:line="288" w:lineRule="auto"/>
        <w:rPr>
          <w:sz w:val="20"/>
          <w:szCs w:val="20"/>
          <w:color w:val="auto"/>
        </w:rPr>
      </w:pPr>
      <w:r>
        <w:rPr>
          <w:rFonts w:ascii="Arial" w:cs="Arial" w:eastAsia="Arial" w:hAnsi="Arial"/>
          <w:sz w:val="16"/>
          <w:szCs w:val="16"/>
          <w:color w:val="auto"/>
        </w:rPr>
        <w:t>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58" w:lineRule="exact"/>
        <w:rPr>
          <w:sz w:val="20"/>
          <w:szCs w:val="20"/>
          <w:color w:val="auto"/>
        </w:rPr>
      </w:pPr>
    </w:p>
    <w:p>
      <w:pPr>
        <w:ind w:right="20" w:firstLine="357"/>
        <w:spacing w:after="0" w:line="255" w:lineRule="auto"/>
        <w:rPr>
          <w:sz w:val="20"/>
          <w:szCs w:val="20"/>
          <w:color w:val="auto"/>
        </w:rPr>
      </w:pPr>
      <w:r>
        <w:rPr>
          <w:rFonts w:ascii="Arial" w:cs="Arial" w:eastAsia="Arial" w:hAnsi="Arial"/>
          <w:sz w:val="18"/>
          <w:szCs w:val="18"/>
          <w:color w:val="auto"/>
        </w:rPr>
        <w:t>Our subsidiaries and affiliates operating in the Caribbean may be subject to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75" w:lineRule="exact"/>
        <w:rPr>
          <w:sz w:val="20"/>
          <w:szCs w:val="20"/>
          <w:color w:val="auto"/>
        </w:rPr>
      </w:pPr>
    </w:p>
    <w:p>
      <w:pPr>
        <w:ind w:left="360" w:right="520"/>
        <w:spacing w:after="0" w:line="251" w:lineRule="auto"/>
        <w:rPr>
          <w:sz w:val="20"/>
          <w:szCs w:val="20"/>
          <w:color w:val="auto"/>
        </w:rPr>
      </w:pPr>
      <w:r>
        <w:rPr>
          <w:rFonts w:ascii="Arial" w:cs="Arial" w:eastAsia="Arial" w:hAnsi="Arial"/>
          <w:sz w:val="17"/>
          <w:szCs w:val="17"/>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71" w:lineRule="exact"/>
        <w:rPr>
          <w:sz w:val="20"/>
          <w:szCs w:val="20"/>
          <w:color w:val="auto"/>
        </w:rPr>
      </w:pPr>
    </w:p>
    <w:p>
      <w:pPr>
        <w:ind w:right="440" w:firstLine="357"/>
        <w:spacing w:after="0" w:line="274" w:lineRule="auto"/>
        <w:rPr>
          <w:sz w:val="20"/>
          <w:szCs w:val="20"/>
          <w:color w:val="auto"/>
        </w:rPr>
      </w:pPr>
      <w:r>
        <w:rPr>
          <w:rFonts w:ascii="Arial" w:cs="Arial" w:eastAsia="Arial" w:hAnsi="Arial"/>
          <w:sz w:val="18"/>
          <w:szCs w:val="18"/>
          <w:color w:val="auto"/>
        </w:rPr>
        <w:t>The design, construction and operation of energy-related infrastructure, including our existing and proposed facilities, the import and export of LNG and the transportation of natural gas, are highly regulated activities at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FERC,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We may also be subject to yet additional requirements in Jamaica, Bermuda, Mexico, Ireland or other jurisdictions, including with respect to land use approvals needed to construct and operate our facilities.</w:t>
      </w:r>
    </w:p>
    <w:p>
      <w:pPr>
        <w:spacing w:after="0" w:line="65" w:lineRule="exact"/>
        <w:rPr>
          <w:sz w:val="20"/>
          <w:szCs w:val="20"/>
          <w:color w:val="auto"/>
        </w:rPr>
      </w:pPr>
    </w:p>
    <w:p>
      <w:pPr>
        <w:ind w:right="40" w:firstLine="357"/>
        <w:spacing w:after="0" w:line="285" w:lineRule="auto"/>
        <w:rPr>
          <w:sz w:val="20"/>
          <w:szCs w:val="20"/>
          <w:color w:val="auto"/>
        </w:rPr>
      </w:pPr>
      <w:r>
        <w:rPr>
          <w:rFonts w:ascii="Arial" w:cs="Arial" w:eastAsia="Arial" w:hAnsi="Arial"/>
          <w:sz w:val="16"/>
          <w:szCs w:val="16"/>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59" w:lineRule="exact"/>
        <w:rPr>
          <w:sz w:val="20"/>
          <w:szCs w:val="20"/>
          <w:color w:val="auto"/>
        </w:rPr>
      </w:pPr>
    </w:p>
    <w:p>
      <w:pPr>
        <w:ind w:left="360" w:right="300"/>
        <w:spacing w:after="0" w:line="243" w:lineRule="auto"/>
        <w:rPr>
          <w:sz w:val="20"/>
          <w:szCs w:val="20"/>
          <w:color w:val="auto"/>
        </w:rPr>
      </w:pPr>
      <w:r>
        <w:rPr>
          <w:rFonts w:ascii="Arial" w:cs="Arial" w:eastAsia="Arial" w:hAnsi="Arial"/>
          <w:sz w:val="18"/>
          <w:szCs w:val="18"/>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77" w:lineRule="exact"/>
        <w:rPr>
          <w:sz w:val="20"/>
          <w:szCs w:val="20"/>
          <w:color w:val="auto"/>
        </w:rPr>
      </w:pPr>
    </w:p>
    <w:p>
      <w:pPr>
        <w:ind w:right="120" w:firstLine="357"/>
        <w:spacing w:after="0" w:line="268" w:lineRule="auto"/>
        <w:rPr>
          <w:sz w:val="20"/>
          <w:szCs w:val="20"/>
          <w:color w:val="auto"/>
        </w:rPr>
      </w:pPr>
      <w:r>
        <w:rPr>
          <w:rFonts w:ascii="Arial" w:cs="Arial" w:eastAsia="Arial" w:hAnsi="Arial"/>
          <w:sz w:val="17"/>
          <w:szCs w:val="17"/>
          <w:color w:val="auto"/>
        </w:rPr>
        <w:t>Our business is now and will in the future be subject to extensive federal, state and local laws and regulations both in the United States and in other jurisdictions where we operate that regulate and restrict, among other things, the siting and design of our facilities, discharges to air, land and water, with particular respect to the protection of human health, the environment and natural resources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LNG facility siting, design, construction, equipment, operations, maintenance, personnel qualifications and training, fire protection and security. None of our LNG facilities are subject to PHMSA’s jurisdiction, but state and local regulators can impose similar siting, design, construction and operational requirements.</w:t>
      </w:r>
    </w:p>
    <w:p>
      <w:pPr>
        <w:spacing w:after="0" w:line="74" w:lineRule="exact"/>
        <w:rPr>
          <w:sz w:val="20"/>
          <w:szCs w:val="20"/>
          <w:color w:val="auto"/>
        </w:rPr>
      </w:pPr>
    </w:p>
    <w:p>
      <w:pPr>
        <w:ind w:right="120" w:firstLine="357"/>
        <w:spacing w:after="0" w:line="257" w:lineRule="auto"/>
        <w:rPr>
          <w:sz w:val="20"/>
          <w:szCs w:val="20"/>
          <w:color w:val="auto"/>
        </w:rPr>
      </w:pPr>
      <w:r>
        <w:rPr>
          <w:rFonts w:ascii="Arial" w:cs="Arial" w:eastAsia="Arial" w:hAnsi="Arial"/>
          <w:sz w:val="18"/>
          <w:szCs w:val="18"/>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resulting damage to natural resources.</w:t>
      </w:r>
    </w:p>
    <w:p>
      <w:pPr>
        <w:spacing w:after="0" w:line="79"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Many of these laws and regulations, such as the CAA and the CWA, and analogous state laws and regulations, restrict or prohibit the types, quantities and concentration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00" w:firstLine="357"/>
        <w:spacing w:after="0" w:line="268" w:lineRule="auto"/>
        <w:rPr>
          <w:sz w:val="20"/>
          <w:szCs w:val="20"/>
          <w:color w:val="auto"/>
        </w:rPr>
      </w:pPr>
      <w:r>
        <w:rPr>
          <w:rFonts w:ascii="Arial" w:cs="Arial" w:eastAsia="Arial" w:hAnsi="Arial"/>
          <w:sz w:val="17"/>
          <w:szCs w:val="17"/>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74" w:lineRule="exact"/>
        <w:rPr>
          <w:sz w:val="20"/>
          <w:szCs w:val="20"/>
          <w:color w:val="auto"/>
        </w:rPr>
      </w:pPr>
    </w:p>
    <w:p>
      <w:pPr>
        <w:ind w:firstLine="357"/>
        <w:spacing w:after="0" w:line="277" w:lineRule="auto"/>
        <w:rPr>
          <w:sz w:val="20"/>
          <w:szCs w:val="20"/>
          <w:color w:val="auto"/>
        </w:rPr>
      </w:pPr>
      <w:r>
        <w:rPr>
          <w:rFonts w:ascii="Arial" w:cs="Arial" w:eastAsia="Arial" w:hAnsi="Arial"/>
          <w:sz w:val="17"/>
          <w:szCs w:val="17"/>
          <w:i w:val="1"/>
          <w:iCs w:val="1"/>
          <w:color w:val="auto"/>
        </w:rPr>
        <w:t>Greenhouse Gases/Climate Change</w:t>
      </w:r>
      <w:r>
        <w:rPr>
          <w:rFonts w:ascii="Arial" w:cs="Arial" w:eastAsia="Arial" w:hAnsi="Arial"/>
          <w:sz w:val="17"/>
          <w:szCs w:val="17"/>
          <w:color w:val="auto"/>
        </w:rPr>
        <w:t>. From time to time, there may be federal and state regulatory and policy initiatives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GHG emissions in the United States from a variety of sources. Other federal and state initiatives are being considered or may be considered in the future to address GHG emissions through, for example, United States treaty commitments or other international agreements, direct regulation, a carbon emissions tax, or cap-and-trade programs.</w:t>
      </w:r>
    </w:p>
    <w:p>
      <w:pPr>
        <w:spacing w:after="0" w:line="63" w:lineRule="exact"/>
        <w:rPr>
          <w:sz w:val="20"/>
          <w:szCs w:val="20"/>
          <w:color w:val="auto"/>
        </w:rPr>
      </w:pPr>
    </w:p>
    <w:p>
      <w:pPr>
        <w:ind w:right="20" w:firstLine="357"/>
        <w:spacing w:after="0" w:line="255" w:lineRule="auto"/>
        <w:rPr>
          <w:sz w:val="20"/>
          <w:szCs w:val="20"/>
          <w:color w:val="auto"/>
        </w:rPr>
      </w:pPr>
      <w:r>
        <w:rPr>
          <w:rFonts w:ascii="Arial" w:cs="Arial" w:eastAsia="Arial" w:hAnsi="Arial"/>
          <w:sz w:val="18"/>
          <w:szCs w:val="18"/>
          <w:color w:val="auto"/>
        </w:rPr>
        <w:t>Responding to scientific reports regarding threats posed by global climate change, the U.S. Congress has in the past considered legislation to reduce emissions of GHGs. In addition, some states and foreign jurisdictions have individually or in regional cooperation, imposed restrictions on GHG emissions under various policies and approaches, including establishing a cap on emissions, requiring efficiency measures, or providing incentives for pollution reduction, use of renewable energy sources, or use of replacement fuels with lower carbon content.</w:t>
      </w:r>
    </w:p>
    <w:p>
      <w:pPr>
        <w:spacing w:after="0" w:line="81" w:lineRule="exact"/>
        <w:rPr>
          <w:sz w:val="20"/>
          <w:szCs w:val="20"/>
          <w:color w:val="auto"/>
        </w:rPr>
      </w:pPr>
    </w:p>
    <w:p>
      <w:pPr>
        <w:ind w:right="20" w:firstLine="357"/>
        <w:spacing w:after="0" w:line="287" w:lineRule="auto"/>
        <w:rPr>
          <w:sz w:val="20"/>
          <w:szCs w:val="20"/>
          <w:color w:val="auto"/>
        </w:rPr>
      </w:pPr>
      <w:r>
        <w:rPr>
          <w:rFonts w:ascii="Arial" w:cs="Arial" w:eastAsia="Arial" w:hAnsi="Arial"/>
          <w:sz w:val="16"/>
          <w:szCs w:val="16"/>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59" w:lineRule="exact"/>
        <w:rPr>
          <w:sz w:val="20"/>
          <w:szCs w:val="20"/>
          <w:color w:val="auto"/>
        </w:rPr>
      </w:pPr>
    </w:p>
    <w:p>
      <w:pPr>
        <w:ind w:right="40" w:firstLine="357"/>
        <w:spacing w:after="0" w:line="272" w:lineRule="auto"/>
        <w:rPr>
          <w:sz w:val="20"/>
          <w:szCs w:val="20"/>
          <w:color w:val="auto"/>
        </w:rPr>
      </w:pPr>
      <w:r>
        <w:rPr>
          <w:rFonts w:ascii="Arial" w:cs="Arial" w:eastAsia="Arial" w:hAnsi="Arial"/>
          <w:sz w:val="16"/>
          <w:szCs w:val="16"/>
          <w:color w:val="auto"/>
        </w:rPr>
        <w:t>In addition, due to concerns over climate change, numerous countries around the world have adopted or are considering adopting laws or regulations to reduce GHG emissions. In December 2015, the U.S. and 195 other nations attending the United Nations Climate Change Conference adopted the Paris Agreement on global climate change, which establishes a universal framework for addressing GHG emissions based on nationally determined contributions. The Paris Agreement calls for zero net anthropogenic GHG emission to be reached during the second half of the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century. Each party is to prepare a plan on its contributions to reach this goal; each plan is to be filed in a publicly available registry. The Paris Agreement does not create any binding obligations for nations to limit their GHG emissions but rather includes pledges to voluntarily limit or reduce future emissions. It also creates a process for participating countries to review and increase their intended emissions reduction goals every five years. The ultimate impact of the Paris Agreement depends on its ratification and implementation by participating countries, and cannot be determined at this time. Although the United States became a party to the Paris Agreement in April 2016, the Trump administration subsequently announced in June 2017 its intention either to withdraw from the Paris Agreement or renegotiate more favorable terms. However, the Paris Agreement stipulates that participating countries must wait four years before withdrawing from the agreement. It is not possible to know how quickly renewable energy technologies may advance, but the increased use of renewable energy could ultimately reduce future demand for hydrocarbons. These developments could have a material adverse effect on our financial position, results of operations and cash flows.</w:t>
      </w:r>
    </w:p>
    <w:p>
      <w:pPr>
        <w:spacing w:after="0" w:line="69" w:lineRule="exact"/>
        <w:rPr>
          <w:sz w:val="20"/>
          <w:szCs w:val="20"/>
          <w:color w:val="auto"/>
        </w:rPr>
      </w:pPr>
    </w:p>
    <w:p>
      <w:pPr>
        <w:ind w:right="20" w:firstLine="357"/>
        <w:spacing w:after="0" w:line="255" w:lineRule="auto"/>
        <w:rPr>
          <w:sz w:val="20"/>
          <w:szCs w:val="20"/>
          <w:color w:val="auto"/>
        </w:rPr>
      </w:pPr>
      <w:r>
        <w:rPr>
          <w:rFonts w:ascii="Arial" w:cs="Arial" w:eastAsia="Arial" w:hAnsi="Arial"/>
          <w:sz w:val="18"/>
          <w:szCs w:val="18"/>
          <w:i w:val="1"/>
          <w:iCs w:val="1"/>
          <w:color w:val="auto"/>
        </w:rPr>
        <w:t>Fossil Fuels</w:t>
      </w:r>
      <w:r>
        <w:rPr>
          <w:rFonts w:ascii="Arial" w:cs="Arial" w:eastAsia="Arial" w:hAnsi="Arial"/>
          <w:sz w:val="18"/>
          <w:szCs w:val="18"/>
          <w:color w:val="auto"/>
        </w:rPr>
        <w:t>. Our business activities depend upon a sufficient and reliable supply of natural gas feedstock, and are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concerns in 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79"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i w:val="1"/>
          <w:iCs w:val="1"/>
          <w:color w:val="auto"/>
        </w:rPr>
        <w:t>Hydraulic Fracturing</w:t>
      </w:r>
      <w:r>
        <w:rPr>
          <w:rFonts w:ascii="Arial" w:cs="Arial" w:eastAsia="Arial" w:hAnsi="Arial"/>
          <w:sz w:val="16"/>
          <w:szCs w:val="16"/>
          <w:color w:val="auto"/>
        </w:rPr>
        <w:t>. Certain of our suppliers employ hydraulic fracturing techniques to stimulate natural gas production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are considering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are considering adopting land use restrictions, such as city ordinances, that may restrict the performance of or prohibit the well drilling in general and/or hydraulic fracturing in particular.</w:t>
      </w:r>
    </w:p>
    <w:p>
      <w:pPr>
        <w:spacing w:after="0" w:line="64"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61" w:lineRule="exact"/>
        <w:rPr>
          <w:sz w:val="20"/>
          <w:szCs w:val="20"/>
          <w:color w:val="auto"/>
        </w:rPr>
      </w:pPr>
    </w:p>
    <w:p>
      <w:pPr>
        <w:ind w:left="360" w:right="60"/>
        <w:spacing w:after="0" w:line="233" w:lineRule="auto"/>
        <w:rPr>
          <w:sz w:val="20"/>
          <w:szCs w:val="20"/>
          <w:color w:val="auto"/>
        </w:rPr>
      </w:pPr>
      <w:r>
        <w:rPr>
          <w:rFonts w:ascii="Arial" w:cs="Arial" w:eastAsia="Arial" w:hAnsi="Arial"/>
          <w:sz w:val="18"/>
          <w:szCs w:val="18"/>
          <w:b w:val="1"/>
          <w:bCs w:val="1"/>
          <w:i w:val="1"/>
          <w:iCs w:val="1"/>
          <w:color w:val="auto"/>
        </w:rPr>
        <w:t>We are subject to numerous governmental export laws and trade and economic sanctions laws and regulations. A failure by us to comply with such laws and regulations could subject us to liability and have a material adverse impact on our business, results of operations or financial condition.</w:t>
      </w:r>
    </w:p>
    <w:p>
      <w:pPr>
        <w:spacing w:after="0" w:line="81" w:lineRule="exact"/>
        <w:rPr>
          <w:sz w:val="20"/>
          <w:szCs w:val="20"/>
          <w:color w:val="auto"/>
        </w:rPr>
      </w:pPr>
    </w:p>
    <w:p>
      <w:pPr>
        <w:ind w:right="60" w:firstLine="357"/>
        <w:spacing w:after="0" w:line="288"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w:t>
      </w:r>
    </w:p>
    <w:p>
      <w:pPr>
        <w:spacing w:after="0" w:line="58" w:lineRule="exact"/>
        <w:rPr>
          <w:sz w:val="20"/>
          <w:szCs w:val="20"/>
          <w:color w:val="auto"/>
        </w:rPr>
      </w:pPr>
    </w:p>
    <w:p>
      <w:pPr>
        <w:ind w:right="80" w:firstLine="357"/>
        <w:spacing w:after="0" w:line="257" w:lineRule="auto"/>
        <w:rPr>
          <w:sz w:val="20"/>
          <w:szCs w:val="20"/>
          <w:color w:val="auto"/>
        </w:rPr>
      </w:pPr>
      <w:r>
        <w:rPr>
          <w:rFonts w:ascii="Arial" w:cs="Arial" w:eastAsia="Arial" w:hAnsi="Arial"/>
          <w:sz w:val="18"/>
          <w:szCs w:val="18"/>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Although we have adopted policies and procedures that are designed to ensure that we, our employees and other intermediaries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comply with the FCPA,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 If we are not in compliance with anti-corruption laws and regulations, including the FCPA, we may be subject to criminal and civil penalties and other remedial measures, including changes or enhancements to our procedures, policies and control, as well as potential personnel change and disciplinary actions, which could have an adverse impact on our business, results of operations and financial condition.</w:t>
      </w:r>
    </w:p>
    <w:p>
      <w:pPr>
        <w:spacing w:after="0" w:line="57" w:lineRule="exact"/>
        <w:rPr>
          <w:sz w:val="20"/>
          <w:szCs w:val="20"/>
          <w:color w:val="auto"/>
        </w:rPr>
      </w:pPr>
    </w:p>
    <w:p>
      <w:pPr>
        <w:ind w:right="100" w:firstLine="357"/>
        <w:spacing w:after="0" w:line="294" w:lineRule="auto"/>
        <w:rPr>
          <w:sz w:val="20"/>
          <w:szCs w:val="20"/>
          <w:color w:val="auto"/>
        </w:rPr>
      </w:pPr>
      <w:r>
        <w:rPr>
          <w:rFonts w:ascii="Arial" w:cs="Arial" w:eastAsia="Arial" w:hAnsi="Arial"/>
          <w:sz w:val="16"/>
          <w:szCs w:val="16"/>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Jurisdictions in Which We Operate</w:t>
      </w:r>
    </w:p>
    <w:p>
      <w:pPr>
        <w:spacing w:after="0" w:line="106" w:lineRule="exact"/>
        <w:rPr>
          <w:sz w:val="20"/>
          <w:szCs w:val="20"/>
          <w:color w:val="auto"/>
        </w:rPr>
      </w:pPr>
    </w:p>
    <w:p>
      <w:pPr>
        <w:ind w:left="360" w:right="460"/>
        <w:spacing w:after="0" w:line="243" w:lineRule="auto"/>
        <w:rPr>
          <w:sz w:val="20"/>
          <w:szCs w:val="20"/>
          <w:color w:val="auto"/>
        </w:rPr>
      </w:pPr>
      <w:r>
        <w:rPr>
          <w:rFonts w:ascii="Arial" w:cs="Arial" w:eastAsia="Arial" w:hAnsi="Arial"/>
          <w:sz w:val="18"/>
          <w:szCs w:val="18"/>
          <w:b w:val="1"/>
          <w:bCs w:val="1"/>
          <w:i w:val="1"/>
          <w:iCs w:val="1"/>
          <w:color w:val="auto"/>
        </w:rPr>
        <w:t>We are currently highly dependent upon economic, political and other conditions and developments in the Caribbean, particularly Jamaica, and the other jurisdictions in which we operate.</w:t>
      </w:r>
    </w:p>
    <w:p>
      <w:pPr>
        <w:spacing w:after="0" w:line="77" w:lineRule="exact"/>
        <w:rPr>
          <w:sz w:val="20"/>
          <w:szCs w:val="20"/>
          <w:color w:val="auto"/>
        </w:rPr>
      </w:pPr>
    </w:p>
    <w:p>
      <w:pPr>
        <w:ind w:right="140" w:firstLine="357"/>
        <w:spacing w:after="0" w:line="261" w:lineRule="auto"/>
        <w:rPr>
          <w:sz w:val="20"/>
          <w:szCs w:val="20"/>
          <w:color w:val="auto"/>
        </w:rPr>
      </w:pPr>
      <w:r>
        <w:rPr>
          <w:rFonts w:ascii="Arial" w:cs="Arial" w:eastAsia="Arial" w:hAnsi="Arial"/>
          <w:sz w:val="18"/>
          <w:szCs w:val="18"/>
          <w:color w:val="auto"/>
        </w:rPr>
        <w:t>We currently conduct a meaningful portion of our business in Jamaica. As a result, our current business, results of operations, financial condition and prospects are materially dependent upon economic, political and other conditions and developments in Jamaica.</w:t>
      </w:r>
    </w:p>
    <w:p>
      <w:pPr>
        <w:spacing w:after="0" w:line="76"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We currently have interests and operations in Jamaica and the United States and currently intend to expand into additional markets in the Caribbean (including Puerto Rico and the Dominican Republic), Mexico, Ireland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countries have experienced political, security and economic instability in the recent past and may experience instability in the future.</w:t>
      </w:r>
    </w:p>
    <w:p>
      <w:pPr>
        <w:spacing w:after="0" w:line="83" w:lineRule="exact"/>
        <w:rPr>
          <w:sz w:val="20"/>
          <w:szCs w:val="20"/>
          <w:color w:val="auto"/>
        </w:rPr>
      </w:pPr>
    </w:p>
    <w:p>
      <w:pPr>
        <w:jc w:val="both"/>
        <w:ind w:right="280" w:firstLine="357"/>
        <w:spacing w:after="0" w:line="284" w:lineRule="auto"/>
        <w:rPr>
          <w:sz w:val="20"/>
          <w:szCs w:val="20"/>
          <w:color w:val="auto"/>
        </w:rPr>
      </w:pPr>
      <w:r>
        <w:rPr>
          <w:rFonts w:ascii="Arial" w:cs="Arial" w:eastAsia="Arial" w:hAnsi="Arial"/>
          <w:sz w:val="17"/>
          <w:szCs w:val="17"/>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or other jurisdictions in which we operate worsens because of, for example:</w:t>
      </w:r>
    </w:p>
    <w:p>
      <w:pPr>
        <w:spacing w:after="0" w:line="57" w:lineRule="exact"/>
        <w:rPr>
          <w:sz w:val="20"/>
          <w:szCs w:val="20"/>
          <w:color w:val="auto"/>
        </w:rPr>
      </w:pPr>
    </w:p>
    <w:p>
      <w:pPr>
        <w:ind w:left="700" w:hanging="3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economic activity;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oil, natural gas or petrochemical prices;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devaluation of the applicable currency;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inflation; or</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domestic interest rates,</w:t>
      </w:r>
    </w:p>
    <w:p>
      <w:pPr>
        <w:spacing w:after="0" w:line="11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then our business, results of operations, financial condition and prospects may also be significantly affected by actions taken by the government in the jurisdictions in which we operate.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adversely affect our business, financial condition, results of operations or prospects.</w:t>
      </w:r>
    </w:p>
    <w:p>
      <w:pPr>
        <w:spacing w:after="0" w:line="59"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For example, JPS and JPC are subject to the mandate of the OUR. The OUR regulates the amount of money that power utilities in Jamaica, including JPS and JPC, can charge their customers. Though the OUR cannot impact the fixed price we charge our customers for LNG, pricing regulations by the OUR and other similar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20"/>
        <w:spacing w:after="0" w:line="305" w:lineRule="auto"/>
        <w:rPr>
          <w:sz w:val="20"/>
          <w:szCs w:val="20"/>
          <w:color w:val="auto"/>
        </w:rPr>
      </w:pPr>
      <w:r>
        <w:rPr>
          <w:rFonts w:ascii="Arial" w:cs="Arial" w:eastAsia="Arial" w:hAnsi="Arial"/>
          <w:sz w:val="17"/>
          <w:szCs w:val="17"/>
          <w:color w:val="auto"/>
        </w:rPr>
        <w:t>regulators could negatively impact our customers’ ability to perform their obligations under our GSAs and, in the case of JPS, the PPA, which could adversely affect our business, financial condition, results of operations or prospects.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115" w:lineRule="exact"/>
        <w:rPr>
          <w:sz w:val="20"/>
          <w:szCs w:val="20"/>
          <w:color w:val="auto"/>
        </w:rPr>
      </w:pPr>
    </w:p>
    <w:p>
      <w:pPr>
        <w:ind w:right="160" w:firstLine="357"/>
        <w:spacing w:after="0" w:line="255" w:lineRule="auto"/>
        <w:rPr>
          <w:sz w:val="20"/>
          <w:szCs w:val="20"/>
          <w:color w:val="auto"/>
        </w:rPr>
      </w:pPr>
      <w:r>
        <w:rPr>
          <w:rFonts w:ascii="Arial" w:cs="Arial" w:eastAsia="Arial" w:hAnsi="Arial"/>
          <w:sz w:val="18"/>
          <w:szCs w:val="18"/>
          <w:color w:val="auto"/>
        </w:rPr>
        <w:t>Our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81" w:lineRule="exact"/>
        <w:rPr>
          <w:sz w:val="20"/>
          <w:szCs w:val="20"/>
          <w:color w:val="auto"/>
        </w:rPr>
      </w:pPr>
    </w:p>
    <w:p>
      <w:pPr>
        <w:jc w:val="both"/>
        <w:ind w:right="140" w:firstLine="357"/>
        <w:spacing w:after="0" w:line="284" w:lineRule="auto"/>
        <w:rPr>
          <w:sz w:val="20"/>
          <w:szCs w:val="20"/>
          <w:color w:val="auto"/>
        </w:rPr>
      </w:pPr>
      <w:r>
        <w:rPr>
          <w:rFonts w:ascii="Arial" w:cs="Arial" w:eastAsia="Arial" w:hAnsi="Arial"/>
          <w:sz w:val="16"/>
          <w:szCs w:val="16"/>
          <w:color w:val="auto"/>
        </w:rPr>
        <w:t>A portion of our cash flows and expenses may in the future be incurred in currencies other than the U.S. dollar. Our material counterparties’ cash flows and expenses may be incurred in currencies other than the U.S. dollar. We cannot be sure that non-U.S. currencies will not be subject to volatility and depreciation or that the current exchange rate policies affecting these currencies will remain the same. We may choose not to hedge, or we may not be effective in efforts to hedge, this foreign currency risk.</w:t>
      </w:r>
    </w:p>
    <w:p>
      <w:pPr>
        <w:spacing w:after="0" w:line="2" w:lineRule="exact"/>
        <w:rPr>
          <w:sz w:val="20"/>
          <w:szCs w:val="20"/>
          <w:color w:val="auto"/>
        </w:rPr>
      </w:pPr>
    </w:p>
    <w:p>
      <w:pPr>
        <w:jc w:val="both"/>
        <w:ind w:right="180"/>
        <w:spacing w:after="0" w:line="251" w:lineRule="auto"/>
        <w:rPr>
          <w:sz w:val="20"/>
          <w:szCs w:val="20"/>
          <w:color w:val="auto"/>
        </w:rPr>
      </w:pPr>
      <w:r>
        <w:rPr>
          <w:rFonts w:ascii="Arial" w:cs="Arial" w:eastAsia="Arial" w:hAnsi="Arial"/>
          <w:sz w:val="18"/>
          <w:szCs w:val="18"/>
          <w:color w:val="auto"/>
        </w:rPr>
        <w:t>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79" w:lineRule="exact"/>
        <w:rPr>
          <w:sz w:val="20"/>
          <w:szCs w:val="20"/>
          <w:color w:val="auto"/>
        </w:rPr>
      </w:pPr>
    </w:p>
    <w:p>
      <w:pPr>
        <w:ind w:left="360" w:right="120"/>
        <w:spacing w:after="0" w:line="300" w:lineRule="auto"/>
        <w:rPr>
          <w:sz w:val="20"/>
          <w:szCs w:val="20"/>
          <w:color w:val="auto"/>
        </w:rPr>
      </w:pPr>
      <w:r>
        <w:rPr>
          <w:rFonts w:ascii="Arial" w:cs="Arial" w:eastAsia="Arial" w:hAnsi="Arial"/>
          <w:sz w:val="15"/>
          <w:szCs w:val="15"/>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37" w:lineRule="exact"/>
        <w:rPr>
          <w:sz w:val="20"/>
          <w:szCs w:val="20"/>
          <w:color w:val="auto"/>
        </w:rPr>
      </w:pPr>
    </w:p>
    <w:p>
      <w:pPr>
        <w:ind w:firstLine="357"/>
        <w:spacing w:after="0" w:line="253"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82" w:lineRule="exact"/>
        <w:rPr>
          <w:sz w:val="20"/>
          <w:szCs w:val="20"/>
          <w:color w:val="auto"/>
        </w:rPr>
      </w:pPr>
    </w:p>
    <w:p>
      <w:pPr>
        <w:ind w:right="20" w:firstLine="357"/>
        <w:spacing w:after="0" w:line="268" w:lineRule="auto"/>
        <w:rPr>
          <w:sz w:val="20"/>
          <w:szCs w:val="20"/>
          <w:color w:val="auto"/>
        </w:rPr>
      </w:pPr>
      <w:r>
        <w:rPr>
          <w:rFonts w:ascii="Arial" w:cs="Arial" w:eastAsia="Arial" w:hAnsi="Arial"/>
          <w:sz w:val="17"/>
          <w:szCs w:val="17"/>
          <w:color w:val="auto"/>
        </w:rPr>
        <w:t>Our after-tax profitability may also be affected by changes in the relevant tax laws and tax rates, regulations, administrative practices and principles, judicial decisions, and interpretations, in each case, possibly with retroactive effect. The United States recently enacted tax reform legislation in Public Law No. 115-97, commonly referred to as the Tax Cuts and Jobs Act. Additionally, the Multilateral Convention to Implement Tax Treaty Related Measures to Prevent BEPS recently entered into force among the jurisdictions that have ratified it. Both of these recent changes could result in further changes to our global taxation. These tax reforms provided for new and complex provisions that significantly change how the United States and other jurisdictions tax entities and operations, and those provisions are subject to further legislative change and administrative guidance and interpretation, all of which may differ from our interpretation. Other countries in which we operate may also undergo tax reforms that could adversely impact our after-tax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06" w:lineRule="exact"/>
        <w:rPr>
          <w:sz w:val="20"/>
          <w:szCs w:val="20"/>
          <w:color w:val="auto"/>
        </w:rPr>
      </w:pPr>
    </w:p>
    <w:p>
      <w:pPr>
        <w:ind w:left="360" w:right="140"/>
        <w:spacing w:after="0" w:line="243" w:lineRule="auto"/>
        <w:rPr>
          <w:sz w:val="20"/>
          <w:szCs w:val="20"/>
          <w:color w:val="auto"/>
        </w:rPr>
      </w:pPr>
      <w:r>
        <w:rPr>
          <w:rFonts w:ascii="Arial" w:cs="Arial" w:eastAsia="Arial" w:hAnsi="Arial"/>
          <w:sz w:val="18"/>
          <w:szCs w:val="18"/>
          <w:b w:val="1"/>
          <w:bCs w:val="1"/>
          <w:i w:val="1"/>
          <w:iCs w:val="1"/>
          <w:color w:val="auto"/>
        </w:rPr>
        <w:t>New Fortress Energy Holdings has the ability to direct the voting of a majority of our shares, and its interests may conflict with those of our other shareholders.</w:t>
      </w:r>
    </w:p>
    <w:p>
      <w:pPr>
        <w:spacing w:after="0" w:line="77" w:lineRule="exact"/>
        <w:rPr>
          <w:sz w:val="20"/>
          <w:szCs w:val="20"/>
          <w:color w:val="auto"/>
        </w:rPr>
      </w:pPr>
    </w:p>
    <w:p>
      <w:pPr>
        <w:ind w:right="100" w:firstLine="357"/>
        <w:spacing w:after="0" w:line="291" w:lineRule="auto"/>
        <w:rPr>
          <w:sz w:val="20"/>
          <w:szCs w:val="20"/>
          <w:color w:val="auto"/>
        </w:rPr>
      </w:pPr>
      <w:r>
        <w:rPr>
          <w:rFonts w:ascii="Arial" w:cs="Arial" w:eastAsia="Arial" w:hAnsi="Arial"/>
          <w:sz w:val="16"/>
          <w:szCs w:val="16"/>
          <w:color w:val="auto"/>
        </w:rPr>
        <w:t>Upon completion of this offering, New Fortress Energy Holdings will initially own, an aggregate of approximately 147,058,824 Class B shares representing 88.0% of our voting power (or approximately 86.5% if the underwriters’ option to purchase additional Class A shares is exercised in full). New Fortress Energy Holdings, its stockholders, or entities affiliated with them agreed to purchase 5,000,000 Class A shares in the offering. New Fortress Energy Holdings’ beneficial ownership of greater than 50% of our voting shares means New Fortress Energy Holdings will be able to control matters requiring shareholder approval, including the election of directors, changes to our organizational documents and significant corporate transactions. This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concentration of ownership makes it unlikely that any other holder or group of holders of our Class A shares will be able to affect the way we are managed or the direction of our business. The interests of New Fortress Energy Holdings with respect to matters potentially or actually involving or affecting us, such as future acquisitions, financings and other corporate opportunities and attempts to acquire us, may conflict with the interests of our other shareholders.</w:t>
      </w:r>
    </w:p>
    <w:p>
      <w:pPr>
        <w:spacing w:after="0" w:line="63" w:lineRule="exact"/>
        <w:rPr>
          <w:sz w:val="20"/>
          <w:szCs w:val="20"/>
          <w:color w:val="auto"/>
        </w:rPr>
      </w:pPr>
    </w:p>
    <w:p>
      <w:pPr>
        <w:ind w:right="160" w:firstLine="357"/>
        <w:spacing w:after="0" w:line="289" w:lineRule="auto"/>
        <w:rPr>
          <w:sz w:val="20"/>
          <w:szCs w:val="20"/>
          <w:color w:val="auto"/>
        </w:rPr>
      </w:pPr>
      <w:r>
        <w:rPr>
          <w:rFonts w:ascii="Arial" w:cs="Arial" w:eastAsia="Arial" w:hAnsi="Arial"/>
          <w:sz w:val="16"/>
          <w:szCs w:val="16"/>
          <w:color w:val="auto"/>
        </w:rPr>
        <w:t>Furthermore, prior to the completion of this offering, we will enter into the Shareholders’ Agreement with New Fortress Energy Holdings. The Shareholders’ Agreement will provide New Fortress Energy Holdings with the right to designate a certain number of nominees to our board of directors so long as New Fortress Energy Holdings and its affiliates collectively beneficially own at least 5% of the outstanding Class A shares and Class B shares. In addition, our operating agreement will provide certain entities controlled by Wesley Edens and Randal Nardone (the “Consenting Entities”) the right to approve certain material transactions so long as the Consenting Entities and their affiliates collectively, directly or indirectly, own at least 30% of the outstanding Class A shares and Class B shares. See “Certain Relationships and Related Transactions—Shareholders’ Agreement.”</w:t>
      </w:r>
    </w:p>
    <w:p>
      <w:pPr>
        <w:spacing w:after="0" w:line="59"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color w:val="auto"/>
        </w:rPr>
        <w:t>Given this concentrated ownership, New Fortress Energy Holdings would have to approve any potential acquisition of us. The existence of a significant shareholder may have the effect of deterring hostile takeovers, delaying or preventing changes in control or changes in management, or limiting the ability of our other shareholders to approve transactions that they may deem to be in the best interests of our company. Moreover, New Fortress Energy Holdings’ concentration of share ownership may adversely affect the trading price of our Class A shares to the extent investors perceive a disadvantage in owning stock of a company with a significant shareholder.</w:t>
      </w:r>
    </w:p>
    <w:p>
      <w:pPr>
        <w:spacing w:after="0" w:line="81" w:lineRule="exact"/>
        <w:rPr>
          <w:sz w:val="20"/>
          <w:szCs w:val="20"/>
          <w:color w:val="auto"/>
        </w:rPr>
      </w:pPr>
    </w:p>
    <w:p>
      <w:pPr>
        <w:ind w:right="160" w:firstLine="357"/>
        <w:spacing w:after="0" w:line="273" w:lineRule="auto"/>
        <w:rPr>
          <w:sz w:val="20"/>
          <w:szCs w:val="20"/>
          <w:color w:val="auto"/>
        </w:rPr>
      </w:pPr>
      <w:r>
        <w:rPr>
          <w:rFonts w:ascii="Arial" w:cs="Arial" w:eastAsia="Arial" w:hAnsi="Arial"/>
          <w:sz w:val="17"/>
          <w:szCs w:val="17"/>
          <w:color w:val="auto"/>
        </w:rPr>
        <w:t>In addition, New Fortress Energy Holdings may have different tax positions from us that could influence its decisions regarding whether and when to support the disposition of assets and the incurrence or refinancing of new or existing indebtedness. In addition, the detemination of future tax reporting positions, the structuring of future transactions and the handling of any challenge by any taxing authority to our tax reporting positions may take into consideration New Fortress Energy Holdings’ tax or other considerations, which may differ from the considerations of NFE or our other shareholders.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New Fortress Energy Holdings may compete with us.</w:t>
      </w:r>
    </w:p>
    <w:p>
      <w:pPr>
        <w:spacing w:after="0" w:line="115"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Our governing documents will provide that New Fortress Energy Holdings is not prohibited from engaging in other businesses or activities, including those that might be in direct competition with us. In addition, New Fortress Energy Holdings may compete with us for investment opportunities and may own an interest in entities that compete with us. Additionally, our operating agreement provides that if New Fortress Energy Holdings or an affiliate or any of their officers, directors or employees acquire knowledge of a potential transaction that could be a corporate opportunity, they have no duty, to the fullest extent permitted by law, to offer such corporate opportunity to us, our Class A shareholders or our affiliates. This may create actual and potential conflicts of interest between us and New Fortress Energy Holdings and result in less than favorable treatment of us and our Class A shareholders.</w:t>
      </w:r>
    </w:p>
    <w:p>
      <w:pPr>
        <w:spacing w:after="0" w:line="153" w:lineRule="exact"/>
        <w:rPr>
          <w:sz w:val="20"/>
          <w:szCs w:val="20"/>
          <w:color w:val="auto"/>
        </w:rPr>
      </w:pPr>
    </w:p>
    <w:p>
      <w:pPr>
        <w:ind w:left="360" w:right="40"/>
        <w:spacing w:after="0" w:line="233" w:lineRule="auto"/>
        <w:rPr>
          <w:sz w:val="20"/>
          <w:szCs w:val="20"/>
          <w:color w:val="auto"/>
        </w:rPr>
      </w:pPr>
      <w:r>
        <w:rPr>
          <w:rFonts w:ascii="Arial" w:cs="Arial" w:eastAsia="Arial" w:hAnsi="Arial"/>
          <w:sz w:val="18"/>
          <w:szCs w:val="18"/>
          <w:b w:val="1"/>
          <w:bCs w:val="1"/>
          <w:i w:val="1"/>
          <w:iCs w:val="1"/>
          <w:color w:val="auto"/>
        </w:rPr>
        <w:t>Our operating agreement, as well as Delaware law, will contain provisions that could discourage acquisition bids or merger proposals, which may adversely affect the market price of our Class A shares and could deprive our investors of the opportunity to receive a premium for their shares.</w:t>
      </w:r>
    </w:p>
    <w:p>
      <w:pPr>
        <w:spacing w:after="0" w:line="81" w:lineRule="exact"/>
        <w:rPr>
          <w:sz w:val="20"/>
          <w:szCs w:val="20"/>
          <w:color w:val="auto"/>
        </w:rPr>
      </w:pPr>
    </w:p>
    <w:p>
      <w:pPr>
        <w:ind w:right="100" w:firstLine="357"/>
        <w:spacing w:after="0" w:line="271" w:lineRule="auto"/>
        <w:rPr>
          <w:sz w:val="20"/>
          <w:szCs w:val="20"/>
          <w:color w:val="auto"/>
        </w:rPr>
      </w:pPr>
      <w:r>
        <w:rPr>
          <w:rFonts w:ascii="Arial" w:cs="Arial" w:eastAsia="Arial" w:hAnsi="Arial"/>
          <w:sz w:val="17"/>
          <w:szCs w:val="17"/>
          <w:color w:val="auto"/>
        </w:rPr>
        <w:t>Our operating agreement will authorize our board of directors to issue preferred shares without shareholder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shares, it could be more difficult for a third party to acquire us. In addition, some provisions of our operating agreement could make it more difficult for a third party to acquire control of us, even if the change of control would be beneficial to our shareholders. These provisions include:</w:t>
      </w:r>
    </w:p>
    <w:p>
      <w:pPr>
        <w:spacing w:after="0" w:line="71" w:lineRule="exact"/>
        <w:rPr>
          <w:sz w:val="20"/>
          <w:szCs w:val="20"/>
          <w:color w:val="auto"/>
        </w:rPr>
      </w:pPr>
    </w:p>
    <w:p>
      <w:pPr>
        <w:ind w:left="700" w:hanging="346"/>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dividing our board of directors into three classes of directors, with each class serving staggered three-year terms;</w:t>
      </w:r>
    </w:p>
    <w:p>
      <w:pPr>
        <w:spacing w:after="0" w:line="126" w:lineRule="exact"/>
        <w:rPr>
          <w:rFonts w:ascii="Arial" w:cs="Arial" w:eastAsia="Arial" w:hAnsi="Arial"/>
          <w:sz w:val="17"/>
          <w:szCs w:val="17"/>
          <w:color w:val="auto"/>
        </w:rPr>
      </w:pPr>
    </w:p>
    <w:p>
      <w:pPr>
        <w:ind w:left="700" w:right="480" w:hanging="346"/>
        <w:spacing w:after="0" w:line="261"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that all vacancies, including newly created directorships, may, except as otherwise required by law, or, if applicable, the rights of holders of a series of preferred shares, only be filled by the affirmative vote of a majority of directors then in office, even if less than a quorum;</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300" w:hanging="346"/>
        <w:spacing w:after="0" w:line="339"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permitting any action by shareholders to be taken only at an annual meeting or special meeting rather than by a written consent of the shareholders, subject to the rights of any series of preferred shares with respect to such rights;</w:t>
      </w:r>
    </w:p>
    <w:p>
      <w:pPr>
        <w:spacing w:after="0" w:line="16" w:lineRule="exact"/>
        <w:rPr>
          <w:rFonts w:ascii="Arial" w:cs="Arial" w:eastAsia="Arial" w:hAnsi="Arial"/>
          <w:sz w:val="16"/>
          <w:szCs w:val="16"/>
          <w:color w:val="auto"/>
        </w:rPr>
      </w:pPr>
    </w:p>
    <w:p>
      <w:pPr>
        <w:jc w:val="both"/>
        <w:ind w:left="700" w:hanging="346"/>
        <w:spacing w:after="0" w:line="261"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permitting special meetings of our shareholders to be called only by our board of directors pursuant to a resolution adopted by the affirmative vote of a majority of the total number of authorized directors whether or not there exist any vacancies in previously authorized directorships;</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4" w:lineRule="exact"/>
        <w:rPr>
          <w:rFonts w:ascii="Arial" w:cs="Arial" w:eastAsia="Arial" w:hAnsi="Arial"/>
          <w:sz w:val="18"/>
          <w:szCs w:val="18"/>
          <w:color w:val="auto"/>
        </w:rPr>
      </w:pPr>
    </w:p>
    <w:p>
      <w:pPr>
        <w:ind w:left="700" w:right="60" w:hanging="346"/>
        <w:spacing w:after="0" w:line="27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advance notice provisions for shareholder proposals and nominations for elections to the board of directors to be acted upon at meetings of the shareholders; and</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providing that the board of directors is expressly authorized to adopt, or to alter or repeal our operating agreement.</w:t>
      </w:r>
    </w:p>
    <w:p>
      <w:pPr>
        <w:spacing w:after="0" w:line="73" w:lineRule="exact"/>
        <w:rPr>
          <w:sz w:val="20"/>
          <w:szCs w:val="20"/>
          <w:color w:val="auto"/>
        </w:rPr>
      </w:pPr>
    </w:p>
    <w:p>
      <w:pPr>
        <w:ind w:left="360" w:right="120"/>
        <w:spacing w:after="0" w:line="246" w:lineRule="auto"/>
        <w:rPr>
          <w:sz w:val="20"/>
          <w:szCs w:val="20"/>
          <w:color w:val="auto"/>
        </w:rPr>
      </w:pPr>
      <w:r>
        <w:rPr>
          <w:rFonts w:ascii="Arial" w:cs="Arial" w:eastAsia="Arial" w:hAnsi="Arial"/>
          <w:sz w:val="18"/>
          <w:szCs w:val="18"/>
          <w:b w:val="1"/>
          <w:bCs w:val="1"/>
          <w:i w:val="1"/>
          <w:iCs w:val="1"/>
          <w:color w:val="auto"/>
        </w:rPr>
        <w:t>There are certain provisions in our operating agreement regarding exculpation and indemnification of our officers and directors that differ from the Delaware General Corporation Law (“DGCL”) in a manner that may be less protective of the interests of our Class A shareholders.</w:t>
      </w:r>
    </w:p>
    <w:p>
      <w:pPr>
        <w:spacing w:after="0" w:line="74"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By contrast, under the DGCL, a director or officer would be liable to us for (i) breach of duty of loyalty to us or our shareholders, (ii) intentional misconduct or knowing violations of the law that are not done in good faith, (iii) improper redemption of shares or declaration of dividends, or (iv) a transaction from which the director derived an improper personal benefit. In addition, our operating agreement provides that we indemnify our directors and officers for acts or omissions to the fullest extent provided by law. By contrast,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Class A shareholders, when compared to the DGCL, insofar as it relates to the exculpation and indemnification of our officers and directors.</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Shareholders will experience immediate and substantial dilution of $10.63 per Class A share.</w:t>
      </w:r>
    </w:p>
    <w:p>
      <w:pPr>
        <w:spacing w:after="0" w:line="115" w:lineRule="exact"/>
        <w:rPr>
          <w:sz w:val="20"/>
          <w:szCs w:val="20"/>
          <w:color w:val="auto"/>
        </w:rPr>
      </w:pPr>
    </w:p>
    <w:p>
      <w:pPr>
        <w:ind w:right="60" w:firstLine="357"/>
        <w:spacing w:after="0" w:line="273" w:lineRule="auto"/>
        <w:rPr>
          <w:sz w:val="20"/>
          <w:szCs w:val="20"/>
          <w:color w:val="auto"/>
        </w:rPr>
      </w:pPr>
      <w:r>
        <w:rPr>
          <w:rFonts w:ascii="Arial" w:cs="Arial" w:eastAsia="Arial" w:hAnsi="Arial"/>
          <w:sz w:val="17"/>
          <w:szCs w:val="17"/>
          <w:color w:val="auto"/>
        </w:rPr>
        <w:t>The initial public offering price of $14.00 per Class A share exceeds our pro forma net tangible book value of $3.37 per Class A share. Based on the initial public offering price of $14.00 per Class A share, shareholders will incur immediate and substantial dilution of $10.63 per Class A share in the pro forma net tangible book value per share. This dilution results primarily because the assets contributed to us by New Fortress Energy Holdings are recorded at their historical cost in accordance with generally accepted accounting principles (“GAAP”), and not their fair value. Please read “Dilution.”</w:t>
      </w:r>
    </w:p>
    <w:p>
      <w:pPr>
        <w:spacing w:after="0" w:line="2" w:lineRule="exact"/>
        <w:rPr>
          <w:sz w:val="20"/>
          <w:szCs w:val="20"/>
          <w:color w:val="auto"/>
        </w:rPr>
      </w:pPr>
    </w:p>
    <w:p>
      <w:pPr>
        <w:ind w:left="360" w:right="180"/>
        <w:spacing w:after="0" w:line="243" w:lineRule="auto"/>
        <w:rPr>
          <w:sz w:val="20"/>
          <w:szCs w:val="20"/>
          <w:color w:val="auto"/>
        </w:rPr>
      </w:pPr>
      <w:r>
        <w:rPr>
          <w:rFonts w:ascii="Arial" w:cs="Arial" w:eastAsia="Arial" w:hAnsi="Arial"/>
          <w:sz w:val="18"/>
          <w:szCs w:val="18"/>
          <w:b w:val="1"/>
          <w:bCs w:val="1"/>
          <w:i w:val="1"/>
          <w:iCs w:val="1"/>
          <w:color w:val="auto"/>
        </w:rPr>
        <w:t>We do not intend to pay cash dividends on our Class A shares. Consequently, your only opportunity to achieve a return on your investment is if the price of our Class A shares appreciates.</w:t>
      </w:r>
    </w:p>
    <w:p>
      <w:pPr>
        <w:spacing w:after="0" w:line="77" w:lineRule="exact"/>
        <w:rPr>
          <w:sz w:val="20"/>
          <w:szCs w:val="20"/>
          <w:color w:val="auto"/>
        </w:rPr>
      </w:pPr>
    </w:p>
    <w:p>
      <w:pPr>
        <w:jc w:val="both"/>
        <w:ind w:right="100" w:firstLine="357"/>
        <w:spacing w:after="0" w:line="297" w:lineRule="auto"/>
        <w:rPr>
          <w:sz w:val="20"/>
          <w:szCs w:val="20"/>
          <w:color w:val="auto"/>
        </w:rPr>
      </w:pPr>
      <w:r>
        <w:rPr>
          <w:rFonts w:ascii="Arial" w:cs="Arial" w:eastAsia="Arial" w:hAnsi="Arial"/>
          <w:sz w:val="16"/>
          <w:szCs w:val="16"/>
          <w:color w:val="auto"/>
        </w:rPr>
        <w:t>We do not plan to declare cash dividends on our Class A shares in the foreseeable future. Consequently, your only opportunity to achieve a return on your investment in us will be if you sell your Class A share at a price greater than you paid for it. There is no guarantee that the price of our Class A shares that will prevail in the market will ever exceed the price that you pay in this offering.</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may issue preferred shares, the terms of which could adversely affect the voting power or value of our Class A shares.</w:t>
      </w:r>
    </w:p>
    <w:p>
      <w:pPr>
        <w:spacing w:after="0" w:line="136" w:lineRule="exact"/>
        <w:rPr>
          <w:sz w:val="20"/>
          <w:szCs w:val="20"/>
          <w:color w:val="auto"/>
        </w:rPr>
      </w:pPr>
    </w:p>
    <w:p>
      <w:pPr>
        <w:ind w:right="20" w:firstLine="357"/>
        <w:spacing w:after="0" w:line="270" w:lineRule="auto"/>
        <w:rPr>
          <w:sz w:val="20"/>
          <w:szCs w:val="20"/>
          <w:color w:val="auto"/>
        </w:rPr>
      </w:pPr>
      <w:r>
        <w:rPr>
          <w:rFonts w:ascii="Arial" w:cs="Arial" w:eastAsia="Arial" w:hAnsi="Arial"/>
          <w:sz w:val="17"/>
          <w:szCs w:val="17"/>
          <w:color w:val="auto"/>
        </w:rPr>
        <w:t>Our operating agreement will authorize us to issue, without the approval of our shareholders, one or more classes or series of preferred shares having such designations, preferences, limitations and relative rights, including preferences over our Class A shares respecting dividends and distributions, as our board of directors may determine. The terms of one or more classes or series of preferred shares could adversely impact the voting power or value of our Class A shares. For example, we might grant holders of preferred shares the right to elect some number of our directors in all events or on the happening of specified events or the right to veto specified transactions. Similarly, the repurchase or redemption rights or liquidation preferences we might assign to holders of preferred shares could affect the residual value of the Class A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6" w:lineRule="exact"/>
        <w:rPr>
          <w:sz w:val="20"/>
          <w:szCs w:val="20"/>
          <w:color w:val="auto"/>
        </w:rPr>
      </w:pPr>
    </w:p>
    <w:p>
      <w:pPr>
        <w:ind w:left="360" w:right="80"/>
        <w:spacing w:after="0" w:line="274" w:lineRule="auto"/>
        <w:rPr>
          <w:sz w:val="20"/>
          <w:szCs w:val="20"/>
          <w:color w:val="auto"/>
        </w:rPr>
      </w:pPr>
      <w:r>
        <w:rPr>
          <w:rFonts w:ascii="Arial" w:cs="Arial" w:eastAsia="Arial" w:hAnsi="Arial"/>
          <w:sz w:val="16"/>
          <w:szCs w:val="16"/>
          <w:b w:val="1"/>
          <w:bCs w:val="1"/>
          <w:i w:val="1"/>
          <w:iCs w:val="1"/>
          <w:color w:val="auto"/>
        </w:rPr>
        <w:t>The market price of our Class A shares could be adversely affected by sales of substantial amounts of our Class A shares in the public or private markets or the perception in the public markets that these sales may occur, including sales by New Fortress Energy Holdings after the exercise of the Redemption Right or other large holders.</w:t>
      </w:r>
    </w:p>
    <w:p>
      <w:pPr>
        <w:spacing w:after="0" w:line="54"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color w:val="auto"/>
        </w:rPr>
        <w:t>After this offering, we will have 20,000,000 Class A shares and 147,058,824 Class B shares outstanding, assuming no exercise of the underwriters’ option to purchase additional Class A shares. The Class A shares sold in this offering will be freely tradable without restriction under the Securities Act except for any Class A shares that may be held or acquired by our directors, officers or affiliates, which will be restricted securities under the Securities Act. The NFI LLC Units held by New Fortress Energy Holdings and any Class A shares New Fortress Energy Holdings acquires through the exercise of the Redemption Right will be subject to resale restrictions under a 180-day lock-up agreement with the underwriters. Each of the lock-up agreements with the underwriters may be waived in the discretion of certain of the underwriters. Sales by New Fortress Energy Holdings after the exercise of the Redemption Right or other large holders of a substantial number of our Class A shares in the public markets following this offering, or the perception that such sales might occur, could have a material adverse effect on the price of our Class A shares or could impair our ability to obtain capital through an offering of equity securities. In addition, we have agreed to provide registration rights to New Fortress Energy Holdings. Alternatively, we may be required to undertake a future public or private offering of Class A shares and use the net proceeds from such offering to purchase an equal number of NFI LLC Units from New Fortress Energy Holdings. Please read “Shares Eligible for Future Sale.”</w:t>
      </w:r>
    </w:p>
    <w:p>
      <w:pPr>
        <w:ind w:left="360" w:right="200"/>
        <w:spacing w:after="0" w:line="233" w:lineRule="auto"/>
        <w:rPr>
          <w:sz w:val="20"/>
          <w:szCs w:val="20"/>
          <w:color w:val="auto"/>
        </w:rPr>
      </w:pPr>
      <w:r>
        <w:rPr>
          <w:rFonts w:ascii="Arial" w:cs="Arial" w:eastAsia="Arial" w:hAnsi="Arial"/>
          <w:sz w:val="18"/>
          <w:szCs w:val="18"/>
          <w:b w:val="1"/>
          <w:bCs w:val="1"/>
          <w:i w:val="1"/>
          <w:iCs w:val="1"/>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p>
      <w:pPr>
        <w:spacing w:after="0" w:line="81" w:lineRule="exact"/>
        <w:rPr>
          <w:sz w:val="20"/>
          <w:szCs w:val="20"/>
          <w:color w:val="auto"/>
        </w:rPr>
      </w:pPr>
    </w:p>
    <w:p>
      <w:pPr>
        <w:ind w:right="40" w:firstLine="357"/>
        <w:spacing w:after="0" w:line="294" w:lineRule="auto"/>
        <w:rPr>
          <w:sz w:val="20"/>
          <w:szCs w:val="20"/>
          <w:color w:val="auto"/>
        </w:rPr>
      </w:pPr>
      <w:r>
        <w:rPr>
          <w:rFonts w:ascii="Arial" w:cs="Arial" w:eastAsia="Arial" w:hAnsi="Arial"/>
          <w:sz w:val="16"/>
          <w:szCs w:val="16"/>
          <w:color w:val="auto"/>
        </w:rPr>
        <w:t>Prior to this offering, there has been no public market for the Class A shares. After this offering, there will be only 20,000,000 publicly-traded Class A shares. We do not know the extent to which investor interest will lead to the development of a trading market or how liquid that market might be. Class A shareholders may not be able to resell their Class A shares at or above the initial public offering price. Additionally, the lack of liquidity may result in wide bid-ask spreads, contribute to significant fluctuations in the market price of the Class A shares and limit the number of investors who are able to buy the Class A shares.</w:t>
      </w:r>
    </w:p>
    <w:p>
      <w:pPr>
        <w:spacing w:after="0" w:line="54"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The initial public offering price for our Class A shares will be determined by negotiations between us and the representatives of the underwriters and may not be indicative of the price of the Class A shares that will prevail in the trading market. The market price of our Class A shares may decline below the initial public offering price. The market price of our Class A shares may also be influenced by many factors, some of which are beyond our control, including:</w:t>
      </w:r>
    </w:p>
    <w:p>
      <w:pPr>
        <w:spacing w:after="0" w:line="79" w:lineRule="exact"/>
        <w:rPr>
          <w:sz w:val="20"/>
          <w:szCs w:val="20"/>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acquisitions;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4" w:lineRule="exact"/>
        <w:rPr>
          <w:rFonts w:ascii="Arial" w:cs="Arial" w:eastAsia="Arial" w:hAnsi="Arial"/>
          <w:sz w:val="18"/>
          <w:szCs w:val="18"/>
          <w:color w:val="auto"/>
        </w:rPr>
      </w:pPr>
    </w:p>
    <w:p>
      <w:pPr>
        <w:ind w:left="700" w:right="640" w:hanging="346"/>
        <w:spacing w:after="0" w:line="274"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shares after this offering or changes in financial estimates by analysts;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sales of our Class A shares;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other factors described in these “Risk Factors.”</w:t>
      </w:r>
    </w:p>
    <w:p>
      <w:pPr>
        <w:spacing w:after="0" w:line="48" w:lineRule="exact"/>
        <w:rPr>
          <w:sz w:val="20"/>
          <w:szCs w:val="20"/>
          <w:color w:val="auto"/>
        </w:rPr>
      </w:pPr>
    </w:p>
    <w:p>
      <w:pPr>
        <w:ind w:left="360" w:right="160"/>
        <w:spacing w:after="0" w:line="243" w:lineRule="auto"/>
        <w:rPr>
          <w:sz w:val="20"/>
          <w:szCs w:val="20"/>
          <w:color w:val="auto"/>
        </w:rPr>
      </w:pPr>
      <w:r>
        <w:rPr>
          <w:rFonts w:ascii="Arial" w:cs="Arial" w:eastAsia="Arial" w:hAnsi="Arial"/>
          <w:sz w:val="18"/>
          <w:szCs w:val="18"/>
          <w:b w:val="1"/>
          <w:bCs w:val="1"/>
          <w:i w:val="1"/>
          <w:iCs w:val="1"/>
          <w:color w:val="auto"/>
        </w:rPr>
        <w:t>We expect to be a “controlled company” within the meaning of NASDAQ rules and, as a result, will qualify for and intend to rely on exemptions from certain corporate governance requirements.</w:t>
      </w:r>
    </w:p>
    <w:p>
      <w:pPr>
        <w:spacing w:after="0" w:line="77" w:lineRule="exact"/>
        <w:rPr>
          <w:sz w:val="20"/>
          <w:szCs w:val="20"/>
          <w:color w:val="auto"/>
        </w:rPr>
      </w:pPr>
    </w:p>
    <w:p>
      <w:pPr>
        <w:ind w:right="140" w:firstLine="357"/>
        <w:spacing w:after="0" w:line="255" w:lineRule="auto"/>
        <w:rPr>
          <w:sz w:val="20"/>
          <w:szCs w:val="20"/>
          <w:color w:val="auto"/>
        </w:rPr>
      </w:pPr>
      <w:r>
        <w:rPr>
          <w:rFonts w:ascii="Arial" w:cs="Arial" w:eastAsia="Arial" w:hAnsi="Arial"/>
          <w:sz w:val="18"/>
          <w:szCs w:val="18"/>
          <w:color w:val="auto"/>
        </w:rPr>
        <w:t>Upon completion of this offering, New Fortress Energy Holdings will hold a majority of the voting power of our shares. As a result, we expect to be a controlled company within the meaning of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81" w:lineRule="exact"/>
        <w:rPr>
          <w:sz w:val="20"/>
          <w:szCs w:val="20"/>
          <w:color w:val="auto"/>
        </w:rPr>
      </w:pPr>
    </w:p>
    <w:p>
      <w:pPr>
        <w:jc w:val="center"/>
        <w:ind w:left="4660" w:right="1060" w:hanging="4306"/>
        <w:spacing w:after="0" w:line="523" w:lineRule="auto"/>
        <w:tabs>
          <w:tab w:leader="none" w:pos="6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 NASDAQ;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603059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hanging="346"/>
        <w:spacing w:after="0" w:line="274"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63" w:lineRule="exact"/>
        <w:rPr>
          <w:rFonts w:ascii="Arial" w:cs="Arial" w:eastAsia="Arial" w:hAnsi="Arial"/>
          <w:sz w:val="18"/>
          <w:szCs w:val="18"/>
          <w:color w:val="auto"/>
        </w:rPr>
      </w:pPr>
    </w:p>
    <w:p>
      <w:pPr>
        <w:ind w:left="700" w:right="740" w:hanging="346"/>
        <w:spacing w:after="0" w:line="274"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64" w:lineRule="exact"/>
        <w:rPr>
          <w:sz w:val="20"/>
          <w:szCs w:val="20"/>
          <w:color w:val="auto"/>
        </w:rPr>
      </w:pPr>
    </w:p>
    <w:p>
      <w:pPr>
        <w:ind w:right="40" w:firstLine="357"/>
        <w:spacing w:after="0" w:line="255"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Following this offering, we intend to utilize some or all of these exemptions. Accordingly, you may not have the same protections afforded to shareholders of companies that are subject to all of the corporate governance requirements of NASDAQ. See “Management.”</w:t>
      </w:r>
    </w:p>
    <w:p>
      <w:pPr>
        <w:spacing w:after="0" w:line="175" w:lineRule="exact"/>
        <w:rPr>
          <w:sz w:val="20"/>
          <w:szCs w:val="20"/>
          <w:color w:val="auto"/>
        </w:rPr>
      </w:pPr>
    </w:p>
    <w:p>
      <w:pPr>
        <w:ind w:left="360" w:right="120"/>
        <w:spacing w:after="0" w:line="233" w:lineRule="auto"/>
        <w:rPr>
          <w:sz w:val="20"/>
          <w:szCs w:val="20"/>
          <w:color w:val="auto"/>
        </w:rPr>
      </w:pPr>
      <w:r>
        <w:rPr>
          <w:rFonts w:ascii="Arial" w:cs="Arial" w:eastAsia="Arial" w:hAnsi="Arial"/>
          <w:sz w:val="18"/>
          <w:szCs w:val="18"/>
          <w:b w:val="1"/>
          <w:bCs w:val="1"/>
          <w:i w:val="1"/>
          <w:iCs w:val="1"/>
          <w:color w:val="auto"/>
        </w:rPr>
        <w:t>For as long as we are an emerging growth company, we will not be required to comply with certain reporting requirements that apply to other public companies, including those relating to auditing standards and disclosure about our executive compensation.</w:t>
      </w:r>
    </w:p>
    <w:p>
      <w:pPr>
        <w:spacing w:after="0" w:line="81" w:lineRule="exact"/>
        <w:rPr>
          <w:sz w:val="20"/>
          <w:szCs w:val="20"/>
          <w:color w:val="auto"/>
        </w:rPr>
      </w:pPr>
    </w:p>
    <w:p>
      <w:pPr>
        <w:ind w:right="20" w:firstLine="357"/>
        <w:spacing w:after="0" w:line="282" w:lineRule="auto"/>
        <w:rPr>
          <w:sz w:val="20"/>
          <w:szCs w:val="20"/>
          <w:color w:val="auto"/>
        </w:rPr>
      </w:pPr>
      <w:r>
        <w:rPr>
          <w:rFonts w:ascii="Arial" w:cs="Arial" w:eastAsia="Arial" w:hAnsi="Arial"/>
          <w:sz w:val="16"/>
          <w:szCs w:val="16"/>
          <w:color w:val="auto"/>
        </w:rPr>
        <w:t>The JOBS Act contains provisions that, among other things, relax certain reporting requirements for “emerging growth companies,” including certain requirements relating to auditing standards and compensation disclosure. We are classified as an emerging growth company.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w:t>
      </w:r>
    </w:p>
    <w:p>
      <w:pPr>
        <w:spacing w:after="0" w:line="2" w:lineRule="exact"/>
        <w:rPr>
          <w:sz w:val="20"/>
          <w:szCs w:val="20"/>
          <w:color w:val="auto"/>
        </w:rPr>
      </w:pPr>
    </w:p>
    <w:p>
      <w:pPr>
        <w:ind w:right="60" w:firstLine="5"/>
        <w:spacing w:after="0" w:line="284" w:lineRule="auto"/>
        <w:tabs>
          <w:tab w:leader="none" w:pos="303" w:val="left"/>
        </w:tabs>
        <w:numPr>
          <w:ilvl w:val="0"/>
          <w:numId w:val="36"/>
        </w:numPr>
        <w:rPr>
          <w:rFonts w:ascii="Arial" w:cs="Arial" w:eastAsia="Arial" w:hAnsi="Arial"/>
          <w:sz w:val="16"/>
          <w:szCs w:val="16"/>
          <w:color w:val="auto"/>
        </w:rPr>
      </w:pPr>
      <w:r>
        <w:rPr>
          <w:rFonts w:ascii="Arial" w:cs="Arial" w:eastAsia="Arial" w:hAnsi="Arial"/>
          <w:sz w:val="16"/>
          <w:szCs w:val="16"/>
          <w:color w:val="auto"/>
        </w:rPr>
        <w:t>hold nonbinding advisory votes on executive compensation. We currently intend to take advantage of the exemptions described above. We have also 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stockholders and potential investors may have difficulty in analyzing our operating results if comparing us to such companies. We will remain an emerging growth company for up to five years, although we will lose that status sooner if we have more than $1.07 billion of revenues in a fiscal year, have more than $700.0 million in market value of our Class A shareholders held by non-affiliates, or issue more than $1.0 billion of non-convertible debt over a three-year period.</w:t>
      </w:r>
    </w:p>
    <w:p>
      <w:pPr>
        <w:spacing w:after="0" w:line="65" w:lineRule="exact"/>
        <w:rPr>
          <w:sz w:val="20"/>
          <w:szCs w:val="20"/>
          <w:color w:val="auto"/>
        </w:rPr>
      </w:pPr>
    </w:p>
    <w:p>
      <w:pPr>
        <w:ind w:right="20" w:firstLine="357"/>
        <w:spacing w:after="0" w:line="257" w:lineRule="auto"/>
        <w:rPr>
          <w:sz w:val="20"/>
          <w:szCs w:val="20"/>
          <w:color w:val="auto"/>
        </w:rPr>
      </w:pPr>
      <w:r>
        <w:rPr>
          <w:rFonts w:ascii="Arial" w:cs="Arial" w:eastAsia="Arial" w:hAnsi="Arial"/>
          <w:sz w:val="18"/>
          <w:szCs w:val="18"/>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shares to be less attractive as a result, there may be a less active trading market for our Class A shares and our Class A share price may be more volatile.</w:t>
      </w:r>
    </w:p>
    <w:p>
      <w:pPr>
        <w:spacing w:after="0" w:line="173" w:lineRule="exact"/>
        <w:rPr>
          <w:sz w:val="20"/>
          <w:szCs w:val="20"/>
          <w:color w:val="auto"/>
        </w:rPr>
      </w:pPr>
    </w:p>
    <w:p>
      <w:pPr>
        <w:ind w:left="360" w:right="340"/>
        <w:spacing w:after="0" w:line="274" w:lineRule="auto"/>
        <w:rPr>
          <w:sz w:val="20"/>
          <w:szCs w:val="20"/>
          <w:color w:val="auto"/>
        </w:rPr>
      </w:pPr>
      <w:r>
        <w:rPr>
          <w:rFonts w:ascii="Arial" w:cs="Arial" w:eastAsia="Arial" w:hAnsi="Arial"/>
          <w:sz w:val="16"/>
          <w:szCs w:val="16"/>
          <w:b w:val="1"/>
          <w:bCs w:val="1"/>
          <w:i w:val="1"/>
          <w:iCs w:val="1"/>
          <w:color w:val="auto"/>
        </w:rPr>
        <w:t>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Class A shares.</w:t>
      </w:r>
    </w:p>
    <w:p>
      <w:pPr>
        <w:spacing w:after="0" w:line="54" w:lineRule="exact"/>
        <w:rPr>
          <w:sz w:val="20"/>
          <w:szCs w:val="20"/>
          <w:color w:val="auto"/>
        </w:rPr>
      </w:pPr>
    </w:p>
    <w:p>
      <w:pPr>
        <w:ind w:right="20" w:firstLine="357"/>
        <w:spacing w:after="0" w:line="286" w:lineRule="auto"/>
        <w:rPr>
          <w:sz w:val="20"/>
          <w:szCs w:val="20"/>
          <w:color w:val="auto"/>
        </w:rPr>
      </w:pPr>
      <w:r>
        <w:rPr>
          <w:rFonts w:ascii="Arial" w:cs="Arial" w:eastAsia="Arial" w:hAnsi="Arial"/>
          <w:sz w:val="16"/>
          <w:szCs w:val="16"/>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In connection with the preparation of our financial statements for the year ended December 31, 2017, we concluded there was a significant deficiency in our internal controls over financial reporting. While we continue to implement measures to address this deficiency, we cannot be certain that our efforts to develop and maintain our internal controls will be successful, that we will be able to maintain adequate controls over our financial processes and reporting in the future or that we will be able to comply with our obligations under Section 404 of the Sarbanes-Oxley Act. In connection with our efforts to maintain effective internal controls, we will need to hire additional accounting personnel as well as to make additional investments in software and systems. Any failure to develop or maintain effective internal controls, or difficulties encountered in implementing or improving our internal controls, could harm our operating results or cause us to fail to meet our reporting obligations. Ineffective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40"/>
        <w:spacing w:after="0" w:line="274" w:lineRule="auto"/>
        <w:rPr>
          <w:sz w:val="20"/>
          <w:szCs w:val="20"/>
          <w:color w:val="auto"/>
        </w:rPr>
      </w:pPr>
      <w:r>
        <w:rPr>
          <w:rFonts w:ascii="Arial" w:cs="Arial" w:eastAsia="Arial" w:hAnsi="Arial"/>
          <w:sz w:val="18"/>
          <w:szCs w:val="18"/>
          <w:color w:val="auto"/>
        </w:rPr>
        <w:t>internal controls could also cause investors to lose confidence in our reported financial information, which would likely have a negative effect on the trading price of our Class A shares.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115" w:lineRule="exact"/>
        <w:rPr>
          <w:sz w:val="20"/>
          <w:szCs w:val="20"/>
          <w:color w:val="auto"/>
        </w:rPr>
      </w:pPr>
    </w:p>
    <w:p>
      <w:pPr>
        <w:ind w:right="40" w:firstLine="357"/>
        <w:spacing w:after="0" w:line="283" w:lineRule="auto"/>
        <w:rPr>
          <w:sz w:val="20"/>
          <w:szCs w:val="20"/>
          <w:color w:val="auto"/>
        </w:rPr>
      </w:pPr>
      <w:r>
        <w:rPr>
          <w:rFonts w:ascii="Arial" w:cs="Arial" w:eastAsia="Arial" w:hAnsi="Arial"/>
          <w:sz w:val="16"/>
          <w:szCs w:val="16"/>
          <w:color w:val="auto"/>
        </w:rPr>
        <w:t>We have no history operating as a publicly traded company. As a newly public company with shares listed on NASDAQ, we will need to comply with an extensive body of regulations that did not apply to us previously, including certain provisions of the Sarbanes-Oxley Act, the Dodd-Frank Wall Street Reform and Consumer Protection Act, regulations of the SEC and NASDAQ requirements. We expect these rules and regulations will increase our legal, accounting, compliance and other expenses that we did not incur prior to this offering and make some activities more time-consuming and costly. For example, as a result of becoming a public company, we intend to add independent directors and create additional board committees. We intend to enter into an administrative services agreement with FIG LLC, an affiliate of Fortress, in connection with the closing of this offering, pursuant to which FIG LLC will provide us with certain back-office services and charge us for selling, general and administrative expenses incurred to provide these services. FIG LLC will also continue to provide compliance services for the foreseeable future and any transition will take place over time. In addition, we may incur additional costs associated with our public company reporting requirements and maintaining directors’ and officers’ liability insurance. Because of the limitations in coverage for directors, it may be more difficult for us to attract and retain qualified persons to serve on our board of directors or as executive officers. We estimate that we will incur approximately $2 million of incremental costs per year associated with being a publicly traded company; however, it is possible that our actual incremental costs of being a publicly traded company will be higher than we currently estimate.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164" w:lineRule="exact"/>
        <w:rPr>
          <w:sz w:val="20"/>
          <w:szCs w:val="20"/>
          <w:color w:val="auto"/>
        </w:rPr>
      </w:pPr>
    </w:p>
    <w:p>
      <w:pPr>
        <w:ind w:left="360" w:right="220"/>
        <w:spacing w:after="0" w:line="23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Class A shares or if our operating results do not meet their expectations, our share price could decline.</w:t>
      </w:r>
    </w:p>
    <w:p>
      <w:pPr>
        <w:spacing w:after="0" w:line="81" w:lineRule="exact"/>
        <w:rPr>
          <w:sz w:val="20"/>
          <w:szCs w:val="20"/>
          <w:color w:val="auto"/>
        </w:rPr>
      </w:pPr>
    </w:p>
    <w:p>
      <w:pPr>
        <w:jc w:val="both"/>
        <w:ind w:right="280" w:firstLine="357"/>
        <w:spacing w:after="0" w:line="309" w:lineRule="auto"/>
        <w:rPr>
          <w:sz w:val="20"/>
          <w:szCs w:val="20"/>
          <w:color w:val="auto"/>
        </w:rPr>
      </w:pPr>
      <w:r>
        <w:rPr>
          <w:rFonts w:ascii="Arial" w:cs="Arial" w:eastAsia="Arial" w:hAnsi="Arial"/>
          <w:sz w:val="16"/>
          <w:szCs w:val="16"/>
          <w:color w:val="auto"/>
        </w:rPr>
        <w:t>The trading market for our Class A shares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34" w:lineRule="exact"/>
        <w:rPr>
          <w:sz w:val="20"/>
          <w:szCs w:val="20"/>
          <w:color w:val="auto"/>
        </w:rPr>
      </w:pPr>
    </w:p>
    <w:p>
      <w:pPr>
        <w:ind w:left="360" w:right="40"/>
        <w:spacing w:after="0" w:line="233" w:lineRule="auto"/>
        <w:rPr>
          <w:sz w:val="20"/>
          <w:szCs w:val="20"/>
          <w:color w:val="auto"/>
        </w:rPr>
      </w:pPr>
      <w:r>
        <w:rPr>
          <w:rFonts w:ascii="Arial" w:cs="Arial" w:eastAsia="Arial" w:hAnsi="Arial"/>
          <w:sz w:val="18"/>
          <w:szCs w:val="18"/>
          <w:b w:val="1"/>
          <w:bCs w:val="1"/>
          <w:i w:val="1"/>
          <w:iCs w:val="1"/>
          <w:color w:val="auto"/>
        </w:rPr>
        <w:t>NFE is a holding company. NFE’s sole material asset after completion of this offering will be its equity interest in NFI, and accordingly, NFE will be dependent upon distributions from NFI to pay taxes and cover its corporate and other overhead expenses.</w:t>
      </w:r>
    </w:p>
    <w:p>
      <w:pPr>
        <w:spacing w:after="0" w:line="81" w:lineRule="exact"/>
        <w:rPr>
          <w:sz w:val="20"/>
          <w:szCs w:val="20"/>
          <w:color w:val="auto"/>
        </w:rPr>
      </w:pPr>
    </w:p>
    <w:p>
      <w:pPr>
        <w:ind w:firstLine="357"/>
        <w:spacing w:after="0" w:line="267" w:lineRule="auto"/>
        <w:rPr>
          <w:sz w:val="20"/>
          <w:szCs w:val="20"/>
          <w:color w:val="auto"/>
        </w:rPr>
      </w:pPr>
      <w:r>
        <w:rPr>
          <w:rFonts w:ascii="Arial" w:cs="Arial" w:eastAsia="Arial" w:hAnsi="Arial"/>
          <w:sz w:val="17"/>
          <w:szCs w:val="17"/>
          <w:color w:val="auto"/>
        </w:rPr>
        <w:t>NFE is a holding company and will have no material assets other than its equity interest in NFI. Please read “Summary— Organizational Structure.” NFE has no independent means of generating revenue. To the extent NFI has available cash and subject to the terms of NFI’s credit agreements and any other debt instruments, we will cause NFI to make (i) pro rata distributions to holders of NFI LLC Units, including NFE, in an amount sufficient to allow NFE to pay its taxes, (ii) additional pro rata distributions to all holders of NFI LLC Units in an amount generally intended to allow holders of NFI LLC Units (other than NFE) to satisfy their respective income tax liabilities with respect to their allocable share of the income of NFI (based on certain assumptions and conventions and as determined by an entity controlled by Wesley Edens and Randal Nardone (“NFI Holdings”)) and (iii) non pro rata distributions to NFE in an amount at least sufficient to reimburse NFE for its corporate and other overhead expenses. To the extent that NFE needs funds and NFI or its subsidiaries are restricted from making such distributions under applicable law or regulation or under the terms of their financing arrangements or are otherwise unable to provide such funds, NFE’s liquidity and financial condition could be adversely affected.</w:t>
      </w:r>
    </w:p>
    <w:p>
      <w:pPr>
        <w:spacing w:after="0" w:line="170" w:lineRule="exact"/>
        <w:rPr>
          <w:sz w:val="20"/>
          <w:szCs w:val="20"/>
          <w:color w:val="auto"/>
        </w:rPr>
      </w:pPr>
    </w:p>
    <w:p>
      <w:pPr>
        <w:ind w:left="360"/>
        <w:spacing w:after="0" w:line="229" w:lineRule="auto"/>
        <w:rPr>
          <w:sz w:val="20"/>
          <w:szCs w:val="20"/>
          <w:color w:val="auto"/>
        </w:rPr>
      </w:pPr>
      <w:r>
        <w:rPr>
          <w:rFonts w:ascii="Arial" w:cs="Arial" w:eastAsia="Arial" w:hAnsi="Arial"/>
          <w:sz w:val="18"/>
          <w:szCs w:val="18"/>
          <w:b w:val="1"/>
          <w:bCs w:val="1"/>
          <w:i w:val="1"/>
          <w:iCs w:val="1"/>
          <w:color w:val="auto"/>
        </w:rPr>
        <w:t>In certain circumstances, NFI will be required to make tax distributions to holders of NFI LLC Units, and such tax distributions may be substantial. To the extent NFE receives tax distributions in excess of its actual tax liabilities and retains such excess cash, the holders of NFI LLC Units would benefit from such accumulated cash balances if they exercise their Redemption Right.</w:t>
      </w:r>
    </w:p>
    <w:p>
      <w:pPr>
        <w:spacing w:after="0" w:line="82" w:lineRule="exact"/>
        <w:rPr>
          <w:sz w:val="20"/>
          <w:szCs w:val="20"/>
          <w:color w:val="auto"/>
        </w:rPr>
      </w:pPr>
    </w:p>
    <w:p>
      <w:pPr>
        <w:ind w:right="20" w:firstLine="357"/>
        <w:spacing w:after="0" w:line="261" w:lineRule="auto"/>
        <w:rPr>
          <w:sz w:val="20"/>
          <w:szCs w:val="20"/>
          <w:color w:val="auto"/>
        </w:rPr>
      </w:pPr>
      <w:r>
        <w:rPr>
          <w:rFonts w:ascii="Arial" w:cs="Arial" w:eastAsia="Arial" w:hAnsi="Arial"/>
          <w:sz w:val="18"/>
          <w:szCs w:val="18"/>
          <w:color w:val="auto"/>
        </w:rPr>
        <w:t>Pursuant to the NFI LLC Agreement, NFI will make generally pro rata distributions to the holders of NFI LLC Units, including NFE, in an amount sufficient to allow NFE to satisfy its actual tax liabilities. In addition, to the extent NFI has available cash, NFI will be required to make additional pro rata tax distributions to all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holders of NFI LLC Units in an amount generally intended to allow the holders of NFI LLC Units (other than NFE) to satisfy their assumed tax liabilities with respect to their allocable share of the income of NFI (based on certain assumptions and conventions and as determined by NFI Holdings). For this purpose, the determination of available cash will take into account, among other factors,</w:t>
      </w:r>
    </w:p>
    <w:p>
      <w:pPr>
        <w:spacing w:after="0" w:line="1" w:lineRule="exact"/>
        <w:rPr>
          <w:sz w:val="20"/>
          <w:szCs w:val="20"/>
          <w:color w:val="auto"/>
        </w:rPr>
      </w:pPr>
    </w:p>
    <w:p>
      <w:pPr>
        <w:ind w:right="160" w:firstLine="5"/>
        <w:spacing w:after="0" w:line="253" w:lineRule="auto"/>
        <w:tabs>
          <w:tab w:leader="none" w:pos="2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existing indebtedness and other obligations of NFI and its subsidiaries and their anticipated borrowing needs, (ii) the ability of NFI and its subsidiaries to take on additional indebtedness on commercially reasonable terms and (iii) any necessary or appropriate reserves.</w:t>
      </w:r>
    </w:p>
    <w:p>
      <w:pPr>
        <w:spacing w:after="0" w:line="82" w:lineRule="exact"/>
        <w:rPr>
          <w:sz w:val="20"/>
          <w:szCs w:val="20"/>
          <w:color w:val="auto"/>
        </w:rPr>
      </w:pPr>
    </w:p>
    <w:p>
      <w:pPr>
        <w:ind w:right="40" w:firstLine="357"/>
        <w:spacing w:after="0" w:line="289" w:lineRule="auto"/>
        <w:rPr>
          <w:sz w:val="20"/>
          <w:szCs w:val="20"/>
          <w:color w:val="auto"/>
        </w:rPr>
      </w:pPr>
      <w:r>
        <w:rPr>
          <w:rFonts w:ascii="Arial" w:cs="Arial" w:eastAsia="Arial" w:hAnsi="Arial"/>
          <w:sz w:val="16"/>
          <w:szCs w:val="16"/>
          <w:color w:val="auto"/>
        </w:rPr>
        <w:t>The amount of such additional tax distributions will be determined based on certain assumptions, including assumed income tax rates, and will be calculated after taking into account other distributions (including other tax distributions) made by NFI. Additional tax distributions may significantly exceed the actual tax liability for many of the holders of NFI LLC Units, including NFE. If NFE retains the excess cash it receives from such distributions, the holders of NFI LLC Units would benefit from any value attributable to such accumulated cash balances as a result of their exercise of the Redemption Right. However, we intend to take steps to eliminate any material excess cash balances, which could include, but is not necessarily limited to, a distribution of the excess cash to holders of our Class A shares or the reinvestment of such cash in NFI for additional NFI LLC Units.</w:t>
      </w:r>
    </w:p>
    <w:p>
      <w:pPr>
        <w:spacing w:after="0" w:line="59"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In addition, the tax distributions that NFI may be required to make may be substantial. In addition, the amount of any additional tax distributions NFI is required to make likely will exceed the tax liabilities that would be owed by a corporate taxpayer similarly situated to NFI. Funds used by NFI to satisfy its obligation to make tax distributions will not be available for reinvestment in our business, except to the extent NFE or certain other holders of NFI LLC Units use any excess cash received to reinvest in NFI for additional NFI LLC Units. In addition, because cash available for additional tax distributions will be determined taking into account the ability of NFI and its subsidiaries to take on additional borrowing, NFI may be required to increase its indebtedness in order to fund additional tax distributions. Such additional borrowing may adversely affect our financial condition and business operations by, without limitation, limiting our ability to borrow in the future for other purposes, such as capital expenditures, and increasing our interest expense and leverage ratios.</w:t>
      </w:r>
    </w:p>
    <w:p>
      <w:pPr>
        <w:spacing w:after="0" w:line="21" w:lineRule="exact"/>
        <w:rPr>
          <w:sz w:val="20"/>
          <w:szCs w:val="20"/>
          <w:color w:val="auto"/>
        </w:rPr>
      </w:pPr>
    </w:p>
    <w:p>
      <w:pPr>
        <w:ind w:left="360" w:right="660"/>
        <w:spacing w:after="0" w:line="259" w:lineRule="auto"/>
        <w:rPr>
          <w:sz w:val="20"/>
          <w:szCs w:val="20"/>
          <w:color w:val="auto"/>
        </w:rPr>
      </w:pPr>
      <w:r>
        <w:rPr>
          <w:rFonts w:ascii="Arial" w:cs="Arial" w:eastAsia="Arial" w:hAnsi="Arial"/>
          <w:sz w:val="18"/>
          <w:szCs w:val="18"/>
          <w:b w:val="1"/>
          <w:bCs w:val="1"/>
          <w:i w:val="1"/>
          <w:iCs w:val="1"/>
          <w:color w:val="auto"/>
        </w:rPr>
        <w:t>If NFI were to become a publicly traded partnership taxable as a corporation for U.S. federal income tax purposes, significant tax inefficiencies might result.</w:t>
      </w:r>
    </w:p>
    <w:p>
      <w:pPr>
        <w:spacing w:after="0" w:line="63"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We intend to operate such that NFI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NFI LLC Units pursuant to the Redemption Right (or our Call Right) or other transfers of NFI LLC Units could cause NFI to be treated as a publicly traded partnership. Applicable U.S. Treasury regulations provide for certain safe harbors from treatment as a publicly traded partnership, and we intend to operate such that redemptions or other transfers of NFI LLC Units qualify for one or more such safe harbors. For example, we intend to limit the number of unitholders of NFI, and the NFI LLC Agreement, which will be entered into in connection with the closing of this offering, will provide for limitations on the ability of unitholders of NFI to transfer their NFI LLC Units and will provide us, as managing member of NFI, with the right to impose restrictions (in addition to those already in place) on the ability of unitholders of NFI to redeem their NFI LLC Units pursuant to the Redemption Right to the extent we believe it is necessary to ensure that NFI will continue to be treated as a partnership for U.S. federal income tax purposes.</w:t>
      </w:r>
    </w:p>
    <w:p>
      <w:pPr>
        <w:spacing w:after="0" w:line="65" w:lineRule="exact"/>
        <w:rPr>
          <w:sz w:val="20"/>
          <w:szCs w:val="20"/>
          <w:color w:val="auto"/>
        </w:rPr>
      </w:pPr>
    </w:p>
    <w:p>
      <w:pPr>
        <w:ind w:right="80" w:firstLine="357"/>
        <w:spacing w:after="0" w:line="274" w:lineRule="auto"/>
        <w:rPr>
          <w:sz w:val="20"/>
          <w:szCs w:val="20"/>
          <w:color w:val="auto"/>
        </w:rPr>
      </w:pPr>
      <w:r>
        <w:rPr>
          <w:rFonts w:ascii="Arial" w:cs="Arial" w:eastAsia="Arial" w:hAnsi="Arial"/>
          <w:sz w:val="18"/>
          <w:szCs w:val="18"/>
          <w:color w:val="auto"/>
        </w:rPr>
        <w:t>If NFI were to become a publicly traded partnership, significant tax inefficiencies might result for us and for NFI, including as a result of our inability to file a consolidated U.S. federal income tax return with NFI.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19" w:lineRule="exact"/>
        <w:rPr>
          <w:sz w:val="20"/>
          <w:szCs w:val="20"/>
          <w:color w:val="auto"/>
        </w:rPr>
      </w:pPr>
    </w:p>
    <w:p>
      <w:pPr>
        <w:jc w:val="both"/>
        <w:ind w:right="60" w:firstLine="357"/>
        <w:spacing w:after="0" w:line="284" w:lineRule="auto"/>
        <w:rPr>
          <w:sz w:val="20"/>
          <w:szCs w:val="20"/>
          <w:color w:val="auto"/>
        </w:rPr>
      </w:pPr>
      <w:r>
        <w:rPr>
          <w:rFonts w:ascii="Arial" w:cs="Arial" w:eastAsia="Arial" w:hAnsi="Arial"/>
          <w:sz w:val="17"/>
          <w:szCs w:val="17"/>
          <w:color w:val="auto"/>
        </w:rPr>
        <w:t>We expect the estimated net proceeds from this offering to be approximately $257.6 million, after deducting offering expenses and underwriting discounts and commissions. If the underwriters exercise their option to purchase additional Class A shares in full, we expect the estimated net proceeds to be approximately $297.2 million. See “Underwriting.”</w:t>
      </w:r>
    </w:p>
    <w:p>
      <w:pPr>
        <w:spacing w:after="0" w:line="57"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color w:val="auto"/>
        </w:rPr>
        <w:t>We will contribute the net proceeds of this offering to NFI in exchange for NFI’s issuance to us of NFI LLC Units. NFI intends to use the net proceeds from this offering in the following manner: approximately (i) $20 million to complete the construction of the Old Harbour Terminal, (ii) $100 million to partially fund the construction of the CHP Plant, (iii) $30 million to partially fund the construction of the La Paz Terminal, (iv) $100 million to complete the construction of the San Juan Facility and (v) the remainder for general company purposes, including potential development of additional liquefiers and downstream facilities in the future. We will need an additional approximately (i) $30 million to complete the construction of the CHP Plant and (ii) $80 million to complete the construction of the La Paz Terminal. We intend to use a combination of cash on hand and additional borrowings under our Term Loan Facility to complete the construction of the CHP Plant and the La Paz Terminal. If the underwriters exercise their option to purchase additional Class A shares in full, the additional net proceeds will be approximately $39.6 million. The net proceeds from any exercise of such option will be contributed to NFI in exchange for NFI’s issuance to us of NFI LLC Units. After the application of the net proceeds from this offering, we will own a 12.0% membership interest in NFI (or a 13.5% membership interest if the underwriters’ option to purchase additional Class A shares is exercised in full). Please read “Security Ownership of Certain Beneficial Owners and Management.” For a description of our Terminals and Liquefaction Facilities, see “Business.”</w:t>
      </w:r>
    </w:p>
    <w:p>
      <w:pPr>
        <w:spacing w:after="0" w:line="6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Pending any use, the net proceeds of this offering may be invested in short-term, interest-bearing investment-grade securities.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CAPITALIZATION</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our capitalization as of September 30, 2018:</w:t>
      </w:r>
    </w:p>
    <w:p>
      <w:pPr>
        <w:spacing w:after="0" w:line="115" w:lineRule="exact"/>
        <w:rPr>
          <w:sz w:val="20"/>
          <w:szCs w:val="20"/>
          <w:color w:val="auto"/>
        </w:rPr>
      </w:pPr>
    </w:p>
    <w:p>
      <w:pPr>
        <w:ind w:left="700" w:hanging="34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4" w:lineRule="exact"/>
        <w:rPr>
          <w:rFonts w:ascii="Arial" w:cs="Arial" w:eastAsia="Arial" w:hAnsi="Arial"/>
          <w:sz w:val="18"/>
          <w:szCs w:val="18"/>
          <w:color w:val="auto"/>
        </w:rPr>
      </w:pPr>
    </w:p>
    <w:p>
      <w:pPr>
        <w:ind w:left="700" w:hanging="346"/>
        <w:spacing w:after="0" w:line="309"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an as adjusted basis to give effect to (i) the Transactions and (ii) the sale by us of Class A shares at the initial public offering price of $14.00 per Class A share, after deducting underwriting discounts and commissions and estimated offering expenses, and the application of the proceeds from this offering, each as described under “Use of Proceeds.”</w:t>
      </w:r>
    </w:p>
    <w:p>
      <w:pPr>
        <w:spacing w:after="0" w:line="41" w:lineRule="exact"/>
        <w:rPr>
          <w:sz w:val="20"/>
          <w:szCs w:val="20"/>
          <w:color w:val="auto"/>
        </w:rPr>
      </w:pPr>
    </w:p>
    <w:p>
      <w:pPr>
        <w:ind w:right="620" w:firstLine="357"/>
        <w:spacing w:after="0" w:line="261" w:lineRule="auto"/>
        <w:rPr>
          <w:sz w:val="20"/>
          <w:szCs w:val="20"/>
          <w:color w:val="auto"/>
        </w:rPr>
      </w:pPr>
      <w:r>
        <w:rPr>
          <w:rFonts w:ascii="Arial" w:cs="Arial" w:eastAsia="Arial" w:hAnsi="Arial"/>
          <w:sz w:val="18"/>
          <w:szCs w:val="18"/>
          <w:color w:val="auto"/>
        </w:rPr>
        <w:t>You should read this table in conjunction with “Summary—Formation Transactions and Structure,” “Use of Proceeds,” “Management’s Discussion and Analysis of Financial Condition and Results of Operations” and our consolidated financial statements and related notes contained elsewhere in this prospectus.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As of September 30, 2018</w:t>
            </w:r>
          </w:p>
        </w:tc>
        <w:tc>
          <w:tcPr>
            <w:tcW w:w="10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w:t>
            </w:r>
          </w:p>
        </w:tc>
      </w:tr>
      <w:tr>
        <w:trPr>
          <w:trHeight w:val="170"/>
        </w:trPr>
        <w:tc>
          <w:tcPr>
            <w:tcW w:w="1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4"/>
                <w:szCs w:val="14"/>
                <w:color w:val="auto"/>
              </w:rPr>
            </w:pPr>
          </w:p>
        </w:tc>
      </w:tr>
      <w:tr>
        <w:trPr>
          <w:trHeight w:val="195"/>
        </w:trPr>
        <w:tc>
          <w:tcPr>
            <w:tcW w:w="14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r>
      <w:tr>
        <w:trPr>
          <w:trHeight w:val="248"/>
        </w:trPr>
        <w:tc>
          <w:tcPr>
            <w:tcW w:w="6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51,903</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309,503</w:t>
            </w:r>
          </w:p>
        </w:tc>
      </w:tr>
      <w:tr>
        <w:trPr>
          <w:trHeight w:val="27"/>
        </w:trPr>
        <w:tc>
          <w:tcPr>
            <w:tcW w:w="1420" w:type="dxa"/>
            <w:vAlign w:val="bottom"/>
            <w:tcBorders>
              <w:top w:val="single" w:sz="8" w:color="CCEEFF"/>
            </w:tcBorders>
            <w:shd w:val="clear" w:color="auto" w:fill="CCEEFF"/>
          </w:tcPr>
          <w:p>
            <w:pPr>
              <w:spacing w:after="0"/>
              <w:rPr>
                <w:sz w:val="2"/>
                <w:szCs w:val="2"/>
                <w:color w:val="auto"/>
              </w:rPr>
            </w:pPr>
          </w:p>
        </w:tc>
        <w:tc>
          <w:tcPr>
            <w:tcW w:w="552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41"/>
        </w:trPr>
        <w:tc>
          <w:tcPr>
            <w:tcW w:w="6940" w:type="dxa"/>
            <w:vAlign w:val="bottom"/>
            <w:gridSpan w:val="2"/>
          </w:tcPr>
          <w:p>
            <w:pPr>
              <w:spacing w:after="0" w:line="241" w:lineRule="exact"/>
              <w:rPr>
                <w:sz w:val="20"/>
                <w:szCs w:val="20"/>
                <w:color w:val="auto"/>
              </w:rPr>
            </w:pPr>
            <w:r>
              <w:rPr>
                <w:rFonts w:ascii="Arial" w:cs="Arial" w:eastAsia="Arial" w:hAnsi="Arial"/>
                <w:sz w:val="17"/>
                <w:szCs w:val="17"/>
                <w:color w:val="auto"/>
              </w:rPr>
              <w:t>Total debt</w:t>
            </w:r>
            <w:r>
              <w:rPr>
                <w:rFonts w:ascii="Arial" w:cs="Arial" w:eastAsia="Arial" w:hAnsi="Arial"/>
                <w:sz w:val="27"/>
                <w:szCs w:val="27"/>
                <w:color w:val="auto"/>
                <w:vertAlign w:val="superscript"/>
              </w:rPr>
              <w:t>(1)</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121,970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121,970</w:t>
            </w:r>
          </w:p>
        </w:tc>
      </w:tr>
      <w:tr>
        <w:trPr>
          <w:trHeight w:val="241"/>
        </w:trPr>
        <w:tc>
          <w:tcPr>
            <w:tcW w:w="6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Members’ equity/Shareholders’ equity</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426,741</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(123,694)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(14,808)</w:t>
            </w:r>
          </w:p>
        </w:tc>
      </w:tr>
      <w:tr>
        <w:trPr>
          <w:trHeight w:val="235"/>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3,109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248"/>
        </w:trPr>
        <w:tc>
          <w:tcPr>
            <w:tcW w:w="6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Class A shareholders – Public</w:t>
            </w:r>
          </w:p>
        </w:tc>
        <w:tc>
          <w:tcPr>
            <w:tcW w:w="2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81,920</w:t>
            </w:r>
          </w:p>
        </w:tc>
      </w:tr>
      <w:tr>
        <w:trPr>
          <w:trHeight w:val="228"/>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Class B shareholders – New Fortress Energy Holdings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420" w:type="dxa"/>
            <w:vAlign w:val="bottom"/>
          </w:tcPr>
          <w:p>
            <w:pPr>
              <w:spacing w:after="0"/>
              <w:rPr>
                <w:sz w:val="2"/>
                <w:szCs w:val="2"/>
                <w:color w:val="auto"/>
              </w:rPr>
            </w:pPr>
          </w:p>
        </w:tc>
        <w:tc>
          <w:tcPr>
            <w:tcW w:w="552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69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members’ equity/shareholders’ equity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306,156</w:t>
            </w: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67,484</w:t>
            </w:r>
          </w:p>
        </w:tc>
      </w:tr>
      <w:tr>
        <w:trPr>
          <w:trHeight w:val="27"/>
        </w:trPr>
        <w:tc>
          <w:tcPr>
            <w:tcW w:w="1420" w:type="dxa"/>
            <w:vAlign w:val="bottom"/>
            <w:shd w:val="clear" w:color="auto" w:fill="CCEEFF"/>
          </w:tcPr>
          <w:p>
            <w:pPr>
              <w:spacing w:after="0"/>
              <w:rPr>
                <w:sz w:val="2"/>
                <w:szCs w:val="2"/>
                <w:color w:val="auto"/>
              </w:rPr>
            </w:pPr>
          </w:p>
        </w:tc>
        <w:tc>
          <w:tcPr>
            <w:tcW w:w="552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8"/>
        </w:trPr>
        <w:tc>
          <w:tcPr>
            <w:tcW w:w="694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496,201</w:t>
            </w:r>
          </w:p>
        </w:tc>
      </w:tr>
      <w:tr>
        <w:trPr>
          <w:trHeight w:val="27"/>
        </w:trPr>
        <w:tc>
          <w:tcPr>
            <w:tcW w:w="1420" w:type="dxa"/>
            <w:vAlign w:val="bottom"/>
          </w:tcPr>
          <w:p>
            <w:pPr>
              <w:spacing w:after="0"/>
              <w:rPr>
                <w:sz w:val="2"/>
                <w:szCs w:val="2"/>
                <w:color w:val="auto"/>
              </w:rPr>
            </w:pPr>
          </w:p>
        </w:tc>
        <w:tc>
          <w:tcPr>
            <w:tcW w:w="552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6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428,054</w:t>
            </w:r>
          </w:p>
        </w:tc>
        <w:tc>
          <w:tcPr>
            <w:tcW w:w="18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685,655</w:t>
            </w:r>
          </w:p>
        </w:tc>
      </w:tr>
      <w:tr>
        <w:trPr>
          <w:trHeight w:val="201"/>
        </w:trPr>
        <w:tc>
          <w:tcPr>
            <w:tcW w:w="1420" w:type="dxa"/>
            <w:vAlign w:val="bottom"/>
            <w:tcBorders>
              <w:top w:val="single" w:sz="8" w:color="CCEEFF"/>
              <w:bottom w:val="single" w:sz="8" w:color="auto"/>
            </w:tcBorders>
          </w:tcPr>
          <w:p>
            <w:pPr>
              <w:spacing w:after="0"/>
              <w:rPr>
                <w:sz w:val="17"/>
                <w:szCs w:val="17"/>
                <w:color w:val="auto"/>
              </w:rPr>
            </w:pPr>
          </w:p>
        </w:tc>
        <w:tc>
          <w:tcPr>
            <w:tcW w:w="55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bl>
    <w:p>
      <w:pPr>
        <w:spacing w:after="0" w:line="209" w:lineRule="exact"/>
        <w:rPr>
          <w:sz w:val="20"/>
          <w:szCs w:val="20"/>
          <w:color w:val="auto"/>
        </w:rPr>
      </w:pPr>
    </w:p>
    <w:p>
      <w:pPr>
        <w:ind w:left="360" w:right="80" w:hanging="355"/>
        <w:spacing w:after="0" w:line="265"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Amounts presented are net of unamortized debt issuance costs as of September 30, 2018. We had total debt of approximately $280 million (excluding debt issuance costs) after giving effect to the recent amendment to our Term Loan Facility as described under “Management’s Discussion and Analysis of Financial Condition and Results of Operations—Liquidity and Capital Resources—Long-Term Debt—Term Loan Facility.” The recent amendment to our Term Loan Facility to, among other things, increase the amount available for borrowing thereunder from $240 million to $500 million has not been reflected above. We expect to draw the remaining $220 million under our Term Loan Facility contemporaneously with the completion of this offering. As of September 30, 2018, on a pro forma basis after giving effect to this offering and the total $500 million of borrowing under the Term Loan Facility amended on December 31, 2018, we would have had $679.5 million in cash and cash equivalents and $500 million of total indebtedness outstanding. The pro forma total indebtedness outstanding as of September 30, 2018 does not include deferred financing costs.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19" w:lineRule="exact"/>
        <w:rPr>
          <w:sz w:val="20"/>
          <w:szCs w:val="20"/>
          <w:color w:val="auto"/>
        </w:rPr>
      </w:pPr>
    </w:p>
    <w:p>
      <w:pPr>
        <w:ind w:right="80" w:firstLine="357"/>
        <w:spacing w:after="0" w:line="273" w:lineRule="auto"/>
        <w:rPr>
          <w:sz w:val="20"/>
          <w:szCs w:val="20"/>
          <w:color w:val="auto"/>
        </w:rPr>
      </w:pPr>
      <w:r>
        <w:rPr>
          <w:rFonts w:ascii="Arial" w:cs="Arial" w:eastAsia="Arial" w:hAnsi="Arial"/>
          <w:sz w:val="17"/>
          <w:szCs w:val="17"/>
          <w:color w:val="auto"/>
        </w:rPr>
        <w:t>Dilution is the amount by which the offering price per Class A share in this offering will exceed the pro forma net tangible book value per share after the offering. On a pro forma basis as of September 30, 2018, after giving effect to the offering of Class A shares and the Transactions, our net tangible book value was approximately $564 million, or $3.37 per Class A share. Purchasers of Class A shares in this offering will experience substantial and immediate dilution in pro forma net tangible book value per Class A share for financial accounting purposes, as illustrated in the following table.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public offering price per Class A share</w:t>
            </w:r>
          </w:p>
        </w:tc>
        <w:tc>
          <w:tcPr>
            <w:tcW w:w="5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41"/>
        </w:trPr>
        <w:tc>
          <w:tcPr>
            <w:tcW w:w="6920" w:type="dxa"/>
            <w:vAlign w:val="bottom"/>
            <w:gridSpan w:val="2"/>
          </w:tcPr>
          <w:p>
            <w:pPr>
              <w:spacing w:after="0" w:line="241" w:lineRule="exact"/>
              <w:rPr>
                <w:sz w:val="20"/>
                <w:szCs w:val="20"/>
                <w:color w:val="auto"/>
              </w:rPr>
            </w:pPr>
            <w:r>
              <w:rPr>
                <w:rFonts w:ascii="Arial" w:cs="Arial" w:eastAsia="Arial" w:hAnsi="Arial"/>
                <w:sz w:val="17"/>
                <w:szCs w:val="17"/>
                <w:color w:val="auto"/>
              </w:rPr>
              <w:t>Pro forma net tangible book value per Class A share before the offering</w:t>
            </w:r>
            <w:r>
              <w:rPr>
                <w:rFonts w:ascii="Arial" w:cs="Arial" w:eastAsia="Arial" w:hAnsi="Arial"/>
                <w:sz w:val="27"/>
                <w:szCs w:val="27"/>
                <w:color w:val="auto"/>
                <w:vertAlign w:val="superscript"/>
              </w:rPr>
              <w:t>(1)</w:t>
            </w: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purchasers in the offering</w:t>
            </w:r>
          </w:p>
        </w:tc>
        <w:tc>
          <w:tcPr>
            <w:tcW w:w="5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920" w:type="dxa"/>
            <w:vAlign w:val="bottom"/>
            <w:tcBorders>
              <w:top w:val="single" w:sz="8" w:color="CCEEFF"/>
            </w:tcBorders>
            <w:gridSpan w:val="2"/>
          </w:tcPr>
          <w:p>
            <w:pPr>
              <w:spacing w:after="0" w:line="228" w:lineRule="exact"/>
              <w:rPr>
                <w:sz w:val="20"/>
                <w:szCs w:val="20"/>
                <w:color w:val="auto"/>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Pro forma net tangible book value per share after the offering</w:t>
            </w:r>
            <w:r>
              <w:rPr>
                <w:rFonts w:ascii="Arial" w:cs="Arial" w:eastAsia="Arial" w:hAnsi="Arial"/>
                <w:sz w:val="26"/>
                <w:szCs w:val="26"/>
                <w:color w:val="auto"/>
                <w:vertAlign w:val="superscript"/>
              </w:rPr>
              <w:t>(2)</w:t>
            </w:r>
          </w:p>
        </w:tc>
        <w:tc>
          <w:tcPr>
            <w:tcW w:w="5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92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Immediate dilution in net tangible book value per Class A share to purchasers in the</w:t>
            </w:r>
          </w:p>
        </w:tc>
        <w:tc>
          <w:tcPr>
            <w:tcW w:w="5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2"/>
        </w:trPr>
        <w:tc>
          <w:tcPr>
            <w:tcW w:w="692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6"/>
                <w:szCs w:val="16"/>
                <w:color w:val="auto"/>
              </w:rPr>
              <w:t>offering</w:t>
            </w:r>
            <w:r>
              <w:rPr>
                <w:rFonts w:ascii="Arial" w:cs="Arial" w:eastAsia="Arial" w:hAnsi="Arial"/>
                <w:sz w:val="26"/>
                <w:szCs w:val="26"/>
                <w:color w:val="auto"/>
                <w:vertAlign w:val="superscript"/>
              </w:rPr>
              <w:t>(3)</w:t>
            </w:r>
          </w:p>
        </w:tc>
        <w:tc>
          <w:tcPr>
            <w:tcW w:w="500" w:type="dxa"/>
            <w:vAlign w:val="bottom"/>
            <w:shd w:val="clear" w:color="auto" w:fill="CCEEFF"/>
          </w:tcPr>
          <w:p>
            <w:pPr>
              <w:spacing w:after="0"/>
              <w:rPr>
                <w:sz w:val="23"/>
                <w:szCs w:val="23"/>
                <w:color w:val="auto"/>
              </w:rPr>
            </w:pPr>
          </w:p>
        </w:tc>
        <w:tc>
          <w:tcPr>
            <w:tcW w:w="840" w:type="dxa"/>
            <w:vAlign w:val="bottom"/>
            <w:gridSpan w:val="2"/>
            <w:vMerge w:val="continue"/>
            <w:shd w:val="clear" w:color="auto" w:fill="CCEEFF"/>
          </w:tcPr>
          <w:p>
            <w:pPr>
              <w:spacing w:after="0"/>
              <w:rPr>
                <w:sz w:val="23"/>
                <w:szCs w:val="23"/>
                <w:color w:val="auto"/>
              </w:rPr>
            </w:pPr>
          </w:p>
        </w:tc>
        <w:tc>
          <w:tcPr>
            <w:tcW w:w="440" w:type="dxa"/>
            <w:vAlign w:val="bottom"/>
            <w:vMerge w:val="continue"/>
            <w:shd w:val="clear" w:color="auto" w:fill="CCEEFF"/>
          </w:tcPr>
          <w:p>
            <w:pPr>
              <w:spacing w:after="0"/>
              <w:rPr>
                <w:sz w:val="23"/>
                <w:szCs w:val="23"/>
                <w:color w:val="auto"/>
              </w:rPr>
            </w:pPr>
          </w:p>
        </w:tc>
        <w:tc>
          <w:tcPr>
            <w:tcW w:w="80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1420" w:type="dxa"/>
            <w:vAlign w:val="bottom"/>
            <w:tcBorders>
              <w:top w:val="single" w:sz="8" w:color="CCEEFF"/>
              <w:bottom w:val="single" w:sz="8" w:color="auto"/>
            </w:tcBorders>
          </w:tcPr>
          <w:p>
            <w:pPr>
              <w:spacing w:after="0"/>
              <w:rPr>
                <w:sz w:val="17"/>
                <w:szCs w:val="17"/>
                <w:color w:val="auto"/>
              </w:rPr>
            </w:pPr>
          </w:p>
        </w:tc>
        <w:tc>
          <w:tcPr>
            <w:tcW w:w="55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360" w:right="300" w:hanging="355"/>
        <w:spacing w:after="0" w:line="270" w:lineRule="auto"/>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Determined by dividing the number of Class B shares (147,058,824 Class B shares) to be issued to New Fortress Energy Holdings for their contribution of assets and liabilities to us into the pro forma net tangible book value of the contributed assets and liabilities.</w:t>
      </w:r>
    </w:p>
    <w:p>
      <w:pPr>
        <w:spacing w:after="0" w:line="67" w:lineRule="exact"/>
        <w:rPr>
          <w:rFonts w:ascii="Arial" w:cs="Arial" w:eastAsia="Arial" w:hAnsi="Arial"/>
          <w:sz w:val="14"/>
          <w:szCs w:val="14"/>
          <w:color w:val="auto"/>
        </w:rPr>
      </w:pPr>
    </w:p>
    <w:p>
      <w:pPr>
        <w:ind w:left="360" w:right="340" w:hanging="355"/>
        <w:spacing w:after="0" w:line="309" w:lineRule="auto"/>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Determined by dividing the number of shares to be outstanding after this offering (20,000,000 Class A shares and 147,058,824 Class B shares) and the application of the related net proceeds into our pro forma net tangible book value, after giving effect to the application of the net proceeds of this offering.</w:t>
      </w:r>
    </w:p>
    <w:p>
      <w:pPr>
        <w:spacing w:after="0" w:line="44" w:lineRule="exact"/>
        <w:rPr>
          <w:rFonts w:ascii="Arial" w:cs="Arial" w:eastAsia="Arial" w:hAnsi="Arial"/>
          <w:sz w:val="13"/>
          <w:szCs w:val="13"/>
          <w:color w:val="auto"/>
        </w:rPr>
      </w:pPr>
    </w:p>
    <w:p>
      <w:pPr>
        <w:ind w:left="360" w:right="260" w:hanging="355"/>
        <w:spacing w:after="0" w:line="309" w:lineRule="auto"/>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Assumes the underwriters’ option to purchase additional Class A shares from us is not exercised. If the underwriters’ option to purchase additional Class A shares from us is exercised in full, the immediate dilution in net tangible book value per Class A share to purchasers in this offering would be $10.45.</w:t>
      </w:r>
    </w:p>
    <w:p>
      <w:pPr>
        <w:spacing w:after="0" w:line="35" w:lineRule="exact"/>
        <w:rPr>
          <w:sz w:val="20"/>
          <w:szCs w:val="20"/>
          <w:color w:val="auto"/>
        </w:rPr>
      </w:pPr>
    </w:p>
    <w:p>
      <w:pPr>
        <w:ind w:right="760" w:firstLine="357"/>
        <w:spacing w:after="0" w:line="309" w:lineRule="auto"/>
        <w:rPr>
          <w:sz w:val="20"/>
          <w:szCs w:val="20"/>
          <w:color w:val="auto"/>
        </w:rPr>
      </w:pPr>
      <w:r>
        <w:rPr>
          <w:rFonts w:ascii="Arial" w:cs="Arial" w:eastAsia="Arial" w:hAnsi="Arial"/>
          <w:sz w:val="16"/>
          <w:szCs w:val="16"/>
          <w:color w:val="auto"/>
        </w:rPr>
        <w:t>The following table sets forth the number of Class A and Class B shares that we will issue and the total consideration contributed to us by New Fortress Energy Holdings and by the purchasers of Class A shares calculated before deducting underwriting discounts and commissions and estimated offering expenses payable by us: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gridSpan w:val="2"/>
          </w:tcPr>
          <w:p>
            <w:pPr>
              <w:jc w:val="center"/>
              <w:ind w:left="460"/>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Average Price</w:t>
            </w:r>
          </w:p>
        </w:tc>
      </w:tr>
      <w:tr>
        <w:trPr>
          <w:trHeight w:val="170"/>
        </w:trPr>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gridSpan w:val="2"/>
          </w:tcPr>
          <w:p>
            <w:pPr>
              <w:jc w:val="center"/>
              <w:ind w:left="460"/>
              <w:spacing w:after="0"/>
              <w:rPr>
                <w:sz w:val="20"/>
                <w:szCs w:val="20"/>
                <w:color w:val="auto"/>
              </w:rPr>
            </w:pPr>
            <w:r>
              <w:rPr>
                <w:rFonts w:ascii="Arial" w:cs="Arial" w:eastAsia="Arial" w:hAnsi="Arial"/>
                <w:sz w:val="14"/>
                <w:szCs w:val="14"/>
                <w:b w:val="1"/>
                <w:bCs w:val="1"/>
                <w:color w:val="auto"/>
                <w:w w:val="92"/>
              </w:rPr>
              <w:t>Acquired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Consideration</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 Share</w:t>
            </w:r>
          </w:p>
        </w:tc>
      </w:tr>
      <w:tr>
        <w:trPr>
          <w:trHeight w:val="188"/>
        </w:trPr>
        <w:tc>
          <w:tcPr>
            <w:tcW w:w="1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1"/>
        </w:trPr>
        <w:tc>
          <w:tcPr>
            <w:tcW w:w="4160" w:type="dxa"/>
            <w:vAlign w:val="bottom"/>
            <w:tcBorders>
              <w:right w:val="single" w:sz="8" w:color="CCEEFF"/>
            </w:tcBorders>
            <w:gridSpan w:val="2"/>
            <w:shd w:val="clear" w:color="auto" w:fill="CCEEFF"/>
          </w:tcPr>
          <w:p>
            <w:pPr>
              <w:spacing w:after="0" w:line="241" w:lineRule="exact"/>
              <w:rPr>
                <w:sz w:val="20"/>
                <w:szCs w:val="20"/>
                <w:color w:val="auto"/>
              </w:rPr>
            </w:pPr>
            <w:r>
              <w:rPr>
                <w:rFonts w:ascii="Arial" w:cs="Arial" w:eastAsia="Arial" w:hAnsi="Arial"/>
                <w:sz w:val="17"/>
                <w:szCs w:val="17"/>
                <w:color w:val="auto"/>
              </w:rPr>
              <w:t>New Fortress Energy Holdings</w:t>
            </w:r>
            <w:r>
              <w:rPr>
                <w:rFonts w:ascii="Arial" w:cs="Arial" w:eastAsia="Arial" w:hAnsi="Arial"/>
                <w:sz w:val="27"/>
                <w:szCs w:val="27"/>
                <w:color w:val="auto"/>
                <w:vertAlign w:val="superscript"/>
              </w:rPr>
              <w:t>(1)(2)(3)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147,058,824</w:t>
            </w:r>
          </w:p>
        </w:tc>
        <w:tc>
          <w:tcPr>
            <w:tcW w:w="180" w:type="dxa"/>
            <w:vAlign w:val="bottom"/>
            <w:tcBorders>
              <w:right w:val="single" w:sz="8" w:color="CCEEFF"/>
            </w:tcBorders>
            <w:shd w:val="clear" w:color="auto" w:fill="CCEEFF"/>
          </w:tcPr>
          <w:p>
            <w:pPr>
              <w:spacing w:after="0"/>
              <w:rPr>
                <w:sz w:val="20"/>
                <w:szCs w:val="20"/>
                <w:color w:val="auto"/>
              </w:rPr>
            </w:pPr>
          </w:p>
        </w:tc>
        <w:tc>
          <w:tcPr>
            <w:tcW w:w="7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426,741,000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r>
      <w:tr>
        <w:trPr>
          <w:trHeight w:val="228"/>
        </w:trPr>
        <w:tc>
          <w:tcPr>
            <w:tcW w:w="4160" w:type="dxa"/>
            <w:vAlign w:val="bottom"/>
            <w:gridSpan w:val="2"/>
          </w:tcPr>
          <w:p>
            <w:pPr>
              <w:spacing w:after="0" w:line="228" w:lineRule="exact"/>
              <w:rPr>
                <w:sz w:val="20"/>
                <w:szCs w:val="20"/>
                <w:color w:val="auto"/>
              </w:rPr>
            </w:pPr>
            <w:r>
              <w:rPr>
                <w:rFonts w:ascii="Arial" w:cs="Arial" w:eastAsia="Arial" w:hAnsi="Arial"/>
                <w:sz w:val="16"/>
                <w:szCs w:val="16"/>
                <w:color w:val="auto"/>
              </w:rPr>
              <w:t>Purchasers in this offering</w:t>
            </w:r>
            <w:r>
              <w:rPr>
                <w:rFonts w:ascii="Arial" w:cs="Arial" w:eastAsia="Arial" w:hAnsi="Arial"/>
                <w:sz w:val="26"/>
                <w:szCs w:val="26"/>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8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280,000,000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14.00</w:t>
            </w:r>
          </w:p>
        </w:tc>
      </w:tr>
      <w:tr>
        <w:trPr>
          <w:trHeight w:val="27"/>
        </w:trPr>
        <w:tc>
          <w:tcPr>
            <w:tcW w:w="1420" w:type="dxa"/>
            <w:vAlign w:val="bottom"/>
          </w:tcPr>
          <w:p>
            <w:pPr>
              <w:spacing w:after="0"/>
              <w:rPr>
                <w:sz w:val="2"/>
                <w:szCs w:val="2"/>
                <w:color w:val="auto"/>
              </w:rPr>
            </w:pPr>
          </w:p>
        </w:tc>
        <w:tc>
          <w:tcPr>
            <w:tcW w:w="2740" w:type="dxa"/>
            <w:vAlign w:val="bottom"/>
            <w:tcBorders>
              <w:right w:val="single" w:sz="8" w:color="auto"/>
            </w:tcBorders>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167,058,824</w:t>
            </w:r>
          </w:p>
        </w:tc>
        <w:tc>
          <w:tcPr>
            <w:tcW w:w="180" w:type="dxa"/>
            <w:vAlign w:val="bottom"/>
            <w:tcBorders>
              <w:right w:val="single" w:sz="8" w:color="CCEEFF"/>
            </w:tcBorders>
            <w:shd w:val="clear" w:color="auto" w:fill="CCEEFF"/>
          </w:tcPr>
          <w:p>
            <w:pPr>
              <w:spacing w:after="0"/>
              <w:rPr>
                <w:sz w:val="23"/>
                <w:szCs w:val="23"/>
                <w:color w:val="auto"/>
              </w:rPr>
            </w:pPr>
          </w:p>
        </w:tc>
        <w:tc>
          <w:tcPr>
            <w:tcW w:w="7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706,741,000</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w:t>
            </w:r>
          </w:p>
        </w:tc>
      </w:tr>
      <w:tr>
        <w:trPr>
          <w:trHeight w:val="174"/>
        </w:trPr>
        <w:tc>
          <w:tcPr>
            <w:tcW w:w="1420" w:type="dxa"/>
            <w:vAlign w:val="bottom"/>
            <w:tcBorders>
              <w:top w:val="single" w:sz="8" w:color="CCEEFF"/>
              <w:bottom w:val="single" w:sz="8" w:color="auto"/>
            </w:tcBorders>
          </w:tcPr>
          <w:p>
            <w:pPr>
              <w:spacing w:after="0"/>
              <w:rPr>
                <w:sz w:val="15"/>
                <w:szCs w:val="15"/>
                <w:color w:val="auto"/>
              </w:rPr>
            </w:pPr>
          </w:p>
        </w:tc>
        <w:tc>
          <w:tcPr>
            <w:tcW w:w="27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2" w:lineRule="exact"/>
        <w:rPr>
          <w:sz w:val="20"/>
          <w:szCs w:val="20"/>
          <w:color w:val="auto"/>
        </w:rPr>
      </w:pPr>
    </w:p>
    <w:p>
      <w:pPr>
        <w:ind w:left="360" w:hanging="355"/>
        <w:spacing w:after="0"/>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Upon the consummation of the Transactions contemplated by this prospectus, New Fortress Energy Holdings will own 147,058,824 Class B shares.</w:t>
      </w:r>
    </w:p>
    <w:p>
      <w:pPr>
        <w:spacing w:after="0" w:line="107" w:lineRule="exact"/>
        <w:rPr>
          <w:rFonts w:ascii="Arial" w:cs="Arial" w:eastAsia="Arial" w:hAnsi="Arial"/>
          <w:sz w:val="14"/>
          <w:szCs w:val="14"/>
          <w:color w:val="auto"/>
        </w:rPr>
      </w:pPr>
    </w:p>
    <w:p>
      <w:pPr>
        <w:ind w:left="360" w:hanging="355"/>
        <w:spacing w:after="0"/>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Assumes the underwriters’ option to purchase additional Class A shares from us is not exercised.</w:t>
      </w:r>
    </w:p>
    <w:p>
      <w:pPr>
        <w:spacing w:after="0" w:line="107" w:lineRule="exact"/>
        <w:rPr>
          <w:rFonts w:ascii="Arial" w:cs="Arial" w:eastAsia="Arial" w:hAnsi="Arial"/>
          <w:sz w:val="14"/>
          <w:szCs w:val="14"/>
          <w:color w:val="auto"/>
        </w:rPr>
      </w:pPr>
    </w:p>
    <w:p>
      <w:pPr>
        <w:ind w:left="360" w:right="100" w:hanging="355"/>
        <w:spacing w:after="0" w:line="255" w:lineRule="auto"/>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assets contributed by New Fortress Energy Holdings were recorded at historical cost in accordance with GAAP. Book value of the consideration provided by New Fortress Energy Holdings and its affiliates, as of September 30, 2018, after giving effect to the application of the net proceeds of the offering, is approximately $564 million.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119" w:lineRule="exact"/>
        <w:rPr>
          <w:sz w:val="20"/>
          <w:szCs w:val="20"/>
          <w:color w:val="auto"/>
        </w:rPr>
      </w:pPr>
    </w:p>
    <w:p>
      <w:pPr>
        <w:ind w:right="60" w:firstLine="357"/>
        <w:spacing w:after="0" w:line="294" w:lineRule="auto"/>
        <w:rPr>
          <w:sz w:val="20"/>
          <w:szCs w:val="20"/>
          <w:color w:val="auto"/>
        </w:rPr>
      </w:pPr>
      <w:r>
        <w:rPr>
          <w:rFonts w:ascii="Arial" w:cs="Arial" w:eastAsia="Arial" w:hAnsi="Arial"/>
          <w:sz w:val="16"/>
          <w:szCs w:val="16"/>
          <w:color w:val="auto"/>
        </w:rPr>
        <w:t>We do not anticipate declaring or paying any cash dividends to holders of our Class A shares in the foreseeable future. We currently intend to retain future earnings, if any, to finance the expansion of our business.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w:t>
      </w:r>
    </w:p>
    <w:p>
      <w:pPr>
        <w:spacing w:after="0" w:line="119" w:lineRule="exact"/>
        <w:rPr>
          <w:sz w:val="20"/>
          <w:szCs w:val="20"/>
          <w:color w:val="auto"/>
        </w:rPr>
      </w:pPr>
    </w:p>
    <w:p>
      <w:pPr>
        <w:jc w:val="both"/>
        <w:ind w:right="40" w:firstLine="357"/>
        <w:spacing w:after="0" w:line="261" w:lineRule="auto"/>
        <w:rPr>
          <w:sz w:val="20"/>
          <w:szCs w:val="20"/>
          <w:color w:val="auto"/>
        </w:rPr>
      </w:pPr>
      <w:r>
        <w:rPr>
          <w:rFonts w:ascii="Arial" w:cs="Arial" w:eastAsia="Arial" w:hAnsi="Arial"/>
          <w:sz w:val="18"/>
          <w:szCs w:val="18"/>
          <w:color w:val="auto"/>
        </w:rPr>
        <w:t>NFE was formed on August 6, 2018 and does not have historical financial results. NFE currently has no assets or liabilities and has conducted no operations. The following table shows selected historical financial information of New Fortress Energy Holdings, our predecessor, for the periods and as of the dates indicated.</w:t>
      </w:r>
    </w:p>
    <w:p>
      <w:pPr>
        <w:spacing w:after="0" w:line="76" w:lineRule="exact"/>
        <w:rPr>
          <w:sz w:val="20"/>
          <w:szCs w:val="20"/>
          <w:color w:val="auto"/>
        </w:rPr>
      </w:pPr>
    </w:p>
    <w:p>
      <w:pPr>
        <w:ind w:right="60" w:firstLine="357"/>
        <w:spacing w:after="0" w:line="253" w:lineRule="auto"/>
        <w:rPr>
          <w:sz w:val="20"/>
          <w:szCs w:val="20"/>
          <w:color w:val="auto"/>
        </w:rPr>
      </w:pPr>
      <w:r>
        <w:rPr>
          <w:rFonts w:ascii="Arial" w:cs="Arial" w:eastAsia="Arial" w:hAnsi="Arial"/>
          <w:sz w:val="18"/>
          <w:szCs w:val="18"/>
          <w:color w:val="auto"/>
        </w:rPr>
        <w:t>The selected historical financial data as of September 30, 2018 and for the nine months ended September 30, 2018 and 2017 was derived from the unaudited historical condensed consolidated financial statements of New Fortress Energy Holdings included elsewhere in this prospectus and which, in the opinion of management, contain all normal recurring adjustments necessary for a fair statement of the results for the unaudited interim periods and have been prepared on the same basis as the associated audited consolidated financial statements. The selected historical financial data as of and for the years ended December 31, 2017 and 2016 was derived from the audited historical consolidated financial statements of New Fortress Energy Holdings included elsewhere in this prospectus.</w:t>
      </w:r>
    </w:p>
    <w:p>
      <w:pPr>
        <w:spacing w:after="0" w:line="82" w:lineRule="exact"/>
        <w:rPr>
          <w:sz w:val="20"/>
          <w:szCs w:val="20"/>
          <w:color w:val="auto"/>
        </w:rPr>
      </w:pPr>
    </w:p>
    <w:p>
      <w:pPr>
        <w:jc w:val="both"/>
        <w:ind w:right="120" w:firstLine="357"/>
        <w:spacing w:after="0" w:line="309" w:lineRule="auto"/>
        <w:rPr>
          <w:sz w:val="20"/>
          <w:szCs w:val="20"/>
          <w:color w:val="auto"/>
        </w:rPr>
      </w:pPr>
      <w:r>
        <w:rPr>
          <w:rFonts w:ascii="Arial" w:cs="Arial" w:eastAsia="Arial" w:hAnsi="Arial"/>
          <w:sz w:val="16"/>
          <w:szCs w:val="16"/>
          <w:color w:val="auto"/>
        </w:rPr>
        <w:t>You should read the information set forth below together with “Use of Proceeds,” “Management’s Discussion and Analysis of Financial Condition and Results of Operations,” and our consolidated financial statements and related notes included elsewhere in this prospectus. The historical financial results are not necessarily indicative of results to be expected for any future periods.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22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w:t>
            </w: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22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r>
      <w:tr>
        <w:trPr>
          <w:trHeight w:val="181"/>
        </w:trPr>
        <w:tc>
          <w:tcPr>
            <w:tcW w:w="44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r>
      <w:tr>
        <w:trPr>
          <w:trHeight w:val="195"/>
        </w:trPr>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8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1"/>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6"/>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69,545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60,653</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82,104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18,615</w:t>
            </w:r>
          </w:p>
        </w:tc>
      </w:tr>
      <w:tr>
        <w:trPr>
          <w:trHeight w:val="228"/>
        </w:trPr>
        <w:tc>
          <w:tcPr>
            <w:tcW w:w="4460" w:type="dxa"/>
            <w:vAlign w:val="bottom"/>
          </w:tcPr>
          <w:p>
            <w:pPr>
              <w:ind w:left="36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11,387</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11,357</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15,158</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2,780</w:t>
            </w:r>
          </w:p>
        </w:tc>
      </w:tr>
      <w:tr>
        <w:trPr>
          <w:trHeight w:val="27"/>
        </w:trPr>
        <w:tc>
          <w:tcPr>
            <w:tcW w:w="44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4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80,932</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72,010</w:t>
            </w:r>
          </w:p>
        </w:tc>
        <w:tc>
          <w:tcPr>
            <w:tcW w:w="2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97,262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21,395</w:t>
            </w:r>
          </w:p>
        </w:tc>
      </w:tr>
      <w:tr>
        <w:trPr>
          <w:trHeight w:val="241"/>
        </w:trPr>
        <w:tc>
          <w:tcPr>
            <w:tcW w:w="446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41"/>
        </w:trPr>
        <w:tc>
          <w:tcPr>
            <w:tcW w:w="4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4460" w:type="dxa"/>
            <w:vAlign w:val="bottom"/>
          </w:tcPr>
          <w:p>
            <w:pPr>
              <w:ind w:left="36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68,625</w:t>
            </w:r>
          </w:p>
        </w:tc>
        <w:tc>
          <w:tcPr>
            <w:tcW w:w="2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57,854</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78,692</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22,747</w:t>
            </w:r>
          </w:p>
        </w:tc>
      </w:tr>
      <w:tr>
        <w:trPr>
          <w:trHeight w:val="248"/>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Operations and maintenance</w:t>
            </w:r>
          </w:p>
        </w:tc>
        <w:tc>
          <w:tcPr>
            <w:tcW w:w="1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5,750</w:t>
            </w:r>
          </w:p>
        </w:tc>
        <w:tc>
          <w:tcPr>
            <w:tcW w:w="2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4,769</w:t>
            </w: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7,456</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5,205</w:t>
            </w:r>
          </w:p>
        </w:tc>
      </w:tr>
      <w:tr>
        <w:trPr>
          <w:trHeight w:val="235"/>
        </w:trPr>
        <w:tc>
          <w:tcPr>
            <w:tcW w:w="44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40,827</w:t>
            </w:r>
          </w:p>
        </w:tc>
        <w:tc>
          <w:tcPr>
            <w:tcW w:w="2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21,164</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33,343</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18,160</w:t>
            </w:r>
          </w:p>
        </w:tc>
      </w:tr>
      <w:tr>
        <w:trPr>
          <w:trHeight w:val="234"/>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2,258</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2,031</w:t>
            </w:r>
          </w:p>
        </w:tc>
        <w:tc>
          <w:tcPr>
            <w:tcW w:w="2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2,761</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2,341</w:t>
            </w:r>
          </w:p>
        </w:tc>
      </w:tr>
      <w:tr>
        <w:trPr>
          <w:trHeight w:val="27"/>
        </w:trPr>
        <w:tc>
          <w:tcPr>
            <w:tcW w:w="44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35"/>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117,460</w:t>
            </w:r>
          </w:p>
        </w:tc>
        <w:tc>
          <w:tcPr>
            <w:tcW w:w="2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85,818</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122,252</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48,453</w:t>
            </w:r>
          </w:p>
        </w:tc>
      </w:tr>
      <w:tr>
        <w:trPr>
          <w:trHeight w:val="241"/>
        </w:trPr>
        <w:tc>
          <w:tcPr>
            <w:tcW w:w="446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7"/>
        </w:trPr>
        <w:tc>
          <w:tcPr>
            <w:tcW w:w="446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(36,528)</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(13,808)</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(24,990)</w:t>
            </w: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(27,058)</w:t>
            </w:r>
          </w:p>
        </w:tc>
      </w:tr>
      <w:tr>
        <w:trPr>
          <w:trHeight w:val="246"/>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6,389</w:t>
            </w:r>
          </w:p>
        </w:tc>
        <w:tc>
          <w:tcPr>
            <w:tcW w:w="2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4,850</w:t>
            </w: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6,456</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5,105</w:t>
            </w:r>
          </w:p>
        </w:tc>
      </w:tr>
      <w:tr>
        <w:trPr>
          <w:trHeight w:val="235"/>
        </w:trPr>
        <w:tc>
          <w:tcPr>
            <w:tcW w:w="446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34"/>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1,177</w:t>
            </w:r>
          </w:p>
        </w:tc>
      </w:tr>
      <w:tr>
        <w:trPr>
          <w:trHeight w:val="27"/>
        </w:trPr>
        <w:tc>
          <w:tcPr>
            <w:tcW w:w="44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(43,020)</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(18,583)</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(31,145)</w:t>
            </w: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(33,287)</w:t>
            </w:r>
          </w:p>
        </w:tc>
      </w:tr>
      <w:tr>
        <w:trPr>
          <w:trHeight w:val="232"/>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provision (benefit)</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44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(43,419)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(19,402)</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(32,926)</w:t>
            </w:r>
          </w:p>
        </w:tc>
      </w:tr>
      <w:tr>
        <w:trPr>
          <w:trHeight w:val="27"/>
        </w:trPr>
        <w:tc>
          <w:tcPr>
            <w:tcW w:w="44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1"/>
        </w:trPr>
        <w:tc>
          <w:tcPr>
            <w:tcW w:w="44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4460" w:type="dxa"/>
            <w:vAlign w:val="bottom"/>
          </w:tcPr>
          <w:p>
            <w:pPr>
              <w:ind w:left="360"/>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(0.64)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(0.56)</w:t>
            </w:r>
          </w:p>
        </w:tc>
      </w:tr>
      <w:tr>
        <w:trPr>
          <w:trHeight w:val="220"/>
        </w:trPr>
        <w:tc>
          <w:tcPr>
            <w:tcW w:w="4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2"/>
        </w:trPr>
        <w:tc>
          <w:tcPr>
            <w:tcW w:w="44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67,915,822</w:t>
            </w:r>
          </w:p>
        </w:tc>
        <w:tc>
          <w:tcPr>
            <w:tcW w:w="2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65,000,478</w:t>
            </w: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65,006,140</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58,753,425</w:t>
            </w:r>
          </w:p>
        </w:tc>
      </w:tr>
      <w:tr>
        <w:trPr>
          <w:trHeight w:val="430"/>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654"/>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2"/>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7"/>
        </w:trPr>
        <w:tc>
          <w:tcPr>
            <w:tcW w:w="446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5"/>
        </w:trPr>
        <w:tc>
          <w:tcPr>
            <w:tcW w:w="1540" w:type="dxa"/>
            <w:vAlign w:val="bottom"/>
            <w:tcBorders>
              <w:top w:val="single" w:sz="8" w:color="0000EE"/>
            </w:tcBorders>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As of September 30,</w:t>
            </w:r>
          </w:p>
        </w:tc>
        <w:tc>
          <w:tcPr>
            <w:tcW w:w="220" w:type="dxa"/>
            <w:vAlign w:val="bottom"/>
          </w:tcPr>
          <w:p>
            <w:pPr>
              <w:spacing w:after="0"/>
              <w:rPr>
                <w:sz w:val="24"/>
                <w:szCs w:val="24"/>
                <w:color w:val="auto"/>
              </w:rPr>
            </w:pPr>
          </w:p>
        </w:tc>
        <w:tc>
          <w:tcPr>
            <w:tcW w:w="200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w:t>
            </w:r>
          </w:p>
        </w:tc>
      </w:tr>
      <w:tr>
        <w:trPr>
          <w:trHeight w:val="181"/>
        </w:trPr>
        <w:tc>
          <w:tcPr>
            <w:tcW w:w="15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85,526</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69,350</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tcPr>
          <w:p>
            <w:pPr>
              <w:spacing w:after="0"/>
              <w:rPr>
                <w:sz w:val="20"/>
                <w:szCs w:val="20"/>
                <w:color w:val="auto"/>
              </w:rPr>
            </w:pPr>
          </w:p>
        </w:tc>
      </w:tr>
      <w:tr>
        <w:trPr>
          <w:trHeight w:val="248"/>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485,097</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100" w:type="dxa"/>
            <w:vAlign w:val="bottom"/>
            <w:shd w:val="clear" w:color="auto" w:fill="CCEEFF"/>
          </w:tcPr>
          <w:p>
            <w:pPr>
              <w:spacing w:after="0"/>
              <w:rPr>
                <w:sz w:val="21"/>
                <w:szCs w:val="21"/>
                <w:color w:val="auto"/>
              </w:rPr>
            </w:pPr>
          </w:p>
        </w:tc>
      </w:tr>
      <w:tr>
        <w:trPr>
          <w:trHeight w:val="241"/>
        </w:trPr>
        <w:tc>
          <w:tcPr>
            <w:tcW w:w="5480" w:type="dxa"/>
            <w:vAlign w:val="bottom"/>
            <w:gridSpan w:val="2"/>
          </w:tcPr>
          <w:p>
            <w:pPr>
              <w:ind w:left="180"/>
              <w:spacing w:after="0" w:line="241" w:lineRule="exact"/>
              <w:rPr>
                <w:sz w:val="20"/>
                <w:szCs w:val="20"/>
                <w:color w:val="auto"/>
              </w:rPr>
            </w:pPr>
            <w:r>
              <w:rPr>
                <w:rFonts w:ascii="Arial" w:cs="Arial" w:eastAsia="Arial" w:hAnsi="Arial"/>
                <w:sz w:val="17"/>
                <w:szCs w:val="17"/>
                <w:color w:val="auto"/>
              </w:rPr>
              <w:t>Long-term debt (includes current portion)</w:t>
            </w:r>
            <w:r>
              <w:rPr>
                <w:rFonts w:ascii="Arial" w:cs="Arial" w:eastAsia="Arial" w:hAnsi="Arial"/>
                <w:sz w:val="27"/>
                <w:szCs w:val="27"/>
                <w:color w:val="auto"/>
                <w:vertAlign w:val="superscript"/>
              </w:rPr>
              <w:t>(1)</w:t>
            </w:r>
          </w:p>
        </w:tc>
        <w:tc>
          <w:tcPr>
            <w:tcW w:w="14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121,970</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75,253</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80,385</w:t>
            </w:r>
          </w:p>
        </w:tc>
        <w:tc>
          <w:tcPr>
            <w:tcW w:w="100" w:type="dxa"/>
            <w:vAlign w:val="bottom"/>
          </w:tcPr>
          <w:p>
            <w:pPr>
              <w:spacing w:after="0"/>
              <w:rPr>
                <w:sz w:val="20"/>
                <w:szCs w:val="20"/>
                <w:color w:val="auto"/>
              </w:rPr>
            </w:pPr>
          </w:p>
        </w:tc>
      </w:tr>
      <w:tr>
        <w:trPr>
          <w:trHeight w:val="241"/>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179,013</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100" w:type="dxa"/>
            <w:vAlign w:val="bottom"/>
            <w:shd w:val="clear" w:color="auto" w:fill="CCEEFF"/>
          </w:tcPr>
          <w:p>
            <w:pPr>
              <w:spacing w:after="0"/>
              <w:rPr>
                <w:sz w:val="20"/>
                <w:szCs w:val="20"/>
                <w:color w:val="auto"/>
              </w:rPr>
            </w:pPr>
          </w:p>
        </w:tc>
      </w:tr>
    </w:tbl>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4"/>
                <w:szCs w:val="14"/>
                <w:color w:val="auto"/>
              </w:rPr>
            </w:pPr>
          </w:p>
        </w:tc>
        <w:tc>
          <w:tcPr>
            <w:tcW w:w="144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0"/>
              </w:rPr>
              <w:t>Year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1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0"/>
              </w:rPr>
              <w:t>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1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5"/>
                <w:szCs w:val="15"/>
                <w:color w:val="auto"/>
              </w:rPr>
            </w:pPr>
          </w:p>
        </w:tc>
      </w:tr>
      <w:tr>
        <w:trPr>
          <w:trHeight w:val="235"/>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Cash Flow Data:</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4480" w:type="dxa"/>
            <w:vAlign w:val="bottom"/>
            <w:gridSpan w:val="2"/>
          </w:tcPr>
          <w:p>
            <w:pPr>
              <w:spacing w:after="0"/>
              <w:rPr>
                <w:sz w:val="20"/>
                <w:szCs w:val="20"/>
                <w:color w:val="auto"/>
              </w:rPr>
            </w:pPr>
            <w:r>
              <w:rPr>
                <w:rFonts w:ascii="Arial" w:cs="Arial" w:eastAsia="Arial" w:hAnsi="Arial"/>
                <w:sz w:val="18"/>
                <w:szCs w:val="18"/>
                <w:color w:val="auto"/>
              </w:rPr>
              <w:t>Net cash provided by (used in):</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(53,156)</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(35,983)</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(54,892)</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(43,493)</w:t>
            </w:r>
          </w:p>
        </w:tc>
      </w:tr>
      <w:tr>
        <w:trPr>
          <w:trHeight w:val="235"/>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(105,152)</w:t>
            </w:r>
          </w:p>
        </w:tc>
        <w:tc>
          <w:tcPr>
            <w:tcW w:w="3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(36,109)</w:t>
            </w: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4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(104,040)</w:t>
            </w:r>
          </w:p>
        </w:tc>
      </w:tr>
      <w:tr>
        <w:trPr>
          <w:trHeight w:val="248"/>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125,503</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(7,056)</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277,699</w:t>
            </w:r>
          </w:p>
        </w:tc>
      </w:tr>
      <w:tr>
        <w:trPr>
          <w:trHeight w:val="188"/>
        </w:trPr>
        <w:tc>
          <w:tcPr>
            <w:tcW w:w="1420" w:type="dxa"/>
            <w:vAlign w:val="bottom"/>
            <w:tcBorders>
              <w:bottom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2" w:lineRule="exact"/>
        <w:rPr>
          <w:sz w:val="20"/>
          <w:szCs w:val="20"/>
          <w:color w:val="auto"/>
        </w:rPr>
      </w:pPr>
    </w:p>
    <w:p>
      <w:pPr>
        <w:ind w:left="360" w:hanging="355"/>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Does not include the amendment to our Term Loan Facility on December 31, 2018.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4" w:right="138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86" w:lineRule="exact"/>
        <w:rPr>
          <w:sz w:val="20"/>
          <w:szCs w:val="20"/>
          <w:color w:val="auto"/>
        </w:rPr>
      </w:pPr>
    </w:p>
    <w:p>
      <w:pPr>
        <w:ind w:right="160" w:firstLine="357"/>
        <w:spacing w:after="0" w:line="254" w:lineRule="auto"/>
        <w:rPr>
          <w:sz w:val="20"/>
          <w:szCs w:val="20"/>
          <w:color w:val="auto"/>
        </w:rPr>
      </w:pPr>
      <w:r>
        <w:rPr>
          <w:rFonts w:ascii="Arial" w:cs="Arial" w:eastAsia="Arial" w:hAnsi="Arial"/>
          <w:sz w:val="18"/>
          <w:szCs w:val="18"/>
          <w:i w:val="1"/>
          <w:iCs w:val="1"/>
          <w:color w:val="auto"/>
        </w:rPr>
        <w:t>Certain information contained in this discussion and analysis or set forth elsewhere in this prospectus or accompanying marketing material, including information with respect to our plans, strategy, projections and expected timeline for our business and related financing, includes forward-looking statements that involve risks and uncertainties. Forward-looking statements contained in this prospectus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81" w:lineRule="exact"/>
        <w:rPr>
          <w:sz w:val="20"/>
          <w:szCs w:val="20"/>
          <w:color w:val="auto"/>
        </w:rPr>
      </w:pPr>
    </w:p>
    <w:p>
      <w:pPr>
        <w:jc w:val="both"/>
        <w:ind w:firstLine="357"/>
        <w:spacing w:after="0" w:line="261" w:lineRule="auto"/>
        <w:rPr>
          <w:sz w:val="20"/>
          <w:szCs w:val="20"/>
          <w:color w:val="auto"/>
        </w:rPr>
      </w:pPr>
      <w:r>
        <w:rPr>
          <w:rFonts w:ascii="Arial" w:cs="Arial" w:eastAsia="Arial" w:hAnsi="Arial"/>
          <w:sz w:val="18"/>
          <w:szCs w:val="18"/>
          <w:i w:val="1"/>
          <w:iCs w:val="1"/>
          <w:color w:val="auto"/>
        </w:rPr>
        <w:t>You should read “Risk Factors” and “Forward-Looking Statements” elsewhere in this prospectus for a discussion of important factors that could cause actual results to differ materially from the results described in or implied by the forward-looking statements contained in the following discussion and analysis.</w:t>
      </w:r>
    </w:p>
    <w:p>
      <w:pPr>
        <w:spacing w:after="0" w:line="76" w:lineRule="exact"/>
        <w:rPr>
          <w:sz w:val="20"/>
          <w:szCs w:val="20"/>
          <w:color w:val="auto"/>
        </w:rPr>
      </w:pPr>
    </w:p>
    <w:p>
      <w:pPr>
        <w:ind w:right="20" w:firstLine="357"/>
        <w:spacing w:after="0" w:line="291" w:lineRule="auto"/>
        <w:rPr>
          <w:sz w:val="20"/>
          <w:szCs w:val="20"/>
          <w:color w:val="auto"/>
        </w:rPr>
      </w:pPr>
      <w:r>
        <w:rPr>
          <w:rFonts w:ascii="Arial" w:cs="Arial" w:eastAsia="Arial" w:hAnsi="Arial"/>
          <w:sz w:val="16"/>
          <w:szCs w:val="16"/>
          <w:i w:val="1"/>
          <w:iCs w:val="1"/>
          <w:color w:val="auto"/>
        </w:rPr>
        <w:t>The following information should be read in conjunction with our audited consolidated financial statements, unaudited condensed consolidated interim financial statements and accompanying notes included elsewhere in this prospectus, as well as the information presented under “Selected Historical Financial Data.” Our financial statements have been prepared in accordance with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thousands.</w:t>
      </w:r>
    </w:p>
    <w:p>
      <w:pPr>
        <w:spacing w:after="0" w:line="57" w:lineRule="exact"/>
        <w:rPr>
          <w:sz w:val="20"/>
          <w:szCs w:val="20"/>
          <w:color w:val="auto"/>
        </w:rPr>
      </w:pPr>
    </w:p>
    <w:p>
      <w:pPr>
        <w:ind w:right="60" w:firstLine="357"/>
        <w:spacing w:after="0" w:line="257" w:lineRule="auto"/>
        <w:rPr>
          <w:sz w:val="20"/>
          <w:szCs w:val="20"/>
          <w:color w:val="auto"/>
        </w:rPr>
      </w:pPr>
      <w:r>
        <w:rPr>
          <w:rFonts w:ascii="Arial" w:cs="Arial" w:eastAsia="Arial" w:hAnsi="Arial"/>
          <w:sz w:val="18"/>
          <w:szCs w:val="18"/>
          <w:i w:val="1"/>
          <w:iCs w:val="1"/>
          <w:color w:val="auto"/>
        </w:rPr>
        <w:t>Unless the context otherwise requires, references to “Company,” “NFE,” “we,” “our,” “us” or like terms refer to New Fortress Energy LLC and its subsidiaries. When used in a historical context, “Company,” “we,” “our,” “us,” or like terms refer to New Fortress Energy Holdings LLC, a Delaware limited liability company (“New Fortress Energy Holdings”), our predecessor for financial reporting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color w:val="auto"/>
        </w:rPr>
        <w:t>We are engaged in providing energy and logistical services to end users worldwide seeking to convert their operating assets from diesel or heavy fuel oil (“HFO”) to LNG. The Company currently has liquefaction and regasification operations in the United States and Jamaica. We currently source LNG from a combination of our own liquefaction facility in Miami, Florida, under a multi-cargo contract with Centrica as well as purchases on the open market. We are developing the infrastructure necessary to supply our existing and future customers with LNG produced primarily at our own facilities. We expect that control of our vertical supply chain, from liquefaction to delivery of LNG, will help to reduce our exposure to future LNG price variations and enable us to supply our existing and future customers with LNG at a price that reflects production at our own facilities, reinforcing our competitive standing in the LNG market. Our strategy is simple: we seek to manufacture our own LNG at attractive prices, using fixed-price feedstock, and we seek to sell natural gas (delivered through LNG infrastructure) or gas-fired power to customers that typically sign long-term, take-or-pay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w:t>
      </w:r>
    </w:p>
    <w:p>
      <w:pPr>
        <w:spacing w:after="0" w:line="119" w:lineRule="exact"/>
        <w:rPr>
          <w:sz w:val="20"/>
          <w:szCs w:val="20"/>
          <w:color w:val="auto"/>
        </w:rPr>
      </w:pPr>
    </w:p>
    <w:p>
      <w:pPr>
        <w:ind w:firstLine="357"/>
        <w:spacing w:after="0" w:line="267" w:lineRule="auto"/>
        <w:rPr>
          <w:sz w:val="20"/>
          <w:szCs w:val="20"/>
          <w:color w:val="auto"/>
        </w:rPr>
      </w:pPr>
      <w:r>
        <w:rPr>
          <w:rFonts w:ascii="Arial" w:cs="Arial" w:eastAsia="Arial" w:hAnsi="Arial"/>
          <w:sz w:val="17"/>
          <w:szCs w:val="17"/>
          <w:color w:val="auto"/>
        </w:rPr>
        <w:t>Our management team has successfully employed our strategy to secure long-term, take-or-pay contracts with Jamaica Public Service Company Limited (“JPS”), the sole public utility in Jamaica, South Jamaica Power Company Limited (“JPC”), an affiliate of JPS, and Jamalco, a joint venture between General Alumina Jamaica LLC (“GAJ”), a subsidiary of Noble Group, and Clarendon Alumina Production Limited (“CAP”), an entity owned by the Government of Jamaica, with a focus on bauxite mining and alumina production in Jamaica (“Jamalco”), each of which is described in more detail below. Certain assets built to service JPS have, and the assets built to service JPC and Jamalco will have, capacity to service other customers. We currently procure our LNG either by purchasing it under a multi-cargo contract from Centrica or by manufacturing it in our natural gas liquefaction, storage and production facility located in Miami-Dade County, Florida (the “Miami Facility”). While we may supplement these volumes with open market purchases as necessary, our intent is to develop the infrastructure necessary to supply our existing and future customers with LNG produced primarily at our own facilities, including our expanded delivery logistics chain in Northern Pennsylvania (the “Pennsylvania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Terminal</w:t>
      </w:r>
    </w:p>
    <w:p>
      <w:pPr>
        <w:spacing w:after="0" w:line="115" w:lineRule="exact"/>
        <w:rPr>
          <w:sz w:val="20"/>
          <w:szCs w:val="20"/>
          <w:color w:val="auto"/>
        </w:rPr>
      </w:pPr>
    </w:p>
    <w:p>
      <w:pPr>
        <w:ind w:right="140" w:firstLine="357"/>
        <w:spacing w:after="0" w:line="274" w:lineRule="auto"/>
        <w:rPr>
          <w:sz w:val="20"/>
          <w:szCs w:val="20"/>
          <w:color w:val="auto"/>
        </w:rPr>
      </w:pPr>
      <w:r>
        <w:rPr>
          <w:rFonts w:ascii="Arial" w:cs="Arial" w:eastAsia="Arial" w:hAnsi="Arial"/>
          <w:sz w:val="18"/>
          <w:szCs w:val="18"/>
          <w:color w:val="auto"/>
        </w:rPr>
        <w:t>Our storage and regasification terminal in Montego Bay, Jamaica (the “Montego Bay Terminal”) serves as our supply hub for the north side of Jamaica, providing gas to JPS to fuel the 145MW Bogue Power Plant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Montego Bay, Jamaica (the “Bogue Power Plant”). The Montego Bay Terminal commenced commercial operations on October 30, 2016 and stores approximately two million gallons of LNG in seven storage tanks. The Montego Bay Terminal also consists of an ISO loading facility that can transport LNG to all of our industrial and manufacturing (“small-scale”) customers across the island.</w:t>
      </w:r>
    </w:p>
    <w:p>
      <w:pPr>
        <w:spacing w:after="0" w:line="1"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The small-scale business provides these users with an alternative fuel to support their business operations and limit reliance on monopolistic utilities.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Facility</w:t>
      </w:r>
    </w:p>
    <w:p>
      <w:pPr>
        <w:spacing w:after="0" w:line="115" w:lineRule="exact"/>
        <w:rPr>
          <w:sz w:val="20"/>
          <w:szCs w:val="20"/>
          <w:color w:val="auto"/>
        </w:rPr>
      </w:pPr>
    </w:p>
    <w:p>
      <w:pPr>
        <w:ind w:right="200" w:firstLine="357"/>
        <w:spacing w:after="0" w:line="271" w:lineRule="auto"/>
        <w:rPr>
          <w:sz w:val="20"/>
          <w:szCs w:val="20"/>
          <w:color w:val="auto"/>
        </w:rPr>
      </w:pPr>
      <w:r>
        <w:rPr>
          <w:rFonts w:ascii="Arial" w:cs="Arial" w:eastAsia="Arial" w:hAnsi="Arial"/>
          <w:sz w:val="17"/>
          <w:szCs w:val="17"/>
          <w:color w:val="auto"/>
        </w:rPr>
        <w:t>Our Miami Facility began operation in April 2016. We believe, based on available data, it is the first privately owned natural gas liquefaction plant in Florida. This facility enables us to produce LNG for our customers and reduces our dependence on other suppliers for LNG. The facility is the first plant to successfully export domestically produced LNG from the lower 48 states to a non-free trade agreement country and it employs one of the largest ISO container fleets in the world. The Miami Facility provides LNG to small-scale customers in south Florida including Florida East Coast Railway via our train loading facility and other customers throughout the Caribbean using ISO containers.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 Nine months ended September 30, 2018 compared to nine months ended September 30,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64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480" w:type="dxa"/>
            <w:vAlign w:val="bottom"/>
          </w:tcPr>
          <w:p>
            <w:pPr>
              <w:spacing w:after="0"/>
              <w:rPr>
                <w:sz w:val="20"/>
                <w:szCs w:val="20"/>
                <w:color w:val="auto"/>
              </w:rPr>
            </w:pPr>
            <w:r>
              <w:rPr>
                <w:rFonts w:ascii="Arial" w:cs="Arial" w:eastAsia="Arial" w:hAnsi="Arial"/>
                <w:sz w:val="18"/>
                <w:szCs w:val="18"/>
                <w:color w:val="auto"/>
              </w:rPr>
              <w:t>Operating revenue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69,545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60,653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8,892</w:t>
            </w:r>
          </w:p>
        </w:tc>
      </w:tr>
      <w:tr>
        <w:trPr>
          <w:trHeight w:val="248"/>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0"/>
        </w:trPr>
        <w:tc>
          <w:tcPr>
            <w:tcW w:w="64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80,932</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72,010</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8,922</w:t>
            </w: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4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68,625</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57,854</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10,771</w:t>
            </w: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 and maintenance</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5,750</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4,769</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r>
      <w:tr>
        <w:trPr>
          <w:trHeight w:val="235"/>
        </w:trPr>
        <w:tc>
          <w:tcPr>
            <w:tcW w:w="64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40,827</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21,164</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19,663</w:t>
            </w: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2,258</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2,031</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0"/>
        </w:trPr>
        <w:tc>
          <w:tcPr>
            <w:tcW w:w="64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48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117,460</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85,818</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31,642</w:t>
            </w:r>
          </w:p>
        </w:tc>
      </w:tr>
      <w:tr>
        <w:trPr>
          <w:trHeight w:val="20"/>
        </w:trPr>
        <w:tc>
          <w:tcPr>
            <w:tcW w:w="64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(36,528)</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(13,808)</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(22,720)</w:t>
            </w:r>
          </w:p>
        </w:tc>
      </w:tr>
      <w:tr>
        <w:trPr>
          <w:trHeight w:val="235"/>
        </w:trPr>
        <w:tc>
          <w:tcPr>
            <w:tcW w:w="64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6,389</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4,850</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r>
      <w:tr>
        <w:trPr>
          <w:trHeight w:val="248"/>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r>
      <w:tr>
        <w:trPr>
          <w:trHeight w:val="241"/>
        </w:trPr>
        <w:tc>
          <w:tcPr>
            <w:tcW w:w="64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618</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r>
      <w:tr>
        <w:trPr>
          <w:trHeight w:val="20"/>
        </w:trPr>
        <w:tc>
          <w:tcPr>
            <w:tcW w:w="64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(43,020)</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(18,583)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(24,437)</w:t>
            </w:r>
          </w:p>
        </w:tc>
      </w:tr>
      <w:tr>
        <w:trPr>
          <w:trHeight w:val="241"/>
        </w:trPr>
        <w:tc>
          <w:tcPr>
            <w:tcW w:w="6480" w:type="dxa"/>
            <w:vAlign w:val="bottom"/>
          </w:tcPr>
          <w:p>
            <w:pPr>
              <w:spacing w:after="0"/>
              <w:rPr>
                <w:sz w:val="20"/>
                <w:szCs w:val="20"/>
                <w:color w:val="auto"/>
              </w:rPr>
            </w:pPr>
            <w:r>
              <w:rPr>
                <w:rFonts w:ascii="Arial" w:cs="Arial" w:eastAsia="Arial" w:hAnsi="Arial"/>
                <w:sz w:val="18"/>
                <w:szCs w:val="18"/>
                <w:color w:val="auto"/>
              </w:rPr>
              <w:t>Tax provision (benefit)</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r>
      <w:tr>
        <w:trPr>
          <w:trHeight w:val="20"/>
        </w:trPr>
        <w:tc>
          <w:tcPr>
            <w:tcW w:w="64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(43,419)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(24,017)</w:t>
            </w:r>
          </w:p>
        </w:tc>
      </w:tr>
      <w:tr>
        <w:trPr>
          <w:trHeight w:val="27"/>
        </w:trPr>
        <w:tc>
          <w:tcPr>
            <w:tcW w:w="64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115" w:lineRule="exact"/>
        <w:rPr>
          <w:sz w:val="20"/>
          <w:szCs w:val="20"/>
          <w:color w:val="auto"/>
        </w:rPr>
      </w:pPr>
    </w:p>
    <w:p>
      <w:pPr>
        <w:ind w:right="240" w:firstLine="357"/>
        <w:spacing w:after="0" w:line="309" w:lineRule="auto"/>
        <w:rPr>
          <w:sz w:val="20"/>
          <w:szCs w:val="20"/>
          <w:color w:val="auto"/>
        </w:rPr>
      </w:pPr>
      <w:r>
        <w:rPr>
          <w:rFonts w:ascii="Arial" w:cs="Arial" w:eastAsia="Arial" w:hAnsi="Arial"/>
          <w:sz w:val="16"/>
          <w:szCs w:val="16"/>
          <w:color w:val="auto"/>
        </w:rPr>
        <w:t>Operating revenue from LNG and natural gas sales for the nine months ended September 30, 2018 was $69,545, which increased by $8,892 from $60,653 for the nine months ended September 30, 2017. The increase in operating revenue between the nine-month periods was attributable to increased sales to the Bogue Power Plant and additional small-scale customers.</w:t>
      </w:r>
    </w:p>
    <w:p>
      <w:pPr>
        <w:spacing w:after="0" w:line="41" w:lineRule="exact"/>
        <w:rPr>
          <w:sz w:val="20"/>
          <w:szCs w:val="20"/>
          <w:color w:val="auto"/>
        </w:rPr>
      </w:pPr>
    </w:p>
    <w:p>
      <w:pPr>
        <w:ind w:right="300" w:firstLine="357"/>
        <w:spacing w:after="0" w:line="257" w:lineRule="auto"/>
        <w:rPr>
          <w:sz w:val="20"/>
          <w:szCs w:val="20"/>
          <w:color w:val="auto"/>
        </w:rPr>
      </w:pPr>
      <w:r>
        <w:rPr>
          <w:rFonts w:ascii="Arial" w:cs="Arial" w:eastAsia="Arial" w:hAnsi="Arial"/>
          <w:sz w:val="18"/>
          <w:szCs w:val="18"/>
          <w:color w:val="auto"/>
        </w:rPr>
        <w:t>The Company leases certain facilities and equipment, including the Montego Bay Terminal, to its customers, which are accounted for as direct financing leases. We currently generate a majority of other revenue from interest recognized from these direct financing leases. Other revenue for the nine months ended September 30, 2018 was consistent with the nine months ended September 30, 2017.</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sales</w:t>
      </w:r>
    </w:p>
    <w:p>
      <w:pPr>
        <w:spacing w:after="0" w:line="115"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color w:val="auto"/>
        </w:rPr>
        <w:t>Cost of sales includes the procurement of feedgas or LNG, as applicable, shipping and logistics costs to deliver LNG to our facilities and regasification and terminal operating expenses to provide product to our customers. Our LNG and natural gas supply are purchased from third parties or converted in our liquefaction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facilities. Costs to convert natural gas to LNG, including labor and other direct costs to operate our liquefaction facility are also included in Cost of sales. Cost of sales for the nine months ended September 30, 2018 was $68,625, which increased $10,771 from $57,854 for the nine months ended September 30, 2017. The increase in Cost of sales between the nine-month periods was attributable to increased volumes sold to customers and a higher cost of LNG purchased.</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 and maintenance</w:t>
      </w:r>
    </w:p>
    <w:p>
      <w:pPr>
        <w:spacing w:after="0" w:line="115" w:lineRule="exact"/>
        <w:rPr>
          <w:sz w:val="20"/>
          <w:szCs w:val="20"/>
          <w:color w:val="auto"/>
        </w:rPr>
      </w:pPr>
    </w:p>
    <w:p>
      <w:pPr>
        <w:ind w:right="40" w:firstLine="357"/>
        <w:spacing w:after="0" w:line="257" w:lineRule="auto"/>
        <w:rPr>
          <w:sz w:val="20"/>
          <w:szCs w:val="20"/>
          <w:color w:val="auto"/>
        </w:rPr>
      </w:pPr>
      <w:r>
        <w:rPr>
          <w:rFonts w:ascii="Arial" w:cs="Arial" w:eastAsia="Arial" w:hAnsi="Arial"/>
          <w:sz w:val="18"/>
          <w:szCs w:val="18"/>
          <w:color w:val="auto"/>
        </w:rPr>
        <w:t>Operations and maintenance relates to costs of operating our Miami Facility and Montego Bay Terminal exclusive of conversion costs reflected in Cost of sales. Operations and maintenance for the nine months ended September 30, 2018 was $5,750, which increased $981 from $4,769 for the nine months ended September 30, 2017. The increase is primarily a result of increased general maintenance costs at these facilities.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Selling, general and administrative includes employee travel costs, insurance, and costs associated with development activities for projects that are in initial stages and development is not yet probable. Selling, general and administrative also includes compensation expenses for our corporate employees, including our executives, as well as professional fees for our advisors. Selling, general and administrative for the nine months ended September 30, 2018, was $40,827, which increased $19,663 from $21,164 for the nine months ended September 30, 2017 primarily as a result of increased development activities related to the initial phases of projects in Puerto Rico and Mexico as well as increased employee travel and headcount.</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ind w:right="100" w:firstLine="357"/>
        <w:spacing w:after="0" w:line="261" w:lineRule="auto"/>
        <w:rPr>
          <w:sz w:val="20"/>
          <w:szCs w:val="20"/>
          <w:color w:val="auto"/>
        </w:rPr>
      </w:pPr>
      <w:r>
        <w:rPr>
          <w:rFonts w:ascii="Arial" w:cs="Arial" w:eastAsia="Arial" w:hAnsi="Arial"/>
          <w:sz w:val="18"/>
          <w:szCs w:val="18"/>
          <w:color w:val="auto"/>
        </w:rPr>
        <w:t>Depreciation and amortization for the nine months ended September 30, 2018 was $2,258, which increased $227 from $2,031 for the nine months ended September 30, 2017. The increase is primarily a result of additional equipment purchases placed in service for small-scale customers.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expense</w:t>
      </w:r>
    </w:p>
    <w:p>
      <w:pPr>
        <w:spacing w:after="0" w:line="115" w:lineRule="exact"/>
        <w:rPr>
          <w:sz w:val="20"/>
          <w:szCs w:val="20"/>
          <w:color w:val="auto"/>
        </w:rPr>
      </w:pPr>
    </w:p>
    <w:p>
      <w:pPr>
        <w:ind w:right="120" w:firstLine="357"/>
        <w:spacing w:after="0" w:line="339" w:lineRule="auto"/>
        <w:rPr>
          <w:sz w:val="20"/>
          <w:szCs w:val="20"/>
          <w:color w:val="auto"/>
        </w:rPr>
      </w:pPr>
      <w:r>
        <w:rPr>
          <w:rFonts w:ascii="Arial" w:cs="Arial" w:eastAsia="Arial" w:hAnsi="Arial"/>
          <w:sz w:val="16"/>
          <w:szCs w:val="16"/>
          <w:color w:val="auto"/>
        </w:rPr>
        <w:t>Interest expense for the nine months ended September 30, 2018 was $6,389, which increased $1,539 from $4,850 for the nine months ended September 30, 2017, primarily as a result of financing costs amortized for the Term Loan Facility of $1,020.</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net</w:t>
      </w:r>
    </w:p>
    <w:p>
      <w:pPr>
        <w:spacing w:after="0" w:line="115" w:lineRule="exact"/>
        <w:rPr>
          <w:sz w:val="20"/>
          <w:szCs w:val="20"/>
          <w:color w:val="auto"/>
        </w:rPr>
      </w:pPr>
    </w:p>
    <w:p>
      <w:pPr>
        <w:ind w:right="240" w:firstLine="357"/>
        <w:spacing w:after="0" w:line="305" w:lineRule="auto"/>
        <w:rPr>
          <w:sz w:val="20"/>
          <w:szCs w:val="20"/>
          <w:color w:val="auto"/>
        </w:rPr>
      </w:pPr>
      <w:r>
        <w:rPr>
          <w:rFonts w:ascii="Arial" w:cs="Arial" w:eastAsia="Arial" w:hAnsi="Arial"/>
          <w:sz w:val="17"/>
          <w:szCs w:val="17"/>
          <w:color w:val="auto"/>
        </w:rPr>
        <w:t>Other income, net for the nine months ended September 30, 2018 was ($515), which increased $440 from ($75) for the nine months, ended September 30, 2017, primarily as a result of interest income and realized foreign currency gain.</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Loss on extinguishment of debt</w:t>
      </w:r>
    </w:p>
    <w:p>
      <w:pPr>
        <w:spacing w:after="0" w:line="115" w:lineRule="exact"/>
        <w:rPr>
          <w:sz w:val="20"/>
          <w:szCs w:val="20"/>
          <w:color w:val="auto"/>
        </w:rPr>
      </w:pPr>
    </w:p>
    <w:p>
      <w:pPr>
        <w:ind w:right="100" w:firstLine="357"/>
        <w:spacing w:after="0" w:line="274" w:lineRule="auto"/>
        <w:rPr>
          <w:sz w:val="20"/>
          <w:szCs w:val="20"/>
          <w:color w:val="auto"/>
        </w:rPr>
      </w:pPr>
      <w:r>
        <w:rPr>
          <w:rFonts w:ascii="Arial" w:cs="Arial" w:eastAsia="Arial" w:hAnsi="Arial"/>
          <w:sz w:val="18"/>
          <w:szCs w:val="18"/>
          <w:color w:val="auto"/>
        </w:rPr>
        <w:t>Loss on extinguishment of debt for the nine months ended September 30, 2018 was $618, which was recognized as a result of the repayment of the Miami Loan and MoBay Loan in August and September 2018, respectively.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provision (benefit)</w:t>
      </w:r>
    </w:p>
    <w:p>
      <w:pPr>
        <w:spacing w:after="0" w:line="115" w:lineRule="exact"/>
        <w:rPr>
          <w:sz w:val="20"/>
          <w:szCs w:val="20"/>
          <w:color w:val="auto"/>
        </w:rPr>
      </w:pPr>
    </w:p>
    <w:p>
      <w:pPr>
        <w:ind w:firstLine="357"/>
        <w:spacing w:after="0" w:line="339" w:lineRule="auto"/>
        <w:rPr>
          <w:sz w:val="20"/>
          <w:szCs w:val="20"/>
          <w:color w:val="auto"/>
        </w:rPr>
      </w:pPr>
      <w:r>
        <w:rPr>
          <w:rFonts w:ascii="Arial" w:cs="Arial" w:eastAsia="Arial" w:hAnsi="Arial"/>
          <w:sz w:val="16"/>
          <w:szCs w:val="16"/>
          <w:color w:val="auto"/>
        </w:rPr>
        <w:t>Tax provision (benefit) for the nine months ended September 30, 2018 was $399, which decreased $420 from $819 for the nine months ended September 30, 2017 due to an increase in net taxable losses in foreign jurisdiction when comparing 2018 to 2017.</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Year ended December 31, 2017 compared with year ended December 31, 2016</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5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29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r>
      <w:tr>
        <w:trPr>
          <w:trHeight w:val="241"/>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82,104</w:t>
            </w:r>
          </w:p>
        </w:tc>
        <w:tc>
          <w:tcPr>
            <w:tcW w:w="20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18,615</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63,489</w:t>
            </w:r>
          </w:p>
        </w:tc>
      </w:tr>
      <w:tr>
        <w:trPr>
          <w:trHeight w:val="234"/>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2,780</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12,378</w:t>
            </w:r>
          </w:p>
        </w:tc>
      </w:tr>
      <w:tr>
        <w:trPr>
          <w:trHeight w:val="27"/>
        </w:trPr>
        <w:tc>
          <w:tcPr>
            <w:tcW w:w="598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97,262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21,395</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75,867</w:t>
            </w:r>
          </w:p>
        </w:tc>
      </w:tr>
      <w:tr>
        <w:trPr>
          <w:trHeight w:val="241"/>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59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78,692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22,747</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55,945</w:t>
            </w:r>
          </w:p>
        </w:tc>
      </w:tr>
      <w:tr>
        <w:trPr>
          <w:trHeight w:val="248"/>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 and maintenance</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5,205</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w:t>
            </w:r>
          </w:p>
        </w:tc>
      </w:tr>
      <w:tr>
        <w:trPr>
          <w:trHeight w:val="235"/>
        </w:trPr>
        <w:tc>
          <w:tcPr>
            <w:tcW w:w="59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33,343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18,160</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15,183</w:t>
            </w:r>
          </w:p>
        </w:tc>
      </w:tr>
      <w:tr>
        <w:trPr>
          <w:trHeight w:val="234"/>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2,341</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r>
      <w:tr>
        <w:trPr>
          <w:trHeight w:val="27"/>
        </w:trPr>
        <w:tc>
          <w:tcPr>
            <w:tcW w:w="598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8"/>
        </w:trPr>
        <w:tc>
          <w:tcPr>
            <w:tcW w:w="598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122,252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48,453</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73,799</w:t>
            </w:r>
          </w:p>
        </w:tc>
      </w:tr>
      <w:tr>
        <w:trPr>
          <w:trHeight w:val="27"/>
        </w:trPr>
        <w:tc>
          <w:tcPr>
            <w:tcW w:w="59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(24,990)</w:t>
            </w:r>
          </w:p>
        </w:tc>
        <w:tc>
          <w:tcPr>
            <w:tcW w:w="3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(27,058)</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w:t>
            </w:r>
          </w:p>
        </w:tc>
      </w:tr>
      <w:tr>
        <w:trPr>
          <w:trHeight w:val="235"/>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5,105</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1,351</w:t>
            </w:r>
          </w:p>
        </w:tc>
      </w:tr>
      <w:tr>
        <w:trPr>
          <w:trHeight w:val="248"/>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r>
      <w:tr>
        <w:trPr>
          <w:trHeight w:val="228"/>
        </w:trPr>
        <w:tc>
          <w:tcPr>
            <w:tcW w:w="59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1,177</w:t>
            </w: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r>
      <w:tr>
        <w:trPr>
          <w:trHeight w:val="27"/>
        </w:trPr>
        <w:tc>
          <w:tcPr>
            <w:tcW w:w="59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6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(31,145)</w:t>
            </w:r>
          </w:p>
        </w:tc>
        <w:tc>
          <w:tcPr>
            <w:tcW w:w="3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(33,287)</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r>
      <w:tr>
        <w:trPr>
          <w:trHeight w:val="228"/>
        </w:trPr>
        <w:tc>
          <w:tcPr>
            <w:tcW w:w="5980" w:type="dxa"/>
            <w:vAlign w:val="bottom"/>
          </w:tcPr>
          <w:p>
            <w:pPr>
              <w:spacing w:after="0"/>
              <w:rPr>
                <w:sz w:val="20"/>
                <w:szCs w:val="20"/>
                <w:color w:val="auto"/>
              </w:rPr>
            </w:pPr>
            <w:r>
              <w:rPr>
                <w:rFonts w:ascii="Arial" w:cs="Arial" w:eastAsia="Arial" w:hAnsi="Arial"/>
                <w:sz w:val="18"/>
                <w:szCs w:val="18"/>
                <w:color w:val="auto"/>
              </w:rPr>
              <w:t>Tax provision (benefit)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r>
      <w:tr>
        <w:trPr>
          <w:trHeight w:val="27"/>
        </w:trPr>
        <w:tc>
          <w:tcPr>
            <w:tcW w:w="59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(31,671)</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(32,926)</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r>
      <w:tr>
        <w:trPr>
          <w:trHeight w:val="27"/>
        </w:trPr>
        <w:tc>
          <w:tcPr>
            <w:tcW w:w="598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115"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For the year ended December 31, 2017, the Miami Facility was available to produce LNG over 95.5% of the time. We have executed three contracts in 2016, three contracts in 2017 and one contract in the nine months ended September 30, 2018 to provide customers with LNG from our Miami Facility. We continue to build our small-scale pipeline of customers and are in advanced dialogues with various domestic and international customers across the utility, power, industrial and transportation sectors to execute additional long-term purchase contracts.</w:t>
      </w:r>
    </w:p>
    <w:p>
      <w:pPr>
        <w:spacing w:after="0" w:line="81" w:lineRule="exact"/>
        <w:rPr>
          <w:sz w:val="20"/>
          <w:szCs w:val="20"/>
          <w:color w:val="auto"/>
        </w:rPr>
      </w:pPr>
    </w:p>
    <w:p>
      <w:pPr>
        <w:ind w:right="340" w:firstLine="357"/>
        <w:spacing w:after="0" w:line="339" w:lineRule="auto"/>
        <w:rPr>
          <w:sz w:val="20"/>
          <w:szCs w:val="20"/>
          <w:color w:val="auto"/>
        </w:rPr>
      </w:pPr>
      <w:r>
        <w:rPr>
          <w:rFonts w:ascii="Arial" w:cs="Arial" w:eastAsia="Arial" w:hAnsi="Arial"/>
          <w:sz w:val="16"/>
          <w:szCs w:val="16"/>
          <w:color w:val="auto"/>
        </w:rPr>
        <w:t>During the year ended December 31, 2017, the Montego Bay Terminal was available over 98.5% of the time. We have also generated revenue from our small-scale customers by supplying LNG directly to industrial end-users in Jamaica.</w:t>
      </w:r>
    </w:p>
    <w:p>
      <w:pPr>
        <w:spacing w:after="0" w:line="17" w:lineRule="exact"/>
        <w:rPr>
          <w:sz w:val="20"/>
          <w:szCs w:val="20"/>
          <w:color w:val="auto"/>
        </w:rPr>
      </w:pPr>
    </w:p>
    <w:p>
      <w:pPr>
        <w:ind w:right="140" w:firstLine="357"/>
        <w:spacing w:after="0" w:line="299" w:lineRule="auto"/>
        <w:rPr>
          <w:sz w:val="20"/>
          <w:szCs w:val="20"/>
          <w:color w:val="auto"/>
        </w:rPr>
      </w:pPr>
      <w:r>
        <w:rPr>
          <w:rFonts w:ascii="Arial" w:cs="Arial" w:eastAsia="Arial" w:hAnsi="Arial"/>
          <w:sz w:val="16"/>
          <w:szCs w:val="16"/>
          <w:color w:val="auto"/>
        </w:rPr>
        <w:t>Operating revenue from LNG and natural gas sales for the year ended December 31, 2017 was $82,104 which increased by $63,489 from $18,615 for the year ended December 31, 2016. The increase in revenue was attributable to twelve months of operations at the Miami Facility and Montego Bay Terminal during the year ended December 31, 2017 whereas the Miami Facility and Montego Bay Terminal were operating for eight and two months, respectively, during the year ended December 31, 2016.</w:t>
      </w:r>
    </w:p>
    <w:p>
      <w:pPr>
        <w:spacing w:after="0" w:line="49" w:lineRule="exact"/>
        <w:rPr>
          <w:sz w:val="20"/>
          <w:szCs w:val="20"/>
          <w:color w:val="auto"/>
        </w:rPr>
      </w:pPr>
    </w:p>
    <w:p>
      <w:pPr>
        <w:ind w:right="40" w:firstLine="357"/>
        <w:spacing w:after="0" w:line="294" w:lineRule="auto"/>
        <w:rPr>
          <w:sz w:val="20"/>
          <w:szCs w:val="20"/>
          <w:color w:val="auto"/>
        </w:rPr>
      </w:pPr>
      <w:r>
        <w:rPr>
          <w:rFonts w:ascii="Arial" w:cs="Arial" w:eastAsia="Arial" w:hAnsi="Arial"/>
          <w:sz w:val="16"/>
          <w:szCs w:val="16"/>
          <w:color w:val="auto"/>
        </w:rPr>
        <w:t>The Company leases certain facilities and equipment, including the Montego Bay Terminal, to its customers which are accounted for as direct financing leases. We currently generate a majority of other revenue from interest recognized from these direct financing leases. Other revenue for the year ended December 31, 2017 was $15,158 which increased $12,378 from $2,780 for the year-ended December 31, 2016. The increase is attributable to twelve months of operations at the Montego Bay Terminal during the year ended December 31, 2017 whereas the Montego Bay Terminal operated for two months in 2016.</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sales</w:t>
      </w:r>
    </w:p>
    <w:p>
      <w:pPr>
        <w:spacing w:after="0" w:line="115" w:lineRule="exact"/>
        <w:rPr>
          <w:sz w:val="20"/>
          <w:szCs w:val="20"/>
          <w:color w:val="auto"/>
        </w:rPr>
      </w:pPr>
    </w:p>
    <w:p>
      <w:pPr>
        <w:ind w:right="100" w:firstLine="357"/>
        <w:spacing w:after="0" w:line="255" w:lineRule="auto"/>
        <w:rPr>
          <w:sz w:val="20"/>
          <w:szCs w:val="20"/>
          <w:color w:val="auto"/>
        </w:rPr>
      </w:pPr>
      <w:r>
        <w:rPr>
          <w:rFonts w:ascii="Arial" w:cs="Arial" w:eastAsia="Arial" w:hAnsi="Arial"/>
          <w:sz w:val="18"/>
          <w:szCs w:val="18"/>
          <w:color w:val="auto"/>
        </w:rPr>
        <w:t>Cost of sales includes the procurement of feedgas or LNG as applicable, shipping and logistics costs to deliver LNG to our facilities and regasification and terminal operating expenses to provide product to our customers. Our LNG and natural gas supply are purchased from third parties or converted in our liquefaction facilities. Costs to convert natural gas to LNG, including labor and other direct costs to operate our liquefaction facility, are also included in Cost of sales. Cost of sales for the year ended December 31, 2017 was $78,692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which increased $55,945 from $22,747 for the year ended December 31, 2016. The increase in Cost of Sales was attributable to twelve months of operations at the Miami Facility and Montego Bay Terminal for the year ended December 31, 2017, whereas the Miami Facility and Montego Bay Terminal were operating for eight and two months, respectively, for the year ended December 30, 2016.</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 and maintenance</w:t>
      </w:r>
    </w:p>
    <w:p>
      <w:pPr>
        <w:spacing w:after="0" w:line="115" w:lineRule="exact"/>
        <w:rPr>
          <w:sz w:val="20"/>
          <w:szCs w:val="20"/>
          <w:color w:val="auto"/>
        </w:rPr>
      </w:pPr>
    </w:p>
    <w:p>
      <w:pPr>
        <w:ind w:right="100" w:firstLine="357"/>
        <w:spacing w:after="0" w:line="257" w:lineRule="auto"/>
        <w:rPr>
          <w:sz w:val="20"/>
          <w:szCs w:val="20"/>
          <w:color w:val="auto"/>
        </w:rPr>
      </w:pPr>
      <w:r>
        <w:rPr>
          <w:rFonts w:ascii="Arial" w:cs="Arial" w:eastAsia="Arial" w:hAnsi="Arial"/>
          <w:sz w:val="18"/>
          <w:szCs w:val="18"/>
          <w:color w:val="auto"/>
        </w:rPr>
        <w:t>Operations and maintenance relates to costs of operating our Miami Facility exclusive of conversion costs reflected in Cost of sales. Operations and maintenance for the year ended December 31, 2017 was $7,456 which increased $2,251 from $5,205 for the year-ended December 31, 2016. The increase is primarily a result of the Miami Facility operating for twelve months in 2017 in comparison to operating for eight months in 2016.</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Selling, general and administrative includes employee travel costs, insurance, and costs associated with development activities for projects that are in initial stages and development is not yet probable. Selling, general and administrative also includes compensation expenses for our corporate employees, including our executives, as well as professional fees for our advisors. Selling, general and administrative for the year ended December 31, 2017 was $33,343 which increased $15,183 from $18,160 for the year-ended December 31, 2016 primarily as a result of increased development activities and employee travel as well as increased headcount.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ind w:right="220" w:firstLine="357"/>
        <w:spacing w:after="0" w:line="284" w:lineRule="auto"/>
        <w:rPr>
          <w:sz w:val="20"/>
          <w:szCs w:val="20"/>
          <w:color w:val="auto"/>
        </w:rPr>
      </w:pPr>
      <w:r>
        <w:rPr>
          <w:rFonts w:ascii="Arial" w:cs="Arial" w:eastAsia="Arial" w:hAnsi="Arial"/>
          <w:sz w:val="17"/>
          <w:szCs w:val="17"/>
          <w:color w:val="auto"/>
        </w:rPr>
        <w:t>Depreciation and amortization for the year ended December 31, 2017 was $2,761 which increased $420 from $2,341 for the year ended December 31, 2016. The increase is primarily a result of twelve months of operations at the Miami Facility and the purchase of additional equipment and vehicles which were placed into service during 2017.</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expense</w:t>
      </w:r>
    </w:p>
    <w:p>
      <w:pPr>
        <w:spacing w:after="0" w:line="115" w:lineRule="exact"/>
        <w:rPr>
          <w:sz w:val="20"/>
          <w:szCs w:val="20"/>
          <w:color w:val="auto"/>
        </w:rPr>
      </w:pPr>
    </w:p>
    <w:p>
      <w:pPr>
        <w:ind w:firstLine="357"/>
        <w:spacing w:after="0" w:line="253" w:lineRule="auto"/>
        <w:rPr>
          <w:sz w:val="20"/>
          <w:szCs w:val="20"/>
          <w:color w:val="auto"/>
        </w:rPr>
      </w:pPr>
      <w:r>
        <w:rPr>
          <w:rFonts w:ascii="Arial" w:cs="Arial" w:eastAsia="Arial" w:hAnsi="Arial"/>
          <w:sz w:val="18"/>
          <w:szCs w:val="18"/>
          <w:color w:val="auto"/>
        </w:rPr>
        <w:t>Interest expense for the year ended December 31, 2017 was $6,456, which increased $1,351 from $5,105 for the year ended December 31, 2016, primarily as a result of interest on the MoBay Loan (as defined below) of $3,611 and $643 and Miami Loan (as defined below) of $2,845 and $1,803 for the years ended December 31, 2017 and December 31, 2016, respectively, net of capitalized interest recognized during construction in the year ended December 31, 2016. During 2017, we raised equity capital, which funded a majority of our capital expenditures resulting in a decrease in capitalized interest compared to December 31, 2016. The increase in interest expense is partially offset by the reduction of interest expense on the Corporate Loan which was repaid at maturity in June 2016.</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net</w:t>
      </w:r>
    </w:p>
    <w:p>
      <w:pPr>
        <w:spacing w:after="0" w:line="115" w:lineRule="exact"/>
        <w:rPr>
          <w:sz w:val="20"/>
          <w:szCs w:val="20"/>
          <w:color w:val="auto"/>
        </w:rPr>
      </w:pPr>
    </w:p>
    <w:p>
      <w:pPr>
        <w:ind w:right="400" w:firstLine="357"/>
        <w:spacing w:after="0" w:line="305" w:lineRule="auto"/>
        <w:rPr>
          <w:sz w:val="20"/>
          <w:szCs w:val="20"/>
          <w:color w:val="auto"/>
        </w:rPr>
      </w:pPr>
      <w:r>
        <w:rPr>
          <w:rFonts w:ascii="Arial" w:cs="Arial" w:eastAsia="Arial" w:hAnsi="Arial"/>
          <w:sz w:val="17"/>
          <w:szCs w:val="17"/>
          <w:color w:val="auto"/>
        </w:rPr>
        <w:t>Other income, net for the year ended December 31, 2017 was ($301) which increased $248 from ($53) for the year-ended December 31, 2016, primarily as a result of an increase in interest income and realized foreign currency gain.</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Loss on extinguishment of debt</w:t>
      </w:r>
    </w:p>
    <w:p>
      <w:pPr>
        <w:spacing w:after="0" w:line="115" w:lineRule="exact"/>
        <w:rPr>
          <w:sz w:val="20"/>
          <w:szCs w:val="20"/>
          <w:color w:val="auto"/>
        </w:rPr>
      </w:pPr>
    </w:p>
    <w:p>
      <w:pPr>
        <w:ind w:right="300" w:firstLine="357"/>
        <w:spacing w:after="0" w:line="274" w:lineRule="auto"/>
        <w:rPr>
          <w:sz w:val="20"/>
          <w:szCs w:val="20"/>
          <w:color w:val="auto"/>
        </w:rPr>
      </w:pPr>
      <w:r>
        <w:rPr>
          <w:rFonts w:ascii="Arial" w:cs="Arial" w:eastAsia="Arial" w:hAnsi="Arial"/>
          <w:sz w:val="18"/>
          <w:szCs w:val="18"/>
          <w:color w:val="auto"/>
        </w:rPr>
        <w:t>Loss on extinguishment of debt for the year ended December 31, 2016 was $1,177, which was recognized as a result of the extinguishment of the Corporate Loan on June 3, 2016.</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provision (benefit)</w:t>
      </w:r>
    </w:p>
    <w:p>
      <w:pPr>
        <w:spacing w:after="0" w:line="115" w:lineRule="exact"/>
        <w:rPr>
          <w:sz w:val="20"/>
          <w:szCs w:val="20"/>
          <w:color w:val="auto"/>
        </w:rPr>
      </w:pPr>
    </w:p>
    <w:p>
      <w:pPr>
        <w:ind w:right="40" w:firstLine="357"/>
        <w:spacing w:after="0" w:line="305" w:lineRule="auto"/>
        <w:rPr>
          <w:sz w:val="20"/>
          <w:szCs w:val="20"/>
          <w:color w:val="auto"/>
        </w:rPr>
      </w:pPr>
      <w:r>
        <w:rPr>
          <w:rFonts w:ascii="Arial" w:cs="Arial" w:eastAsia="Arial" w:hAnsi="Arial"/>
          <w:sz w:val="17"/>
          <w:szCs w:val="17"/>
          <w:color w:val="auto"/>
        </w:rPr>
        <w:t>Tax provision (benefit) for the year ended December 31, 2017 was $526, which increased $887 from ($361) for the year ended December 31, 2016 due to a decrease in net taxable losses in foreign jurisdiction when comparing 2017 to 2016.</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119" w:lineRule="exact"/>
        <w:rPr>
          <w:sz w:val="20"/>
          <w:szCs w:val="20"/>
          <w:color w:val="auto"/>
        </w:rPr>
      </w:pPr>
    </w:p>
    <w:p>
      <w:pPr>
        <w:ind w:right="200" w:firstLine="357"/>
        <w:spacing w:after="0" w:line="274"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in the future, principally for the following reasons:</w:t>
      </w:r>
    </w:p>
    <w:p>
      <w:pPr>
        <w:spacing w:after="0" w:line="64" w:lineRule="exact"/>
        <w:rPr>
          <w:sz w:val="20"/>
          <w:szCs w:val="20"/>
          <w:color w:val="auto"/>
        </w:rPr>
      </w:pPr>
    </w:p>
    <w:p>
      <w:pPr>
        <w:ind w:left="700" w:hanging="346"/>
        <w:spacing w:after="0" w:line="271" w:lineRule="auto"/>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historical financial results only include our Miami Facility and our Montego Bay Terminal. </w:t>
      </w:r>
      <w:r>
        <w:rPr>
          <w:rFonts w:ascii="Arial" w:cs="Arial" w:eastAsia="Arial" w:hAnsi="Arial"/>
          <w:sz w:val="17"/>
          <w:szCs w:val="17"/>
          <w:color w:val="auto"/>
        </w:rPr>
        <w:t>Our historical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only include our Miami Facility and our Montego Bay Terminal and do not include future revenue resulting from long-term contracts with downstream customers, expected from projects under development, including the Old Harbour Power Plant, the CHP Plant, the San Juan Facility, the La Paz Terminal and the Pennsylvania Facility and any other future liquefiers and downstream facilities that we may develop. Some of these development projects are expected to be completed and operational as early as January 2019.</w:t>
      </w:r>
    </w:p>
    <w:p>
      <w:pPr>
        <w:spacing w:after="0" w:line="30" w:lineRule="exact"/>
        <w:rPr>
          <w:rFonts w:ascii="Arial" w:cs="Arial" w:eastAsia="Arial" w:hAnsi="Arial"/>
          <w:sz w:val="17"/>
          <w:szCs w:val="17"/>
          <w:color w:val="auto"/>
        </w:rPr>
      </w:pPr>
    </w:p>
    <w:p>
      <w:pPr>
        <w:ind w:left="720" w:right="40"/>
        <w:spacing w:after="0" w:line="273" w:lineRule="auto"/>
        <w:rPr>
          <w:rFonts w:ascii="Arial" w:cs="Arial" w:eastAsia="Arial" w:hAnsi="Arial"/>
          <w:sz w:val="17"/>
          <w:szCs w:val="17"/>
          <w:color w:val="auto"/>
        </w:rPr>
      </w:pPr>
      <w:r>
        <w:rPr>
          <w:rFonts w:ascii="Arial" w:cs="Arial" w:eastAsia="Arial" w:hAnsi="Arial"/>
          <w:sz w:val="17"/>
          <w:szCs w:val="17"/>
          <w:color w:val="auto"/>
        </w:rPr>
        <w:t>In addition, we currently purchase the majority of our supply of LNG from third parties. For the year ended December 31, 2017, our first full year of commercial operations, we sourced 94.1% of our LNG volumes from third parties. NFE is in the process of developing in-basin liquefaction facilities that will vertically integrate our supply and substantially reduce the need to source LNG from third parties; this, combined with lower cost production, should significantly impact our results of operations and cash flows from both contracted and expected downstream sales.</w:t>
      </w:r>
    </w:p>
    <w:p>
      <w:pPr>
        <w:spacing w:after="0" w:line="68" w:lineRule="exact"/>
        <w:rPr>
          <w:rFonts w:ascii="Arial" w:cs="Arial" w:eastAsia="Arial" w:hAnsi="Arial"/>
          <w:sz w:val="17"/>
          <w:szCs w:val="17"/>
          <w:color w:val="auto"/>
        </w:rPr>
      </w:pPr>
    </w:p>
    <w:p>
      <w:pPr>
        <w:ind w:left="700" w:right="180" w:hanging="346"/>
        <w:spacing w:after="0" w:line="269" w:lineRule="auto"/>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expect to incur incremental, selling, general and administrative expenses related to our transition to a publicly traded company. </w:t>
      </w:r>
      <w:r>
        <w:rPr>
          <w:rFonts w:ascii="Arial" w:cs="Arial" w:eastAsia="Arial" w:hAnsi="Arial"/>
          <w:sz w:val="17"/>
          <w:szCs w:val="17"/>
          <w:color w:val="auto"/>
        </w:rPr>
        <w:t>Upon completion of this offering, we expect to incur direct, incremental general and administrative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as a result of being a publicly traded company, including costs associated with the employment of additional personnel, compliance under the Exchange Act, annual and quarterly reports to common shareholders, registrar and transfer agent fees, national stock exchange fees, the costs associated with the initial implementation of our Sarbanes-Oxley Section 404 internal controls and testing, audit fees, incremental director and officer liability insurance costs and director and officer compensation. These direct, incremental general and administrative expenses are not included in our historical results of operations.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right="100" w:firstLine="357"/>
        <w:spacing w:after="0" w:line="271" w:lineRule="auto"/>
        <w:rPr>
          <w:sz w:val="20"/>
          <w:szCs w:val="20"/>
          <w:color w:val="auto"/>
        </w:rPr>
      </w:pPr>
      <w:r>
        <w:rPr>
          <w:rFonts w:ascii="Arial" w:cs="Arial" w:eastAsia="Arial" w:hAnsi="Arial"/>
          <w:sz w:val="17"/>
          <w:szCs w:val="17"/>
          <w:color w:val="auto"/>
        </w:rPr>
        <w:t>We expect to fund our current operations and continued development of additional facilities through a combination of cash on hand, additional debt and the proceeds from this offering. We also have the flexibility to opportunistically sell one or more assets to generate additional liquidity, though we have not determined to sell any specific assets at this time. We expect to make significant capital expenditures to build out our terminals and liquefaction facilities. The proceeds of the Term Loan Facility funded in December 2018 will be used to make capital expenditures to complete the San Juan Facility, as well as for additional storage and regasification facilities for small-scale customers.</w:t>
      </w:r>
    </w:p>
    <w:p>
      <w:pPr>
        <w:spacing w:after="0" w:line="71" w:lineRule="exact"/>
        <w:rPr>
          <w:sz w:val="20"/>
          <w:szCs w:val="20"/>
          <w:color w:val="auto"/>
        </w:rPr>
      </w:pPr>
    </w:p>
    <w:p>
      <w:pPr>
        <w:ind w:right="80" w:firstLine="357"/>
        <w:spacing w:after="0" w:line="253" w:lineRule="auto"/>
        <w:rPr>
          <w:sz w:val="20"/>
          <w:szCs w:val="20"/>
          <w:color w:val="auto"/>
        </w:rPr>
      </w:pPr>
      <w:r>
        <w:rPr>
          <w:rFonts w:ascii="Arial" w:cs="Arial" w:eastAsia="Arial" w:hAnsi="Arial"/>
          <w:sz w:val="18"/>
          <w:szCs w:val="18"/>
          <w:color w:val="auto"/>
        </w:rPr>
        <w:t>We believe that our cash resources will be sufficient to meet our committed capital expenditures as well as for additional storage and regasification facilities for small-scale customers, our financing obligations and our operating requirements for the next twelve months. Our business plan also includes significant capital expenditures to develop the Pennsylvania Facility, the San Juan Facility and the La Paz Terminal. See “Use of Proceeds.” We plan to finance these projects using proceeds from this offering and additional debt and equity financing as well as potential asset sales. If we are unable to complete this offering or if we are unable to secure additional funding, we may be unable to fully execute our business plan, and our financial condition or results of operations may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to our cash flows for the nine months ended September 30: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Change</w:t>
            </w:r>
          </w:p>
        </w:tc>
      </w:tr>
      <w:tr>
        <w:trPr>
          <w:trHeight w:val="241"/>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266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3780" w:type="dxa"/>
            <w:vAlign w:val="bottom"/>
          </w:tcPr>
          <w:p>
            <w:pPr>
              <w:spacing w:after="0"/>
              <w:rPr>
                <w:sz w:val="20"/>
                <w:szCs w:val="20"/>
                <w:color w:val="auto"/>
              </w:rPr>
            </w:pPr>
            <w:r>
              <w:rPr>
                <w:rFonts w:ascii="Arial" w:cs="Arial" w:eastAsia="Arial" w:hAnsi="Arial"/>
                <w:sz w:val="18"/>
                <w:szCs w:val="18"/>
                <w:color w:val="auto"/>
              </w:rPr>
              <w:t>Operating activities</w:t>
            </w:r>
          </w:p>
        </w:tc>
        <w:tc>
          <w:tcPr>
            <w:tcW w:w="2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(53,156)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(35,983)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(17,173)</w:t>
            </w:r>
          </w:p>
        </w:tc>
      </w:tr>
      <w:tr>
        <w:trPr>
          <w:trHeight w:val="248"/>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6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(105,152)</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(36,109)</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(69,043)</w:t>
            </w:r>
          </w:p>
        </w:tc>
      </w:tr>
      <w:tr>
        <w:trPr>
          <w:trHeight w:val="228"/>
        </w:trPr>
        <w:tc>
          <w:tcPr>
            <w:tcW w:w="3780" w:type="dxa"/>
            <w:vAlign w:val="bottom"/>
          </w:tcPr>
          <w:p>
            <w:pPr>
              <w:spacing w:after="0"/>
              <w:rPr>
                <w:sz w:val="20"/>
                <w:szCs w:val="20"/>
                <w:color w:val="auto"/>
              </w:rPr>
            </w:pPr>
            <w:r>
              <w:rPr>
                <w:rFonts w:ascii="Arial" w:cs="Arial" w:eastAsia="Arial" w:hAnsi="Arial"/>
                <w:sz w:val="18"/>
                <w:szCs w:val="18"/>
                <w:color w:val="auto"/>
              </w:rPr>
              <w:t>Financing activities</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125,503</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(7,056)</w:t>
            </w: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132,559</w:t>
            </w:r>
          </w:p>
        </w:tc>
      </w:tr>
      <w:tr>
        <w:trPr>
          <w:trHeight w:val="27"/>
        </w:trPr>
        <w:tc>
          <w:tcPr>
            <w:tcW w:w="3780" w:type="dxa"/>
            <w:vAlign w:val="bottom"/>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75"/>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66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46,343</w:t>
            </w:r>
          </w:p>
        </w:tc>
      </w:tr>
      <w:tr>
        <w:trPr>
          <w:trHeight w:val="430"/>
        </w:trPr>
        <w:tc>
          <w:tcPr>
            <w:tcW w:w="3780" w:type="dxa"/>
            <w:vAlign w:val="bottom"/>
            <w:tcBorders>
              <w:top w:val="single" w:sz="8" w:color="CCEEFF"/>
            </w:tcBorders>
          </w:tcPr>
          <w:p>
            <w:pPr>
              <w:spacing w:after="0"/>
              <w:rPr>
                <w:sz w:val="24"/>
                <w:szCs w:val="24"/>
                <w:color w:val="auto"/>
              </w:rPr>
            </w:pPr>
          </w:p>
        </w:tc>
        <w:tc>
          <w:tcPr>
            <w:tcW w:w="2660" w:type="dxa"/>
            <w:vAlign w:val="bottom"/>
            <w:tcBorders>
              <w:top w:val="single" w:sz="8" w:color="CCEEFF"/>
            </w:tcBorders>
          </w:tcPr>
          <w:p>
            <w:pPr>
              <w:jc w:val="right"/>
              <w:ind w:right="1511"/>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442"/>
        </w:trPr>
        <w:tc>
          <w:tcPr>
            <w:tcW w:w="3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7"/>
        </w:trPr>
        <w:tc>
          <w:tcPr>
            <w:tcW w:w="3780" w:type="dxa"/>
            <w:vAlign w:val="bottom"/>
            <w:shd w:val="clear" w:color="auto" w:fill="000000"/>
          </w:tcPr>
          <w:p>
            <w:pPr>
              <w:spacing w:after="0"/>
              <w:rPr>
                <w:sz w:val="5"/>
                <w:szCs w:val="5"/>
                <w:color w:val="auto"/>
              </w:rPr>
            </w:pPr>
          </w:p>
        </w:tc>
        <w:tc>
          <w:tcPr>
            <w:tcW w:w="266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cash flow used in operating activities was $53,156 in the nine months ended September 30, 2018, which increased by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$17,173 from $35,983 in the nine months ended September 30, 2017. For both nine month periods ended September 30, 2018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2017, we had net loss that comprised a significant portion of cash used in operating activities due to the continued expansion of our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operations in Jamaica. A significant portion of the increase in cash used in operations was attributed to increases in other operating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assets accounts.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cash flow used in investing activities was $105,152 in the nine months ended September 30, 2018, which increased by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$69,043 from $36,109 in the nine months ended September 30, 2017. The increase in cash flow used in investing activities is due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significant cash expenditures incurred in 2018 related to construction of the regasification terminal to support JPC’s Old Harbour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Power Plant.</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115"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Our cash flow provided by financing activities was $125,503 in the nine months ended September 30, 2018, which increased by $132,559 from $(7,056) in the nine months ended September 30, 2017. The increase in cash flow provided by financing activities is due to cash received from debt proceeds offset by cash payments of deferred financing costs and repayments of debt. In December 2017, the Company undertook an additional capital raise of $70,100 of which $50,000 of cash was received in January 2018. The Company also issued 665,843 shares in January 2018 for $20,150 in proceeds. These capital contributions were offset by principal payments on the Miami Loan and the MoBay Loan of $4,371. On August 16, 2018, the Company entered into the Term Loan Facility to borrow an aggregate principal amount of $240,000. Through September 30, 2018, the Company had drawn $130,000 of the total available amount and used these proceeds to repay both the Miami Loan and the MoBay Loan.</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to our cash flows for the years ended December 31: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r>
      <w:tr>
        <w:trPr>
          <w:trHeight w:val="241"/>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24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(54,892)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(43,493)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(11,399)</w:t>
            </w:r>
          </w:p>
        </w:tc>
      </w:tr>
      <w:tr>
        <w:trPr>
          <w:trHeight w:val="248"/>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(52,396)</w:t>
            </w:r>
          </w:p>
        </w:tc>
        <w:tc>
          <w:tcPr>
            <w:tcW w:w="22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(104,040)</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51,644</w:t>
            </w:r>
          </w:p>
        </w:tc>
      </w:tr>
      <w:tr>
        <w:trPr>
          <w:trHeight w:val="228"/>
        </w:trPr>
        <w:tc>
          <w:tcPr>
            <w:tcW w:w="5980" w:type="dxa"/>
            <w:vAlign w:val="bottom"/>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11,346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277,699</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(266,353)</w:t>
            </w:r>
          </w:p>
        </w:tc>
      </w:tr>
      <w:tr>
        <w:trPr>
          <w:trHeight w:val="27"/>
        </w:trPr>
        <w:tc>
          <w:tcPr>
            <w:tcW w:w="59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(95,942)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130,166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(226,108)</w:t>
            </w:r>
          </w:p>
        </w:tc>
      </w:tr>
      <w:tr>
        <w:trPr>
          <w:trHeight w:val="27"/>
        </w:trPr>
        <w:tc>
          <w:tcPr>
            <w:tcW w:w="59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5" w:lineRule="exact"/>
        <w:rPr>
          <w:sz w:val="20"/>
          <w:szCs w:val="20"/>
          <w:color w:val="auto"/>
        </w:rPr>
      </w:pPr>
    </w:p>
    <w:p>
      <w:pPr>
        <w:ind w:right="240" w:firstLine="357"/>
        <w:spacing w:after="0" w:line="299" w:lineRule="auto"/>
        <w:rPr>
          <w:sz w:val="20"/>
          <w:szCs w:val="20"/>
          <w:color w:val="auto"/>
        </w:rPr>
      </w:pPr>
      <w:r>
        <w:rPr>
          <w:rFonts w:ascii="Arial" w:cs="Arial" w:eastAsia="Arial" w:hAnsi="Arial"/>
          <w:sz w:val="16"/>
          <w:szCs w:val="16"/>
          <w:color w:val="auto"/>
        </w:rPr>
        <w:t>Our cash flow used in operating activities was $54,892 in 2017, which increased by $11,399 from $43,493 in 2016. For both the year ended December 2017 and 2016, we had net loss that comprised a significant portion of cash used in operating activities due to the continued expansion of our operations in Jamaica. A significant portion of cash used in operations for the year ended December 31, 2017 was attributed to an increase in deposits attributed to a prepayment for LNG supply.</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5" w:lineRule="exact"/>
        <w:rPr>
          <w:sz w:val="20"/>
          <w:szCs w:val="20"/>
          <w:color w:val="auto"/>
        </w:rPr>
      </w:pPr>
    </w:p>
    <w:p>
      <w:pPr>
        <w:ind w:right="40" w:firstLine="357"/>
        <w:spacing w:after="0" w:line="291" w:lineRule="auto"/>
        <w:rPr>
          <w:sz w:val="20"/>
          <w:szCs w:val="20"/>
          <w:color w:val="auto"/>
        </w:rPr>
      </w:pPr>
      <w:r>
        <w:rPr>
          <w:rFonts w:ascii="Arial" w:cs="Arial" w:eastAsia="Arial" w:hAnsi="Arial"/>
          <w:sz w:val="16"/>
          <w:szCs w:val="16"/>
          <w:color w:val="auto"/>
        </w:rPr>
        <w:t>Our cash flow used in investing activities was $52,396 in 2017, which decreased by $51,644 from $104,040 in 2016. The decrease in cash flow used in investing activities is due to significant cash expenditures incurred in 2016 as the Company completed construction of its Miami Facility and its Montego Bay Terminal. The decrease was offset by construction that began in 2017 on JPC’s Old Harbour Power Plant in Old Harbour, Jamaica (the “Old Harbour Power Plant”) resulting in approximately $28,500 in capital expenditures. The decrease was also partially offset by a restriction of $15,000 as collateral posted for performance under a gas sales agreement with a customer, and $7,000 of collateral posted with LNG suppliers for an upcoming delivery.</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5"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Our cash flow provided by financing activities was $11,346 in 2017, which decreased by $266,353 from $277,699 in 2016. The decrease in cash flow provided by financing activities is due to the Company issuing Class A shares in June 2016 in exchange for $300,505. The Company also received additional borrowings under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MoBay Loan of $44,000. The receipt of debt and equity capital in 2016 was offset by the repayment of Corporate Loan of</w:t>
      </w:r>
    </w:p>
    <w:p>
      <w:pPr>
        <w:spacing w:after="0" w:line="34"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$65,000. In December 2017, the Company undertook an additional capital raise of $70,100 of which $20,100 of cash was received during the year and the remainder in January 2018. This capital contribution was offset by principal payments on the Miami Loan and the MoBay Loan of $5,828.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5" w:lineRule="exact"/>
        <w:rPr>
          <w:sz w:val="20"/>
          <w:szCs w:val="20"/>
          <w:color w:val="auto"/>
        </w:rPr>
      </w:pPr>
    </w:p>
    <w:p>
      <w:pPr>
        <w:ind w:firstLine="357"/>
        <w:spacing w:after="0" w:line="280" w:lineRule="auto"/>
        <w:rPr>
          <w:sz w:val="20"/>
          <w:szCs w:val="20"/>
          <w:color w:val="auto"/>
        </w:rPr>
      </w:pPr>
      <w:r>
        <w:rPr>
          <w:rFonts w:ascii="Arial" w:cs="Arial" w:eastAsia="Arial" w:hAnsi="Arial"/>
          <w:sz w:val="16"/>
          <w:szCs w:val="16"/>
          <w:color w:val="auto"/>
        </w:rPr>
        <w:t>On August 16, 2018, the Company entered into a Term Loan Facility (as may be amended, from time to time, the “Term Loan Facility”) to borrow term loans, available in three draws, up to an aggregate principal amount of $240,000. On December 31, 2018, the Company amended its Term Loan Facility to, among other things, (i) increase the amount available for borrowing thereunder from $240,000 to $500,000, (ii) extend the initial maturity date to December 31, 2019, (iii) modify certain provisions relating to restrictive covenants and existing financial covenants, and (iv) remove the mandatory prepayment required with the net proceeds received in connection with an initial public offering. Borrowings under the Term Loan Facility bear interest at a rate selected by the Company of either (i) a LIBOR based rate, plus a spread of 4.0%, or (ii) subject to a floor of 1%, a Base Rate equal to the highest of</w:t>
      </w:r>
    </w:p>
    <w:p>
      <w:pPr>
        <w:spacing w:after="0" w:line="2" w:lineRule="exact"/>
        <w:rPr>
          <w:sz w:val="20"/>
          <w:szCs w:val="20"/>
          <w:color w:val="auto"/>
        </w:rPr>
      </w:pPr>
    </w:p>
    <w:p>
      <w:pPr>
        <w:ind w:right="60" w:firstLine="5"/>
        <w:spacing w:after="0" w:line="248" w:lineRule="auto"/>
        <w:tabs>
          <w:tab w:leader="none" w:pos="2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Prime Rate, (b) the Federal Funds Rate plus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2</w:t>
      </w:r>
      <w:r>
        <w:rPr>
          <w:rFonts w:ascii="Arial" w:cs="Arial" w:eastAsia="Arial" w:hAnsi="Arial"/>
          <w:sz w:val="17"/>
          <w:szCs w:val="17"/>
          <w:color w:val="auto"/>
        </w:rPr>
        <w:t xml:space="preserve"> of 1% or (c) the 1-month LIBOR rate plus the difference between the applicable LIBOR margin and Base Rate margin, plus a spread of 3.0%. The Term Loan Facility contains certain covenants that require additional contracted revenue to be obtained within certain time periods, and an event of default or additional fee payments may result if those targets are not met in the future. The Term Loan Facility is set to mature on December 31, 2019 and is repayable in quarterly installments of $1,250, with a balloon payment due on the maturity date. The Company has the option to extend the maturity date for two additional six month periods; upon the exercise of each extension option, the interest rate spread on LIBOR and Base Rate increases by 0.5%. To exercise each extension option, the Company must pay a fee equal to 1.0% of the outstanding principal balance at the time of the exercise of the option.</w:t>
      </w:r>
    </w:p>
    <w:p>
      <w:pPr>
        <w:spacing w:after="0" w:line="89" w:lineRule="exact"/>
        <w:rPr>
          <w:sz w:val="20"/>
          <w:szCs w:val="20"/>
          <w:color w:val="auto"/>
        </w:rPr>
      </w:pPr>
    </w:p>
    <w:p>
      <w:pPr>
        <w:ind w:right="120" w:firstLine="357"/>
        <w:spacing w:after="0" w:line="299"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on indebtedness, liens, acquisitions and investments, restricted payments and dispositions. The Term Loan Facility also provides for customary events of default, prepayment and cure provisions.</w:t>
      </w:r>
    </w:p>
    <w:p>
      <w:pPr>
        <w:spacing w:after="0" w:line="49" w:lineRule="exact"/>
        <w:rPr>
          <w:sz w:val="20"/>
          <w:szCs w:val="20"/>
          <w:color w:val="auto"/>
        </w:rPr>
      </w:pPr>
    </w:p>
    <w:p>
      <w:pPr>
        <w:ind w:right="420" w:firstLine="357"/>
        <w:spacing w:after="0" w:line="261" w:lineRule="auto"/>
        <w:rPr>
          <w:sz w:val="20"/>
          <w:szCs w:val="20"/>
          <w:color w:val="auto"/>
        </w:rPr>
      </w:pPr>
      <w:r>
        <w:rPr>
          <w:rFonts w:ascii="Arial" w:cs="Arial" w:eastAsia="Arial" w:hAnsi="Arial"/>
          <w:sz w:val="18"/>
          <w:szCs w:val="18"/>
          <w:color w:val="auto"/>
        </w:rPr>
        <w:t>As of December 31, 2018, the total principal amount outstanding under the Term Loan Facility was $280,000. Future borrowing capacity of $220,000 under the Term Loan Facility is subject to a delayed draw feature that expires on February 15, 2019. We expect to borrow under the delayed draw prior to its expiration.</w:t>
      </w:r>
    </w:p>
    <w:p>
      <w:pPr>
        <w:spacing w:after="0" w:line="76" w:lineRule="exact"/>
        <w:rPr>
          <w:sz w:val="20"/>
          <w:szCs w:val="20"/>
          <w:color w:val="auto"/>
        </w:rPr>
      </w:pPr>
    </w:p>
    <w:p>
      <w:pPr>
        <w:ind w:right="80" w:firstLine="357"/>
        <w:spacing w:after="0" w:line="257" w:lineRule="auto"/>
        <w:rPr>
          <w:sz w:val="20"/>
          <w:szCs w:val="20"/>
          <w:color w:val="auto"/>
        </w:rPr>
      </w:pPr>
      <w:r>
        <w:rPr>
          <w:rFonts w:ascii="Arial" w:cs="Arial" w:eastAsia="Arial" w:hAnsi="Arial"/>
          <w:sz w:val="18"/>
          <w:szCs w:val="18"/>
          <w:color w:val="auto"/>
        </w:rPr>
        <w:t>The Company used the net proceeds of the Term Loan Facility to repay the Miami Loan and the Mobay Loan in full during August 2018 and September 2018, respectively. The proceeds of the Term Loan Facility funded on or after December 31, 2018 will be used to make capital expenditures to complete the San Juan Facility, as well as for additional storage and regasification facilities for small-scale customers.</w:t>
      </w:r>
    </w:p>
    <w:p>
      <w:pPr>
        <w:spacing w:after="0" w:line="79" w:lineRule="exact"/>
        <w:rPr>
          <w:sz w:val="20"/>
          <w:szCs w:val="20"/>
          <w:color w:val="auto"/>
        </w:rPr>
      </w:pPr>
    </w:p>
    <w:p>
      <w:pPr>
        <w:jc w:val="both"/>
        <w:ind w:right="520" w:firstLine="357"/>
        <w:spacing w:after="0" w:line="261" w:lineRule="auto"/>
        <w:rPr>
          <w:sz w:val="20"/>
          <w:szCs w:val="20"/>
          <w:color w:val="auto"/>
        </w:rPr>
      </w:pPr>
      <w:r>
        <w:rPr>
          <w:rFonts w:ascii="Arial" w:cs="Arial" w:eastAsia="Arial" w:hAnsi="Arial"/>
          <w:sz w:val="18"/>
          <w:szCs w:val="18"/>
          <w:color w:val="auto"/>
        </w:rPr>
        <w:t>Following completion of this offering, we intend to seek to refinance the Term Loan Facility, including to increase total available borrowings. We cannot assure you whether we will be able to successfully refinance such facility, or the final terms thereof, including the ability to increase amounts available for borrowing.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Loan Agreement</w:t>
      </w:r>
    </w:p>
    <w:p>
      <w:pPr>
        <w:spacing w:after="0" w:line="115" w:lineRule="exact"/>
        <w:rPr>
          <w:sz w:val="20"/>
          <w:szCs w:val="20"/>
          <w:color w:val="auto"/>
        </w:rPr>
      </w:pPr>
    </w:p>
    <w:p>
      <w:pPr>
        <w:ind w:right="120" w:firstLine="357"/>
        <w:spacing w:after="0" w:line="255" w:lineRule="auto"/>
        <w:rPr>
          <w:sz w:val="20"/>
          <w:szCs w:val="20"/>
          <w:color w:val="auto"/>
        </w:rPr>
      </w:pPr>
      <w:r>
        <w:rPr>
          <w:rFonts w:ascii="Arial" w:cs="Arial" w:eastAsia="Arial" w:hAnsi="Arial"/>
          <w:sz w:val="18"/>
          <w:szCs w:val="18"/>
          <w:color w:val="auto"/>
        </w:rPr>
        <w:t>In June 2016, NFE North Holdings Limited (“NFE North”), a wholly owned subsidiary of the Company entered into a syndicated loan agreement (the “MoBay Loan Agreement”) providing for a $44,000 term loan facility (the “MoBay Loan”) in connection with the construction and development of the Montego Bay Terminal and related infrastructure. The maturity date for each loan drawn under the MoBay Loan was the day immediately preceding the seventh anniversary of the drawdown date of such loan.</w:t>
      </w:r>
    </w:p>
    <w:p>
      <w:pPr>
        <w:spacing w:after="0" w:line="81"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Outstanding amounts under the MoBay Loan accrued interest at a per annum rate of 8.10%. The MoBay Loan could be prepaid at any time, upon 30 days’ prior written notice to the agent, subject to a prepayment fee of 2% of any amount being prepaid during the one year period from the date of the first loan drawdown of the MoBay Loan, or 1% of any amount being prepaid during the period commencing one year from the date of the first loan drawdown of the MoBay Loan and expiring on the fifth anniversary of such date.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During the construction period of certain projects in 2016, related interest expense and borrowings costs were capitalized.</w:t>
      </w:r>
    </w:p>
    <w:p>
      <w:pPr>
        <w:spacing w:after="0" w:line="126" w:lineRule="exact"/>
        <w:rPr>
          <w:sz w:val="20"/>
          <w:szCs w:val="20"/>
          <w:color w:val="auto"/>
        </w:rPr>
      </w:pPr>
    </w:p>
    <w:p>
      <w:pPr>
        <w:ind w:right="100" w:firstLine="357"/>
        <w:spacing w:after="0" w:line="284" w:lineRule="auto"/>
        <w:rPr>
          <w:sz w:val="20"/>
          <w:szCs w:val="20"/>
          <w:color w:val="auto"/>
        </w:rPr>
      </w:pPr>
      <w:r>
        <w:rPr>
          <w:rFonts w:ascii="Arial" w:cs="Arial" w:eastAsia="Arial" w:hAnsi="Arial"/>
          <w:sz w:val="17"/>
          <w:szCs w:val="17"/>
          <w:color w:val="auto"/>
        </w:rPr>
        <w:t>Interest expense, inclusive of amortized debt fees for the nine months ended September 30, 2018 and 2017, totaled $2,402 and $2,735 respectively. Interest expense, inclusive of amortized debt fees for the years ended December 31, 2017 and 2016, totaled $3,611 and $1,990, respectively, of which $0 and $1,347 respectively, was capitalized as a finance lease.</w:t>
      </w:r>
    </w:p>
    <w:p>
      <w:pPr>
        <w:spacing w:after="0" w:line="57" w:lineRule="exact"/>
        <w:rPr>
          <w:sz w:val="20"/>
          <w:szCs w:val="20"/>
          <w:color w:val="auto"/>
        </w:rPr>
      </w:pPr>
    </w:p>
    <w:p>
      <w:pPr>
        <w:ind w:right="240" w:firstLine="357"/>
        <w:spacing w:after="0" w:line="274" w:lineRule="auto"/>
        <w:rPr>
          <w:sz w:val="20"/>
          <w:szCs w:val="20"/>
          <w:color w:val="auto"/>
        </w:rPr>
      </w:pPr>
      <w:r>
        <w:rPr>
          <w:rFonts w:ascii="Arial" w:cs="Arial" w:eastAsia="Arial" w:hAnsi="Arial"/>
          <w:sz w:val="18"/>
          <w:szCs w:val="18"/>
          <w:color w:val="auto"/>
        </w:rPr>
        <w:t>Financial covenants stipulated by the MoBay Loan Agreement were not effective until December 31, 2017. As of December 31, 2017, NFE North was in compliance with all covenants under this agreement.</w:t>
      </w:r>
    </w:p>
    <w:p>
      <w:pPr>
        <w:spacing w:after="0" w:line="64" w:lineRule="exact"/>
        <w:rPr>
          <w:sz w:val="20"/>
          <w:szCs w:val="20"/>
          <w:color w:val="auto"/>
        </w:rPr>
      </w:pPr>
    </w:p>
    <w:p>
      <w:pPr>
        <w:ind w:right="80" w:firstLine="357"/>
        <w:spacing w:after="0" w:line="294" w:lineRule="auto"/>
        <w:rPr>
          <w:sz w:val="20"/>
          <w:szCs w:val="20"/>
          <w:color w:val="auto"/>
        </w:rPr>
      </w:pPr>
      <w:r>
        <w:rPr>
          <w:rFonts w:ascii="Arial" w:cs="Arial" w:eastAsia="Arial" w:hAnsi="Arial"/>
          <w:sz w:val="16"/>
          <w:szCs w:val="16"/>
          <w:color w:val="auto"/>
        </w:rPr>
        <w:t>The Company used the net proceeds of the Term Loan Facility entered into in August 2018 to repay the MoBay Loan in full in September 2018. The Company was subject to a prepayment fee of 1% on the MoBay Loan, and paid $345 in September 2018 to lenders in conjunction with the repayment of the MoBay Loan. Unamortized deferred financing costs recorded as a reduction in long-term debt at the time of the repayment were $1,404. These unamortized deferred financing costs were written off in conjunction with the repayment and included within Loss on extinguishment of debt along with the prepayment penalty.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Loan Agreement</w:t>
      </w:r>
    </w:p>
    <w:p>
      <w:pPr>
        <w:spacing w:after="0" w:line="115" w:lineRule="exact"/>
        <w:rPr>
          <w:sz w:val="20"/>
          <w:szCs w:val="20"/>
          <w:color w:val="auto"/>
        </w:rPr>
      </w:pPr>
    </w:p>
    <w:p>
      <w:pPr>
        <w:ind w:right="100" w:firstLine="357"/>
        <w:spacing w:after="0" w:line="253" w:lineRule="auto"/>
        <w:rPr>
          <w:sz w:val="20"/>
          <w:szCs w:val="20"/>
          <w:color w:val="auto"/>
        </w:rPr>
      </w:pPr>
      <w:r>
        <w:rPr>
          <w:rFonts w:ascii="Arial" w:cs="Arial" w:eastAsia="Arial" w:hAnsi="Arial"/>
          <w:sz w:val="18"/>
          <w:szCs w:val="18"/>
          <w:color w:val="auto"/>
        </w:rPr>
        <w:t>In November 2014, LNG Holdings (Florida) LLC (“LHFL”), a controlled subsidiary, entered into a Credit Agreement (the “Miami Loan”) with a bank for an initial aggregate amount of $40,000, maturing on May 24, 2018, in connection with the construction of the Miami Facility. Borrowings under the loan bore interest at a rate selected by LHFL of either (i) a LIBOR based rate, with a floor of 1.00%, plus a spread of 5.00%, or (ii) subject to a floor of 2%, a Base Rate equal to the highest of (a) the Prime Rate, (b) the Federal Funds Rate plus ½ of 1% or (c) the 1-month LIBOR rate plus the difference between the applicable LIBOR margin and Base Rate margin, plus a spread of 4.00%. Subject to certain conditions, the Miami Loan could be extended for an additional term of up to 18 months.</w:t>
      </w:r>
    </w:p>
    <w:p>
      <w:pPr>
        <w:spacing w:after="0" w:line="82" w:lineRule="exact"/>
        <w:rPr>
          <w:sz w:val="20"/>
          <w:szCs w:val="20"/>
          <w:color w:val="auto"/>
        </w:rPr>
      </w:pPr>
    </w:p>
    <w:p>
      <w:pPr>
        <w:ind w:right="80" w:firstLine="357"/>
        <w:spacing w:after="0" w:line="274"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that time.</w:t>
      </w:r>
    </w:p>
    <w:p>
      <w:pPr>
        <w:spacing w:after="0" w:line="64"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The Miami Loan required periodic payments of interest on either a monthly, quarterly or semi-annual basis where LHFL selected the monthly interest rate option. In addition, with respect to LIBOR based borrowings, LHFL, at its option, could elect to defer up to ten interest periods outstanding at any point in time. The Miami Loan also required annual amortization in an amount equal to 1% of the amount outstanding. The Miami Loan could be prepaid without penalty after the first anniversary of the closing of the Miami Loan. At the time of the extinguishment of the debt in August 2018 and as of the years ended December 31, 2017 and 2016, interest was calculated based on 7.58%, 6.57% and 6.00%, as of the end of each respective period. Interest expense, inclusive of amortized debt fees for the nine months ended September 30, 2018 and 2017, totaled $1,989 and $2,106, respectively. Interest expense, inclusive of amortized debt fees for the years ended December 31, 2017 and 2016, totaled $2,845 and $2,740, respectively, of which $0 and $937 was capitalized.</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and 2016, LHFL was in compliance with all of the covenants under this agreement.</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used the net proceeds of the Term Loan Facility entered into in August 2018 to repay the Miami Loan in full in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August 2018. The outstanding principal balance at the time of the repayment was $38,707; the Company agreed to repay lenders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$37,255 to extinguish the liability, and as such, a gain on extinguishment of $1,452 was recorded within Loss on extinguishment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debt. The gain was partially offset by the write-off of unamortized deferred financing costs recorded as a reduction in long-term debt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of $321.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19" w:lineRule="exact"/>
        <w:rPr>
          <w:sz w:val="20"/>
          <w:szCs w:val="20"/>
          <w:color w:val="auto"/>
        </w:rPr>
      </w:pPr>
    </w:p>
    <w:p>
      <w:pPr>
        <w:ind w:right="140" w:firstLine="357"/>
        <w:spacing w:after="0" w:line="284" w:lineRule="auto"/>
        <w:rPr>
          <w:sz w:val="20"/>
          <w:szCs w:val="20"/>
          <w:color w:val="auto"/>
        </w:rPr>
      </w:pPr>
      <w:r>
        <w:rPr>
          <w:rFonts w:ascii="Arial" w:cs="Arial" w:eastAsia="Arial" w:hAnsi="Arial"/>
          <w:sz w:val="17"/>
          <w:szCs w:val="17"/>
          <w:color w:val="auto"/>
        </w:rPr>
        <w:t>As of September 30, 2018 and December 31, 2017, other than operating leases and certain contractual obligations for the purchase of LNG and natural gas, we had no transactions that met the definition of off-balance sheet arrangements that may have a current or future material effect on our consolidated financial position or operating results.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9" w:lineRule="exact"/>
        <w:rPr>
          <w:sz w:val="20"/>
          <w:szCs w:val="20"/>
          <w:color w:val="auto"/>
        </w:rPr>
      </w:pPr>
    </w:p>
    <w:p>
      <w:pPr>
        <w:ind w:right="260" w:firstLine="357"/>
        <w:spacing w:after="0" w:line="274" w:lineRule="auto"/>
        <w:rPr>
          <w:sz w:val="20"/>
          <w:szCs w:val="20"/>
          <w:color w:val="auto"/>
        </w:rPr>
      </w:pPr>
      <w:r>
        <w:rPr>
          <w:rFonts w:ascii="Arial" w:cs="Arial" w:eastAsia="Arial" w:hAnsi="Arial"/>
          <w:sz w:val="18"/>
          <w:szCs w:val="18"/>
          <w:color w:val="auto"/>
        </w:rPr>
        <w:t>We are committed to make cash payments in the future pursuant to certain of our contracts. The following table summarizes certain contractual obligations in place as of December 31,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Less than</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More than</w:t>
            </w:r>
          </w:p>
        </w:tc>
      </w:tr>
      <w:tr>
        <w:trPr>
          <w:trHeight w:val="177"/>
        </w:trPr>
        <w:tc>
          <w:tcPr>
            <w:tcW w:w="4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8"/>
              </w:rPr>
              <w:t>1 year</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 to 3</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4 to 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c>
          <w:tcPr>
            <w:tcW w:w="100" w:type="dxa"/>
            <w:vAlign w:val="bottom"/>
          </w:tcPr>
          <w:p>
            <w:pPr>
              <w:spacing w:after="0"/>
              <w:rPr>
                <w:sz w:val="15"/>
                <w:szCs w:val="15"/>
                <w:color w:val="auto"/>
              </w:rPr>
            </w:pPr>
          </w:p>
        </w:tc>
      </w:tr>
      <w:tr>
        <w:trPr>
          <w:trHeight w:val="24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89,820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11,548</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54,005</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10,793</w:t>
            </w:r>
          </w:p>
        </w:tc>
      </w:t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59,650</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57,344</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2,306</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8"/>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55,099</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15,470</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4,113</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4,474</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31,042</w:t>
            </w:r>
          </w:p>
        </w:tc>
      </w:tr>
    </w:tbl>
    <w:p>
      <w:pPr>
        <w:spacing w:after="0" w:line="93" w:lineRule="exact"/>
        <w:rPr>
          <w:sz w:val="20"/>
          <w:szCs w:val="20"/>
          <w:color w:val="auto"/>
        </w:rPr>
      </w:pPr>
    </w:p>
    <w:p>
      <w:pPr>
        <w:ind w:right="260" w:firstLine="357"/>
        <w:spacing w:after="0" w:line="274" w:lineRule="auto"/>
        <w:rPr>
          <w:sz w:val="20"/>
          <w:szCs w:val="20"/>
          <w:color w:val="auto"/>
        </w:rPr>
      </w:pPr>
      <w:r>
        <w:rPr>
          <w:rFonts w:ascii="Arial" w:cs="Arial" w:eastAsia="Arial" w:hAnsi="Arial"/>
          <w:sz w:val="18"/>
          <w:szCs w:val="18"/>
          <w:color w:val="auto"/>
        </w:rPr>
        <w:t>As of September 30, 2018, there have been no material changes to the commitments and contractual obligations table above outside the ordinary course of business, except as noted below.</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Long-Term debt obligations</w:t>
      </w:r>
    </w:p>
    <w:p>
      <w:pPr>
        <w:spacing w:after="0" w:line="115" w:lineRule="exact"/>
        <w:rPr>
          <w:sz w:val="20"/>
          <w:szCs w:val="20"/>
          <w:color w:val="auto"/>
        </w:rPr>
      </w:pPr>
    </w:p>
    <w:p>
      <w:pPr>
        <w:ind w:right="140" w:firstLine="357"/>
        <w:spacing w:after="0" w:line="277" w:lineRule="auto"/>
        <w:rPr>
          <w:sz w:val="20"/>
          <w:szCs w:val="20"/>
          <w:color w:val="auto"/>
        </w:rPr>
      </w:pPr>
      <w:r>
        <w:rPr>
          <w:rFonts w:ascii="Arial" w:cs="Arial" w:eastAsia="Arial" w:hAnsi="Arial"/>
          <w:sz w:val="17"/>
          <w:szCs w:val="17"/>
          <w:color w:val="auto"/>
        </w:rPr>
        <w:t>For information on our long-term debt obligations, see “—Liquidity and Capital Resources—Long-Term Debt.” The amounts included in the table above are based on the total debt balance, scheduled maturities and interest rates in effect as of December 31, 2017. On May 16, 2018, the Company extended the maturity of the Miami Loan to November 2019; this extension of principal payments and the corresponding interest costs has been reflected in the table above.</w:t>
      </w:r>
    </w:p>
    <w:p>
      <w:pPr>
        <w:spacing w:after="0" w:line="63" w:lineRule="exact"/>
        <w:rPr>
          <w:sz w:val="20"/>
          <w:szCs w:val="20"/>
          <w:color w:val="auto"/>
        </w:rPr>
      </w:pPr>
    </w:p>
    <w:p>
      <w:pPr>
        <w:ind w:right="120" w:firstLine="357"/>
        <w:spacing w:after="0" w:line="285" w:lineRule="auto"/>
        <w:rPr>
          <w:sz w:val="20"/>
          <w:szCs w:val="20"/>
          <w:color w:val="auto"/>
        </w:rPr>
      </w:pPr>
      <w:r>
        <w:rPr>
          <w:rFonts w:ascii="Arial" w:cs="Arial" w:eastAsia="Arial" w:hAnsi="Arial"/>
          <w:sz w:val="16"/>
          <w:szCs w:val="16"/>
          <w:color w:val="auto"/>
        </w:rPr>
        <w:t>The Company used proceeds from the Term Loan Facility to repay both the Miami Loan and the MoBay Loan in accordance with their respective terms; these repayments have not been reflected in the table above. On December 31, 2018, the Company amended its Term Loan Facility as described under “—Liquidity and Capital Resources—Long-Term Debt.” As of December 31, 2018, the Company has borrowed $280,000 under the Term Loan Facility with a scheduled maturity of December 31, 2019. Future borrowing capacity of $220,000 under the Term Loan Facility is subject to a delayed draw feature that expires on February 15, 2019. We expect to borrow under the delayed draw prior to its expiration. Principal payments of $1,250 are due each quarter; the Company will be required to pay the remaining principal balance on the maturity date. Based on the interest rate of 6.19% in effect as of September 30, 2018, the Company is committed to pay $5,477 in interest payments in 2018 and $9,034 in interest payments prior to the maturity date in 2019. Following the completion of this offering, we may opportunistically seek to refinance the Term Loan Facility, including to increase total available borrowings. We cannot assure you whether we will be able to successfully refinance such facility, or the final terms thereof, including the ability to increase amounts available for borrowing.</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Purchase obligations</w:t>
      </w:r>
    </w:p>
    <w:p>
      <w:pPr>
        <w:spacing w:after="0" w:line="115" w:lineRule="exact"/>
        <w:rPr>
          <w:sz w:val="20"/>
          <w:szCs w:val="20"/>
          <w:color w:val="auto"/>
        </w:rPr>
      </w:pPr>
    </w:p>
    <w:p>
      <w:pPr>
        <w:jc w:val="both"/>
        <w:ind w:right="200" w:firstLine="357"/>
        <w:spacing w:after="0" w:line="261" w:lineRule="auto"/>
        <w:rPr>
          <w:sz w:val="20"/>
          <w:szCs w:val="20"/>
          <w:color w:val="auto"/>
        </w:rPr>
      </w:pPr>
      <w:r>
        <w:rPr>
          <w:rFonts w:ascii="Arial" w:cs="Arial" w:eastAsia="Arial" w:hAnsi="Arial"/>
          <w:sz w:val="18"/>
          <w:szCs w:val="18"/>
          <w:color w:val="auto"/>
        </w:rPr>
        <w:t>The Company is party to contractual purchase commitments with terms of 38 months and 60 months, principally take-or-pay contracts, which require the purchase of minimum quantities of natural gas. These commitments are designed to assure sources of supply and are not expected to be in excess of normal requirements.</w:t>
      </w:r>
    </w:p>
    <w:p>
      <w:pPr>
        <w:spacing w:after="0" w:line="76" w:lineRule="exact"/>
        <w:rPr>
          <w:sz w:val="20"/>
          <w:szCs w:val="20"/>
          <w:color w:val="auto"/>
        </w:rPr>
      </w:pPr>
    </w:p>
    <w:p>
      <w:pPr>
        <w:jc w:val="both"/>
        <w:ind w:right="220" w:firstLine="357"/>
        <w:spacing w:after="0" w:line="274" w:lineRule="auto"/>
        <w:rPr>
          <w:sz w:val="20"/>
          <w:szCs w:val="20"/>
          <w:color w:val="auto"/>
        </w:rPr>
      </w:pPr>
      <w:r>
        <w:rPr>
          <w:rFonts w:ascii="Arial" w:cs="Arial" w:eastAsia="Arial" w:hAnsi="Arial"/>
          <w:sz w:val="18"/>
          <w:szCs w:val="18"/>
          <w:color w:val="auto"/>
        </w:rPr>
        <w:t>On December 20, 2016, the Company committed to the purchase of at least 16,800,000 MMBtu or ~756,000 cubic meters of LNG, with half of the commitment delivered in 2017 and half in 2018.</w:t>
      </w:r>
    </w:p>
    <w:p>
      <w:pPr>
        <w:spacing w:after="0" w:line="64" w:lineRule="exact"/>
        <w:rPr>
          <w:sz w:val="20"/>
          <w:szCs w:val="20"/>
          <w:color w:val="auto"/>
        </w:rPr>
      </w:pPr>
    </w:p>
    <w:p>
      <w:pPr>
        <w:ind w:right="80" w:firstLine="357"/>
        <w:spacing w:after="0" w:line="255" w:lineRule="auto"/>
        <w:rPr>
          <w:sz w:val="20"/>
          <w:szCs w:val="20"/>
          <w:color w:val="auto"/>
        </w:rPr>
      </w:pPr>
      <w:r>
        <w:rPr>
          <w:rFonts w:ascii="Arial" w:cs="Arial" w:eastAsia="Arial" w:hAnsi="Arial"/>
          <w:sz w:val="18"/>
          <w:szCs w:val="18"/>
          <w:color w:val="auto"/>
        </w:rPr>
        <w:t>In addition to the above disclosed commitments, in September 2016 the Company made a commitment of up to an estimated $180,000 to build a gas-fired combined heat and power plant in Jamaica under a Joint Development Agreement with a third party prior to commercial agreements being finalized. In August and October 2017 respectively, a Power Purchase Agreement and Steam Supply Agreement were executed, obligating the Company to complete the development subject to the conditions set forth in those agreements.</w:t>
      </w:r>
    </w:p>
    <w:p>
      <w:pPr>
        <w:spacing w:after="0" w:line="81" w:lineRule="exact"/>
        <w:rPr>
          <w:sz w:val="20"/>
          <w:szCs w:val="20"/>
          <w:color w:val="auto"/>
        </w:rPr>
      </w:pPr>
    </w:p>
    <w:p>
      <w:pPr>
        <w:ind w:right="160" w:firstLine="357"/>
        <w:spacing w:after="0" w:line="253" w:lineRule="auto"/>
        <w:rPr>
          <w:sz w:val="20"/>
          <w:szCs w:val="20"/>
          <w:color w:val="auto"/>
        </w:rPr>
      </w:pPr>
      <w:r>
        <w:rPr>
          <w:rFonts w:ascii="Arial" w:cs="Arial" w:eastAsia="Arial" w:hAnsi="Arial"/>
          <w:sz w:val="18"/>
          <w:szCs w:val="18"/>
          <w:color w:val="auto"/>
        </w:rPr>
        <w:t>In March 2018, the Company entered into a GSA agreement with an affiliate of Chesapeake Energy Corporation (“Chesapeake”), a large exploration and production company, for gas supply to our Pennsylvania Facility, which was subsequently amended and restated in September 2018. This agreement provides for 100% of the required supply of feedgas to the facility, inclusive of all support functions of the plant, including transportation and power supply. The initial contract term is 15 years, and we will purchase gas from Chesapeake at a price equal to a fixed fee plus a variable rate, subject to a minimum volume. The terms of the agreement require the Company to obtain all requisite permits and make a final investment decision before the agreement is effective.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firstLine="357"/>
        <w:spacing w:after="0" w:line="261" w:lineRule="auto"/>
        <w:rPr>
          <w:sz w:val="20"/>
          <w:szCs w:val="20"/>
          <w:color w:val="auto"/>
        </w:rPr>
      </w:pPr>
      <w:r>
        <w:rPr>
          <w:rFonts w:ascii="Arial" w:cs="Arial" w:eastAsia="Arial" w:hAnsi="Arial"/>
          <w:sz w:val="18"/>
          <w:szCs w:val="18"/>
          <w:color w:val="auto"/>
        </w:rPr>
        <w:t>In December 2018, the Company entered into a contract with Centrica LNG Company Limited for the purchase of cargoes of 1.1 billion gallons of LNG (86.8 million MMBtu) scheduled for delivery between June 2019 and December 2021. Payment for each cargo is due in advance of each shipment.</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Lease obligations</w:t>
      </w:r>
    </w:p>
    <w:p>
      <w:pPr>
        <w:spacing w:after="0" w:line="115" w:lineRule="exact"/>
        <w:rPr>
          <w:sz w:val="20"/>
          <w:szCs w:val="20"/>
          <w:color w:val="auto"/>
        </w:rPr>
      </w:pPr>
    </w:p>
    <w:p>
      <w:pPr>
        <w:ind w:right="200" w:firstLine="357"/>
        <w:spacing w:after="0" w:line="254" w:lineRule="auto"/>
        <w:rPr>
          <w:sz w:val="20"/>
          <w:szCs w:val="20"/>
          <w:color w:val="auto"/>
        </w:rPr>
      </w:pPr>
      <w:r>
        <w:rPr>
          <w:rFonts w:ascii="Arial" w:cs="Arial" w:eastAsia="Arial" w:hAnsi="Arial"/>
          <w:sz w:val="18"/>
          <w:szCs w:val="18"/>
          <w:color w:val="auto"/>
        </w:rPr>
        <w:t>Future minimum lease payments under non-cancellable operating leases are noted in the above table. The Company’s lease obligations are primarily related to LNG vessel time charters, office space, a land site lease, and a marine port berth lease. Office space includes a newly fabricated space shared with affiliated companies in New York with a month to month lease, and an office space under construction in downtown Miami, with a lease term of 84 months. The land site lease is held with an affiliate of the Company and has an initial term up to five years, and the marine port berth lease had an initial term up to 10 years. Both leases contain renewal options.</w:t>
      </w:r>
    </w:p>
    <w:p>
      <w:pPr>
        <w:spacing w:after="0" w:line="81" w:lineRule="exact"/>
        <w:rPr>
          <w:sz w:val="20"/>
          <w:szCs w:val="20"/>
          <w:color w:val="auto"/>
        </w:rPr>
      </w:pPr>
    </w:p>
    <w:p>
      <w:pPr>
        <w:ind w:right="20" w:firstLine="357"/>
        <w:spacing w:after="0" w:line="294" w:lineRule="auto"/>
        <w:rPr>
          <w:sz w:val="20"/>
          <w:szCs w:val="20"/>
          <w:color w:val="auto"/>
        </w:rPr>
      </w:pPr>
      <w:r>
        <w:rPr>
          <w:rFonts w:ascii="Arial" w:cs="Arial" w:eastAsia="Arial" w:hAnsi="Arial"/>
          <w:sz w:val="16"/>
          <w:szCs w:val="16"/>
          <w:color w:val="auto"/>
        </w:rPr>
        <w:t>The Company entered into additional lease agreements during 2018 in Mexico and Puerto Rico.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$21,871. Fixed lease payments under these leases are expected to be approximately $18,193 over the respective lease terms and some of these leases contain variable components based on LNG processed.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19"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launch and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recognition</w:t>
      </w:r>
    </w:p>
    <w:p>
      <w:pPr>
        <w:spacing w:after="0" w:line="115" w:lineRule="exact"/>
        <w:rPr>
          <w:sz w:val="20"/>
          <w:szCs w:val="20"/>
          <w:color w:val="auto"/>
        </w:rPr>
      </w:pPr>
    </w:p>
    <w:p>
      <w:pPr>
        <w:ind w:right="240" w:firstLine="357"/>
        <w:spacing w:after="0" w:line="257" w:lineRule="auto"/>
        <w:rPr>
          <w:sz w:val="20"/>
          <w:szCs w:val="20"/>
          <w:color w:val="auto"/>
        </w:rPr>
      </w:pPr>
      <w:r>
        <w:rPr>
          <w:rFonts w:ascii="Arial" w:cs="Arial" w:eastAsia="Arial" w:hAnsi="Arial"/>
          <w:sz w:val="18"/>
          <w:szCs w:val="18"/>
          <w:color w:val="auto"/>
        </w:rPr>
        <w:t>Operating revenue from the sales of LNG and natural gas are recognized when the LNG or natural gas is delivered to the customer, either when the natural gas arrives at the customer’s flange or at the time that title to the LNG is transferred to the customer. Title typically transfers either when shipped or delivered to the customers’ storage facilities, depending on the terms of the contract.</w:t>
      </w:r>
    </w:p>
    <w:p>
      <w:pPr>
        <w:spacing w:after="0" w:line="79"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color w:val="auto"/>
        </w:rPr>
        <w:t>The Company leases certain facilities and equipment to its customers which are accounted for as direct financing leases. Direct financing leases, net on our consolidated balance sheet represents the minimum lease payments due, net of unearned revenue. The lease payments are segregated into principal and interest components similar to a loan. Unearned revenue is recognized on an effective interest method over the lease term and is recorded within Other revenue in the consolidated statement of operations and comprehensive loss. The principal components of the lease payment is reflected as a reduction to the net investment in the finance lease.</w:t>
      </w:r>
    </w:p>
    <w:p>
      <w:pPr>
        <w:spacing w:after="0" w:line="81" w:lineRule="exact"/>
        <w:rPr>
          <w:sz w:val="20"/>
          <w:szCs w:val="20"/>
          <w:color w:val="auto"/>
        </w:rPr>
      </w:pPr>
    </w:p>
    <w:p>
      <w:pPr>
        <w:ind w:right="20" w:firstLine="357"/>
        <w:spacing w:after="0" w:line="270" w:lineRule="auto"/>
        <w:rPr>
          <w:sz w:val="20"/>
          <w:szCs w:val="20"/>
          <w:color w:val="auto"/>
        </w:rPr>
      </w:pPr>
      <w:r>
        <w:rPr>
          <w:rFonts w:ascii="Arial" w:cs="Arial" w:eastAsia="Arial" w:hAnsi="Arial"/>
          <w:sz w:val="17"/>
          <w:szCs w:val="17"/>
          <w:color w:val="auto"/>
        </w:rPr>
        <w:t>The Company’s contracts with customers to supply LNG may also contain a lease of equipment. The Company allocates consideration received from customers between lease and non-lease components based on the relative fair value of each component. The fair value of the lease component is estimated based on the cost of the leased items plus an expected profit margin. The estimated fair value of the non-lease component is based on estimated volumes to be delivered at an estimated price or contractual price. The estimated fair value of the leased equipment, as a percentage of the estimated total revenue from LNG and leased equipment at inception, will establish the allocation percentage to determine the minimum lease payments and the amount to be accounted for under the revenue recognition guidance.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Impairment</w:t>
      </w:r>
    </w:p>
    <w:p>
      <w:pPr>
        <w:spacing w:after="0" w:line="115" w:lineRule="exact"/>
        <w:rPr>
          <w:sz w:val="20"/>
          <w:szCs w:val="20"/>
          <w:color w:val="auto"/>
        </w:rPr>
      </w:pPr>
    </w:p>
    <w:p>
      <w:pPr>
        <w:jc w:val="both"/>
        <w:ind w:right="160" w:firstLine="357"/>
        <w:spacing w:after="0" w:line="261" w:lineRule="auto"/>
        <w:rPr>
          <w:sz w:val="20"/>
          <w:szCs w:val="20"/>
          <w:color w:val="auto"/>
        </w:rPr>
      </w:pPr>
      <w:r>
        <w:rPr>
          <w:rFonts w:ascii="Arial" w:cs="Arial" w:eastAsia="Arial" w:hAnsi="Arial"/>
          <w:sz w:val="18"/>
          <w:szCs w:val="18"/>
          <w:color w:val="auto"/>
        </w:rPr>
        <w:t>LNG liquefaction facilities, and other long-lived assets held and used by the Company are reviewed periodically for potential impairment whenever events or changes in circumstances indicate that a particular assets’ carrying value may not be recoverable. Recoverability generally is determined by comparing the carrying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value for the asset to the expected undiscounted future cash flows of the asset. If the carrying value of the asset is not recoverable, the amount of impairment loss is measured as the excess, if any, of the carrying value of the asset over its estimated fair value. The estimated undiscounted future cash flows are based on projections of future operating results; these projections contain estimates of the value of future contracts that have not yet been obtained, future commodity pricing, our future cost structure, among others.</w:t>
      </w:r>
    </w:p>
    <w:p>
      <w:pPr>
        <w:spacing w:after="0" w:line="2"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Projections of future operating results and cash flows may vary significantly from actual results. Management reviews its estimates of cash flows on an ongoing basis using historical experience, business plans, overall market conditions, and other factors.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19"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EGC, can take advantage of the extended transition period provided in Section 7(a)</w:t>
      </w:r>
    </w:p>
    <w:p>
      <w:pPr>
        <w:spacing w:after="0" w:line="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(2)(B) of the Securities Act of 1933, as amended, or the Securities Act, for complying with new or revised accounting standards. Thus, an EGC can delay the adoption of certain accounting standards until those standards would otherwise apply to private companies. We intend to take advantage of the exemptions discussed above. Accordingly, the information contained herein may be different than the information you receive from other public companies.</w:t>
      </w:r>
    </w:p>
    <w:p>
      <w:pPr>
        <w:spacing w:after="0" w:line="85" w:lineRule="exact"/>
        <w:rPr>
          <w:sz w:val="20"/>
          <w:szCs w:val="20"/>
          <w:color w:val="auto"/>
        </w:rPr>
      </w:pPr>
    </w:p>
    <w:p>
      <w:pPr>
        <w:ind w:right="60" w:firstLine="357"/>
        <w:spacing w:after="0" w:line="287" w:lineRule="auto"/>
        <w:rPr>
          <w:sz w:val="20"/>
          <w:szCs w:val="20"/>
          <w:color w:val="auto"/>
        </w:rPr>
      </w:pPr>
      <w:r>
        <w:rPr>
          <w:rFonts w:ascii="Arial" w:cs="Arial" w:eastAsia="Arial" w:hAnsi="Arial"/>
          <w:sz w:val="16"/>
          <w:szCs w:val="16"/>
          <w:color w:val="auto"/>
        </w:rPr>
        <w:t>Subject to certain conditions, as an EGC, we intend to rely on certain of these exemptions, including without limitation, (1) providing an auditor’s attestation report on our system of internal controls over financial reporting pursuant to Section 404(b) of the Sarbanes-Oxley Act and (2)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the last day of the fiscal year following the fifth anniversary of the date of the completion of this offering; (iii) the date on which we have issued more than $1.00 billion in nonconvertible debt during the previous three years; or (iv) the date on which we are deemed to be a large accelerated filer under the rules of the Securities and Exchange Commission or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 Standards</w:t>
      </w:r>
    </w:p>
    <w:p>
      <w:pPr>
        <w:spacing w:after="0" w:line="119" w:lineRule="exact"/>
        <w:rPr>
          <w:sz w:val="20"/>
          <w:szCs w:val="20"/>
          <w:color w:val="auto"/>
        </w:rPr>
      </w:pPr>
    </w:p>
    <w:p>
      <w:pPr>
        <w:ind w:right="260" w:firstLine="357"/>
        <w:spacing w:after="0" w:line="261" w:lineRule="auto"/>
        <w:rPr>
          <w:sz w:val="20"/>
          <w:szCs w:val="20"/>
          <w:color w:val="auto"/>
        </w:rPr>
      </w:pPr>
      <w:r>
        <w:rPr>
          <w:rFonts w:ascii="Arial" w:cs="Arial" w:eastAsia="Arial" w:hAnsi="Arial"/>
          <w:sz w:val="18"/>
          <w:szCs w:val="18"/>
          <w:color w:val="auto"/>
        </w:rPr>
        <w:t>For descriptions of recently issued accounting standards, see Note 2 - Adoption of new and revised standards of our notes to condensed consolidated financial statements and Note 3 - Adoption of new and revised standards of our Notes to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9" w:lineRule="exact"/>
        <w:rPr>
          <w:sz w:val="20"/>
          <w:szCs w:val="20"/>
          <w:color w:val="auto"/>
        </w:rPr>
      </w:pPr>
    </w:p>
    <w:p>
      <w:pPr>
        <w:ind w:right="180" w:firstLine="357"/>
        <w:spacing w:after="0" w:line="274" w:lineRule="auto"/>
        <w:rPr>
          <w:sz w:val="20"/>
          <w:szCs w:val="20"/>
          <w:color w:val="auto"/>
        </w:rPr>
      </w:pPr>
      <w:r>
        <w:rPr>
          <w:rFonts w:ascii="Arial" w:cs="Arial" w:eastAsia="Arial" w:hAnsi="Arial"/>
          <w:sz w:val="18"/>
          <w:szCs w:val="18"/>
          <w:color w:val="auto"/>
        </w:rPr>
        <w:t>In the normal course of business, the Company encounters several significant types of market risks including commodity and interest rate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5" w:lineRule="exact"/>
        <w:rPr>
          <w:sz w:val="20"/>
          <w:szCs w:val="20"/>
          <w:color w:val="auto"/>
        </w:rPr>
      </w:pPr>
    </w:p>
    <w:p>
      <w:pPr>
        <w:ind w:firstLine="357"/>
        <w:spacing w:after="0" w:line="273" w:lineRule="auto"/>
        <w:rPr>
          <w:sz w:val="20"/>
          <w:szCs w:val="20"/>
          <w:color w:val="auto"/>
        </w:rPr>
      </w:pPr>
      <w:r>
        <w:rPr>
          <w:rFonts w:ascii="Arial" w:cs="Arial" w:eastAsia="Arial" w:hAnsi="Arial"/>
          <w:sz w:val="17"/>
          <w:szCs w:val="17"/>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5"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Debt that we incurred under the Miami Loan and the Term Loan Facility bore interest at variable rates and exposed us to interest rate risk. We repaid the Miami Loan with proceeds received from the Term Loan Facility. Interest is calculated under the terms of the Term Loan Facility based on our selection, from time to time, of one of the index rates available to us plus an applicable margin that varies based on certain factors. See “—Liquidity and Capital Resources—Long-Term Debt.” Assuming the full $500,000 principal amount remains outstanding,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the impact on interest expense of a 1% increase or decrease in the interest rate that was in place upon closing of the Term Loan Facility would be approximately $5,000 per year. We do not currently have or intend to enter into any derivative arrangements to protect against fluctuations in interest rates applicable to our outstanding indebtedness.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5" w:lineRule="exact"/>
        <w:rPr>
          <w:sz w:val="20"/>
          <w:szCs w:val="20"/>
          <w:color w:val="auto"/>
        </w:rPr>
      </w:pPr>
    </w:p>
    <w:p>
      <w:pPr>
        <w:ind w:firstLine="357"/>
        <w:spacing w:after="0" w:line="299" w:lineRule="auto"/>
        <w:rPr>
          <w:sz w:val="20"/>
          <w:szCs w:val="20"/>
          <w:color w:val="auto"/>
        </w:rPr>
      </w:pPr>
      <w:r>
        <w:rPr>
          <w:rFonts w:ascii="Arial" w:cs="Arial" w:eastAsia="Arial" w:hAnsi="Arial"/>
          <w:sz w:val="16"/>
          <w:szCs w:val="16"/>
          <w:color w:val="auto"/>
        </w:rPr>
        <w:t>We primarily conduct our operations in U.S. dollars, and as such, our results of operations and cash flows have not materially been impacted by fluctuations due to changes in foreign currency exchange rates.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We are an integrated gas-to-power company that seeks to use “stranded” natural gas to satisfy the world’s large and growing power needs. Our mission is to provide modern infrastructure solutions to create cleaner, reliable energy while generating a positive economic impact worldwide. Our business model is simple, yet, we believe, unique for the LNG industry. We aim to deliver targeted energy solutions to customers around the world, thereby reducing their energy costs and diversifying their energy resources, while also reducing pollution and generating compelling margins.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aim to deliver targeted energy solutions by employing a four-part integrated LNG production and delivery model:</w:t>
      </w:r>
    </w:p>
    <w:p>
      <w:pPr>
        <w:spacing w:after="0" w:line="126" w:lineRule="exact"/>
        <w:rPr>
          <w:sz w:val="20"/>
          <w:szCs w:val="20"/>
          <w:color w:val="auto"/>
        </w:rPr>
      </w:pPr>
    </w:p>
    <w:p>
      <w:pPr>
        <w:ind w:right="20" w:firstLine="357"/>
        <w:spacing w:after="0" w:line="255" w:lineRule="auto"/>
        <w:rPr>
          <w:sz w:val="20"/>
          <w:szCs w:val="20"/>
          <w:color w:val="auto"/>
        </w:rPr>
      </w:pPr>
      <w:r>
        <w:rPr>
          <w:rFonts w:ascii="Arial" w:cs="Arial" w:eastAsia="Arial" w:hAnsi="Arial"/>
          <w:sz w:val="18"/>
          <w:szCs w:val="18"/>
          <w:i w:val="1"/>
          <w:iCs w:val="1"/>
          <w:color w:val="auto"/>
        </w:rPr>
        <w:t xml:space="preserve">Liquefaction </w:t>
      </w:r>
      <w:r>
        <w:rPr>
          <w:rFonts w:ascii="Arial" w:cs="Arial" w:eastAsia="Arial" w:hAnsi="Arial"/>
          <w:sz w:val="18"/>
          <w:szCs w:val="18"/>
          <w:color w:val="auto"/>
        </w:rPr>
        <w:t>– Our approach is to enter into long-term, largely fixed-price contracts for feedgas, then liquefy that gas at or</w:t>
      </w:r>
      <w:r>
        <w:rPr>
          <w:rFonts w:ascii="Arial" w:cs="Arial" w:eastAsia="Arial" w:hAnsi="Arial"/>
          <w:sz w:val="18"/>
          <w:szCs w:val="18"/>
          <w:i w:val="1"/>
          <w:iCs w:val="1"/>
          <w:color w:val="auto"/>
        </w:rPr>
        <w:t xml:space="preserve"> </w:t>
      </w:r>
      <w:r>
        <w:rPr>
          <w:rFonts w:ascii="Arial" w:cs="Arial" w:eastAsia="Arial" w:hAnsi="Arial"/>
          <w:sz w:val="18"/>
          <w:szCs w:val="18"/>
          <w:color w:val="auto"/>
        </w:rPr>
        <w:t>proximate to its site of extraction, minimizing transport and pipeline costs for the feedgas producers. We are currently developing a liquefier on land we have purchased in the Marcellus area of Pennsylvania, which is expected to have the capacity to produce approximately 3 to 4 million gallons of LNG (which is the equivalent of 250,000 to 350,000 MMBtu) per day, and intend to develop five or more additional liquefiers over the next five years.</w:t>
      </w:r>
    </w:p>
    <w:p>
      <w:pPr>
        <w:spacing w:after="0" w:line="81" w:lineRule="exact"/>
        <w:rPr>
          <w:sz w:val="20"/>
          <w:szCs w:val="20"/>
          <w:color w:val="auto"/>
        </w:rPr>
      </w:pPr>
    </w:p>
    <w:p>
      <w:pPr>
        <w:ind w:right="200" w:firstLine="357"/>
        <w:spacing w:after="0" w:line="261"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 We expect to own or control the logistics assets necessary to deliver LNG to our customers through our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Tanker trucks will transport LNG from our liquefier to a port on the Delaware River, at which point LNG will be transloaded directly to large marine vessels.</w:t>
      </w:r>
    </w:p>
    <w:p>
      <w:pPr>
        <w:spacing w:after="0" w:line="76" w:lineRule="exact"/>
        <w:rPr>
          <w:sz w:val="20"/>
          <w:szCs w:val="20"/>
          <w:color w:val="auto"/>
        </w:rPr>
      </w:pPr>
    </w:p>
    <w:p>
      <w:pPr>
        <w:ind w:right="20" w:firstLine="357"/>
        <w:spacing w:after="0" w:line="261"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both large-scale FSUs and FSRUs, and smaller LNGCs. These assets transport LNG</w:t>
      </w:r>
      <w:r>
        <w:rPr>
          <w:rFonts w:ascii="Arial" w:cs="Arial" w:eastAsia="Arial" w:hAnsi="Arial"/>
          <w:sz w:val="18"/>
          <w:szCs w:val="18"/>
          <w:i w:val="1"/>
          <w:iCs w:val="1"/>
          <w:color w:val="auto"/>
        </w:rPr>
        <w:t xml:space="preserve"> </w:t>
      </w:r>
      <w:r>
        <w:rPr>
          <w:rFonts w:ascii="Arial" w:cs="Arial" w:eastAsia="Arial" w:hAnsi="Arial"/>
          <w:sz w:val="18"/>
          <w:szCs w:val="18"/>
          <w:color w:val="auto"/>
        </w:rPr>
        <w:t>from ports to our downstream terminals for ultimate delivery to our customers. There is approximately a five day sail time from a Delaware River port to our downstream terminals in the Caribbean.</w:t>
      </w:r>
    </w:p>
    <w:p>
      <w:pPr>
        <w:spacing w:after="0" w:line="76"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i w:val="1"/>
          <w:iCs w:val="1"/>
          <w:color w:val="auto"/>
        </w:rPr>
        <w:t xml:space="preserve">Terminals </w:t>
      </w:r>
      <w:r>
        <w:rPr>
          <w:rFonts w:ascii="Arial" w:cs="Arial" w:eastAsia="Arial" w:hAnsi="Arial"/>
          <w:sz w:val="18"/>
          <w:szCs w:val="18"/>
          <w:color w:val="auto"/>
        </w:rPr>
        <w:t>– Through our network of current and planned downstream terminals, we will be positioned to deliver gas and power</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our customers seeking either to transition from environmentally dirtier distillate fuels such as ADO and HFO or to purchase natural gas to meet their current fuel needs. Our goal is to build 10 - 20 downstream terminals and 5 - 10 liquefaction facilities over the next five years.</w:t>
      </w:r>
    </w:p>
    <w:p>
      <w:pPr>
        <w:spacing w:after="0" w:line="79" w:lineRule="exact"/>
        <w:rPr>
          <w:sz w:val="20"/>
          <w:szCs w:val="20"/>
          <w:color w:val="auto"/>
        </w:rPr>
      </w:pPr>
    </w:p>
    <w:p>
      <w:pPr>
        <w:ind w:right="60" w:firstLine="357"/>
        <w:spacing w:after="0" w:line="294" w:lineRule="auto"/>
        <w:rPr>
          <w:sz w:val="20"/>
          <w:szCs w:val="20"/>
          <w:color w:val="auto"/>
        </w:rPr>
      </w:pPr>
      <w:r>
        <w:rPr>
          <w:rFonts w:ascii="Arial" w:cs="Arial" w:eastAsia="Arial" w:hAnsi="Arial"/>
          <w:sz w:val="16"/>
          <w:szCs w:val="16"/>
          <w:color w:val="auto"/>
        </w:rPr>
        <w:t>We believe this compelling business model will provide opportunities to generate average revenues in excess of approximately $10.00 per MMBtu, including both fuel sales and capacity charges (we often invest capital in infrastructure in connection with our entry into a new market, and customers agree to pay a “capacity charge” as consideration for the right to use the underlying infrastructure). We expect individual contract pricing is likely to range between $8.00 and $13.00 per MMBtu, depending on the customer’s size, purchased volume, credit profile, the complexity of the delivery and the infrastructure required to deliver it.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NFE’s Global Market Landscape</w:t>
      </w:r>
    </w:p>
    <w:p>
      <w:pPr>
        <w:spacing w:after="0" w:line="119" w:lineRule="exact"/>
        <w:rPr>
          <w:sz w:val="20"/>
          <w:szCs w:val="20"/>
          <w:color w:val="auto"/>
        </w:rPr>
      </w:pPr>
    </w:p>
    <w:p>
      <w:pPr>
        <w:ind w:right="80" w:firstLine="357"/>
        <w:spacing w:after="0" w:line="270" w:lineRule="auto"/>
        <w:rPr>
          <w:sz w:val="20"/>
          <w:szCs w:val="20"/>
          <w:color w:val="auto"/>
        </w:rPr>
      </w:pPr>
      <w:r>
        <w:rPr>
          <w:rFonts w:ascii="Arial" w:cs="Arial" w:eastAsia="Arial" w:hAnsi="Arial"/>
          <w:sz w:val="17"/>
          <w:szCs w:val="17"/>
          <w:color w:val="auto"/>
        </w:rPr>
        <w:t>We believe that the world is “long” gas and “short” power, and that natural gas is a compelling fuel for power production. But because much of the world’s natural gas reserves are not directly connected by pipeline to electricity producers and other end users, it must be otherwise transported. An efficient way to transport is through the conversion of natural gas to LNG, which involves treating natural gas to remove impurities and then chilling it to approximately negative 260 degrees Fahrenheit, a process generally referred to as liquefaction. In LNG form, natural gas is typically transported in bulk by containers or tankers hauled by rail or truck or by marine vessels, such as LNG carriers. Once delivered to its end destination, LNG can be reconverted to natural gas through a process referred to as “regasification.”</w:t>
      </w:r>
    </w:p>
    <w:p>
      <w:pPr>
        <w:spacing w:after="0" w:line="70" w:lineRule="exact"/>
        <w:rPr>
          <w:sz w:val="20"/>
          <w:szCs w:val="20"/>
          <w:color w:val="auto"/>
        </w:rPr>
      </w:pPr>
    </w:p>
    <w:p>
      <w:pPr>
        <w:ind w:right="40" w:firstLine="357"/>
        <w:spacing w:after="0" w:line="289" w:lineRule="auto"/>
        <w:rPr>
          <w:sz w:val="20"/>
          <w:szCs w:val="20"/>
          <w:color w:val="auto"/>
        </w:rPr>
      </w:pPr>
      <w:r>
        <w:rPr>
          <w:rFonts w:ascii="Arial" w:cs="Arial" w:eastAsia="Arial" w:hAnsi="Arial"/>
          <w:sz w:val="16"/>
          <w:szCs w:val="16"/>
          <w:color w:val="auto"/>
        </w:rPr>
        <w:t>Today approximately 70% of the world’s electricity is consumed by 10 countries and over a billion people, or approximately 14% of the world’s population, currently lack access to electricity, according to the International Energy Agency’s October 2017 report. As economic development worldwide spurs demand for electricity, approximately 1.5 million MW of new power is expected to be needed by 2040, according to Exxon Mobil’s 2017 Outlook on Energy. To satisfy these power needs with gas-fired power would require approximately 3.75 billion gallons of LNG (or 310 TBtu) per day (based upon an estimated conversion of 2,500 gallons per day of LNG for every MW of power capacity). Further, we believe that many countries around the world – keenly focused on economics as well as the environment – will increasingly look to natural gas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displace environmentally dirtier fuels such as HFO, ADO and coal that are used to generate power, particularly if natural gas is cheaper than these environmentally dirtier fuels. For example, most islands in the Caribbean generate 90% to 100% of their electricity from HFO or ADO, as compared to less than 1% of electricity generation in the United States. We believe there is a significant market opportunity.</w:t>
      </w:r>
    </w:p>
    <w:p>
      <w:pPr>
        <w:spacing w:after="0" w:line="79"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Liquefaction projects currently under construction are expected to come online by 2020. Afterward, LNG supply growth is expected to slow through 2025. According to the Shell 2018 LNG Outlook Report, from 2020 through 2025, LNG demand expectations exceed supply estimates and, at 2025, supply estimates are almost half that of demand expectations. By 2025, this equates to an addressable LNG market with 450 mtpa (approximately 740 million gallons per day) of demand, which management estimates to represent a global market value of approximately $212 billion per annum. According to the 2018 World LNG Report by the International Gas Union, existing global liquefaction capacity is estimated to be 369 mtpa. Based on this report, by 2025, we expect the shortfall in supply to be approximately 200 mtpa versus current operating plants and 100 mtpa versus projects under construction. This shortfall is the equivalent of approximately 50 to 100 liquefiers of similar capacity to our liquefier in Pennsylvania.</w:t>
      </w:r>
    </w:p>
    <w:p>
      <w:pPr>
        <w:spacing w:after="0" w:line="83" w:lineRule="exact"/>
        <w:rPr>
          <w:sz w:val="20"/>
          <w:szCs w:val="20"/>
          <w:color w:val="auto"/>
        </w:rPr>
      </w:pPr>
    </w:p>
    <w:p>
      <w:pPr>
        <w:ind w:right="240" w:firstLine="357"/>
        <w:spacing w:after="0" w:line="277" w:lineRule="auto"/>
        <w:rPr>
          <w:sz w:val="20"/>
          <w:szCs w:val="20"/>
          <w:color w:val="auto"/>
        </w:rPr>
      </w:pPr>
      <w:r>
        <w:rPr>
          <w:rFonts w:ascii="Arial" w:cs="Arial" w:eastAsia="Arial" w:hAnsi="Arial"/>
          <w:sz w:val="17"/>
          <w:szCs w:val="17"/>
          <w:color w:val="auto"/>
        </w:rPr>
        <w:t>We plan to capitalize on this growing supply-demand gap and create new markets for natural gas by developing liquefaction assets, particularly in areas with significant “stranded” reserves, which we define as natural gas reserves not connected to large interstate or transnational pipelines. That is, not only are these reserves not connected by pipeline to end users, they are not connected to any significant pipeline – as is the case in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-18415</wp:posOffset>
            </wp:positionV>
            <wp:extent cx="5085080" cy="4071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85080"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5026025" cy="24701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2602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 w:hanging="355"/>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Federal Institute for Geosciences and Natural Resources, “BGR Energy Study” 2017</w:t>
      </w:r>
    </w:p>
    <w:p>
      <w:pPr>
        <w:spacing w:after="0" w:line="107" w:lineRule="exact"/>
        <w:rPr>
          <w:rFonts w:ascii="Arial" w:cs="Arial" w:eastAsia="Arial" w:hAnsi="Arial"/>
          <w:sz w:val="14"/>
          <w:szCs w:val="14"/>
          <w:color w:val="auto"/>
        </w:rPr>
      </w:pPr>
    </w:p>
    <w:p>
      <w:pPr>
        <w:ind w:left="360" w:hanging="355"/>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World Bank, “Electric Power Consumption (KWh per Capita)”</w:t>
      </w:r>
    </w:p>
    <w:p>
      <w:pPr>
        <w:spacing w:after="0" w:line="107" w:lineRule="exact"/>
        <w:rPr>
          <w:rFonts w:ascii="Arial" w:cs="Arial" w:eastAsia="Arial" w:hAnsi="Arial"/>
          <w:sz w:val="14"/>
          <w:szCs w:val="14"/>
          <w:color w:val="auto"/>
        </w:rPr>
      </w:pPr>
    </w:p>
    <w:p>
      <w:pPr>
        <w:ind w:left="360" w:hanging="355"/>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Shell 2018 LNG Outlook Report</w:t>
      </w:r>
    </w:p>
    <w:p>
      <w:pPr>
        <w:spacing w:after="0" w:line="107" w:lineRule="exact"/>
        <w:rPr>
          <w:rFonts w:ascii="Arial" w:cs="Arial" w:eastAsia="Arial" w:hAnsi="Arial"/>
          <w:sz w:val="14"/>
          <w:szCs w:val="14"/>
          <w:color w:val="auto"/>
        </w:rPr>
      </w:pPr>
    </w:p>
    <w:p>
      <w:pPr>
        <w:ind w:left="360" w:hanging="355"/>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2018 World LNG Report, International Gas Union, Ranked by Nominal Liquefaction Capacity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19" w:lineRule="exact"/>
        <w:rPr>
          <w:sz w:val="20"/>
          <w:szCs w:val="20"/>
          <w:color w:val="auto"/>
        </w:rPr>
      </w:pPr>
    </w:p>
    <w:p>
      <w:pPr>
        <w:ind w:right="140" w:firstLine="357"/>
        <w:spacing w:after="0" w:line="291" w:lineRule="auto"/>
        <w:rPr>
          <w:sz w:val="20"/>
          <w:szCs w:val="20"/>
          <w:color w:val="auto"/>
        </w:rPr>
      </w:pPr>
      <w:r>
        <w:rPr>
          <w:rFonts w:ascii="Arial" w:cs="Arial" w:eastAsia="Arial" w:hAnsi="Arial"/>
          <w:sz w:val="16"/>
          <w:szCs w:val="16"/>
          <w:color w:val="auto"/>
        </w:rPr>
        <w:t>As an integrated gas-to-power LNG company, our business model spans the entire production and delivery chain from natural gas procurement and liquefaction to logistics, shipping, terminals and conversion or development of natural gas-fired generation. While historically,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57" w:lineRule="exact"/>
        <w:rPr>
          <w:sz w:val="20"/>
          <w:szCs w:val="20"/>
          <w:color w:val="auto"/>
        </w:rPr>
      </w:pPr>
    </w:p>
    <w:p>
      <w:pPr>
        <w:ind w:firstLine="357"/>
        <w:spacing w:after="0" w:line="283" w:lineRule="auto"/>
        <w:rPr>
          <w:sz w:val="20"/>
          <w:szCs w:val="20"/>
          <w:color w:val="auto"/>
        </w:rPr>
      </w:pPr>
      <w:r>
        <w:rPr>
          <w:rFonts w:ascii="Arial" w:cs="Arial" w:eastAsia="Arial" w:hAnsi="Arial"/>
          <w:sz w:val="16"/>
          <w:szCs w:val="16"/>
          <w:color w:val="auto"/>
        </w:rPr>
        <w:t>Our goal is to purchase gas, liquefy it, and transport it to one of our export facilities at a cost of approximately $4.20 per MMBtu or less (before owner’s costs such as marketing and administrative costs, financing costs and contingencies). We expect our downstream transportation, shipping and regasification costs to approximate $1.50 per MMBtu, which is consistent with the costs of our current operations. Our goal is to sell substantially all of this gas to downstream customers under long-term contracts at targeted pricing in excess of approximately $10.00 per MMBtu, including both fuel sales and capacity charges. Gas not delivered to downstream customers would be sold on the spot market. Currently, the market price for LNG delivered via LNGC is approximately $7.00 to $12.00 per MMBtu, depending on the size cargoes purchased. For contracted delivery, assuming the costs and sales prices described above, we seek to earn a margin of $4.30 per MMBtu, or $0.36 per gallon, which would equal a margin of 40% or more, on our gas sales. For spot sales, we seek to earn an attractive margin by adjusting our sales price based on current market rates. Our operations, which are currently conducted at our Montego Bay Terminal and at our Miami Facility, are currently generating revenue on sales of approximately 400,000 gallons of LNG (33,000 MMBtu) per day. We have contracts, letters of intent or expect to secure contracts in the near term to sell LNG volumes in excess of 12.4 million gallons (1,025,000 MMBtu) per day, which includes approximately 2.2 million gallons per day that we expect to sell to customers under existing contracts, assuming with respect to the PREPA contract, satisfactory completion of the ongoing review by PREB and FOMB and final entry into the contract related to such volumes. On January 25, 2019, the PREB approved our proposed agreement with PREPA. See “Risk Factors—Our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 We are in active discussions with additional customers who may have significant demand for additional LNG, although there can be no assurance that these discussions will result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additional contracts or the terms of such contracts or that we will be able to achieve our target pricing or margins. See “Risk Factors—Our ability to implement our business strategy may be materially and adversely affected by many known and unknown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Terminals</w:t>
      </w:r>
    </w:p>
    <w:p>
      <w:pPr>
        <w:spacing w:after="0" w:line="119" w:lineRule="exact"/>
        <w:rPr>
          <w:sz w:val="20"/>
          <w:szCs w:val="20"/>
          <w:color w:val="auto"/>
        </w:rPr>
      </w:pPr>
    </w:p>
    <w:p>
      <w:pPr>
        <w:ind w:right="60" w:firstLine="357"/>
        <w:spacing w:after="0" w:line="274" w:lineRule="auto"/>
        <w:rPr>
          <w:sz w:val="20"/>
          <w:szCs w:val="20"/>
          <w:color w:val="auto"/>
        </w:rPr>
      </w:pPr>
      <w:r>
        <w:rPr>
          <w:rFonts w:ascii="Arial" w:cs="Arial" w:eastAsia="Arial" w:hAnsi="Arial"/>
          <w:sz w:val="18"/>
          <w:szCs w:val="18"/>
          <w:color w:val="auto"/>
        </w:rPr>
        <w:t>Downstream, we have six terminals operational or under development. Our Terminals will position us to access customers in a number of attractive markets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49530</wp:posOffset>
            </wp:positionV>
            <wp:extent cx="4046220" cy="28790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46220" cy="287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We look to build terminals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79" w:lineRule="exact"/>
        <w:rPr>
          <w:sz w:val="20"/>
          <w:szCs w:val="20"/>
          <w:color w:val="auto"/>
        </w:rPr>
      </w:pPr>
    </w:p>
    <w:p>
      <w:pPr>
        <w:ind w:right="180" w:firstLine="357"/>
        <w:spacing w:after="0" w:line="255" w:lineRule="auto"/>
        <w:rPr>
          <w:sz w:val="20"/>
          <w:szCs w:val="20"/>
          <w:color w:val="auto"/>
        </w:rPr>
      </w:pPr>
      <w:r>
        <w:rPr>
          <w:rFonts w:ascii="Arial" w:cs="Arial" w:eastAsia="Arial" w:hAnsi="Arial"/>
          <w:sz w:val="18"/>
          <w:szCs w:val="18"/>
          <w:color w:val="auto"/>
        </w:rPr>
        <w:t>We currently have two operational terminals and four under development, as described below. We design and construct terminals to meet the supply and demand specifications of our current and potential future customers in the applicable region. Our Terminals currently operating or under development are expected to be capable of receiving between 700,000 and 6 million LNG gallons (58,000 and 500,000 MMBtu) per day depending upon the needs of our customers and potential demand in the region. Set forth below is additional detail regarding each terminal:</w:t>
      </w:r>
    </w:p>
    <w:p>
      <w:pPr>
        <w:spacing w:after="0" w:line="81" w:lineRule="exact"/>
        <w:rPr>
          <w:sz w:val="20"/>
          <w:szCs w:val="20"/>
          <w:color w:val="auto"/>
        </w:rPr>
      </w:pPr>
    </w:p>
    <w:p>
      <w:pPr>
        <w:ind w:right="20" w:firstLine="357"/>
        <w:spacing w:after="0" w:line="268" w:lineRule="auto"/>
        <w:rPr>
          <w:sz w:val="20"/>
          <w:szCs w:val="20"/>
          <w:color w:val="auto"/>
        </w:rPr>
      </w:pPr>
      <w:r>
        <w:rPr>
          <w:rFonts w:ascii="Arial" w:cs="Arial" w:eastAsia="Arial" w:hAnsi="Arial"/>
          <w:sz w:val="17"/>
          <w:szCs w:val="17"/>
          <w:i w:val="1"/>
          <w:iCs w:val="1"/>
          <w:color w:val="auto"/>
        </w:rPr>
        <w:t xml:space="preserve">Montego Bay, Jamaica – </w:t>
      </w:r>
      <w:r>
        <w:rPr>
          <w:rFonts w:ascii="Arial" w:cs="Arial" w:eastAsia="Arial" w:hAnsi="Arial"/>
          <w:sz w:val="17"/>
          <w:szCs w:val="17"/>
          <w:color w:val="auto"/>
        </w:rPr>
        <w:t>Our Montego Bay Terminal commenced commercial operations in October 2016. The terminal is</w:t>
      </w:r>
      <w:r>
        <w:rPr>
          <w:rFonts w:ascii="Arial" w:cs="Arial" w:eastAsia="Arial" w:hAnsi="Arial"/>
          <w:sz w:val="17"/>
          <w:szCs w:val="17"/>
          <w:i w:val="1"/>
          <w:iCs w:val="1"/>
          <w:color w:val="auto"/>
        </w:rPr>
        <w:t xml:space="preserve"> </w:t>
      </w:r>
      <w:r>
        <w:rPr>
          <w:rFonts w:ascii="Arial" w:cs="Arial" w:eastAsia="Arial" w:hAnsi="Arial"/>
          <w:sz w:val="17"/>
          <w:szCs w:val="17"/>
          <w:color w:val="auto"/>
        </w:rPr>
        <w:t>capable of processing up to 740,000 LNG gallons (61,000 MMBtu) per day and features approximately 7,000 cubic meters of onsite storage. It supplies natural gas to 145MW turbines at the power plant operated by JPS pursuant to a long-term contract for natural gas equivalent to approximately 300,000 gallons of LNG (25,000 MMBtu) per day. The Montego Bay Terminal also supplies several on-island industrial users with natural gas or LNG pursuant to other long-term take-or-pay contracts. We have total aggregate contracted volumes of approximately 448,000 gallons of LNG (37,000 MMBtu) per day at our Montego Bay Terminal with a weighted average contract length of 18.9 years. Our Montego Bay Terminal is currently operating at 42% capacity to service JPS and these other industrial users. We have the ability to service other potential customers with the excess capacity of the Montego Bay Terminal, and we are seeking to enter into long-term contracts with new customers for such purposes. We deliver LNG to the Montego Bay Terminal via small LNGC.</w:t>
      </w:r>
    </w:p>
    <w:p>
      <w:pPr>
        <w:spacing w:after="0" w:line="71" w:lineRule="exact"/>
        <w:rPr>
          <w:sz w:val="20"/>
          <w:szCs w:val="20"/>
          <w:color w:val="auto"/>
        </w:rPr>
      </w:pPr>
    </w:p>
    <w:p>
      <w:pPr>
        <w:ind w:right="260" w:firstLine="357"/>
        <w:spacing w:after="0" w:line="261" w:lineRule="auto"/>
        <w:rPr>
          <w:sz w:val="20"/>
          <w:szCs w:val="20"/>
          <w:color w:val="auto"/>
        </w:rPr>
      </w:pPr>
      <w:r>
        <w:rPr>
          <w:rFonts w:ascii="Arial" w:cs="Arial" w:eastAsia="Arial" w:hAnsi="Arial"/>
          <w:sz w:val="18"/>
          <w:szCs w:val="18"/>
          <w:i w:val="1"/>
          <w:iCs w:val="1"/>
          <w:color w:val="auto"/>
        </w:rPr>
        <w:t xml:space="preserve">Old Harbour, Jamaica – </w:t>
      </w:r>
      <w:r>
        <w:rPr>
          <w:rFonts w:ascii="Arial" w:cs="Arial" w:eastAsia="Arial" w:hAnsi="Arial"/>
          <w:sz w:val="18"/>
          <w:szCs w:val="18"/>
          <w:color w:val="auto"/>
        </w:rPr>
        <w:t>Our Old Harbour Terminal is substantially complete and expected to commence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first quarter of 2019. It is capable of processing approximately 6 million gallons of LNG (500,000 MMBtu) per day. The Old Harbour Terminal is expected to supply gas to the Old Harbour Power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Plant operated JPC pursuant to a long-term contract for natural gas equivalent to approximately 350,000 gallons of LNG (29,000 MMBtu) per day. We also expect the Old Harbour Terminal to supply gas to a new 150MW power plant that we are constructing, and approximately 269,000 gallons of LNG (22,000 MMBtu) per day to the alumina refinery operated by Jamalco, an entity owned by the government of Jamaica with a focus on bauxite mining and alumina production in Jamaica. We have also entered into a 20-year SSA to supply Jamalco with steam for use in its alumina refinery operations. We may explore a potential sale of the power plant in the future. We have total aggregate contracted volumes of approximately 619,000 gallons of LNG (51,200 MMBtu) per day at our Old Harbour Terminal with an average contract length of 20.0 years. We expect that our Old Harbour Terminal will operate at 16% capacity to service JPC and Jamalco. We will have the ability to service other potential customers with the excess capacity of the Old Harbour Terminal, and we are seeking to enter into long-term contracts with new customers for such purposes. The Old Harbour Terminal is an offshore terminal with storage and regasification equipment via FSRU. The offshore design eliminates the need for expensive storage tanks and permanent, onshore infrastructure.</w:t>
      </w:r>
    </w:p>
    <w:p>
      <w:pPr>
        <w:spacing w:after="0" w:line="65" w:lineRule="exact"/>
        <w:rPr>
          <w:sz w:val="20"/>
          <w:szCs w:val="20"/>
          <w:color w:val="auto"/>
        </w:rPr>
      </w:pPr>
    </w:p>
    <w:p>
      <w:pPr>
        <w:ind w:firstLine="357"/>
        <w:spacing w:after="0" w:line="283" w:lineRule="auto"/>
        <w:rPr>
          <w:sz w:val="20"/>
          <w:szCs w:val="20"/>
          <w:color w:val="auto"/>
        </w:rPr>
      </w:pPr>
      <w:r>
        <w:rPr>
          <w:rFonts w:ascii="Arial" w:cs="Arial" w:eastAsia="Arial" w:hAnsi="Arial"/>
          <w:sz w:val="16"/>
          <w:szCs w:val="16"/>
          <w:i w:val="1"/>
          <w:iCs w:val="1"/>
          <w:color w:val="auto"/>
        </w:rPr>
        <w:t xml:space="preserve">San Juan, Puerto Rico </w:t>
      </w:r>
      <w:r>
        <w:rPr>
          <w:rFonts w:ascii="Arial" w:cs="Arial" w:eastAsia="Arial" w:hAnsi="Arial"/>
          <w:sz w:val="16"/>
          <w:szCs w:val="16"/>
          <w:color w:val="auto"/>
        </w:rPr>
        <w:t>– Our San Juan Facility is currently under development and is expected to commence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 the second quarter of 2019. It is designed as a landed multi-fuel handling facility located in the Port of San Juan, Puerto Rico. The San Juan Facility is being constructed with multiple truck loading bays to provide LNG to on-island industrial users. In addition, PREPA selected our proposal to convert and supply natural gas to Units 5 and 6 of the San Juan Power Plant – which together have a capacity of 440MW. We have purchased the land and cleared the wharves near the San Juan Power Plant. The San Juan Power Plant is currently running on diesel, and we plan to convert the San Juan Power Plant to run on natural gas and provide up to approximately 25 TBtu of natural gas per year, which would equal approximately 850,000 gallons of LNG (70,000 MMBtu) per day. We are in advanced stages of finalizing an agreement with PREPA for the conversion of the San Juan Power Plant and the right to provide natural gas to PREPA for use as fuel for Units 5 and 6 of the San Juan Power Plant. On January 25, 2019, the PREB approved our proposed agreement with PREPA, and the agreement is currently under review by the FOMB. Although we expect such review to be completed by the end of January 2019, there can be no assurance that such regulatory review will be completed on this timeline or that we will not need to make adjustments to the agreement as a result of such regulatory review or that we will be able to enter into such contract at all. It is also possible that our ability to enter into an agreement with PREPA may be delayed, or the terms of any agreement may be changed, by litigation or other challenges that impact our ability to be awarded the PREPA contract. See “Risk Factors—Our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 We expect the conversion to natural gas would allow PREPA to realize significant, recurring annual cost savings of approximately $285 million (based on current diesel pricing and information provided in PREPA’s request for proposals) after one time conversion costs while also using a more sustainable, environmentally friendly form of energy.</w:t>
      </w:r>
    </w:p>
    <w:p>
      <w:pPr>
        <w:spacing w:after="0" w:line="276"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i w:val="1"/>
          <w:iCs w:val="1"/>
          <w:color w:val="auto"/>
        </w:rPr>
        <w:t xml:space="preserve">La Paz, Baja California Sur, Mexico </w:t>
      </w:r>
      <w:r>
        <w:rPr>
          <w:rFonts w:ascii="Arial" w:cs="Arial" w:eastAsia="Arial" w:hAnsi="Arial"/>
          <w:sz w:val="17"/>
          <w:szCs w:val="17"/>
          <w:color w:val="auto"/>
        </w:rPr>
        <w:t>– Our La Paz Terminal is currently under development and is expected to commence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operations in the fourth quarter of 2019. It is being designed as an LNG receiving terminal located at the Port of Pichilingue in Baja California Sur, Mexico, where LNG will be delivered via a small LNGC vessel or barge from a mothership moored nearby. Initially, the La Paz Terminal is expected to supply approximately 225,000 gallons of LNG (18,000 MMBtu) per day under an intercompany GSA for a 93MW gas-fired mobile power unit that we plan to develop, own, and operate. Similarly, we expect that we will use the La Paz Terminal infrastructure, which includes truckloading bays, to facilitate the conversion of, and supply approximately 180,000 gallons of LNG (15,000 MMBtu) per day to the 85MW Los Cabos power plant owned by Comision Federal de Electridad, as well as regional industrial users such as ferries and hotels. In August 2018, we obtained a power generation permit from Mexico’s energy regulatory commission, Comisión Reguladora de Energia.</w:t>
      </w:r>
    </w:p>
    <w:p>
      <w:pPr>
        <w:spacing w:after="0" w:line="74" w:lineRule="exact"/>
        <w:rPr>
          <w:sz w:val="20"/>
          <w:szCs w:val="20"/>
          <w:color w:val="auto"/>
        </w:rPr>
      </w:pPr>
    </w:p>
    <w:p>
      <w:pPr>
        <w:ind w:right="60" w:firstLine="357"/>
        <w:spacing w:after="0" w:line="254" w:lineRule="auto"/>
        <w:rPr>
          <w:sz w:val="20"/>
          <w:szCs w:val="20"/>
          <w:color w:val="auto"/>
        </w:rPr>
      </w:pPr>
      <w:r>
        <w:rPr>
          <w:rFonts w:ascii="Arial" w:cs="Arial" w:eastAsia="Arial" w:hAnsi="Arial"/>
          <w:sz w:val="18"/>
          <w:szCs w:val="18"/>
          <w:i w:val="1"/>
          <w:iCs w:val="1"/>
          <w:color w:val="auto"/>
        </w:rPr>
        <w:t xml:space="preserve">Shannon, Ireland </w:t>
      </w:r>
      <w:r>
        <w:rPr>
          <w:rFonts w:ascii="Arial" w:cs="Arial" w:eastAsia="Arial" w:hAnsi="Arial"/>
          <w:sz w:val="18"/>
          <w:szCs w:val="18"/>
          <w:color w:val="auto"/>
        </w:rPr>
        <w:t>– We have entered into an agreement to purchase all of the ownership interests in a project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the rights to develop and operate an LNG terminal and a CHP plant on the Shannon Estuary near Ballylongford, Ireland. We intend this terminal to include a storage facility with onshore regasification equipment and pipeline connection into the distribution system of Gas Networks Ireland, Ireland’s national gas network. We have obtained planning permission for the terminal and pipeline, foreshore leases and certain approvals from the Commission for Regulation of Utilities in Ireland. We plan to deliver LNG to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terminal via a traditional size LNGC. The equipment on site will have the capacity to import and regasify more than 6 million gallons of LNG (500,000 MMBtu) per day, which is the equivalent of Ireland’s total foreign natural gas imports. Additionally, the planning permission approval for the terminal includes the ability to build an integrated 500MW power plant on-site with priority dispatch. We will begin construction of the Ireland Terminal once we have secured contracts with downstream customers for volumes that are sufficient to support the development.</w:t>
      </w:r>
    </w:p>
    <w:p>
      <w:pPr>
        <w:spacing w:after="0" w:line="81" w:lineRule="exact"/>
        <w:rPr>
          <w:sz w:val="20"/>
          <w:szCs w:val="20"/>
          <w:color w:val="auto"/>
        </w:rPr>
      </w:pPr>
    </w:p>
    <w:p>
      <w:pPr>
        <w:ind w:right="60" w:firstLine="357"/>
        <w:spacing w:after="0" w:line="252" w:lineRule="auto"/>
        <w:rPr>
          <w:sz w:val="20"/>
          <w:szCs w:val="20"/>
          <w:color w:val="auto"/>
        </w:rPr>
      </w:pPr>
      <w:r>
        <w:rPr>
          <w:rFonts w:ascii="Arial" w:cs="Arial" w:eastAsia="Arial" w:hAnsi="Arial"/>
          <w:sz w:val="18"/>
          <w:szCs w:val="18"/>
          <w:i w:val="1"/>
          <w:iCs w:val="1"/>
          <w:color w:val="auto"/>
        </w:rPr>
        <w:t xml:space="preserve">Dominican Republic </w:t>
      </w:r>
      <w:r>
        <w:rPr>
          <w:rFonts w:ascii="Arial" w:cs="Arial" w:eastAsia="Arial" w:hAnsi="Arial"/>
          <w:sz w:val="18"/>
          <w:szCs w:val="18"/>
          <w:color w:val="auto"/>
        </w:rPr>
        <w:t>– We are in the advanced stages of negotiations to enter into a long-term contract for the supply of up to</w:t>
      </w:r>
      <w:r>
        <w:rPr>
          <w:rFonts w:ascii="Arial" w:cs="Arial" w:eastAsia="Arial" w:hAnsi="Arial"/>
          <w:sz w:val="18"/>
          <w:szCs w:val="18"/>
          <w:i w:val="1"/>
          <w:iCs w:val="1"/>
          <w:color w:val="auto"/>
        </w:rPr>
        <w:t xml:space="preserve"> </w:t>
      </w:r>
      <w:r>
        <w:rPr>
          <w:rFonts w:ascii="Arial" w:cs="Arial" w:eastAsia="Arial" w:hAnsi="Arial"/>
          <w:sz w:val="18"/>
          <w:szCs w:val="18"/>
          <w:color w:val="auto"/>
        </w:rPr>
        <w:t>1.7 million gallons of LNG per day (140,500 MMBtu) to supply power plants with natural gas in the Southeastern portion of the Dominican Republic. We plan to develop an LNG import terminal off the Southeastern coast of the Dominican Republic which will receive shipments of LNG via an LNGC and will transfer the LNG onshore. LNG will be transferred from an LNGC to an FSRU which will be semi-permanently moored at the terminal and will be transported via a subsea pipeline to the San Pedro de Macoris area where the natural gas will be sent on to power plants in the region. The LNG import terminal may also be utilized to transport natural gas to industrial users in the Dominican Republic. We anticipate commencing commercial operations in the first quarter of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Liquefaction Assets</w:t>
      </w:r>
    </w:p>
    <w:p>
      <w:pPr>
        <w:spacing w:after="0" w:line="119"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color w:val="auto"/>
        </w:rPr>
        <w:t>We intend to supply all existing and future customers with LNG produced primarily at our own Liquefaction Facilities. We have one operational liquefaction facility in Miami, are currently developing our Pennsylvania Facility and plan to develop five or more additional liquefaction facilities over the next five years.</w:t>
      </w:r>
    </w:p>
    <w:p>
      <w:pPr>
        <w:spacing w:after="0" w:line="76" w:lineRule="exact"/>
        <w:rPr>
          <w:sz w:val="20"/>
          <w:szCs w:val="20"/>
          <w:color w:val="auto"/>
        </w:rPr>
      </w:pPr>
    </w:p>
    <w:p>
      <w:pPr>
        <w:ind w:right="160" w:firstLine="357"/>
        <w:spacing w:after="0" w:line="289" w:lineRule="auto"/>
        <w:rPr>
          <w:sz w:val="20"/>
          <w:szCs w:val="20"/>
          <w:color w:val="auto"/>
        </w:rPr>
      </w:pPr>
      <w:r>
        <w:rPr>
          <w:rFonts w:ascii="Arial" w:cs="Arial" w:eastAsia="Arial" w:hAnsi="Arial"/>
          <w:sz w:val="16"/>
          <w:szCs w:val="16"/>
          <w:color w:val="auto"/>
        </w:rPr>
        <w:t>We believe that, by building smaller facilities and optimizing efficiencies, we will be able to construct our Liquefaction Facilities significantly faster and more economically than those typically developed in the industry. We expect to construct each liquefaction facility for a total cost (including ancillary logistics infrastructure) of between $750 to $850 million, which implies an anticipated cost of LNG production of approximately $374 per ton. There can be no assurance development costs will not exceed our targets. If we can achieve these cost targets, this would be considerably more cost-effective than the industry’s published liquefaction costs, which range from $511 to $867 per ton excluding ancillary infrastructure. Each of our Liquefaction Facilities is anticipated to produce approximately 3.6 million gallons of LNG (298,000 MMBtu) per day, or approximately 2.23 mtpa of LNG.</w:t>
      </w:r>
    </w:p>
    <w:p>
      <w:pPr>
        <w:spacing w:after="0" w:line="59" w:lineRule="exact"/>
        <w:rPr>
          <w:sz w:val="20"/>
          <w:szCs w:val="20"/>
          <w:color w:val="auto"/>
        </w:rPr>
      </w:pPr>
    </w:p>
    <w:p>
      <w:pPr>
        <w:ind w:firstLine="357"/>
        <w:spacing w:after="0" w:line="253" w:lineRule="auto"/>
        <w:rPr>
          <w:sz w:val="20"/>
          <w:szCs w:val="20"/>
          <w:color w:val="auto"/>
        </w:rPr>
      </w:pPr>
      <w:r>
        <w:rPr>
          <w:rFonts w:ascii="Arial" w:cs="Arial" w:eastAsia="Arial" w:hAnsi="Arial"/>
          <w:sz w:val="18"/>
          <w:szCs w:val="18"/>
          <w:color w:val="auto"/>
        </w:rPr>
        <w:t>We constructed the Miami Facility, which commenced commercial operations in 2016, in under 12 months at a cost to build of approximately $70 million. The Miami Facility employs what we believe is one of the largest private ISO container fleets in the world. It has one liquefaction train, with liquefaction production capacity of approximately 100,000 gallons of LNG (8,200 MMBtu) per day and was 96.6% dispatchable during 2018. The facility also has three LNG storage tanks, with total capacity of approximately 1,000 cubic meters. The plant also includes two separate LNG transfer areas capable of serving both truck and rail. We are currently delivering approximately 31,000 gallons of LNG per day from the Miami Facility pursuant to long-term, take-or-pay contracts.</w:t>
      </w:r>
    </w:p>
    <w:p>
      <w:pPr>
        <w:spacing w:after="0" w:line="82"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color w:val="auto"/>
        </w:rPr>
        <w:t>We are in advanced stages of the design, development and permitting for our Pennsylvania Facility, and we are targeting completion in the first quarter of 2021. In January 2019, we entered into the EPC Agreement with the Contractor for the construction of our Pennsylvania Facility. We expect our Pennsylvania Facility to have the capacity to liquefy approximately 3.6 million gallons of LNG (250,000 – 330,000 MMBtu) per day. We have already entered into a 15-year contract to acquire all of the feedgas needed to operate our Pennsylvania Facility at capacity, with pricing that is generally fixed at $2.50 per MMBtu. Once LNG is produced at this facility, a dedicated tanker truck fleet will transport the LNG to a nearby port. We are in the advanced stages of negotiating a long-term lease with a company managed by an affiliate of Fortress for the use of a facility at a port approximately 195 miles away along the Delaware River, and we expect to finalize the lease prior to the completion of this offering. Under such lease, we expect to have the exclusive rights to use such facility for the term of the lease and that LNG will be transferred directly from tanker truck, rail or other non-pipeline means to marine vessels through multiple transloading bays, allowing for simultaneous and continuous operations. From there, our dedicated fleet of marine vessels will be able to transport the LNG to our Terminals from which we will deliver natural gas or LNG to our customers. We expect to have liquefaction capacity of approximately 3.6 million gallons of LNG per day after the completion of our Pennsylvania Facility.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 w:firstLine="357"/>
        <w:spacing w:after="0" w:line="305" w:lineRule="auto"/>
        <w:rPr>
          <w:sz w:val="20"/>
          <w:szCs w:val="20"/>
          <w:color w:val="auto"/>
        </w:rPr>
      </w:pPr>
      <w:r>
        <w:rPr>
          <w:rFonts w:ascii="Arial" w:cs="Arial" w:eastAsia="Arial" w:hAnsi="Arial"/>
          <w:sz w:val="17"/>
          <w:szCs w:val="17"/>
          <w:color w:val="auto"/>
        </w:rPr>
        <w:t>In addition to this port along the Delaware River, we are also in the advanced stages of negotiating a substantially similar long-term lease with a company managed by an affiliate of Fortress for the use of a facility at a port on the Texas Gulf Coast.</w:t>
      </w:r>
    </w:p>
    <w:p>
      <w:pPr>
        <w:spacing w:after="0" w:line="40"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At the completion of this offering, we will have spent approximately $350 million in building and developing our facilities since 2014 and have commitments to spend an additional approximately $1.35 billion. We expect to fund these commitments through a combination of cash on hand, operating cash flows, additional borrowings and the proceeds from this offering. Pending completion and commissioning of our liquefier in development, we expect to continue to supply our downstream customers with LNG and natural gas sourced from a combination of our Miami Facility, which operated at 28% capacity during the first half of 2018, purchases of LNG under a multi-cargo contract with Centrica and open market purchases as necessary. We are drawing on our experience from the construction and operation of our Miami Facility to optimize the development of our Pennsylvania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Pennsylvania EPC Agreement</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January 2019, we entered into the EPC Agreement with the Contractor for the construction of our Pennsylvania Facility.</w:t>
      </w:r>
    </w:p>
    <w:p>
      <w:pPr>
        <w:spacing w:after="0" w:line="138"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We expect the target completion date of the Pennsylvania Facility to be the first quarter 2021. The contract price under the EPC Agreement is approximately $672 million, excluding Pennsylvania sales and use taxes on materials and equipment. The contract price includes a provisional payment of $162 million, and the contract price may be reduced based on actual cost savings. We intend to fund these amounts from a combination of cash flows from operations, additional indebtedness or the opportunistic sale of one of our non-core assets. The Contractor will be entitled to receive a bonus for completion of the Pennsylvania Facility prior to the contract completion date, up to a maximum bonus amount of $30 million. The Contractor will be able to obtain change order relief, including increases to the contract price and extensions of guaranteed dates for substantial completion, in the event of specified occurrences.</w:t>
      </w:r>
    </w:p>
    <w:p>
      <w:pPr>
        <w:spacing w:after="0" w:line="86" w:lineRule="exact"/>
        <w:rPr>
          <w:sz w:val="20"/>
          <w:szCs w:val="20"/>
          <w:color w:val="auto"/>
        </w:rPr>
      </w:pPr>
    </w:p>
    <w:p>
      <w:pPr>
        <w:ind w:right="60" w:firstLine="357"/>
        <w:spacing w:after="0" w:line="270" w:lineRule="auto"/>
        <w:rPr>
          <w:sz w:val="20"/>
          <w:szCs w:val="20"/>
          <w:color w:val="auto"/>
        </w:rPr>
      </w:pPr>
      <w:r>
        <w:rPr>
          <w:rFonts w:ascii="Arial" w:cs="Arial" w:eastAsia="Arial" w:hAnsi="Arial"/>
          <w:sz w:val="17"/>
          <w:szCs w:val="17"/>
          <w:color w:val="auto"/>
        </w:rPr>
        <w:t>The Contractor will be required to pay “delay” liquidated damages for failure to achieve substantial completion by the guaranteed substantial completion date in the second quarter of 2021, which is capped at 8% of the contract price. The Contractor will be required to pay “performance” liquidated damages for failure to achieve one or more performance guarantees while meeting specified minimum acceptance criteria and other requirements for substantial completion, which is separately capped at 8% of the contract price. The Contractor’s maximum aggregate liability for specified liquidated damages will be 15% of the contract price. The Contractor’s maximum liability under the EPC Agreement (excluding its achievement of the minimum acceptance criteria and certain other items) will be 30% of the contract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Customers</w:t>
      </w:r>
    </w:p>
    <w:p>
      <w:pPr>
        <w:spacing w:after="0" w:line="119" w:lineRule="exact"/>
        <w:rPr>
          <w:sz w:val="20"/>
          <w:szCs w:val="20"/>
          <w:color w:val="auto"/>
        </w:rPr>
      </w:pPr>
    </w:p>
    <w:p>
      <w:pPr>
        <w:ind w:right="100" w:firstLine="357"/>
        <w:spacing w:after="0" w:line="309" w:lineRule="auto"/>
        <w:rPr>
          <w:sz w:val="20"/>
          <w:szCs w:val="20"/>
          <w:color w:val="auto"/>
        </w:rPr>
      </w:pPr>
      <w:r>
        <w:rPr>
          <w:rFonts w:ascii="Arial" w:cs="Arial" w:eastAsia="Arial" w:hAnsi="Arial"/>
          <w:sz w:val="16"/>
          <w:szCs w:val="16"/>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In addition, we also intend to sell power and steam directly to some of our customers.</w:t>
      </w:r>
    </w:p>
    <w:p>
      <w:pPr>
        <w:spacing w:after="0" w:line="41" w:lineRule="exact"/>
        <w:rPr>
          <w:sz w:val="20"/>
          <w:szCs w:val="20"/>
          <w:color w:val="auto"/>
        </w:rPr>
      </w:pPr>
    </w:p>
    <w:p>
      <w:pPr>
        <w:ind w:right="100" w:firstLine="357"/>
        <w:spacing w:after="0" w:line="255" w:lineRule="auto"/>
        <w:rPr>
          <w:sz w:val="20"/>
          <w:szCs w:val="20"/>
          <w:color w:val="auto"/>
        </w:rPr>
      </w:pPr>
      <w:r>
        <w:rPr>
          <w:rFonts w:ascii="Arial" w:cs="Arial" w:eastAsia="Arial" w:hAnsi="Arial"/>
          <w:sz w:val="18"/>
          <w:szCs w:val="18"/>
          <w:color w:val="auto"/>
        </w:rPr>
        <w:t>We seek to enter into long-term, take-or-pay contracts to deliver natural gas or LNG, which generally include targeted pricing of approximately $10.00 per MMBtu. Pricing for any particular customer depends on the size of the customer, purchased volume, the customer’s credit profile, the complexity of the delivery and the infrastructure required to deliver it, and there can be no assurance we will achieve our targeted pricing. In general, the better the credit and larger the size of the user, the lower the contract price of our fuel.</w:t>
      </w:r>
    </w:p>
    <w:p>
      <w:pPr>
        <w:spacing w:after="0" w:line="81"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To date, we have contracts, letters of intent or expect to secure contracts in the near term to sell LNG volumes in excess of 12.4 million gallons (1,025,000 MMBtu) per day, which includes approximately 2.2 million gallons per day that we expect to sell to customers under existing contracts with a weighted average remaining term of 12.4 years, assuming with respect to the PREPA contract, satisfactory completion of the ongoing review by FOMB and final entry into the contract related to such volumes. See “Risk Factors—Our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nonperformance, or if we fail to enter into such contracts at all.” Our operations, which are currently conducted primarily at our Montego Bay Terminal and at our Miami Facility, are currently generating revenue from sales of approximately 400,000 gallons (33,000 MMBtu) per day. Pending completion and commissioning of our liquefier in development, we expect to continue to supply our downstream customers with LNG and natural gas sourced from a combination of our Miami Facility, purchases of LNG under a multi-cargo contract with Centrica and open market purchases as necessary. We have entered into contracts with Centrica for the purchase of cargoes of 1.1 billion gallons of LNG (86.8 million MMBtu). The cargoes are scheduled for delivery between June 2019 and December 2021. Our ambition is to continue to aggressively grow this customer portfolio. We are in active discussions with additional customers who may have significant demand for additional LNG.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Jamaica Customers</w:t>
      </w:r>
    </w:p>
    <w:p>
      <w:pPr>
        <w:spacing w:after="0" w:line="115" w:lineRule="exact"/>
        <w:rPr>
          <w:sz w:val="20"/>
          <w:szCs w:val="20"/>
          <w:color w:val="auto"/>
        </w:rPr>
      </w:pPr>
    </w:p>
    <w:p>
      <w:pPr>
        <w:ind w:right="200" w:firstLine="357"/>
        <w:spacing w:after="0" w:line="257" w:lineRule="auto"/>
        <w:rPr>
          <w:sz w:val="20"/>
          <w:szCs w:val="20"/>
          <w:color w:val="auto"/>
        </w:rPr>
      </w:pPr>
      <w:r>
        <w:rPr>
          <w:rFonts w:ascii="Arial" w:cs="Arial" w:eastAsia="Arial" w:hAnsi="Arial"/>
          <w:sz w:val="18"/>
          <w:szCs w:val="18"/>
          <w:color w:val="auto"/>
        </w:rPr>
        <w:t>We have several contracts with government affiliated entities in Jamaica, including contracts with JPS, JPC and Jamalco (the “Jamaica GSAs”) as further described below. The Jamaica GSAs represent 50% of Jamaica’s installed capacity and sales of approximately 919,000 gallons (76,000 MMBtu) of LNG per day. The Jamaica GSAs have remaining terms of approximately 20 years, with mutual options to extend, subject to certain conditions.</w:t>
      </w:r>
    </w:p>
    <w:p>
      <w:pPr>
        <w:spacing w:after="0" w:line="79"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We refer to the structure of these contracts as “take-or-pay” because they include a firm obligation to take a fixed quantity of product at a stated price and provisions that ensure we will be made whole in the case of our customer’s failure to accept all or a part of the contracted volumes or for termination by our customer. Pricing under these contracts generally consists of a fixed fee plus a variable rate, and, in some cases, an additional index price or volume discount. Our contracts also provide for annual inflation-based adjustments and reimbursement for government charges incurred. The aggregate minimum quantities we are required to deliver, and our counterparties are required to purchase, under the Jamaica GSAs initially total approximately 56,211 MMBtu per day.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Bogue Power Plant</w:t>
      </w:r>
    </w:p>
    <w:p>
      <w:pPr>
        <w:spacing w:after="0" w:line="115" w:lineRule="exact"/>
        <w:rPr>
          <w:sz w:val="20"/>
          <w:szCs w:val="20"/>
          <w:color w:val="auto"/>
        </w:rPr>
      </w:pPr>
    </w:p>
    <w:p>
      <w:pPr>
        <w:ind w:right="160" w:firstLine="357"/>
        <w:spacing w:after="0" w:line="284" w:lineRule="auto"/>
        <w:rPr>
          <w:sz w:val="20"/>
          <w:szCs w:val="20"/>
          <w:color w:val="auto"/>
        </w:rPr>
      </w:pPr>
      <w:r>
        <w:rPr>
          <w:rFonts w:ascii="Arial" w:cs="Arial" w:eastAsia="Arial" w:hAnsi="Arial"/>
          <w:sz w:val="17"/>
          <w:szCs w:val="17"/>
          <w:color w:val="auto"/>
        </w:rPr>
        <w:t>We have executed a 22-year agreement to supply JPS’s Bogue Power Plant in Montego Bay, Jamaica with natural gas. The Bogue Power Plant is an approximately 145MW capacity power plant converted to run on natural gas as well as ADO. We believe the Bogue Power Plant is a compelling example of the power of our business strategy.</w:t>
      </w:r>
    </w:p>
    <w:p>
      <w:pPr>
        <w:spacing w:after="0" w:line="57" w:lineRule="exact"/>
        <w:rPr>
          <w:sz w:val="20"/>
          <w:szCs w:val="20"/>
          <w:color w:val="auto"/>
        </w:rPr>
      </w:pPr>
    </w:p>
    <w:p>
      <w:pPr>
        <w:ind w:right="100" w:firstLine="357"/>
        <w:spacing w:after="0" w:line="288" w:lineRule="auto"/>
        <w:rPr>
          <w:sz w:val="20"/>
          <w:szCs w:val="20"/>
          <w:color w:val="auto"/>
        </w:rPr>
      </w:pPr>
      <w:r>
        <w:rPr>
          <w:rFonts w:ascii="Arial" w:cs="Arial" w:eastAsia="Arial" w:hAnsi="Arial"/>
          <w:sz w:val="16"/>
          <w:szCs w:val="16"/>
          <w:color w:val="auto"/>
        </w:rPr>
        <w:t>The plant was originally constructed to burn natural gas, but, because the plant could not procure sufficient amounts of natural gas, the plant has burned ADO in recent years. We provide a comprehensive solution for JPS to use natural gas to power turbines with 145MW power generation capacity at the Bogue Power Plant at prices that are economically attractive compared to ADO in exchange for JPS entering into a long-term, take-or-pay supply agreement with us. Under the terms of the agreement, we ship LNG to Jamaica, regasify it and ultimately deliver natural gas to the Bogue Power Plant. We constructed the Montego Bay Terminal that commenced commercial operations on October 30, 2016. The Montego Bay Terminal has the capacity to store approximately two million gallons of LNG in seven storage tanks. The facility has regasification equipment and a pipeline capable of transporting sufficient natural gas to support up to approximately 250MW of generation capacity.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Old Harbour Power Plant</w:t>
      </w:r>
    </w:p>
    <w:p>
      <w:pPr>
        <w:spacing w:after="0" w:line="115" w:lineRule="exact"/>
        <w:rPr>
          <w:sz w:val="20"/>
          <w:szCs w:val="20"/>
          <w:color w:val="auto"/>
        </w:rPr>
      </w:pPr>
    </w:p>
    <w:p>
      <w:pPr>
        <w:ind w:right="40" w:firstLine="357"/>
        <w:spacing w:after="0" w:line="339" w:lineRule="auto"/>
        <w:rPr>
          <w:sz w:val="20"/>
          <w:szCs w:val="20"/>
          <w:color w:val="auto"/>
        </w:rPr>
      </w:pPr>
      <w:r>
        <w:rPr>
          <w:rFonts w:ascii="Arial" w:cs="Arial" w:eastAsia="Arial" w:hAnsi="Arial"/>
          <w:sz w:val="16"/>
          <w:szCs w:val="16"/>
          <w:color w:val="auto"/>
        </w:rPr>
        <w:t>We have also executed an agreement to supply JPC’s Old Harbour Power Plant in Old Harbour, Jamaica with natural gas and back-up ADO for 20 years. The Old Harbour Power Plant will be an approximately 190MW capacity dual fuel plant owned by JPC.</w:t>
      </w:r>
    </w:p>
    <w:p>
      <w:pPr>
        <w:spacing w:after="0" w:line="17" w:lineRule="exact"/>
        <w:rPr>
          <w:sz w:val="20"/>
          <w:szCs w:val="20"/>
          <w:color w:val="auto"/>
        </w:rPr>
      </w:pPr>
    </w:p>
    <w:p>
      <w:pPr>
        <w:ind w:right="80" w:firstLine="357"/>
        <w:spacing w:after="0" w:line="289" w:lineRule="auto"/>
        <w:rPr>
          <w:sz w:val="20"/>
          <w:szCs w:val="20"/>
          <w:color w:val="auto"/>
        </w:rPr>
      </w:pPr>
      <w:r>
        <w:rPr>
          <w:rFonts w:ascii="Arial" w:cs="Arial" w:eastAsia="Arial" w:hAnsi="Arial"/>
          <w:sz w:val="16"/>
          <w:szCs w:val="16"/>
          <w:color w:val="auto"/>
        </w:rPr>
        <w:t>Similar to our agreement with JPS regarding the Bogue Power Plant, we provide a comprehensive solution to JPC to use natural gas at the Old Harbour Power Plant at prices that are economically attractive relative to distillate fuel alternatives in exchange for JPC entering into a long-term, take-or-pay supply agreement with us. Under the terms of the agreement, we will ship LNG to Jamaica, regasify it and ultimately deliver natural gas to the Old Harbour Power Plant with ADO available as a back-up supply when natural gas is not available. The Old Harbour Terminal was completed in December 2018 and has the capacity to store up to 33 million gallons of LNG in a floating marine storage unit. The facility will have regasification equipment and a pipeline capable of transporting natural gas to the Old Harbour Power Plant to support approximately 400MW of generation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720"/>
        <w:spacing w:after="0" w:line="339" w:lineRule="auto"/>
        <w:rPr>
          <w:sz w:val="20"/>
          <w:szCs w:val="20"/>
          <w:color w:val="auto"/>
        </w:rPr>
      </w:pPr>
      <w:r>
        <w:rPr>
          <w:rFonts w:ascii="Arial" w:cs="Arial" w:eastAsia="Arial" w:hAnsi="Arial"/>
          <w:sz w:val="16"/>
          <w:szCs w:val="16"/>
          <w:color w:val="auto"/>
        </w:rPr>
        <w:t>capacity. We secured binding EPC contracts for substantially all of the projected budget for the Old Harbour Terminal, and construction began in August 2017. We have also secured back-up ADO fuel supply under a contract with Petrojam.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Jamalco Combined Heat &amp; Power Plant</w:t>
      </w:r>
    </w:p>
    <w:p>
      <w:pPr>
        <w:spacing w:after="0" w:line="115" w:lineRule="exact"/>
        <w:rPr>
          <w:sz w:val="20"/>
          <w:szCs w:val="20"/>
          <w:color w:val="auto"/>
        </w:rPr>
      </w:pPr>
    </w:p>
    <w:p>
      <w:pPr>
        <w:ind w:firstLine="357"/>
        <w:spacing w:after="0" w:line="271" w:lineRule="auto"/>
        <w:rPr>
          <w:sz w:val="20"/>
          <w:szCs w:val="20"/>
          <w:color w:val="auto"/>
        </w:rPr>
      </w:pPr>
      <w:r>
        <w:rPr>
          <w:rFonts w:ascii="Arial" w:cs="Arial" w:eastAsia="Arial" w:hAnsi="Arial"/>
          <w:sz w:val="17"/>
          <w:szCs w:val="17"/>
          <w:color w:val="auto"/>
        </w:rPr>
        <w:t>We have also executed a suite of agreements, including a 20 year SSA to supply Jamalco with steam for use in its alumina refinery operations and a 20 year PPA to supply electricity to JPS, to support our development of the CHP Plant. The CHP Plant will be a 150MW capacity power plant and will be fueled by natural gas with the ability to run on diesel as a backup fuel source. We will ship LNG to Jamaica, regasify it at the Old Harbour Terminal and deliver it to the CHP Plant, which will be owned by our wholly owned subsidiary NFE South Power. We have obtained a power generation license for, and have commenced the construction of, the CHP Plant and we expect construction to be completed by the first quarter of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Jamaica Industrial End-User Sales</w:t>
      </w:r>
    </w:p>
    <w:p>
      <w:pPr>
        <w:spacing w:after="0" w:line="115" w:lineRule="exact"/>
        <w:rPr>
          <w:sz w:val="20"/>
          <w:szCs w:val="20"/>
          <w:color w:val="auto"/>
        </w:rPr>
      </w:pPr>
    </w:p>
    <w:p>
      <w:pPr>
        <w:ind w:right="160" w:firstLine="357"/>
        <w:spacing w:after="0" w:line="284" w:lineRule="auto"/>
        <w:rPr>
          <w:sz w:val="20"/>
          <w:szCs w:val="20"/>
          <w:color w:val="auto"/>
        </w:rPr>
      </w:pPr>
      <w:r>
        <w:rPr>
          <w:rFonts w:ascii="Arial" w:cs="Arial" w:eastAsia="Arial" w:hAnsi="Arial"/>
          <w:sz w:val="17"/>
          <w:szCs w:val="17"/>
          <w:color w:val="auto"/>
        </w:rPr>
        <w:t>We have entered into multiple long-term contracts to sell LNG directly to industrial end-users in Jamaica. To fulfill the requirements of our end-user customers, we transport LNG through our Jamaica Terminals (either from our Liquefaction Facilities in the United States or from third parties in market purchases) and deliver such LNG directly to customers.</w:t>
      </w:r>
    </w:p>
    <w:p>
      <w:pPr>
        <w:spacing w:after="0" w:line="57" w:lineRule="exact"/>
        <w:rPr>
          <w:sz w:val="20"/>
          <w:szCs w:val="20"/>
          <w:color w:val="auto"/>
        </w:rPr>
      </w:pPr>
    </w:p>
    <w:p>
      <w:pPr>
        <w:ind w:right="400" w:firstLine="357"/>
        <w:spacing w:after="0" w:line="253" w:lineRule="auto"/>
        <w:rPr>
          <w:sz w:val="20"/>
          <w:szCs w:val="20"/>
          <w:color w:val="auto"/>
        </w:rPr>
      </w:pPr>
      <w:r>
        <w:rPr>
          <w:rFonts w:ascii="Arial" w:cs="Arial" w:eastAsia="Arial" w:hAnsi="Arial"/>
          <w:sz w:val="18"/>
          <w:szCs w:val="18"/>
          <w:color w:val="auto"/>
        </w:rPr>
        <w:t>For example, we have entered into a 10-year agreement to supply Red Stripe with LNG to power its brewery operations through Red Stripe’s own CHP facility located on-site at its brewery in Kingston, Jamaica. We constructed the necessary LNG storage and regasification infrastructure “behind the fence” at Red Stripe’s factory in less than three months, and natural-gas powered operations commenced on October 6, 2017. Red Stripe estimates that its conversion to natural gas will save it at least $336,000 per year (not including conversion costs). The agreement with Red Stripe is the first of what we aim to be many such arrangements to supply LNG directly to industrial end-users in Jamaica and elsewhere utilizing our end-to-end, fully integrated LNG supply network.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5" w:lineRule="exact"/>
        <w:rPr>
          <w:sz w:val="20"/>
          <w:szCs w:val="20"/>
          <w:color w:val="auto"/>
        </w:rPr>
      </w:pPr>
    </w:p>
    <w:p>
      <w:pPr>
        <w:ind w:right="140" w:firstLine="357"/>
        <w:spacing w:after="0" w:line="277" w:lineRule="auto"/>
        <w:rPr>
          <w:sz w:val="20"/>
          <w:szCs w:val="20"/>
          <w:color w:val="auto"/>
        </w:rPr>
      </w:pPr>
      <w:r>
        <w:rPr>
          <w:rFonts w:ascii="Arial" w:cs="Arial" w:eastAsia="Arial" w:hAnsi="Arial"/>
          <w:sz w:val="17"/>
          <w:szCs w:val="17"/>
          <w:color w:val="auto"/>
        </w:rPr>
        <w:t>In September 2018, we amended and restated our GSA with an affiliate of Chesapeake to provide for the delivery of natural gas to our Pennsylvania Facility. Deliveries will commence once the Pennsylvania Facility has completed commissioning and testing and is capable of receiving the minimum volume of gas. The initial contract term is 15 years and we will purchase gas from Chesapeake at a price equal to a fixed fee plus a variable rate, subject to a minimum volume.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Opportunities and Track Record</w:t>
      </w:r>
    </w:p>
    <w:p>
      <w:pPr>
        <w:spacing w:after="0" w:line="119" w:lineRule="exact"/>
        <w:rPr>
          <w:sz w:val="20"/>
          <w:szCs w:val="20"/>
          <w:color w:val="auto"/>
        </w:rPr>
      </w:pPr>
    </w:p>
    <w:p>
      <w:pPr>
        <w:ind w:right="20" w:firstLine="357"/>
        <w:spacing w:after="0" w:line="277" w:lineRule="auto"/>
        <w:rPr>
          <w:sz w:val="20"/>
          <w:szCs w:val="20"/>
          <w:color w:val="auto"/>
        </w:rPr>
      </w:pPr>
      <w:r>
        <w:rPr>
          <w:rFonts w:ascii="Arial" w:cs="Arial" w:eastAsia="Arial" w:hAnsi="Arial"/>
          <w:sz w:val="17"/>
          <w:szCs w:val="17"/>
          <w:color w:val="auto"/>
        </w:rPr>
        <w:t>As the world continues to electrify and demand for power grows, we believe that countries will continue to look to natural gas as a viable, efficient, cost-effective and more environmentally friendly fuel. With a potential 3.75 billion LNG-gallon-per-day addressable market created by the approximately 1.5 million MW of new power expected to be needed by 2040, according to Exxon Mobil’s 2017 Outlook on Energy, we see multiple opportunities for our business to grow.</w:t>
      </w:r>
    </w:p>
    <w:p>
      <w:pPr>
        <w:spacing w:after="0" w:line="63" w:lineRule="exact"/>
        <w:rPr>
          <w:sz w:val="20"/>
          <w:szCs w:val="20"/>
          <w:color w:val="auto"/>
        </w:rPr>
      </w:pPr>
    </w:p>
    <w:p>
      <w:pPr>
        <w:ind w:right="100" w:firstLine="357"/>
        <w:spacing w:after="0" w:line="267" w:lineRule="auto"/>
        <w:rPr>
          <w:sz w:val="20"/>
          <w:szCs w:val="20"/>
          <w:color w:val="auto"/>
        </w:rPr>
      </w:pPr>
      <w:r>
        <w:rPr>
          <w:rFonts w:ascii="Arial" w:cs="Arial" w:eastAsia="Arial" w:hAnsi="Arial"/>
          <w:sz w:val="17"/>
          <w:szCs w:val="17"/>
          <w:i w:val="1"/>
          <w:iCs w:val="1"/>
          <w:color w:val="auto"/>
        </w:rPr>
        <w:t xml:space="preserve">Proven Ability to Execute. </w:t>
      </w:r>
      <w:r>
        <w:rPr>
          <w:rFonts w:ascii="Arial" w:cs="Arial" w:eastAsia="Arial" w:hAnsi="Arial"/>
          <w:sz w:val="17"/>
          <w:szCs w:val="17"/>
          <w:color w:val="auto"/>
        </w:rPr>
        <w:t>We are confident in our ability to execute and scale our business model to support our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growth because we have a successful track record of infrastructure project development. We developed, constructed and commissioned our Miami Facility, a 100,000 gallon-per-day (8,300 MMBtu) liquefier in Miami-Dade County, Florida, in under 12 months. This liquefier includes two truckloading bays capable of loading LNG tank trucks at 200 gallons-per-minute per truck, and through which we currently service our South Florida customers. We also ship ISO tankers by rail to Port Everglades for shipment to customers in the Bahamas and Barbados. We followed our Miami Facility by designing, permitting, constructing and commissioning our Montego Bay Terminal in under 14 months. This terminal is equipped with 7,000 cubic meters (2 million gallons) of on-land storage, has a direct pipeline connection to JPS’s 145MW turbines at the Bogue Power Plant, and has two truckloading bays for deliveries to on-island customers. We also commissioned our Old Harbour Terminal in December 2018. Construction of the Old Harbour Terminal was completed in October 2018, and our chartered FSRU arrived in December 2018. When operational, the Old Harbour Terminal will service a new 190MW power plant operated by JPC and a new 150MW power plant that we have begun constructing 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right="520"/>
        <w:spacing w:after="0" w:line="309" w:lineRule="auto"/>
        <w:rPr>
          <w:sz w:val="20"/>
          <w:szCs w:val="20"/>
          <w:color w:val="auto"/>
        </w:rPr>
      </w:pPr>
      <w:r>
        <w:rPr>
          <w:rFonts w:ascii="Arial" w:cs="Arial" w:eastAsia="Arial" w:hAnsi="Arial"/>
          <w:sz w:val="16"/>
          <w:szCs w:val="16"/>
          <w:color w:val="auto"/>
        </w:rPr>
        <w:t>Jamalco. These projects demonstrate our proven ability to design, construct and commission large and complex infrastructure projects on accelerated timeframes and encompassing a broad range of operations – liquefaction, logistics, onshore terminals, offshore terminals, pipeline connections, marine assets and integrated power generation assets.</w:t>
      </w:r>
    </w:p>
    <w:p>
      <w:pPr>
        <w:spacing w:after="0" w:line="41" w:lineRule="exact"/>
        <w:rPr>
          <w:sz w:val="20"/>
          <w:szCs w:val="20"/>
          <w:color w:val="auto"/>
        </w:rPr>
      </w:pPr>
    </w:p>
    <w:p>
      <w:pPr>
        <w:ind w:right="100" w:firstLine="357"/>
        <w:spacing w:after="0" w:line="273" w:lineRule="auto"/>
        <w:rPr>
          <w:sz w:val="20"/>
          <w:szCs w:val="20"/>
          <w:color w:val="auto"/>
        </w:rPr>
      </w:pPr>
      <w:r>
        <w:rPr>
          <w:rFonts w:ascii="Arial" w:cs="Arial" w:eastAsia="Arial" w:hAnsi="Arial"/>
          <w:sz w:val="17"/>
          <w:szCs w:val="17"/>
          <w:i w:val="1"/>
          <w:iCs w:val="1"/>
          <w:color w:val="auto"/>
        </w:rPr>
        <w:t>Growth Opportunity — Africa</w:t>
      </w:r>
      <w:r>
        <w:rPr>
          <w:rFonts w:ascii="Arial" w:cs="Arial" w:eastAsia="Arial" w:hAnsi="Arial"/>
          <w:sz w:val="17"/>
          <w:szCs w:val="17"/>
          <w:color w:val="auto"/>
        </w:rPr>
        <w:t>. In Sub-Saharan Africa, 590 million people, or 57% of the population, lack access to electricity.</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power generation on the continent is anticipated to more than double to 253GW by 2030. Natural gas consumption is expected to grow by nearly 150% over this timeframe, outpacing nearly every other fuel. We recognize the immense opportunity that Africa affords and opened our first office in Ghana in late 2018. We have engaged with multiple local counterparties, and we anticipate deploying meaningful capital in African projects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19" w:lineRule="exact"/>
        <w:rPr>
          <w:sz w:val="20"/>
          <w:szCs w:val="20"/>
          <w:color w:val="auto"/>
        </w:rPr>
      </w:pPr>
    </w:p>
    <w:p>
      <w:pPr>
        <w:ind w:right="40" w:firstLine="357"/>
        <w:spacing w:after="0" w:line="274" w:lineRule="auto"/>
        <w:rPr>
          <w:sz w:val="20"/>
          <w:szCs w:val="20"/>
          <w:color w:val="auto"/>
        </w:rPr>
      </w:pPr>
      <w:r>
        <w:rPr>
          <w:rFonts w:ascii="Arial" w:cs="Arial" w:eastAsia="Arial" w:hAnsi="Arial"/>
          <w:sz w:val="18"/>
          <w:szCs w:val="18"/>
          <w:color w:val="auto"/>
        </w:rPr>
        <w:t>Our primary business objective is to provide superior returns to our shareholders as a vertically integrated energy infrastructure company. We intend to accomplish this objective by implementing the following strategies:</w:t>
      </w:r>
    </w:p>
    <w:p>
      <w:pPr>
        <w:spacing w:after="0" w:line="64" w:lineRule="exact"/>
        <w:rPr>
          <w:sz w:val="20"/>
          <w:szCs w:val="20"/>
          <w:color w:val="auto"/>
        </w:rPr>
      </w:pPr>
    </w:p>
    <w:p>
      <w:pPr>
        <w:ind w:left="700" w:hanging="346"/>
        <w:spacing w:after="0" w:line="291"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develop LNG liquefaction and distribution facilities. </w:t>
      </w:r>
      <w:r>
        <w:rPr>
          <w:rFonts w:ascii="Arial" w:cs="Arial" w:eastAsia="Arial" w:hAnsi="Arial"/>
          <w:sz w:val="16"/>
          <w:szCs w:val="16"/>
          <w:color w:val="auto"/>
        </w:rPr>
        <w:t>We currently procure our LNG either by purchasing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open markets in amounts sufficient to service our customers’ needs or by manufacturing it in our Miami Facility. Following this offering, we intend to continue to develop the infrastructure necessary to supply our existing and future customers with LNG produced primarily at our facilities, including our Pennsylvania Facility. We expect that ownership of this vertical supply chain, from fixed-price gas procurement to liquefaction to delivery of LNG, will reduce our (and our customers’) future LNG price variations, thereby reinforcing our competitive standing in the LNG market.</w:t>
      </w:r>
    </w:p>
    <w:p>
      <w:pPr>
        <w:spacing w:after="0" w:line="56" w:lineRule="exact"/>
        <w:rPr>
          <w:rFonts w:ascii="Arial" w:cs="Arial" w:eastAsia="Arial" w:hAnsi="Arial"/>
          <w:sz w:val="16"/>
          <w:szCs w:val="16"/>
          <w:color w:val="auto"/>
        </w:rPr>
      </w:pPr>
    </w:p>
    <w:p>
      <w:pPr>
        <w:ind w:left="700" w:hanging="346"/>
        <w:spacing w:after="0" w:line="287"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LNG distribution business. </w:t>
      </w:r>
      <w:r>
        <w:rPr>
          <w:rFonts w:ascii="Arial" w:cs="Arial" w:eastAsia="Arial" w:hAnsi="Arial"/>
          <w:sz w:val="16"/>
          <w:szCs w:val="16"/>
          <w:color w:val="auto"/>
        </w:rPr>
        <w:t>Our sales and marketing team seeks to identify utilities, transportation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industrial end-users who may view natural gas or LNG as a potentially compelling alternative to traditional distillate fuels and typically enter into long-term, take-or-pay contracts for our products and services. Following entry into these agreements, we intend to develop the necessary infrastructure to deliver natural gas or LNG directly to the consumer in readily usable form and, in the case of power generation or steam production, to produce and deliver the required quantities of power or steam. Our comprehensive infrastructure and management services and our experience as a first mover in the Atlantic Basin should allow us to expand our footprint in the Atlantic Basin and beyond to new customers as demand for alternatives to traditional energy sources continues to expand. Following this offering, we intend to expand our footprint and enhance our service offerings to our current customers while developing relationships with new customers.</w:t>
      </w:r>
    </w:p>
    <w:p>
      <w:pPr>
        <w:spacing w:after="0" w:line="58" w:lineRule="exact"/>
        <w:rPr>
          <w:rFonts w:ascii="Arial" w:cs="Arial" w:eastAsia="Arial" w:hAnsi="Arial"/>
          <w:sz w:val="16"/>
          <w:szCs w:val="16"/>
          <w:color w:val="auto"/>
        </w:rPr>
      </w:pPr>
    </w:p>
    <w:p>
      <w:pPr>
        <w:ind w:left="700" w:right="180" w:hanging="346"/>
        <w:spacing w:after="0" w:line="289"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gas-fired power generation assets. </w:t>
      </w:r>
      <w:r>
        <w:rPr>
          <w:rFonts w:ascii="Arial" w:cs="Arial" w:eastAsia="Arial" w:hAnsi="Arial"/>
          <w:sz w:val="16"/>
          <w:szCs w:val="16"/>
          <w:color w:val="auto"/>
        </w:rPr>
        <w:t>We believe that developing and constructing our own gas-fired 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assets is a compelling growth strategy for our company. We are currently developing and have obtained a power generation license for the CHP Plant in Clarendon, Jamaica, from which we expect to supply electricity to JPS under a long-term contract. Because we intend to control the entire “spark spread” from upstream production to delivery of electricity to a customer or grid, we are able to capture economic value in a way a traditional power producer likely cannot. For example, the cost of fuel is a pass-through for most power producers. Because we would supply these power plants with our own LNG and natural gas, we capture fuel economics which can be significant.</w:t>
      </w:r>
    </w:p>
    <w:p>
      <w:pPr>
        <w:spacing w:after="0" w:line="58" w:lineRule="exact"/>
        <w:rPr>
          <w:rFonts w:ascii="Arial" w:cs="Arial" w:eastAsia="Arial" w:hAnsi="Arial"/>
          <w:sz w:val="16"/>
          <w:szCs w:val="16"/>
          <w:color w:val="auto"/>
        </w:rPr>
      </w:pPr>
    </w:p>
    <w:p>
      <w:pPr>
        <w:ind w:left="700" w:right="20" w:hanging="346"/>
        <w:spacing w:after="0" w:line="286"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build-out our Caribbean infrastructure. </w:t>
      </w:r>
      <w:r>
        <w:rPr>
          <w:rFonts w:ascii="Arial" w:cs="Arial" w:eastAsia="Arial" w:hAnsi="Arial"/>
          <w:sz w:val="16"/>
          <w:szCs w:val="16"/>
          <w:color w:val="auto"/>
        </w:rPr>
        <w:t>Our take-or-pay GSAs and SSAs with electric utilities and industrial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end-users in Jamaica provide us with the opportunity for stable, long-term contracted cash flows. In order to service these contracts efficiently and cost effectively, we have begun to develop the necessary assets and infrastructure in Jamaica.</w:t>
      </w:r>
    </w:p>
    <w:p>
      <w:pPr>
        <w:ind w:left="700"/>
        <w:spacing w:after="0" w:line="293" w:lineRule="auto"/>
        <w:rPr>
          <w:rFonts w:ascii="Arial" w:cs="Arial" w:eastAsia="Arial" w:hAnsi="Arial"/>
          <w:sz w:val="16"/>
          <w:szCs w:val="16"/>
          <w:color w:val="auto"/>
        </w:rPr>
      </w:pPr>
      <w:r>
        <w:rPr>
          <w:rFonts w:ascii="Arial" w:cs="Arial" w:eastAsia="Arial" w:hAnsi="Arial"/>
          <w:sz w:val="16"/>
          <w:szCs w:val="16"/>
          <w:color w:val="auto"/>
        </w:rPr>
        <w:t>Following this offering, we intend to develop and optimize our Caribbean infrastructure to provide natural gas, LNG, steam or electricity in readily usable form directly to our customers in Jamaica and other places in the Caribbean, such as Puerto Rico. Beyond these prospects, we intend to selectively identify and market our services to energy customers who view natural gas or LNG as a compelling alternative to other fuel sources that will allow us to further expand our footprint.</w:t>
      </w:r>
    </w:p>
    <w:p>
      <w:pPr>
        <w:spacing w:after="0" w:line="52" w:lineRule="exact"/>
        <w:rPr>
          <w:rFonts w:ascii="Arial" w:cs="Arial" w:eastAsia="Arial" w:hAnsi="Arial"/>
          <w:sz w:val="16"/>
          <w:szCs w:val="16"/>
          <w:color w:val="auto"/>
        </w:rPr>
      </w:pPr>
    </w:p>
    <w:p>
      <w:pPr>
        <w:ind w:left="700" w:right="80" w:hanging="346"/>
        <w:spacing w:after="0" w:line="27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financial strength and flexibility. </w:t>
      </w:r>
      <w:r>
        <w:rPr>
          <w:rFonts w:ascii="Arial" w:cs="Arial" w:eastAsia="Arial" w:hAnsi="Arial"/>
          <w:sz w:val="18"/>
          <w:szCs w:val="18"/>
          <w:color w:val="auto"/>
        </w:rPr>
        <w:t>We will seek to maintain a conservative balance sheet, which will allow us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better react to our customers’ changing needs. As of September 30, 2018, on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20" w:right="60"/>
        <w:spacing w:after="0" w:line="286" w:lineRule="auto"/>
        <w:rPr>
          <w:sz w:val="20"/>
          <w:szCs w:val="20"/>
          <w:color w:val="auto"/>
        </w:rPr>
      </w:pPr>
      <w:r>
        <w:rPr>
          <w:rFonts w:ascii="Arial" w:cs="Arial" w:eastAsia="Arial" w:hAnsi="Arial"/>
          <w:sz w:val="16"/>
          <w:szCs w:val="16"/>
          <w:color w:val="auto"/>
        </w:rPr>
        <w:t>pro forma basis after giving effect to this offering and the amendment to the Term Loan Facility executed on December 31, 2018, we would have had $892.7 million in total assets (including $459.5 million in cash and cash equivalents) and $280.0 million of total indebtedness outstanding. We expect to draw the remaining $220 million under our Term Loan Facility contemporaneously with the completion of this offering. After giving effect to drawing the remaining $220 million available under the Term Loan Facility, we would have had $1,112.7 million in total assets (including $679.5 million in cash and cash equivalents) and $500 million of total indebtedness outstanding as of September 30, 2018. The pro forma total indebtedness outstanding as of September 30, 2018 does not include deferred financing costs and does not give effect to any debt we may incur following the consummation of this offering. We believe this low leverage and cash position, along with our cash flows from operations and other potential sources of liquidity will provide us with sufficient liquidity to execute on the business strategies discussed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19" w:lineRule="exact"/>
        <w:rPr>
          <w:sz w:val="20"/>
          <w:szCs w:val="20"/>
          <w:color w:val="auto"/>
        </w:rPr>
      </w:pPr>
    </w:p>
    <w:p>
      <w:pPr>
        <w:ind w:right="120" w:firstLine="357"/>
        <w:spacing w:after="0" w:line="274" w:lineRule="auto"/>
        <w:rPr>
          <w:sz w:val="20"/>
          <w:szCs w:val="20"/>
          <w:color w:val="auto"/>
        </w:rPr>
      </w:pPr>
      <w:r>
        <w:rPr>
          <w:rFonts w:ascii="Arial" w:cs="Arial" w:eastAsia="Arial" w:hAnsi="Arial"/>
          <w:sz w:val="18"/>
          <w:szCs w:val="18"/>
          <w:color w:val="auto"/>
        </w:rPr>
        <w:t>We believe we are well positioned to achieve our primary business objectives and execute our business strategies based on the following competitive strengths:</w:t>
      </w:r>
    </w:p>
    <w:p>
      <w:pPr>
        <w:spacing w:after="0" w:line="64" w:lineRule="exact"/>
        <w:rPr>
          <w:sz w:val="20"/>
          <w:szCs w:val="20"/>
          <w:color w:val="auto"/>
        </w:rPr>
      </w:pPr>
    </w:p>
    <w:p>
      <w:pPr>
        <w:ind w:left="700" w:right="40" w:hanging="346"/>
        <w:spacing w:after="0" w:line="291" w:lineRule="auto"/>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Comprehensive energy solution creates new customer base. </w:t>
      </w:r>
      <w:r>
        <w:rPr>
          <w:rFonts w:ascii="Arial" w:cs="Arial" w:eastAsia="Arial" w:hAnsi="Arial"/>
          <w:sz w:val="16"/>
          <w:szCs w:val="16"/>
          <w:color w:val="auto"/>
        </w:rPr>
        <w:t>We offer our customers a comprehensive energy 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the infrastructure and manage the logistics necessary to deliver natural gas or LNG directly to our customers in amounts tailored to their consumption needs. In addition, we offer to construct or convert power generation assets to burn natural gas, thereby producing cleaner and cheaper electricity. By offering a comprehensive solution, we believe we can prompt meaningful numbers of significant energy consumers—such as power utilities, railroads, ships, mining and other industrial operations—looking for a better alternative to oil to convert to natural gas and enter into contracts with us.</w:t>
      </w:r>
    </w:p>
    <w:p>
      <w:pPr>
        <w:spacing w:after="0" w:line="56" w:lineRule="exact"/>
        <w:rPr>
          <w:rFonts w:ascii="Arial" w:cs="Arial" w:eastAsia="Arial" w:hAnsi="Arial"/>
          <w:sz w:val="16"/>
          <w:szCs w:val="16"/>
          <w:color w:val="auto"/>
        </w:rPr>
      </w:pPr>
    </w:p>
    <w:p>
      <w:pPr>
        <w:ind w:left="700" w:right="100" w:hanging="346"/>
        <w:spacing w:after="0" w:line="253"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Demonstrated ability to execute. </w:t>
      </w:r>
      <w:r>
        <w:rPr>
          <w:rFonts w:ascii="Arial" w:cs="Arial" w:eastAsia="Arial" w:hAnsi="Arial"/>
          <w:sz w:val="18"/>
          <w:szCs w:val="18"/>
          <w:color w:val="auto"/>
        </w:rPr>
        <w:t>The success of our business strategy and its benefit to our customers is demonstrated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proven ability to secure long-term, take-or-pay contracts. Our Montego Bay Terminal and related infrastructure (operational since October 30, 2016) has enabled JPS to use natural gas at the Bogue Power Plant, rather than rely on ADO, at prices that are competitive with ADO. We have also entered into a long-term, take-or-pay contract with JPC to supply the Old Harbour Power Plant with LNG, a 20-year SSA to supply Jamalco with steam for use in its alumina refinery operations, and a 20-year PPA to supply electricity to the Jamaica power grid from our CHP Plant in Clarendon, Jamaica, when completed.</w:t>
      </w:r>
    </w:p>
    <w:p>
      <w:pPr>
        <w:spacing w:after="0" w:line="82" w:lineRule="exact"/>
        <w:rPr>
          <w:rFonts w:ascii="Arial" w:cs="Arial" w:eastAsia="Arial" w:hAnsi="Arial"/>
          <w:sz w:val="18"/>
          <w:szCs w:val="18"/>
          <w:color w:val="auto"/>
        </w:rPr>
      </w:pPr>
    </w:p>
    <w:p>
      <w:pPr>
        <w:ind w:left="700" w:hanging="346"/>
        <w:spacing w:after="0" w:line="269" w:lineRule="auto"/>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Economically and environmentally attractive product. </w:t>
      </w:r>
      <w:r>
        <w:rPr>
          <w:rFonts w:ascii="Arial" w:cs="Arial" w:eastAsia="Arial" w:hAnsi="Arial"/>
          <w:sz w:val="17"/>
          <w:szCs w:val="17"/>
          <w:color w:val="auto"/>
        </w:rPr>
        <w:t>We believe natural gas is a cheaper, cleaner and thus superior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alternative energy source to traditional oil-based fuels. According to our internal estimates, on an energy equivalent basis using recent pricing, natural gas provides meaningfully more energy per dollar spent compared to diesel. Importantly, natural gas is also an environmentally cleaner fuel source compared to oil. In a June 2015 study, the U.S. Energy Information Administration conducted an analysis to compare the amount of carbon dioxide emissions per unit of energy output among fossil fuels, including oil, and found that natural gas produces the lowest amount of carbon dioxide of all fossil fuels in the study. Natural gas’s attributes, coupled with an increased focus on economics and the environment, make it a compelling energy source for many energy consumers.</w:t>
      </w:r>
    </w:p>
    <w:p>
      <w:pPr>
        <w:spacing w:after="0" w:line="71" w:lineRule="exact"/>
        <w:rPr>
          <w:rFonts w:ascii="Arial" w:cs="Arial" w:eastAsia="Arial" w:hAnsi="Arial"/>
          <w:sz w:val="17"/>
          <w:szCs w:val="17"/>
          <w:color w:val="auto"/>
        </w:rPr>
      </w:pPr>
    </w:p>
    <w:p>
      <w:pPr>
        <w:ind w:left="700" w:hanging="346"/>
        <w:spacing w:after="0" w:line="288" w:lineRule="auto"/>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Scalable infrastructure can drive margin expansion. </w:t>
      </w:r>
      <w:r>
        <w:rPr>
          <w:rFonts w:ascii="Arial" w:cs="Arial" w:eastAsia="Arial" w:hAnsi="Arial"/>
          <w:sz w:val="16"/>
          <w:szCs w:val="16"/>
          <w:color w:val="auto"/>
        </w:rPr>
        <w:t>Our Montego Bay Terminal and other infrastructure that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developing or will develop in the future, including the CHP Plant and the Old Harbour Terminal, will position us to deliver natural gas to additional islands throughout the Atlantic Basin and beyond. We believe we can augment our existing infrastructure by investing limited amounts of additional capital to expand uses with our largest customers and to secure new customers at favorable margins. We expect that significant expansion of our liquefaction capabilities and our delivery logistics chain through the development, ownership and operation of the Pennsylvania Facility, together with the current operations at the Miami Facility, will enable us to supply our existing and future customers with LNG produced primarily at our own Liquefaction Facilities and will help to reduce the risk of future LNG price variations.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9" w:lineRule="exact"/>
        <w:rPr>
          <w:sz w:val="20"/>
          <w:szCs w:val="20"/>
          <w:color w:val="auto"/>
        </w:rPr>
      </w:pPr>
    </w:p>
    <w:p>
      <w:pPr>
        <w:ind w:right="20" w:firstLine="357"/>
        <w:spacing w:after="0" w:line="253" w:lineRule="auto"/>
        <w:rPr>
          <w:sz w:val="20"/>
          <w:szCs w:val="20"/>
          <w:color w:val="auto"/>
        </w:rPr>
      </w:pPr>
      <w:r>
        <w:rPr>
          <w:rFonts w:ascii="Arial" w:cs="Arial" w:eastAsia="Arial" w:hAnsi="Arial"/>
          <w:sz w:val="18"/>
          <w:szCs w:val="18"/>
          <w:color w:val="auto"/>
        </w:rPr>
        <w:t>In marketing LNG and natural gas, we compete for sales of LNG and natural gas with a variety of competitors, including: major integrated marketers who have large amounts of capital to support their marketing operations and offer a full-range of services and market numerous products other than natural gas; producer marketers who sell their own natural gas production or the production of an affiliated natural gas production company; small geographically focused marketers who focus on marketing natural gas for the geographic area in which their affiliated distributor operates; and aggregators who gather small volumes of natural gas from various sources, combine them and sell the larger volumes for more favorable prices and terms than would be possible selling the smaller volumes separately.</w:t>
      </w:r>
    </w:p>
    <w:p>
      <w:pPr>
        <w:spacing w:after="0" w:line="82" w:lineRule="exact"/>
        <w:rPr>
          <w:sz w:val="20"/>
          <w:szCs w:val="20"/>
          <w:color w:val="auto"/>
        </w:rPr>
      </w:pPr>
    </w:p>
    <w:p>
      <w:pPr>
        <w:jc w:val="both"/>
        <w:ind w:right="240" w:firstLine="357"/>
        <w:spacing w:after="0" w:line="309" w:lineRule="auto"/>
        <w:rPr>
          <w:sz w:val="20"/>
          <w:szCs w:val="20"/>
          <w:color w:val="auto"/>
        </w:rPr>
      </w:pPr>
      <w:r>
        <w:rPr>
          <w:rFonts w:ascii="Arial" w:cs="Arial" w:eastAsia="Arial" w:hAnsi="Arial"/>
          <w:sz w:val="16"/>
          <w:szCs w:val="16"/>
          <w:color w:val="auto"/>
        </w:rPr>
        <w:t>However, we do not expect to experience significant competition for our LNG logistics services with respect to the Jamaica Terminals because we have entered into fixed GSAs with JPS and JPC for the Jamaica Terminals. If and when we have to replace our agreements with JPS or JPC, we may compete with other then-existing LNG logistics companies for these customers.</w:t>
      </w:r>
    </w:p>
    <w:p>
      <w:pPr>
        <w:spacing w:after="0" w:line="41" w:lineRule="exact"/>
        <w:rPr>
          <w:sz w:val="20"/>
          <w:szCs w:val="20"/>
          <w:color w:val="auto"/>
        </w:rPr>
      </w:pPr>
    </w:p>
    <w:p>
      <w:pPr>
        <w:ind w:right="320" w:firstLine="357"/>
        <w:spacing w:after="0" w:line="274" w:lineRule="auto"/>
        <w:rPr>
          <w:sz w:val="20"/>
          <w:szCs w:val="20"/>
          <w:color w:val="auto"/>
        </w:rPr>
      </w:pPr>
      <w:r>
        <w:rPr>
          <w:rFonts w:ascii="Arial" w:cs="Arial" w:eastAsia="Arial" w:hAnsi="Arial"/>
          <w:sz w:val="18"/>
          <w:szCs w:val="18"/>
          <w:color w:val="auto"/>
        </w:rPr>
        <w:t>There are no other liquefaction terminals currently in operation in south Florida. However, a number of plants are currently under development in the region that could compete with our Miami Facility.</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purchasing LNG as part of our logistics business, we will compete for supplies of LNG with:</w:t>
      </w:r>
    </w:p>
    <w:p>
      <w:pPr>
        <w:spacing w:after="0" w:line="115" w:lineRule="exact"/>
        <w:rPr>
          <w:sz w:val="20"/>
          <w:szCs w:val="20"/>
          <w:color w:val="auto"/>
        </w:rPr>
      </w:pPr>
    </w:p>
    <w:p>
      <w:pPr>
        <w:ind w:left="700" w:right="180" w:hanging="346"/>
        <w:spacing w:after="0" w:line="305" w:lineRule="auto"/>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large, multinational and national companies with longer operating histories, more development experience, greater name recognition, larger staffs and substantially greater financial, technical and marketing resources;</w:t>
      </w:r>
    </w:p>
    <w:p>
      <w:pPr>
        <w:spacing w:after="0" w:line="39" w:lineRule="exact"/>
        <w:rPr>
          <w:rFonts w:ascii="Arial" w:cs="Arial" w:eastAsia="Arial" w:hAnsi="Arial"/>
          <w:sz w:val="17"/>
          <w:szCs w:val="17"/>
          <w:color w:val="auto"/>
        </w:rPr>
      </w:pPr>
    </w:p>
    <w:p>
      <w:pPr>
        <w:ind w:left="700" w:hanging="34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oil and gas producers who sell or control LNG derived from their international oil and gas properties; and</w:t>
      </w:r>
    </w:p>
    <w:p>
      <w:pPr>
        <w:spacing w:after="0" w:line="114" w:lineRule="exact"/>
        <w:rPr>
          <w:rFonts w:ascii="Arial" w:cs="Arial" w:eastAsia="Arial" w:hAnsi="Arial"/>
          <w:sz w:val="18"/>
          <w:szCs w:val="18"/>
          <w:color w:val="auto"/>
        </w:rPr>
      </w:pPr>
    </w:p>
    <w:p>
      <w:pPr>
        <w:ind w:left="700" w:hanging="346"/>
        <w:spacing w:after="0" w:line="274"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purchasers located in other countries where prevailing market prices can be substantially different from those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9" w:lineRule="exact"/>
        <w:rPr>
          <w:sz w:val="20"/>
          <w:szCs w:val="20"/>
          <w:color w:val="auto"/>
        </w:rPr>
      </w:pPr>
    </w:p>
    <w:p>
      <w:pPr>
        <w:ind w:firstLine="357"/>
        <w:spacing w:after="0" w:line="271" w:lineRule="auto"/>
        <w:rPr>
          <w:sz w:val="20"/>
          <w:szCs w:val="20"/>
          <w:color w:val="auto"/>
        </w:rPr>
      </w:pPr>
      <w:r>
        <w:rPr>
          <w:rFonts w:ascii="Arial" w:cs="Arial" w:eastAsia="Arial" w:hAnsi="Arial"/>
          <w:sz w:val="17"/>
          <w:szCs w:val="17"/>
          <w:color w:val="auto"/>
        </w:rPr>
        <w:t>Our LNG infrastructure is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DOE Export</w:t>
      </w:r>
    </w:p>
    <w:p>
      <w:pPr>
        <w:spacing w:after="0" w:line="115" w:lineRule="exact"/>
        <w:rPr>
          <w:sz w:val="20"/>
          <w:szCs w:val="20"/>
          <w:color w:val="auto"/>
        </w:rPr>
      </w:pPr>
    </w:p>
    <w:p>
      <w:pPr>
        <w:ind w:right="160" w:firstLine="357"/>
        <w:spacing w:after="0" w:line="268" w:lineRule="auto"/>
        <w:rPr>
          <w:sz w:val="20"/>
          <w:szCs w:val="20"/>
          <w:color w:val="auto"/>
        </w:rPr>
      </w:pPr>
      <w:r>
        <w:rPr>
          <w:rFonts w:ascii="Arial" w:cs="Arial" w:eastAsia="Arial" w:hAnsi="Arial"/>
          <w:sz w:val="17"/>
          <w:szCs w:val="17"/>
          <w:color w:val="auto"/>
        </w:rPr>
        <w:t>The DOE issued orders authorizing us, through our subsidiary, American LNG Marketing or its designee, to export up to a combined total of the equivalent of 60,000 mtpa (approximately 3.02 Bcf/yr) of domestically produced LNG by tanker from the Miami Facility to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Facility) to FTA and/or non-FTA countries will require us to obtain new authorizations from the DOE.</w:t>
      </w:r>
    </w:p>
    <w:p>
      <w:pPr>
        <w:spacing w:after="0" w:line="71" w:lineRule="exact"/>
        <w:rPr>
          <w:sz w:val="20"/>
          <w:szCs w:val="20"/>
          <w:color w:val="auto"/>
        </w:rPr>
      </w:pPr>
    </w:p>
    <w:p>
      <w:pPr>
        <w:ind w:right="60" w:firstLine="357"/>
        <w:spacing w:after="0" w:line="273" w:lineRule="auto"/>
        <w:rPr>
          <w:sz w:val="20"/>
          <w:szCs w:val="20"/>
          <w:color w:val="auto"/>
        </w:rPr>
      </w:pPr>
      <w:r>
        <w:rPr>
          <w:rFonts w:ascii="Arial" w:cs="Arial" w:eastAsia="Arial" w:hAnsi="Arial"/>
          <w:sz w:val="17"/>
          <w:szCs w:val="17"/>
          <w:color w:val="auto"/>
        </w:rPr>
        <w:t>Exports of natural gas to FTA countries are “deemed to be consistent with the public interest” and authorization to export LNG to FTA countries shall be granted by the DOE without “modification or delay.” FTA countries which import LNG now or will do so in the near future include Chile, Mexico, Singapore, South Korea and the Dominican Republic. Exports of natural gas to non-FTA countries are considered by the DOE in the context of a comment period whereby interveners are provided the opportunity to assert that such authorization would not be consistent with the public interest.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Pipelines and Hazardous Materials Safety Administration</w:t>
      </w:r>
    </w:p>
    <w:p>
      <w:pPr>
        <w:spacing w:after="0" w:line="115" w:lineRule="exact"/>
        <w:rPr>
          <w:sz w:val="20"/>
          <w:szCs w:val="20"/>
          <w:color w:val="auto"/>
        </w:rPr>
      </w:pPr>
    </w:p>
    <w:p>
      <w:pPr>
        <w:ind w:right="120" w:firstLine="357"/>
        <w:spacing w:after="0" w:line="268" w:lineRule="auto"/>
        <w:rPr>
          <w:sz w:val="20"/>
          <w:szCs w:val="20"/>
          <w:color w:val="auto"/>
        </w:rPr>
      </w:pPr>
      <w:r>
        <w:rPr>
          <w:rFonts w:ascii="Arial" w:cs="Arial" w:eastAsia="Arial" w:hAnsi="Arial"/>
          <w:sz w:val="17"/>
          <w:szCs w:val="17"/>
          <w:color w:val="auto"/>
        </w:rPr>
        <w:t>Many LNG facilities are also subject to regulation by the DOT, through the PHMSA; PHMSA has established requirements relating to the design, installation, testing, construction, operation, replacement and management of “pipeline facilities,” which PHMSA has defined to include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71"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color w:val="auto"/>
        </w:rPr>
        <w:t>In recent years, PHMSA’s regulation of pipeline facilities has become more stringent. For example, in March 2016, the PHMSA released a comprehensive proposed rulemaking concerning gas pipeline safety that, if adopted, would, among other things, regulate many currently-unregulated gathering lines in rural areas, expand the integrity management requirements beyond “High Consequence Areas” to apply to gas pipelines in newly-defined “Moderate Consequence Areas,” and require pressure testing of many formerly-grandfathered pipelines in place before 1970 to determine their maximum allowable operating pressures. In January 2017, PHMSA issued a pre-publication version of a final rule that amends its pipeline safety regulations for the design, construction, testing, operation and maintenance of hazardous liquids pipelines. Although the Trump Administration has not yet taken any action to finalize these proposed rules, they remain pending. Similar to these efforts, PHMSA’s regulation of LNG facilities could become more stringent in the future.</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5" w:lineRule="exact"/>
        <w:rPr>
          <w:sz w:val="20"/>
          <w:szCs w:val="20"/>
          <w:color w:val="auto"/>
        </w:rPr>
      </w:pPr>
    </w:p>
    <w:p>
      <w:pPr>
        <w:ind w:right="80" w:firstLine="357"/>
        <w:spacing w:after="0" w:line="270" w:lineRule="auto"/>
        <w:rPr>
          <w:sz w:val="20"/>
          <w:szCs w:val="20"/>
          <w:color w:val="auto"/>
        </w:rPr>
      </w:pPr>
      <w:r>
        <w:rPr>
          <w:rFonts w:ascii="Arial" w:cs="Arial" w:eastAsia="Arial" w:hAnsi="Arial"/>
          <w:sz w:val="17"/>
          <w:szCs w:val="17"/>
          <w:color w:val="auto"/>
        </w:rPr>
        <w:t>Our LNG infrastructure and operations are subject to various international, federal, state and local laws and regulations as well as foreign laws and regulations relating to the protection of the environment, natural resources and human health. These environmental laws and regulations may require the installation of controls on emissions and structures to prevent or mitigate any potential harm to human health and the environment.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Clean Air Act</w:t>
      </w:r>
    </w:p>
    <w:p>
      <w:pPr>
        <w:spacing w:after="0" w:line="115" w:lineRule="exact"/>
        <w:rPr>
          <w:sz w:val="20"/>
          <w:szCs w:val="20"/>
          <w:color w:val="auto"/>
        </w:rPr>
      </w:pPr>
    </w:p>
    <w:p>
      <w:pPr>
        <w:ind w:right="40" w:firstLine="357"/>
        <w:spacing w:after="0" w:line="273" w:lineRule="auto"/>
        <w:rPr>
          <w:sz w:val="20"/>
          <w:szCs w:val="20"/>
          <w:color w:val="auto"/>
        </w:rPr>
      </w:pPr>
      <w:r>
        <w:rPr>
          <w:rFonts w:ascii="Arial" w:cs="Arial" w:eastAsia="Arial" w:hAnsi="Arial"/>
          <w:sz w:val="17"/>
          <w:szCs w:val="17"/>
          <w:color w:val="auto"/>
        </w:rPr>
        <w:t>Our LNG infrastructure is subject to the federal CAA and comparable state and local laws. We may be required to incur certain capital expenditures over the next several years for equipment to control air emissions as a condition to maintaining or obtaining permits and approvals. Alternatively, we may be required to restrict or limit the amount of LNG we produce or ship in order to obtain or maintain a permit. We do not believe, however, that our operations, or the construction and operations of our Liquefaction Facilities, will be materially and adversely affected by any such requirements.</w:t>
      </w:r>
    </w:p>
    <w:p>
      <w:pPr>
        <w:spacing w:after="0" w:line="69" w:lineRule="exact"/>
        <w:rPr>
          <w:sz w:val="20"/>
          <w:szCs w:val="20"/>
          <w:color w:val="auto"/>
        </w:rPr>
      </w:pPr>
    </w:p>
    <w:p>
      <w:pPr>
        <w:ind w:right="80" w:firstLine="357"/>
        <w:spacing w:after="0" w:line="268" w:lineRule="auto"/>
        <w:rPr>
          <w:sz w:val="20"/>
          <w:szCs w:val="20"/>
          <w:color w:val="auto"/>
        </w:rPr>
      </w:pPr>
      <w:r>
        <w:rPr>
          <w:rFonts w:ascii="Arial" w:cs="Arial" w:eastAsia="Arial" w:hAnsi="Arial"/>
          <w:sz w:val="17"/>
          <w:szCs w:val="17"/>
          <w:color w:val="auto"/>
        </w:rPr>
        <w:t>In 2009, the EPA promulgated and finalized the Mandatory Greenhouse Gas Reporting Rule for multiple sections of the economy. This rule requires mandatory reporting of GHG emissions from stationary fuel combustion sources as well as all fugitive emissions throughout LNG infrastructure. From time to time, Congress has considered proposed legislation directed at reducing GHG emissions, and the EPA has defined GHG emissions thresholds for requiring certain permits for new and existing industrial sources. In addition, many states have already taken regulatory action to monitor and/or reduce emissions of GHGs, primarily through the development of GHG emission inventories or regional GHG cap and trade programs. It is not possible at this time to predict how future regulations or legislation may address GHG emissions and impact our business. However, future regulations and laws could result in increased compliance costs or additional operating restrictions and could have a material adverse effect on our business, financial position, operating results and cash flows.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Coastal Zone Management Act (“CZMA”)</w:t>
      </w:r>
    </w:p>
    <w:p>
      <w:pPr>
        <w:spacing w:after="0" w:line="115" w:lineRule="exact"/>
        <w:rPr>
          <w:sz w:val="20"/>
          <w:szCs w:val="20"/>
          <w:color w:val="auto"/>
        </w:rPr>
      </w:pPr>
    </w:p>
    <w:p>
      <w:pPr>
        <w:ind w:right="140" w:firstLine="357"/>
        <w:spacing w:after="0" w:line="299" w:lineRule="auto"/>
        <w:rPr>
          <w:sz w:val="20"/>
          <w:szCs w:val="20"/>
          <w:color w:val="auto"/>
        </w:rPr>
      </w:pPr>
      <w:r>
        <w:rPr>
          <w:rFonts w:ascii="Arial" w:cs="Arial" w:eastAsia="Arial" w:hAnsi="Arial"/>
          <w:sz w:val="16"/>
          <w:szCs w:val="16"/>
          <w:color w:val="auto"/>
        </w:rPr>
        <w:t>LNG infrastructure may be subject to the review and requirements of the CZMA when facilities are located within the coastal zone. The CZMA is administered by the states (in Florida, via the Florida Coastal Management Program, which is coordinated by the Florida Department of Environmental Protection). This program is implemented to ensure that impacts to coastal areas are consistent with the intent of the CZMA and each state’s respective CZMA-authorized program to manage the coastal areas.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Clean Water Act</w:t>
      </w:r>
    </w:p>
    <w:p>
      <w:pPr>
        <w:spacing w:after="0" w:line="115" w:lineRule="exact"/>
        <w:rPr>
          <w:sz w:val="20"/>
          <w:szCs w:val="20"/>
          <w:color w:val="auto"/>
        </w:rPr>
      </w:pPr>
    </w:p>
    <w:p>
      <w:pPr>
        <w:ind w:right="120" w:firstLine="357"/>
        <w:spacing w:after="0" w:line="294" w:lineRule="auto"/>
        <w:rPr>
          <w:sz w:val="20"/>
          <w:szCs w:val="20"/>
          <w:color w:val="auto"/>
        </w:rPr>
      </w:pPr>
      <w:r>
        <w:rPr>
          <w:rFonts w:ascii="Arial" w:cs="Arial" w:eastAsia="Arial" w:hAnsi="Arial"/>
          <w:sz w:val="16"/>
          <w:szCs w:val="16"/>
          <w:color w:val="auto"/>
        </w:rPr>
        <w:t>Our LNG infrastructure is also subject to the federal CWA and analogous state and local laws. The CWA imposes strict controls on the discharge of pollutants into the waters of the United States, including discharges of wastewater and storm water runoff and fill/discharges into waters of the United States. Permits must be obtained prior to discharging pollutants into state and federal waters and before constructing infrastructure that requires the dredging and filling of waters of the United States. The CWA is administered by the EPA, the U.S. Army Corps of Engineers (“USACE”) and by the states via the applicable state agency.</w:t>
      </w:r>
    </w:p>
    <w:p>
      <w:pPr>
        <w:spacing w:after="0" w:line="54" w:lineRule="exact"/>
        <w:rPr>
          <w:sz w:val="20"/>
          <w:szCs w:val="20"/>
          <w:color w:val="auto"/>
        </w:rPr>
      </w:pPr>
    </w:p>
    <w:p>
      <w:pPr>
        <w:ind w:right="160" w:firstLine="357"/>
        <w:spacing w:after="0" w:line="257" w:lineRule="auto"/>
        <w:rPr>
          <w:sz w:val="20"/>
          <w:szCs w:val="20"/>
          <w:color w:val="auto"/>
        </w:rPr>
      </w:pPr>
      <w:r>
        <w:rPr>
          <w:rFonts w:ascii="Arial" w:cs="Arial" w:eastAsia="Arial" w:hAnsi="Arial"/>
          <w:sz w:val="18"/>
          <w:szCs w:val="18"/>
          <w:color w:val="auto"/>
        </w:rPr>
        <w:t>We are required to comply with numerous other federal, state and local environmental, health and safety laws and regulations in addition to those previously discussed. These additional laws include, for example, the Rivers and Harbors Act, the federal Resource Conservation and Recovery Act and comparable state statutes, the Endangered Species Act, the National Historic Preservation Act and the Emergency Planning and Community Right-to-Know Act.</w:t>
      </w:r>
    </w:p>
    <w:p>
      <w:pPr>
        <w:spacing w:after="0" w:line="79" w:lineRule="exact"/>
        <w:rPr>
          <w:sz w:val="20"/>
          <w:szCs w:val="20"/>
          <w:color w:val="auto"/>
        </w:rPr>
      </w:pPr>
    </w:p>
    <w:p>
      <w:pPr>
        <w:ind w:firstLine="357"/>
        <w:spacing w:after="0" w:line="270" w:lineRule="auto"/>
        <w:rPr>
          <w:sz w:val="20"/>
          <w:szCs w:val="20"/>
          <w:color w:val="auto"/>
        </w:rPr>
      </w:pPr>
      <w:r>
        <w:rPr>
          <w:rFonts w:ascii="Arial" w:cs="Arial" w:eastAsia="Arial" w:hAnsi="Arial"/>
          <w:sz w:val="17"/>
          <w:szCs w:val="17"/>
          <w:color w:val="auto"/>
        </w:rPr>
        <w:t>Moreover, our current operations and future projects may be subject to additional federal permits, orders, approvals and consultations required by other federal agencies under these and other statutes, including the DOE, Advisory Council on Historic Preservation, the USACE, U.S. Department of Commerce, National Marine Fisheries Services, U.S. Department of the Interior, U.S. Fish and Wildlife Service, the EPA and U.S. Department of Homeland Security. In addition, federal permitting processes may trigger the requirements of NEPA, which requires federal agencies to evaluate major agency actions that have the potential to significantly impact the environment. State permitting regimes may require similar consultations with applicable state-level agencies and/or the preparation of a similar assessment of environmental impacts pursuant to state law.</w:t>
      </w:r>
    </w:p>
    <w:p>
      <w:pPr>
        <w:spacing w:after="0" w:line="70" w:lineRule="exact"/>
        <w:rPr>
          <w:sz w:val="20"/>
          <w:szCs w:val="20"/>
          <w:color w:val="auto"/>
        </w:rPr>
      </w:pPr>
    </w:p>
    <w:p>
      <w:pPr>
        <w:ind w:right="100" w:firstLine="357"/>
        <w:spacing w:after="0" w:line="277" w:lineRule="auto"/>
        <w:rPr>
          <w:sz w:val="20"/>
          <w:szCs w:val="20"/>
          <w:color w:val="auto"/>
        </w:rPr>
      </w:pPr>
      <w:r>
        <w:rPr>
          <w:rFonts w:ascii="Arial" w:cs="Arial" w:eastAsia="Arial" w:hAnsi="Arial"/>
          <w:sz w:val="17"/>
          <w:szCs w:val="17"/>
          <w:color w:val="auto"/>
        </w:rPr>
        <w:t>Additional federal permits that may be required to conduct our current operations or pursue future projects include, for example, a USACE Section 404 permit under the CWA and a Section 10 of the Rivers and Harbors Act Permit, a Title V Operating Permit under the CAA, a Prevention of Significant Deterioration Permit under the CAA and, where applicable, Federal Aviation Administration determinations or approvals relating to certain ground construction activities.</w:t>
      </w:r>
    </w:p>
    <w:p>
      <w:pPr>
        <w:spacing w:after="0" w:line="63" w:lineRule="exact"/>
        <w:rPr>
          <w:sz w:val="20"/>
          <w:szCs w:val="20"/>
          <w:color w:val="auto"/>
        </w:rPr>
      </w:pPr>
    </w:p>
    <w:p>
      <w:pPr>
        <w:ind w:right="380" w:firstLine="357"/>
        <w:spacing w:after="0" w:line="274" w:lineRule="auto"/>
        <w:rPr>
          <w:sz w:val="20"/>
          <w:szCs w:val="20"/>
          <w:color w:val="auto"/>
        </w:rPr>
      </w:pPr>
      <w:r>
        <w:rPr>
          <w:rFonts w:ascii="Arial" w:cs="Arial" w:eastAsia="Arial" w:hAnsi="Arial"/>
          <w:sz w:val="18"/>
          <w:szCs w:val="18"/>
          <w:color w:val="auto"/>
        </w:rPr>
        <w:t>Other local laws and regulations, including local zoning laws and fire protection codes, may also affect where and how we operate.</w:t>
      </w:r>
    </w:p>
    <w:p>
      <w:pPr>
        <w:spacing w:after="0" w:line="64" w:lineRule="exact"/>
        <w:rPr>
          <w:sz w:val="20"/>
          <w:szCs w:val="20"/>
          <w:color w:val="auto"/>
        </w:rPr>
      </w:pPr>
    </w:p>
    <w:p>
      <w:pPr>
        <w:ind w:right="200" w:firstLine="357"/>
        <w:spacing w:after="0" w:line="274" w:lineRule="auto"/>
        <w:rPr>
          <w:sz w:val="20"/>
          <w:szCs w:val="20"/>
          <w:color w:val="auto"/>
        </w:rPr>
      </w:pPr>
      <w:r>
        <w:rPr>
          <w:rFonts w:ascii="Arial" w:cs="Arial" w:eastAsia="Arial" w:hAnsi="Arial"/>
          <w:sz w:val="18"/>
          <w:szCs w:val="18"/>
          <w:color w:val="auto"/>
        </w:rPr>
        <w:t>The costs of compliance with these requirements are not expected to have a material adverse effect on our business, financial condition or results of operations.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 in Ireland</w:t>
      </w:r>
    </w:p>
    <w:p>
      <w:pPr>
        <w:spacing w:after="0" w:line="115" w:lineRule="exact"/>
        <w:rPr>
          <w:sz w:val="20"/>
          <w:szCs w:val="20"/>
          <w:color w:val="auto"/>
        </w:rPr>
      </w:pPr>
    </w:p>
    <w:p>
      <w:pPr>
        <w:ind w:right="220" w:firstLine="357"/>
        <w:spacing w:after="0" w:line="267" w:lineRule="auto"/>
        <w:rPr>
          <w:sz w:val="20"/>
          <w:szCs w:val="20"/>
          <w:color w:val="auto"/>
        </w:rPr>
      </w:pPr>
      <w:r>
        <w:rPr>
          <w:rFonts w:ascii="Arial" w:cs="Arial" w:eastAsia="Arial" w:hAnsi="Arial"/>
          <w:sz w:val="17"/>
          <w:szCs w:val="17"/>
          <w:color w:val="auto"/>
        </w:rPr>
        <w:t>LNG deliveries, storage, regasification and use are extensively regulated in Ireland. Ireland regulates these operations at a national and local level through organic legislation and an array of permits. Ireland’s National Planning Board is the primary regulator for planning and construction, while the Irish Environmental Protection Agency issues industrial emissions licenses that regulate environmental and operational permitting. Safety regulation in Ireland is regulated pursuant to the Control of Major Accidents regime, which sets out various safety criteria that the LNG facility must meet. We are in the process of applying for all necessary permits to build and complete the Ireland Terminal. The issuance of many of these permits will be subject to administrative or judicial challenges, including by non-governmental groups that act on behalf of citizens. For example, in September 2018, an Irish non-governmental organization filed a judicial challenge to the extension of a planning permission associated with our Ireland Terminal, which could delay or protract the process for obtaining and implementing this permission. While we believe that the extension was properly issued, it is not clear how Ireland’s High Court will rule on such a challenge, or whether the ruling of the High Court will be subject to any further appeal.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 in Mexico</w:t>
      </w:r>
    </w:p>
    <w:p>
      <w:pPr>
        <w:spacing w:after="0" w:line="115" w:lineRule="exact"/>
        <w:rPr>
          <w:sz w:val="20"/>
          <w:szCs w:val="20"/>
          <w:color w:val="auto"/>
        </w:rPr>
      </w:pPr>
    </w:p>
    <w:p>
      <w:pPr>
        <w:ind w:right="80" w:firstLine="357"/>
        <w:spacing w:after="0" w:line="269" w:lineRule="auto"/>
        <w:rPr>
          <w:sz w:val="20"/>
          <w:szCs w:val="20"/>
          <w:color w:val="auto"/>
        </w:rPr>
      </w:pPr>
      <w:r>
        <w:rPr>
          <w:rFonts w:ascii="Arial" w:cs="Arial" w:eastAsia="Arial" w:hAnsi="Arial"/>
          <w:sz w:val="17"/>
          <w:szCs w:val="17"/>
          <w:color w:val="auto"/>
        </w:rPr>
        <w:t>Mexican law comprehensively regulates all aspects of the receipt, delivery, storage, re-vaporization of LNG as well as the generation and transmission of electricity. Various federal agencies in Mexico regulate these activities, including the Environment, Natural Resources &amp; Fisheries Ministry and the Agency for Safety, Energy &amp; Environment, which issues permits for all activities associated with the use of fossil fuels. State and local agencies also regulate these activities, issuing permits and authorizing the use of property for such purposes. In order to be able to obtain various permits for operations under Mexican law, the project must first complete environmental and social impact analyses according to the requirements of Mexican law. Each such impact analysis is subject to further appeal. Mexican law allows the governmental entities and, in certain cases, individuals to pursue claims against violators of environmental laws or permits issued pursuant to such laws.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 and International Maritime Regulations of LNG Vessels</w:t>
      </w:r>
    </w:p>
    <w:p>
      <w:pPr>
        <w:spacing w:after="0" w:line="115" w:lineRule="exact"/>
        <w:rPr>
          <w:sz w:val="20"/>
          <w:szCs w:val="20"/>
          <w:color w:val="auto"/>
        </w:rPr>
      </w:pPr>
    </w:p>
    <w:p>
      <w:pPr>
        <w:ind w:right="40" w:firstLine="357"/>
        <w:spacing w:after="0" w:line="254" w:lineRule="auto"/>
        <w:rPr>
          <w:sz w:val="20"/>
          <w:szCs w:val="20"/>
          <w:color w:val="auto"/>
        </w:rPr>
      </w:pPr>
      <w:r>
        <w:rPr>
          <w:rFonts w:ascii="Arial" w:cs="Arial" w:eastAsia="Arial" w:hAnsi="Arial"/>
          <w:sz w:val="18"/>
          <w:szCs w:val="18"/>
          <w:color w:val="auto"/>
        </w:rPr>
        <w:t>IMO is the United Nations agency that provides international regulations governing shipping and international maritime trade. The requirements contained in the ISM Code promulgated by the IMO govern the shipping of our LNG cargoes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also describing procedures for responding to emergencies.</w:t>
      </w:r>
    </w:p>
    <w:p>
      <w:pPr>
        <w:spacing w:after="0" w:line="81" w:lineRule="exact"/>
        <w:rPr>
          <w:sz w:val="20"/>
          <w:szCs w:val="20"/>
          <w:color w:val="auto"/>
        </w:rPr>
      </w:pPr>
    </w:p>
    <w:p>
      <w:pPr>
        <w:ind w:firstLine="357"/>
        <w:spacing w:after="0" w:line="286" w:lineRule="auto"/>
        <w:rPr>
          <w:sz w:val="20"/>
          <w:szCs w:val="20"/>
          <w:color w:val="auto"/>
        </w:rPr>
      </w:pPr>
      <w:r>
        <w:rPr>
          <w:rFonts w:ascii="Arial" w:cs="Arial" w:eastAsia="Arial" w:hAnsi="Arial"/>
          <w:sz w:val="16"/>
          <w:szCs w:val="16"/>
          <w:color w:val="auto"/>
        </w:rPr>
        <w:t>Vessels that transport gas, including LNG carriers,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The completely revised and updated IGC Code entered into force on January 1, 2016, with an implementation/application date of July 1, 2016. The amendments were developed following a comprehensive five-year review and are intended to take into account the latest advances in science and technology. Compliance with the IGC Code must be evidenced by a Certificate of Fitness for the Carriage of Liquefied Gases in Bulk. MARPOL regulates air emissions through Annex VI regulations for the Prevention of Air Pollution from Ships (“Annex VI”), entered into force on May 19, 2005. Annex VI sets limits on sulfur oxide and nitrogen oxide emissions from ship exhausts, emissions of volatile compounds from cargo tanks and incineration of specific substances, and prohibits deliberate emissions of ozone depleting substances.</w:t>
      </w:r>
    </w:p>
    <w:p>
      <w:pPr>
        <w:spacing w:after="0" w:line="61" w:lineRule="exact"/>
        <w:rPr>
          <w:sz w:val="20"/>
          <w:szCs w:val="20"/>
          <w:color w:val="auto"/>
        </w:rPr>
      </w:pPr>
    </w:p>
    <w:p>
      <w:pPr>
        <w:ind w:right="60" w:firstLine="357"/>
        <w:spacing w:after="0" w:line="255" w:lineRule="auto"/>
        <w:rPr>
          <w:sz w:val="20"/>
          <w:szCs w:val="20"/>
          <w:color w:val="auto"/>
        </w:rPr>
      </w:pPr>
      <w:r>
        <w:rPr>
          <w:rFonts w:ascii="Arial" w:cs="Arial" w:eastAsia="Arial" w:hAnsi="Arial"/>
          <w:sz w:val="18"/>
          <w:szCs w:val="18"/>
          <w:color w:val="auto"/>
        </w:rPr>
        <w:t>Additionally, more stringent emission standards apply in coastal areas designated as ECAs, such as the U.S. and Canadian coastal areas, which are designated by the Marine Environment Protection Committee. Effective August 1, 2012, certain coastal areas of North America were designated ECAs. Furthermore, as of January 1, 2014, portions of the U.S. Caribbean Sea were designated ECAs. Annex VI Regulation 14, which came into effect on January 1, 2015, set a 0.1% sulfur limit in areas of the Baltic Sea, North Sea, North America, and U.S. Caribbean Sea that are ECAs.</w:t>
      </w:r>
    </w:p>
    <w:p>
      <w:pPr>
        <w:spacing w:after="0" w:line="81" w:lineRule="exact"/>
        <w:rPr>
          <w:sz w:val="20"/>
          <w:szCs w:val="20"/>
          <w:color w:val="auto"/>
        </w:rPr>
      </w:pPr>
    </w:p>
    <w:p>
      <w:pPr>
        <w:ind w:right="80" w:firstLine="357"/>
        <w:spacing w:after="0" w:line="299" w:lineRule="auto"/>
        <w:rPr>
          <w:sz w:val="20"/>
          <w:szCs w:val="20"/>
          <w:color w:val="auto"/>
        </w:rPr>
      </w:pPr>
      <w:r>
        <w:rPr>
          <w:rFonts w:ascii="Arial" w:cs="Arial" w:eastAsia="Arial" w:hAnsi="Arial"/>
          <w:sz w:val="16"/>
          <w:szCs w:val="16"/>
          <w:color w:val="auto"/>
        </w:rPr>
        <w:t>Amended Annex VI also establishes new tiers of stringent nitrogen oxide emissions standards for new marine engines, depending on their date of installation. The North Sea and Baltic Sea have been formally designated as ECAs for nitrogen oxides effective January 1, 2021. U.S. air emissions standards are now equivalent to these amended Annex VI requirements. Additional or new conventions, laws and regulations may be adopted that could require the installation of expensive emission control systems.</w:t>
      </w:r>
    </w:p>
    <w:p>
      <w:pPr>
        <w:spacing w:after="0" w:line="49" w:lineRule="exact"/>
        <w:rPr>
          <w:sz w:val="20"/>
          <w:szCs w:val="20"/>
          <w:color w:val="auto"/>
        </w:rPr>
      </w:pPr>
    </w:p>
    <w:p>
      <w:pPr>
        <w:ind w:right="120" w:firstLine="357"/>
        <w:spacing w:after="0" w:line="257" w:lineRule="auto"/>
        <w:rPr>
          <w:sz w:val="20"/>
          <w:szCs w:val="20"/>
          <w:color w:val="auto"/>
        </w:rPr>
      </w:pPr>
      <w:r>
        <w:rPr>
          <w:rFonts w:ascii="Arial" w:cs="Arial" w:eastAsia="Arial" w:hAnsi="Arial"/>
          <w:sz w:val="18"/>
          <w:szCs w:val="18"/>
          <w:color w:val="auto"/>
        </w:rPr>
        <w:t>We transact with leading vessel providers in the LNG industry and look to them to ensure that each of our chartered vessels is in compliance with applicable international and in-country requirements. Nevertheless, the IMO continues to review and introduce new regulations. It is impossible to predict what additional regulations, if any, may be passed by the IMO and what effect, if any, such regulation may have on our operations.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LNG and Natural Gas Marketing Governmental Regulation</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Commodity Futures Trading Commission</w:t>
      </w:r>
    </w:p>
    <w:p>
      <w:pPr>
        <w:spacing w:after="0" w:line="115" w:lineRule="exact"/>
        <w:rPr>
          <w:sz w:val="20"/>
          <w:szCs w:val="20"/>
          <w:color w:val="auto"/>
        </w:rPr>
      </w:pPr>
    </w:p>
    <w:p>
      <w:pPr>
        <w:ind w:right="140" w:firstLine="357"/>
        <w:spacing w:after="0" w:line="261" w:lineRule="auto"/>
        <w:rPr>
          <w:sz w:val="20"/>
          <w:szCs w:val="20"/>
          <w:color w:val="auto"/>
        </w:rPr>
      </w:pPr>
      <w:r>
        <w:rPr>
          <w:rFonts w:ascii="Arial" w:cs="Arial" w:eastAsia="Arial" w:hAnsi="Arial"/>
          <w:sz w:val="18"/>
          <w:szCs w:val="18"/>
          <w:color w:val="auto"/>
        </w:rPr>
        <w:t>The Dodd-Frank Act provides for federal regulation of the OTC derivatives market and entities, such as us, that participate in that market. The regulatory regime created by the Dodd-Frank Act is designed primarily to (1) regulate certain participants in the swaps markets, including entities falling within the categories of “Swap</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Dealer” and “Major Swap Participant,” (2) require clearing and exchange trading of certain classes of swaps as designated by the CFTC, (3) increase swap market transparency through robust reporting and recordkeeping requirements, (4) reduce financial risks in the derivatives market by imposing margin or collateral requirements on both cleared and, in certain cases, uncleared swaps, (5) provide the CFTC with expanded authority to establish position limits on certain swaps and futures products as it finds necessary and appropriate, and (6) otherwise enhance the rulemaking and enforcement authority of the CFTC and the SEC regarding the derivatives markets. As required by the Dodd-Frank Act, the CFTC, the SEC and other regulators have been promulgating rules and regulations implementing the regulatory provisions of the Dodd-Frank Act, although neither the CFTC nor the SEC has yet adopted or implemented all of the rules required by the Dodd-Frank Act. In addition, the CFTC and its staff regularly issue rule amendments and guidance, policy statements and letters interpreting or taking no-action positions, including time-limited no action positions, regarding the derivatives provisions of the Dodd-Frank Act and the rules of the CFTC under these provisions.</w:t>
      </w:r>
    </w:p>
    <w:p>
      <w:pPr>
        <w:spacing w:after="0" w:line="61"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A provision of the Dodd-Frank Act requires the CFTC, in order to diminish or prevent excessive speculation in commodity markets, to adopt rules, as it finds necessary and appropriate, imposing new position limits on certain futures contracts, options contracts and economically equivalent physical commodity swaps and on OTC swaps that perform a significant price discovery function with respect to certain markets. In that regard, the CFTC has proposed position limits rules that would modify and expand the applicability of position limits on the amounts of certain core futures contracts and economically equivalent futures contracts, options contracts and swaps for or linked to certain physical commodities, including Henry Hub natural gas, that market participants may hold, subject to limited exemptions for certain bona fide hedging and other types of transactions. It is uncertain at this time whether, when and in what form the CFTC’s proposed new position limits rules may become final and effective.</w:t>
      </w:r>
    </w:p>
    <w:p>
      <w:pPr>
        <w:spacing w:after="0" w:line="58" w:lineRule="exact"/>
        <w:rPr>
          <w:sz w:val="20"/>
          <w:szCs w:val="20"/>
          <w:color w:val="auto"/>
        </w:rPr>
      </w:pPr>
    </w:p>
    <w:p>
      <w:pPr>
        <w:ind w:right="20" w:firstLine="357"/>
        <w:spacing w:after="0" w:line="252" w:lineRule="auto"/>
        <w:rPr>
          <w:sz w:val="20"/>
          <w:szCs w:val="20"/>
          <w:color w:val="auto"/>
        </w:rPr>
      </w:pPr>
      <w:r>
        <w:rPr>
          <w:rFonts w:ascii="Arial" w:cs="Arial" w:eastAsia="Arial" w:hAnsi="Arial"/>
          <w:sz w:val="18"/>
          <w:szCs w:val="18"/>
          <w:color w:val="auto"/>
        </w:rPr>
        <w:t>Pursuant to rules adopted by the CFTC, six classes of OTC interest rate and credit default swaps must be cleared through a derivatives clearing organization and executed on an exchange or swap execution facility. The CFTC has not yet proposed to designate any other classes of swaps, including swaps relating to physical commodities, for mandatory clearing, but could do so in the future. Although we expect to qualify for the “end-user exception” from the mandatory clearing and exchange-trading requirements applicable to any swaps that we enter into to hedge our commercial risks, the mandatory clearing and exchange-trading requirements may apply to other market participants, including our counterparties (who may be registered as Swap Dealers), with respect to other swaps, and the application of such rules may change the cost and availability of the swaps that we use for hedging.</w:t>
      </w:r>
    </w:p>
    <w:p>
      <w:pPr>
        <w:spacing w:after="0" w:line="86"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color w:val="auto"/>
        </w:rPr>
        <w:t>As required by provisions of the Dodd-Frank Act, the CFTC and federal banking regulators have adopted rules to require Swap Dealers and Major Swap Participants, including those that are regulated financial institutions, to collect initial and variation margin with respect to uncleared swaps from their counterparties that are financial end-users, registered Swap Dealers or Major Swap Participants. These rules do not require collection of margin from commercial end-users who qualify for the end-user exception from the mandatory clearing requirement or certain other counterparties. We expect to qualify as such a commercial end-user with respect to the swaps that we enter into to hedge our commercial risks. However, the Dodd-Frank Act’s swaps regulatory provisions and the related rules may also adversely affect our existing derivative contracts and restrict our ability to monetize such contracts, cause us to restructure certain contracts, reduce the availability of derivatives to protect against risks or to optimize assets, adversely affect our ability to execute our hedging strategies and impact the liquidity of certain swaps products, all of which could increase our business costs.</w:t>
      </w:r>
    </w:p>
    <w:p>
      <w:pPr>
        <w:spacing w:after="0" w:line="71" w:lineRule="exact"/>
        <w:rPr>
          <w:sz w:val="20"/>
          <w:szCs w:val="20"/>
          <w:color w:val="auto"/>
        </w:rPr>
      </w:pPr>
    </w:p>
    <w:p>
      <w:pPr>
        <w:ind w:right="140" w:firstLine="357"/>
        <w:spacing w:after="0" w:line="270" w:lineRule="auto"/>
        <w:rPr>
          <w:sz w:val="20"/>
          <w:szCs w:val="20"/>
          <w:color w:val="auto"/>
        </w:rPr>
      </w:pPr>
      <w:r>
        <w:rPr>
          <w:rFonts w:ascii="Arial" w:cs="Arial" w:eastAsia="Arial" w:hAnsi="Arial"/>
          <w:sz w:val="17"/>
          <w:szCs w:val="17"/>
          <w:color w:val="auto"/>
        </w:rPr>
        <w:t>Under the Commodity Exchange Act as amended by the Dodd-Frank Act, the CFTC is directed generally to prevent manipulation, including by fraudulent or deceptive practices, in two markets: (1) physical commodities traded in interstate commerce, including physical energy and other commodities, as well as (2) financial instruments, such as futures, options and swaps. Pursuant to the Dodd-Frank Act, the CFTC has adopted additional anti-manipulation and anti-disruptive trading practices regulations that prohibit, among other things, manipulative or deceptive schemes in the physical commodities, futures, options and swaps markets. Should we violate these laws and regulations, we could be subject to a CFTC enforcement action and material penalties, possibly resulting in changes in the rates we can charge.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European Market Infrastructure Regulation</w:t>
      </w:r>
    </w:p>
    <w:p>
      <w:pPr>
        <w:spacing w:after="0" w:line="115" w:lineRule="exact"/>
        <w:rPr>
          <w:sz w:val="20"/>
          <w:szCs w:val="20"/>
          <w:color w:val="auto"/>
        </w:rPr>
      </w:pPr>
    </w:p>
    <w:p>
      <w:pPr>
        <w:ind w:right="140" w:firstLine="357"/>
        <w:spacing w:after="0" w:line="274" w:lineRule="auto"/>
        <w:rPr>
          <w:sz w:val="20"/>
          <w:szCs w:val="20"/>
          <w:color w:val="auto"/>
        </w:rPr>
      </w:pPr>
      <w:r>
        <w:rPr>
          <w:rFonts w:ascii="Arial" w:cs="Arial" w:eastAsia="Arial" w:hAnsi="Arial"/>
          <w:sz w:val="18"/>
          <w:szCs w:val="18"/>
          <w:color w:val="auto"/>
        </w:rPr>
        <w:t>EMIR is a European Union (“EU”) regulation designed to increase the stability of the OTC derivative markets throughout the EU member states. EMIR regulates OTC derivatives, central counterparties and trade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7" w:right="1400"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repositories and imposes requirements for certain market participants with respect to derivatives reporting, clearing and risk mitigation. In addition, certain market participants are subject to a central counterparty clearing obligation and collateral requirements. All non-cleared derivatives require risk management, including timely confirmations of transactions, portfolio reconciliation, portfolio compression (when there exist 500 or more OTC derivatives outstanding with a counterparty) and dispute resolution. In addition, standards for the imposition of margin requirements under EMIR were proposed in June 2015, under which the exchange of initial and variation margin in respect of certain non-cleared derivatives would be required, including from non-financial counterparties that are above the EMIR clearing threshold for the class of derivatives involved. Further, for non-cleared derivatives, outstanding contracts must be marked to market value daily or marked to model where conditions necessitate. Other EMIR risk management requirements for non-cleared derivatives are being considered, but those requirements have yet to be finalized.</w:t>
      </w:r>
    </w:p>
    <w:p>
      <w:pPr>
        <w:spacing w:after="0" w:line="71" w:lineRule="exact"/>
        <w:rPr>
          <w:sz w:val="20"/>
          <w:szCs w:val="20"/>
          <w:color w:val="auto"/>
        </w:rPr>
      </w:pPr>
    </w:p>
    <w:p>
      <w:pPr>
        <w:ind w:right="100" w:firstLine="357"/>
        <w:spacing w:after="0" w:line="261" w:lineRule="auto"/>
        <w:rPr>
          <w:sz w:val="20"/>
          <w:szCs w:val="20"/>
          <w:color w:val="auto"/>
        </w:rPr>
      </w:pPr>
      <w:r>
        <w:rPr>
          <w:rFonts w:ascii="Arial" w:cs="Arial" w:eastAsia="Arial" w:hAnsi="Arial"/>
          <w:sz w:val="18"/>
          <w:szCs w:val="18"/>
          <w:color w:val="auto"/>
        </w:rPr>
        <w:t>Under EMIR, covered entities must report all derivatives concluded and any modification or termination of a derivative to a registered or recognized trade repository within one business day of the transaction. Records related to derivatives must be retained for at least five years following termination.</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Regulation on Wholesale Energy Market Integrity and Transparency</w:t>
      </w:r>
    </w:p>
    <w:p>
      <w:pPr>
        <w:spacing w:after="0" w:line="115" w:lineRule="exact"/>
        <w:rPr>
          <w:sz w:val="20"/>
          <w:szCs w:val="20"/>
          <w:color w:val="auto"/>
        </w:rPr>
      </w:pPr>
    </w:p>
    <w:p>
      <w:pPr>
        <w:ind w:right="80" w:firstLine="357"/>
        <w:spacing w:after="0" w:line="286" w:lineRule="auto"/>
        <w:rPr>
          <w:sz w:val="20"/>
          <w:szCs w:val="20"/>
          <w:color w:val="auto"/>
        </w:rPr>
      </w:pPr>
      <w:r>
        <w:rPr>
          <w:rFonts w:ascii="Arial" w:cs="Arial" w:eastAsia="Arial" w:hAnsi="Arial"/>
          <w:sz w:val="16"/>
          <w:szCs w:val="16"/>
          <w:color w:val="auto"/>
        </w:rPr>
        <w:t>REMIT is an EU regulation that prohibits market manipulation and insider trading in European wholesale energy markets and imposes various obligations on participants in these markets. REMIT requires persons who enter into transactions, including the placing of orders to trade, in one or more wholesale energy markets in the EU to notify the applicable national regulatory authority (“NRA”) of suspected breaches and implement procedures to identify breaches. All market participants, such as us, must disclose inside information and cannot use inside information to buy or sell wholesale energy products for their own account or on behalf of a third party, directly or indirectly, induce others to buy or sell wholesale energy products based on inside information, or disclose such inside information to any other person except in the normal course of employment. Market participants must also register with the relevant NRA (the Office of Gas and Electricity Markets is the NRA in the United Kingdom) and provide a record of wholesale energy market transactions to the European Agency for the Cooperation of Energy Regulators (“ACER”) and information on capacity and utilization for production, storage, consumption or transmission.</w:t>
      </w:r>
    </w:p>
    <w:p>
      <w:pPr>
        <w:spacing w:after="0" w:line="61" w:lineRule="exact"/>
        <w:rPr>
          <w:sz w:val="20"/>
          <w:szCs w:val="20"/>
          <w:color w:val="auto"/>
        </w:rPr>
      </w:pPr>
    </w:p>
    <w:p>
      <w:pPr>
        <w:ind w:right="20" w:firstLine="357"/>
        <w:spacing w:after="0" w:line="271" w:lineRule="auto"/>
        <w:rPr>
          <w:sz w:val="20"/>
          <w:szCs w:val="20"/>
          <w:color w:val="auto"/>
        </w:rPr>
      </w:pPr>
      <w:r>
        <w:rPr>
          <w:rFonts w:ascii="Arial" w:cs="Arial" w:eastAsia="Arial" w:hAnsi="Arial"/>
          <w:sz w:val="17"/>
          <w:szCs w:val="17"/>
          <w:color w:val="auto"/>
        </w:rPr>
        <w:t>Market participants and third parties acting on their behalf are required to report transactions in wholesale energy contracts admitted to trading at organized market places and fundamental data from the European Network of Transmission System Operators for Electricity central information transparency platforms to ACER. Additional records of transactions and fundamental data with respect to the remaining wholesale energy contracts (OTC standard and non-standard supply contracts and transportation contracts) and reportable fundamental data from transmission system operators, storage system operators and LNG system operators had to be provided to ACER as of April 7, 2016.</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Markets in Financial Instruments Directive and Regulation (“MiFID II”)</w:t>
      </w:r>
    </w:p>
    <w:p>
      <w:pPr>
        <w:spacing w:after="0" w:line="115"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MiFID II refers to an EU directive and regulation (together with supplementary delegated acts) that came into effect on January 3, 2018. Under the current regulatory regime, set out in the Markets in Financial Instruments Directive (“MiFID”), we are exempt from needing authorization of any commodity derivative trading activities. MiFID II will narrow the scope of exemptions currently available under MiFID and broaden the directive’s application to the trading of MiFID commodity derivatives that can be physically settled and are traded on an organized trading facility, in addition to those that are traded on regulated markets or multilateral trading facilities.</w:t>
      </w:r>
    </w:p>
    <w:p>
      <w:pPr>
        <w:spacing w:after="0" w:line="81" w:lineRule="exact"/>
        <w:rPr>
          <w:sz w:val="20"/>
          <w:szCs w:val="20"/>
          <w:color w:val="auto"/>
        </w:rPr>
      </w:pPr>
    </w:p>
    <w:p>
      <w:pPr>
        <w:ind w:right="20" w:firstLine="357"/>
        <w:spacing w:after="0" w:line="269" w:lineRule="auto"/>
        <w:rPr>
          <w:sz w:val="20"/>
          <w:szCs w:val="20"/>
          <w:color w:val="auto"/>
        </w:rPr>
      </w:pPr>
      <w:r>
        <w:rPr>
          <w:rFonts w:ascii="Arial" w:cs="Arial" w:eastAsia="Arial" w:hAnsi="Arial"/>
          <w:sz w:val="17"/>
          <w:szCs w:val="17"/>
          <w:color w:val="auto"/>
        </w:rPr>
        <w:t>To the extent that we trade on our own account in MiFID commodity derivatives after MiFID II comes into force, we expect to be able to do so without requiring (i) authorization from any competent authority in the European Union or (ii) (if and when available) registration with the European Securities and Markets Authority (“ESMA”) as a third country firm by relying, if needed by the relevant licensing laws of the EU jurisdictions in which our counterparties are based, on the “ancillary activity” exemption under MiFID II on the basis that (1) such activity is ancillary to our main business, when considered on a group basis, and that main business is not the provision of investment services or market making in relation to MiFID commodity derivatives; (2) we do not apply a high-frequency algorithmic trading technique; and (3) (if required to do so) we notify the relevant competent authority on an annual basis that we are relying on this exemption and, upon request, report the basis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upon which we fall within the exemption. If, however, (x) no general exemption is available to us in the relevant EU jurisdiction in which any of our counterparties are based, (y) we are unable to meet the ancillary activity exemption, and (z) no other MiFID II exemption is available to us, we will need to become either authorized by the appropriate EU competent authority or (if applicable) register with ESMA as a third country firm in order to trade on our own account in MiFID commodity derivatives. Authorization by an EU competent authority would require our compliance with a variety of prudential and conduct of business rules.</w:t>
      </w:r>
    </w:p>
    <w:p>
      <w:pPr>
        <w:spacing w:after="0" w:line="54"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Further, if we were to become authorized under MiFID II, we would be deemed to be a financial counterparty (instead of a non-financial counterparty that is not subject to the EMIR clearing obligation) for the purpose of EMIR. This may require us to clear relevant OTC derivative contracts through a central counterparty and subject us to additional reporting obligations and risk mitigation requirements under EMIR, including collateral exchange and marking transactions either to market or to an approved model.</w:t>
      </w:r>
    </w:p>
    <w:p>
      <w:pPr>
        <w:spacing w:after="0" w:line="81"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color w:val="auto"/>
        </w:rPr>
        <w:t>Irrespective of whether we are required to be authorized or registered under MiFID II we will be directly and indirectly impacted by MiFID II’s commodity derivatives position limits and position reporting requirements which include powers given to EU competent authorities to require persons to reduce their commodity derivatives positions.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 Abuse Regulation (“MAR”)</w:t>
      </w:r>
    </w:p>
    <w:p>
      <w:pPr>
        <w:spacing w:after="0" w:line="115" w:lineRule="exact"/>
        <w:rPr>
          <w:sz w:val="20"/>
          <w:szCs w:val="20"/>
          <w:color w:val="auto"/>
        </w:rPr>
      </w:pPr>
    </w:p>
    <w:p>
      <w:pPr>
        <w:ind w:right="120" w:firstLine="357"/>
        <w:spacing w:after="0" w:line="264" w:lineRule="auto"/>
        <w:rPr>
          <w:sz w:val="20"/>
          <w:szCs w:val="20"/>
          <w:color w:val="auto"/>
        </w:rPr>
      </w:pPr>
      <w:r>
        <w:rPr>
          <w:rFonts w:ascii="Arial" w:cs="Arial" w:eastAsia="Arial" w:hAnsi="Arial"/>
          <w:sz w:val="16"/>
          <w:szCs w:val="16"/>
          <w:color w:val="auto"/>
        </w:rPr>
        <w:t>MAR, which came into effect on July 3, 2016, updated and strengthened the previous EU market abuse framework by extending its scope to new markets and by introducing new requirements. MAR’s scope was extended to MiFID financial instruments traded on an EU multilateral trading facility and (with effect from MiFID II implementation on January 3, 2018) on an EU organized trading facility as well as other financial instruments the price or value of which depends on, or has an effect on the price or value of financial instruments. The previous EU market abuse framework applied only to financial instruments admitted to trading on formally designated EU regulated markets and their related financial instruments. Further, MAR extends the EU market abuse framework to include behavior in relation to certain EU emission allowances and to certain spot commodity contracts. MAR effectively prohibits market abuse concerning relevant EU securities, derivatives, emission allowance products and certain spot commodity markets. This includes (i) the prohibition of trading in MiFID financial instruments on the basis of inside information,</w:t>
      </w:r>
    </w:p>
    <w:p>
      <w:pPr>
        <w:spacing w:after="0" w:line="6" w:lineRule="exact"/>
        <w:rPr>
          <w:sz w:val="20"/>
          <w:szCs w:val="20"/>
          <w:color w:val="auto"/>
        </w:rPr>
      </w:pPr>
    </w:p>
    <w:p>
      <w:pPr>
        <w:ind w:right="400" w:firstLine="5"/>
        <w:spacing w:after="0" w:line="258" w:lineRule="auto"/>
        <w:tabs>
          <w:tab w:leader="none" w:pos="26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improper disclosure of inside information relating to MiFID financial instruments, emission allowances or certain spot commodity contracts and (iii) the manipulation of prices of MiFID financial instruments, certain auctioned emission allowance products and certain spot commodity contracts using a number of prohibited behaviors or techniques.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Local Partners</w:t>
      </w:r>
    </w:p>
    <w:p>
      <w:pPr>
        <w:spacing w:after="0" w:line="106" w:lineRule="exact"/>
        <w:rPr>
          <w:sz w:val="20"/>
          <w:szCs w:val="20"/>
          <w:color w:val="auto"/>
        </w:rPr>
      </w:pPr>
    </w:p>
    <w:p>
      <w:pPr>
        <w:ind w:right="140" w:firstLine="357"/>
        <w:spacing w:after="0" w:line="229" w:lineRule="auto"/>
        <w:rPr>
          <w:sz w:val="20"/>
          <w:szCs w:val="20"/>
          <w:color w:val="auto"/>
        </w:rPr>
      </w:pPr>
      <w:r>
        <w:rPr>
          <w:rFonts w:ascii="Arial" w:cs="Arial" w:eastAsia="Arial" w:hAnsi="Arial"/>
          <w:sz w:val="18"/>
          <w:szCs w:val="18"/>
          <w:color w:val="auto"/>
        </w:rPr>
        <w:t>One of our subsidiaries, Atlantic Distribution Holdings SRL, has entered into a partnership framework agreement, dated as of August 23, 2017 (the “PFA”), with DevTech Environment Limited (“DevTech”). We have partnered with DevTech to pursue strategic investment opportunities related to energy, transportation and infrastructure projects in Jamaica with a total projected cost of development, construction or acquisition of no more than $5 million per project.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terms of the PFA, when we make an investment related to services provided by DevTech, DevTech will receive</w:t>
      </w:r>
    </w:p>
    <w:p>
      <w:pPr>
        <w:spacing w:after="0" w:line="20" w:lineRule="exact"/>
        <w:rPr>
          <w:sz w:val="20"/>
          <w:szCs w:val="20"/>
          <w:color w:val="auto"/>
        </w:rPr>
      </w:pPr>
    </w:p>
    <w:p>
      <w:pPr>
        <w:jc w:val="both"/>
        <w:ind w:right="100"/>
        <w:spacing w:after="0" w:line="227" w:lineRule="auto"/>
        <w:rPr>
          <w:sz w:val="20"/>
          <w:szCs w:val="20"/>
          <w:color w:val="auto"/>
        </w:rPr>
      </w:pPr>
      <w:r>
        <w:rPr>
          <w:rFonts w:ascii="Arial" w:cs="Arial" w:eastAsia="Arial" w:hAnsi="Arial"/>
          <w:sz w:val="18"/>
          <w:szCs w:val="18"/>
          <w:color w:val="auto"/>
        </w:rPr>
        <w:t>10% of the equity capital in the new investment in exchange for a capital contribution in that proportion. In addition, DevTech will receive profits interests entitling DevTech to 5% of all future distributions once the parties have received a return on the investment equal to their capital contributions.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06" w:lineRule="exact"/>
        <w:rPr>
          <w:sz w:val="20"/>
          <w:szCs w:val="20"/>
          <w:color w:val="auto"/>
        </w:rPr>
      </w:pPr>
    </w:p>
    <w:p>
      <w:pPr>
        <w:ind w:right="180" w:firstLine="357"/>
        <w:spacing w:after="0" w:line="243" w:lineRule="auto"/>
        <w:rPr>
          <w:sz w:val="20"/>
          <w:szCs w:val="20"/>
          <w:color w:val="auto"/>
        </w:rPr>
      </w:pPr>
      <w:r>
        <w:rPr>
          <w:rFonts w:ascii="Arial" w:cs="Arial" w:eastAsia="Arial" w:hAnsi="Arial"/>
          <w:sz w:val="18"/>
          <w:szCs w:val="18"/>
          <w:color w:val="auto"/>
        </w:rPr>
        <w:t>Because of our limited operating history and stage of development, a limited number of customers currently represent a large percentage of our income. During 2017, JPS accounted for more than 10% of our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6" w:lineRule="exact"/>
        <w:rPr>
          <w:sz w:val="20"/>
          <w:szCs w:val="20"/>
          <w:color w:val="auto"/>
        </w:rPr>
      </w:pPr>
    </w:p>
    <w:p>
      <w:pPr>
        <w:jc w:val="both"/>
        <w:ind w:right="460" w:firstLine="357"/>
        <w:spacing w:after="0" w:line="244" w:lineRule="auto"/>
        <w:rPr>
          <w:sz w:val="20"/>
          <w:szCs w:val="20"/>
          <w:color w:val="auto"/>
        </w:rPr>
      </w:pPr>
      <w:r>
        <w:rPr>
          <w:rFonts w:ascii="Arial" w:cs="Arial" w:eastAsia="Arial" w:hAnsi="Arial"/>
          <w:sz w:val="17"/>
          <w:szCs w:val="17"/>
          <w:color w:val="auto"/>
        </w:rPr>
        <w:t>Activity in the Caribbean is often lower during the North Atlantic hurricane season of June through November, although following a hurricane, activity may decrease as there may be business interruptions as a result of damage or destruction to our facilities or the countries in which we operate. Due to these seasonal fluctuations, results of operations for individual quarterly periods may not be indicative of the results that may be realized on an annual basis.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w:t>
      </w:r>
    </w:p>
    <w:p>
      <w:pPr>
        <w:spacing w:after="0" w:line="119" w:lineRule="exact"/>
        <w:rPr>
          <w:sz w:val="20"/>
          <w:szCs w:val="20"/>
          <w:color w:val="auto"/>
        </w:rPr>
      </w:pPr>
    </w:p>
    <w:p>
      <w:pPr>
        <w:ind w:right="120" w:firstLine="357"/>
        <w:spacing w:after="0" w:line="257" w:lineRule="auto"/>
        <w:rPr>
          <w:sz w:val="20"/>
          <w:szCs w:val="20"/>
          <w:color w:val="auto"/>
        </w:rPr>
      </w:pPr>
      <w:r>
        <w:rPr>
          <w:rFonts w:ascii="Arial" w:cs="Arial" w:eastAsia="Arial" w:hAnsi="Arial"/>
          <w:sz w:val="17"/>
          <w:szCs w:val="17"/>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general liability, and the portion of workers’ compensation not covered under a governmental program and are in the process of obtaining environmental liability insurance.</w:t>
      </w:r>
    </w:p>
    <w:p>
      <w:pPr>
        <w:spacing w:after="0" w:line="67" w:lineRule="exact"/>
        <w:rPr>
          <w:sz w:val="20"/>
          <w:szCs w:val="20"/>
          <w:color w:val="auto"/>
        </w:rPr>
      </w:pPr>
    </w:p>
    <w:p>
      <w:pPr>
        <w:jc w:val="both"/>
        <w:ind w:firstLine="357"/>
        <w:spacing w:after="0" w:line="246" w:lineRule="auto"/>
        <w:rPr>
          <w:sz w:val="20"/>
          <w:szCs w:val="20"/>
          <w:color w:val="auto"/>
        </w:rPr>
      </w:pPr>
      <w:r>
        <w:rPr>
          <w:rFonts w:ascii="Arial" w:cs="Arial" w:eastAsia="Arial" w:hAnsi="Arial"/>
          <w:sz w:val="18"/>
          <w:szCs w:val="18"/>
          <w:color w:val="auto"/>
        </w:rPr>
        <w:t>We maintain risk property insurance, including windstorm and flood, related to the operation of the Miami Facility and builders risk insurance at the Montego Bay Terminal. We also maintain pollution liability insurance in the U.S. and other policies in the U.S. and outside of the U.S. customary for our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19" w:lineRule="exact"/>
        <w:rPr>
          <w:sz w:val="20"/>
          <w:szCs w:val="20"/>
          <w:color w:val="auto"/>
        </w:rPr>
      </w:pPr>
    </w:p>
    <w:p>
      <w:pPr>
        <w:ind w:right="120" w:firstLine="357"/>
        <w:spacing w:after="0" w:line="267" w:lineRule="auto"/>
        <w:rPr>
          <w:sz w:val="20"/>
          <w:szCs w:val="20"/>
          <w:color w:val="auto"/>
        </w:rPr>
      </w:pPr>
      <w:r>
        <w:rPr>
          <w:rFonts w:ascii="Arial" w:cs="Arial" w:eastAsia="Arial" w:hAnsi="Arial"/>
          <w:sz w:val="17"/>
          <w:szCs w:val="17"/>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147 full-time employees as of September 30, 2018.</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New Fortress Energy LLC</w:t>
      </w:r>
    </w:p>
    <w:p>
      <w:pPr>
        <w:spacing w:after="0" w:line="119" w:lineRule="exact"/>
        <w:rPr>
          <w:sz w:val="20"/>
          <w:szCs w:val="20"/>
          <w:color w:val="auto"/>
        </w:rPr>
      </w:pPr>
    </w:p>
    <w:p>
      <w:pPr>
        <w:ind w:right="120" w:firstLine="357"/>
        <w:spacing w:after="0" w:line="291" w:lineRule="auto"/>
        <w:rPr>
          <w:sz w:val="20"/>
          <w:szCs w:val="20"/>
          <w:color w:val="auto"/>
        </w:rPr>
      </w:pPr>
      <w:r>
        <w:rPr>
          <w:rFonts w:ascii="Arial" w:cs="Arial" w:eastAsia="Arial" w:hAnsi="Arial"/>
          <w:sz w:val="16"/>
          <w:szCs w:val="16"/>
          <w:color w:val="auto"/>
        </w:rPr>
        <w:t>Upon consummation of this offering our operating agreement will provide that our board of directors shall consist of not less than three and not more than nine directors as the board of directors may from time to time determine. Our board of directors currently consists of two directors. Our board of directors will be divided into three classes that are, as nearly as possible, of equal size. Each class of directors will be elected for a three-year term of office, but the terms are staggered so that the term of only one class of directors expires at each annual general meeting. The initial terms of the Class I, Class II and Class III directors will expire in 2020, 2021 and 2022, respectively. All officers serve at the discretion of the board of directors.</w:t>
      </w:r>
    </w:p>
    <w:p>
      <w:pPr>
        <w:spacing w:after="0" w:line="57" w:lineRule="exact"/>
        <w:rPr>
          <w:sz w:val="20"/>
          <w:szCs w:val="20"/>
          <w:color w:val="auto"/>
        </w:rPr>
      </w:pPr>
    </w:p>
    <w:p>
      <w:pPr>
        <w:ind w:right="80" w:firstLine="357"/>
        <w:spacing w:after="0" w:line="261" w:lineRule="auto"/>
        <w:rPr>
          <w:sz w:val="20"/>
          <w:szCs w:val="20"/>
          <w:color w:val="auto"/>
        </w:rPr>
      </w:pPr>
      <w:r>
        <w:rPr>
          <w:rFonts w:ascii="Arial" w:cs="Arial" w:eastAsia="Arial" w:hAnsi="Arial"/>
          <w:sz w:val="18"/>
          <w:szCs w:val="18"/>
          <w:color w:val="auto"/>
        </w:rPr>
        <w:t>Upon consummation of this offering, we will have eight directors. Our board of directors determined that Ms. Wanner and Messrs. Griffin, Mack, Wilkinson, Grain and Catterall qualify as independent directors under the corporate governance standards of NASDAQ.</w:t>
      </w:r>
    </w:p>
    <w:p>
      <w:pPr>
        <w:spacing w:after="0" w:line="76" w:lineRule="exact"/>
        <w:rPr>
          <w:sz w:val="20"/>
          <w:szCs w:val="20"/>
          <w:color w:val="auto"/>
        </w:rPr>
      </w:pPr>
    </w:p>
    <w:p>
      <w:pPr>
        <w:ind w:right="40" w:firstLine="357"/>
        <w:spacing w:after="0" w:line="255" w:lineRule="auto"/>
        <w:rPr>
          <w:sz w:val="20"/>
          <w:szCs w:val="20"/>
          <w:color w:val="auto"/>
        </w:rPr>
      </w:pPr>
      <w:r>
        <w:rPr>
          <w:rFonts w:ascii="Arial" w:cs="Arial" w:eastAsia="Arial" w:hAnsi="Arial"/>
          <w:sz w:val="18"/>
          <w:szCs w:val="18"/>
          <w:color w:val="auto"/>
        </w:rPr>
        <w:t>Our operating agreement does not provide for cumulative voting in the election of directors, which means that the holders of a majority of our issued and outstanding voting shares can elect all of the directors standing for election, and the holders of the remaining shares will not be able to elect any directors. New Fortress Energy Holdings’ beneficial ownership of greater than 50% of our voting shares means New Fortress Energy Holdings will be able to control matters requiring shareholder approval, which includes the election of directors.</w:t>
      </w:r>
    </w:p>
    <w:p>
      <w:pPr>
        <w:spacing w:after="0" w:line="81" w:lineRule="exact"/>
        <w:rPr>
          <w:sz w:val="20"/>
          <w:szCs w:val="20"/>
          <w:color w:val="auto"/>
        </w:rPr>
      </w:pPr>
    </w:p>
    <w:p>
      <w:pPr>
        <w:ind w:right="440" w:firstLine="357"/>
        <w:spacing w:after="0" w:line="309" w:lineRule="auto"/>
        <w:rPr>
          <w:sz w:val="20"/>
          <w:szCs w:val="20"/>
          <w:color w:val="auto"/>
        </w:rPr>
      </w:pPr>
      <w:r>
        <w:rPr>
          <w:rFonts w:ascii="Arial" w:cs="Arial" w:eastAsia="Arial" w:hAnsi="Arial"/>
          <w:sz w:val="16"/>
          <w:szCs w:val="16"/>
          <w:color w:val="auto"/>
        </w:rPr>
        <w:t>In evaluating director candidates, our board of directors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19" w:lineRule="exact"/>
        <w:rPr>
          <w:sz w:val="20"/>
          <w:szCs w:val="20"/>
          <w:color w:val="auto"/>
        </w:rPr>
      </w:pPr>
    </w:p>
    <w:p>
      <w:pPr>
        <w:ind w:right="40" w:firstLine="357"/>
        <w:spacing w:after="0" w:line="255" w:lineRule="auto"/>
        <w:rPr>
          <w:sz w:val="20"/>
          <w:szCs w:val="20"/>
          <w:color w:val="auto"/>
        </w:rPr>
      </w:pPr>
      <w:r>
        <w:rPr>
          <w:rFonts w:ascii="Arial" w:cs="Arial" w:eastAsia="Arial" w:hAnsi="Arial"/>
          <w:sz w:val="18"/>
          <w:szCs w:val="18"/>
          <w:color w:val="auto"/>
        </w:rPr>
        <w:t>The following table shows information for our executive officers and directors upon the consummation of this offering. Directors hold office until their successors have been elected or qualified or until the earlier of their death, resignation, removal or disqualification. Executive officers serve at the discretion of the board. There are no family relationships among any of our directors or executive officers. Some of our directors and our executive officers also serve as executive officers of New Fortress Energy Holdings.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80" w:type="dxa"/>
            <w:vAlign w:val="bottom"/>
          </w:tcPr>
          <w:p>
            <w:pPr>
              <w:spacing w:after="0"/>
              <w:rPr>
                <w:sz w:val="15"/>
                <w:szCs w:val="15"/>
                <w:color w:val="auto"/>
              </w:rPr>
            </w:pPr>
          </w:p>
        </w:tc>
        <w:tc>
          <w:tcPr>
            <w:tcW w:w="502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5"/>
                <w:szCs w:val="15"/>
                <w:color w:val="auto"/>
              </w:rPr>
            </w:pPr>
          </w:p>
        </w:tc>
      </w:tr>
      <w:tr>
        <w:trPr>
          <w:trHeight w:val="241"/>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Wesley R. Edens</w:t>
            </w:r>
          </w:p>
        </w:tc>
        <w:tc>
          <w:tcPr>
            <w:tcW w:w="8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89"/>
              </w:rPr>
              <w:t>57</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 Chairman</w:t>
            </w:r>
          </w:p>
        </w:tc>
      </w:tr>
      <w:tr>
        <w:trPr>
          <w:trHeight w:val="235"/>
        </w:trPr>
        <w:tc>
          <w:tcPr>
            <w:tcW w:w="3340" w:type="dxa"/>
            <w:vAlign w:val="bottom"/>
          </w:tcPr>
          <w:p>
            <w:pPr>
              <w:spacing w:after="0"/>
              <w:rPr>
                <w:sz w:val="20"/>
                <w:szCs w:val="20"/>
                <w:color w:val="auto"/>
              </w:rPr>
            </w:pPr>
            <w:r>
              <w:rPr>
                <w:rFonts w:ascii="Arial" w:cs="Arial" w:eastAsia="Arial" w:hAnsi="Arial"/>
                <w:sz w:val="18"/>
                <w:szCs w:val="18"/>
                <w:color w:val="auto"/>
              </w:rPr>
              <w:t>Christopher S. Guinta</w:t>
            </w:r>
          </w:p>
        </w:tc>
        <w:tc>
          <w:tcPr>
            <w:tcW w:w="8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35</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248"/>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Michael J. Utsler</w:t>
            </w:r>
          </w:p>
        </w:tc>
        <w:tc>
          <w:tcPr>
            <w:tcW w:w="8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89"/>
              </w:rPr>
              <w:t>62</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r>
      <w:tr>
        <w:trPr>
          <w:trHeight w:val="235"/>
        </w:trPr>
        <w:tc>
          <w:tcPr>
            <w:tcW w:w="3340" w:type="dxa"/>
            <w:vAlign w:val="bottom"/>
          </w:tcPr>
          <w:p>
            <w:pPr>
              <w:spacing w:after="0"/>
              <w:rPr>
                <w:sz w:val="20"/>
                <w:szCs w:val="20"/>
                <w:color w:val="auto"/>
              </w:rPr>
            </w:pPr>
            <w:r>
              <w:rPr>
                <w:rFonts w:ascii="Arial" w:cs="Arial" w:eastAsia="Arial" w:hAnsi="Arial"/>
                <w:sz w:val="18"/>
                <w:szCs w:val="18"/>
                <w:color w:val="auto"/>
              </w:rPr>
              <w:t>Randal A. Nardone</w:t>
            </w:r>
          </w:p>
        </w:tc>
        <w:tc>
          <w:tcPr>
            <w:tcW w:w="8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63</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48"/>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Desmond Iain Catterall</w:t>
            </w:r>
          </w:p>
        </w:tc>
        <w:tc>
          <w:tcPr>
            <w:tcW w:w="8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89"/>
              </w:rPr>
              <w:t>61</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 Nominee</w:t>
            </w:r>
          </w:p>
        </w:tc>
      </w:tr>
      <w:tr>
        <w:trPr>
          <w:trHeight w:val="235"/>
        </w:trPr>
        <w:tc>
          <w:tcPr>
            <w:tcW w:w="3340" w:type="dxa"/>
            <w:vAlign w:val="bottom"/>
          </w:tcPr>
          <w:p>
            <w:pPr>
              <w:spacing w:after="0"/>
              <w:rPr>
                <w:sz w:val="20"/>
                <w:szCs w:val="20"/>
                <w:color w:val="auto"/>
              </w:rPr>
            </w:pPr>
            <w:r>
              <w:rPr>
                <w:rFonts w:ascii="Arial" w:cs="Arial" w:eastAsia="Arial" w:hAnsi="Arial"/>
                <w:sz w:val="18"/>
                <w:szCs w:val="18"/>
                <w:color w:val="auto"/>
              </w:rPr>
              <w:t>David J. Grain</w:t>
            </w:r>
          </w:p>
        </w:tc>
        <w:tc>
          <w:tcPr>
            <w:tcW w:w="8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56</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Director Nominee</w:t>
            </w:r>
          </w:p>
        </w:tc>
      </w:tr>
      <w:tr>
        <w:trPr>
          <w:trHeight w:val="248"/>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 William Griffin</w:t>
            </w:r>
          </w:p>
        </w:tc>
        <w:tc>
          <w:tcPr>
            <w:tcW w:w="8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89"/>
              </w:rPr>
              <w:t>67</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 Nominee</w:t>
            </w:r>
          </w:p>
        </w:tc>
      </w:tr>
      <w:tr>
        <w:trPr>
          <w:trHeight w:val="235"/>
        </w:trPr>
        <w:tc>
          <w:tcPr>
            <w:tcW w:w="3340" w:type="dxa"/>
            <w:vAlign w:val="bottom"/>
          </w:tcPr>
          <w:p>
            <w:pPr>
              <w:spacing w:after="0"/>
              <w:rPr>
                <w:sz w:val="20"/>
                <w:szCs w:val="20"/>
                <w:color w:val="auto"/>
              </w:rPr>
            </w:pPr>
            <w:r>
              <w:rPr>
                <w:rFonts w:ascii="Arial" w:cs="Arial" w:eastAsia="Arial" w:hAnsi="Arial"/>
                <w:sz w:val="18"/>
                <w:szCs w:val="18"/>
                <w:color w:val="auto"/>
              </w:rPr>
              <w:t>John J. Mack</w:t>
            </w:r>
          </w:p>
        </w:tc>
        <w:tc>
          <w:tcPr>
            <w:tcW w:w="8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73</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Director Nominee</w:t>
            </w:r>
          </w:p>
        </w:tc>
      </w:tr>
      <w:tr>
        <w:trPr>
          <w:trHeight w:val="248"/>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Katherine E. Wanner</w:t>
            </w:r>
          </w:p>
        </w:tc>
        <w:tc>
          <w:tcPr>
            <w:tcW w:w="86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89"/>
              </w:rPr>
              <w:t>51</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 Nominee</w:t>
            </w: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Matthew Wilkinson</w:t>
            </w:r>
          </w:p>
        </w:tc>
        <w:tc>
          <w:tcPr>
            <w:tcW w:w="860" w:type="dxa"/>
            <w:vAlign w:val="bottom"/>
            <w:gridSpan w:val="2"/>
          </w:tcPr>
          <w:p>
            <w:pPr>
              <w:jc w:val="center"/>
              <w:ind w:left="71"/>
              <w:spacing w:after="0"/>
              <w:rPr>
                <w:sz w:val="20"/>
                <w:szCs w:val="20"/>
                <w:color w:val="auto"/>
              </w:rPr>
            </w:pPr>
            <w:r>
              <w:rPr>
                <w:rFonts w:ascii="Arial" w:cs="Arial" w:eastAsia="Arial" w:hAnsi="Arial"/>
                <w:sz w:val="18"/>
                <w:szCs w:val="18"/>
                <w:color w:val="auto"/>
                <w:w w:val="89"/>
              </w:rPr>
              <w:t>37</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Director Nominee</w:t>
            </w:r>
          </w:p>
        </w:tc>
      </w:tr>
    </w:tbl>
    <w:p>
      <w:pPr>
        <w:spacing w:after="0" w:line="105" w:lineRule="exact"/>
        <w:rPr>
          <w:sz w:val="20"/>
          <w:szCs w:val="20"/>
          <w:color w:val="auto"/>
        </w:rPr>
      </w:pPr>
    </w:p>
    <w:p>
      <w:pPr>
        <w:ind w:right="40" w:firstLine="357"/>
        <w:spacing w:after="0" w:line="289" w:lineRule="auto"/>
        <w:rPr>
          <w:sz w:val="20"/>
          <w:szCs w:val="20"/>
          <w:color w:val="auto"/>
        </w:rPr>
      </w:pPr>
      <w:r>
        <w:rPr>
          <w:rFonts w:ascii="Arial" w:cs="Arial" w:eastAsia="Arial" w:hAnsi="Arial"/>
          <w:sz w:val="16"/>
          <w:szCs w:val="16"/>
          <w:b w:val="1"/>
          <w:bCs w:val="1"/>
          <w:i w:val="1"/>
          <w:iCs w:val="1"/>
          <w:color w:val="auto"/>
        </w:rPr>
        <w:t>Wesley R. Edens</w:t>
      </w:r>
      <w:r>
        <w:rPr>
          <w:rFonts w:ascii="Arial" w:cs="Arial" w:eastAsia="Arial" w:hAnsi="Arial"/>
          <w:sz w:val="16"/>
          <w:szCs w:val="16"/>
          <w:color w:val="auto"/>
        </w:rPr>
        <w:t>— Mr. Edens has been our Chief Executive Officer and the Chairman of our board of directors since August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He is the Co-Chief Executive Officer of Fortress and has been a member of the board of directors of Fortress since November</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2006. Mr. Edens has been a member of the Management Committee of Fortress since co-founding Fortress in May 1998. Fortress Equity Partners (A) LP, a private equity fund managed by an affiliate of Fortress, currently owns a substantial majority of the equity of New Fortress Energy Holdings. Mr. Edens is responsible for oversight of Fortress’ private equity and publicly traded alternative investment businesses. He is the Chairman of the board of directors of New Media Investment Group Inc. (a publisher of print and online media) and Drive Shack Inc. (an owner and operator of golf-related leisure and entertainment businesses). He is a director of Mapeley Limited (a large full service real estate outsourcing and investment company in the United Kingdom).</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Edens previously served on the board of the following publicly traded companies and registered investment companies: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OneMain Holdings, Inc. (a leading consumer finance company) from November 2010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June 2018, Fortress Transportation and Infrastructure Investors LLC (which owns and acquires high quality infrastructure and equipment essential for the transportation of goods and people globally) from May 2015 to May 2016; Intrawest Resorts Holdings Inc. (a resort and adventure company) from January 2014 to July 2017; Gaming and Leisure Properties, Inc. (an owner and operator in the gaming and racing industry) from October 2013 to October 2016; Nationstar Mortgage Holdings Inc. (a residential mortgage loan originator and servicer) from 2012 to July 2016; New Residential Investment Corp. (a real estate investment trust primarily focused on investing in residential real estate related assets) from April 2013 to May 2016; Brookdale Senior Living Inc., from September 2005 to June 2014; GAGFAH S.A. from September 2006 to June 2014; PENN National Gaming Inc. from October 2008 to November 2013; GateHouse Media Inc. from June 2005 to November 2013; Aircastle Ltd. from August 2006 to August 2012; RailAmerica Inc. from November 2006 to October 2012; Eurocastle Investment Ltd., from August 2003 to November 2011; Whistler Blackcomb Holdings Inc., from October 2010 to November 2012; Fortress Registered Investment Trust, from December 1999 until it deregistered with the SEC in September 2011; FRIT PINN LLC, from November 2001 until it deregistered with the SEC in September 2011; and New Senior Investment Group Inc. (a real estate investment trust with a diversified portfolio of senior housing properties located across the United States) from November 2014 to January 2019.</w:t>
      </w:r>
    </w:p>
    <w:p>
      <w:pPr>
        <w:spacing w:after="0" w:line="67" w:lineRule="exact"/>
        <w:rPr>
          <w:sz w:val="20"/>
          <w:szCs w:val="20"/>
          <w:color w:val="auto"/>
        </w:rPr>
      </w:pPr>
    </w:p>
    <w:p>
      <w:pPr>
        <w:ind w:right="260" w:firstLine="357"/>
        <w:spacing w:after="0" w:line="261" w:lineRule="auto"/>
        <w:rPr>
          <w:sz w:val="20"/>
          <w:szCs w:val="20"/>
          <w:color w:val="auto"/>
        </w:rPr>
      </w:pPr>
      <w:r>
        <w:rPr>
          <w:rFonts w:ascii="Arial" w:cs="Arial" w:eastAsia="Arial" w:hAnsi="Arial"/>
          <w:sz w:val="18"/>
          <w:szCs w:val="18"/>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 Holdings Inc.</w:t>
      </w:r>
    </w:p>
    <w:p>
      <w:pPr>
        <w:spacing w:after="0" w:line="76" w:lineRule="exact"/>
        <w:rPr>
          <w:sz w:val="20"/>
          <w:szCs w:val="20"/>
          <w:color w:val="auto"/>
        </w:rPr>
      </w:pPr>
    </w:p>
    <w:p>
      <w:pPr>
        <w:ind w:right="60" w:firstLine="357"/>
        <w:spacing w:after="0" w:line="339" w:lineRule="auto"/>
        <w:rPr>
          <w:sz w:val="20"/>
          <w:szCs w:val="20"/>
          <w:color w:val="auto"/>
        </w:rPr>
      </w:pPr>
      <w:r>
        <w:rPr>
          <w:rFonts w:ascii="Arial" w:cs="Arial" w:eastAsia="Arial" w:hAnsi="Arial"/>
          <w:sz w:val="16"/>
          <w:szCs w:val="16"/>
          <w:color w:val="auto"/>
        </w:rPr>
        <w:t>Mr. Edens’ extensive credit, private equity finance and management expertise, extensive experience as an officer and director of public companies and his deep familiarity with our Company led the Board to conclude that Mr. Edens should serve as a director.</w:t>
      </w:r>
    </w:p>
    <w:p>
      <w:pPr>
        <w:spacing w:after="0" w:line="17" w:lineRule="exact"/>
        <w:rPr>
          <w:sz w:val="20"/>
          <w:szCs w:val="20"/>
          <w:color w:val="auto"/>
        </w:rPr>
      </w:pPr>
    </w:p>
    <w:p>
      <w:pPr>
        <w:ind w:firstLine="357"/>
        <w:spacing w:after="0" w:line="271" w:lineRule="auto"/>
        <w:rPr>
          <w:sz w:val="20"/>
          <w:szCs w:val="20"/>
          <w:color w:val="auto"/>
        </w:rPr>
      </w:pPr>
      <w:r>
        <w:rPr>
          <w:rFonts w:ascii="Arial" w:cs="Arial" w:eastAsia="Arial" w:hAnsi="Arial"/>
          <w:sz w:val="17"/>
          <w:szCs w:val="17"/>
          <w:b w:val="1"/>
          <w:bCs w:val="1"/>
          <w:i w:val="1"/>
          <w:iCs w:val="1"/>
          <w:color w:val="auto"/>
        </w:rPr>
        <w:t>Christopher S. Guinta</w:t>
      </w:r>
      <w:r>
        <w:rPr>
          <w:rFonts w:ascii="Arial" w:cs="Arial" w:eastAsia="Arial" w:hAnsi="Arial"/>
          <w:sz w:val="17"/>
          <w:szCs w:val="17"/>
          <w:color w:val="auto"/>
        </w:rPr>
        <w:t>— Mr. Guinta has been our Chief Financial Officer since August 2018, and the Chief Financial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New Fortress Energy Holdings since April 2017. Prior to joining NFE, Mr. Guinta served as Chief 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 Mr. Guinta graduated from The University of Texas at Austin with a Bachelor of Business Administration and a Masters in Professional Accounting.</w:t>
      </w:r>
    </w:p>
    <w:p>
      <w:pPr>
        <w:spacing w:after="0" w:line="71" w:lineRule="exact"/>
        <w:rPr>
          <w:sz w:val="20"/>
          <w:szCs w:val="20"/>
          <w:color w:val="auto"/>
        </w:rPr>
      </w:pPr>
    </w:p>
    <w:p>
      <w:pPr>
        <w:ind w:right="60" w:firstLine="357"/>
        <w:spacing w:after="0" w:line="253" w:lineRule="auto"/>
        <w:rPr>
          <w:sz w:val="20"/>
          <w:szCs w:val="20"/>
          <w:color w:val="auto"/>
        </w:rPr>
      </w:pPr>
      <w:r>
        <w:rPr>
          <w:rFonts w:ascii="Arial" w:cs="Arial" w:eastAsia="Arial" w:hAnsi="Arial"/>
          <w:sz w:val="18"/>
          <w:szCs w:val="18"/>
          <w:b w:val="1"/>
          <w:bCs w:val="1"/>
          <w:i w:val="1"/>
          <w:iCs w:val="1"/>
          <w:color w:val="auto"/>
        </w:rPr>
        <w:t>Michael J. Utsler</w:t>
      </w:r>
      <w:r>
        <w:rPr>
          <w:rFonts w:ascii="Arial" w:cs="Arial" w:eastAsia="Arial" w:hAnsi="Arial"/>
          <w:sz w:val="18"/>
          <w:szCs w:val="18"/>
          <w:color w:val="auto"/>
        </w:rPr>
        <w:t>— Mr. Utsler has been our Chief Operating Officer since October 2018. Mr. Utsler has over 35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the energy industry. Prior to joining us, Mr. Utsler served as Chief Operating Officer of Woodside Energy Ltd. from December 2013 to October 2018. Prior to Woodside Energy Ltd., Mr. Utsler served in various roles for BP p.l.c. (“BP”) from January 1999 to November 2013, including most recently as Chief Operating Officer and President of the BP Gulf Coast Restoration Organization from August 2010 to November 2013. Before BP, Mr. Utsler served in various roles for Amoco Corporation from 1978 to 1998. Mr. Utsler received a Bachelor of Science degree in Petroleum Engineering from The University of Oklahoma.</w:t>
      </w:r>
    </w:p>
    <w:p>
      <w:pPr>
        <w:spacing w:after="0" w:line="82" w:lineRule="exact"/>
        <w:rPr>
          <w:sz w:val="20"/>
          <w:szCs w:val="20"/>
          <w:color w:val="auto"/>
        </w:rPr>
      </w:pPr>
    </w:p>
    <w:p>
      <w:pPr>
        <w:ind w:right="20" w:firstLine="357"/>
        <w:spacing w:after="0" w:line="266" w:lineRule="auto"/>
        <w:rPr>
          <w:sz w:val="20"/>
          <w:szCs w:val="20"/>
          <w:color w:val="auto"/>
        </w:rPr>
      </w:pPr>
      <w:r>
        <w:rPr>
          <w:rFonts w:ascii="Arial" w:cs="Arial" w:eastAsia="Arial" w:hAnsi="Arial"/>
          <w:sz w:val="17"/>
          <w:szCs w:val="17"/>
          <w:b w:val="1"/>
          <w:bCs w:val="1"/>
          <w:i w:val="1"/>
          <w:iCs w:val="1"/>
          <w:color w:val="auto"/>
        </w:rPr>
        <w:t>Randal A. Nardone</w:t>
      </w:r>
      <w:r>
        <w:rPr>
          <w:rFonts w:ascii="Arial" w:cs="Arial" w:eastAsia="Arial" w:hAnsi="Arial"/>
          <w:sz w:val="17"/>
          <w:szCs w:val="17"/>
          <w:color w:val="auto"/>
        </w:rPr>
        <w:t>— Mr. Nardone has been a member of our board of directors since August 2018. He has also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of directors of Fortress since November 2006 and has been a member of the Management Committee of Fortress since he co-founded it in 1998. Mr. Nardone served as Fortress’s Chief Executive Officer from July 2013 through December 2017, after serving as its Interim Chief Executive Officer from December 2011 to July 2013. From June 2002 to September 2016, Mr. Nardone also served as Secretary for Drive Shack Inc., an owner and operator of golf-related leisure and entertainment businesses. Mr. Nardone is a director of Eurocastle Investment Limited. Mr. Nardone also previously served on the board of directors of Alea Group Holdings (Bermuda) Ltd. from July 2007 to September 2014; GAGFAH S.A. from September 2006 to June 2014; and Brookdale Senior Living, Inc. from January 2011 to June 2014. Mr. Nardone was previously a managing director of UBS from May 1997 to May 1998. Prior to joining UBS in 1997, Mr. Nardone was a principal of BlackRock. Prior to joining BlackRock, Mr. Nardone was a partner and a member of the executive committee at the law firm of Thacher Proffitt &amp; Wood. Mr. Nardone received a Bachelor of Arts in English and Biology from the University of Connecticut and a Juris Doctor from Boston University School of Law. We believe that Mr. Nardone’s leadership, management experience and experience with corporate and securities law bring valuable experience to our board of directors.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 w:firstLine="357"/>
        <w:spacing w:after="0" w:line="288" w:lineRule="auto"/>
        <w:rPr>
          <w:sz w:val="20"/>
          <w:szCs w:val="20"/>
          <w:color w:val="auto"/>
        </w:rPr>
      </w:pPr>
      <w:r>
        <w:rPr>
          <w:rFonts w:ascii="Arial" w:cs="Arial" w:eastAsia="Arial" w:hAnsi="Arial"/>
          <w:sz w:val="16"/>
          <w:szCs w:val="16"/>
          <w:b w:val="1"/>
          <w:bCs w:val="1"/>
          <w:i w:val="1"/>
          <w:iCs w:val="1"/>
          <w:color w:val="auto"/>
        </w:rPr>
        <w:t>Desmond Iain Catterall</w:t>
      </w:r>
      <w:r>
        <w:rPr>
          <w:rFonts w:ascii="Arial" w:cs="Arial" w:eastAsia="Arial" w:hAnsi="Arial"/>
          <w:sz w:val="16"/>
          <w:szCs w:val="16"/>
          <w:color w:val="auto"/>
        </w:rPr>
        <w:t>— Iain Catterall will become a member of our board of directors in connection with our listing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Mr. Catterall currently serves as a principal and Chief Executive Officer of Kirkham Capital, an investment business focused on seeding fund managers, a position he has held since founding the firm in January 2009. Prior to that, Mr. Catterall served as the head of equities at Rand Merchant Bank from January 2003 to December 2008 and was also a member of Rand Merchant Bank’s management board and investment committee. He was also a founding member of Thynk Capital, a private equity company, and, prior to that, a founding director of Cadiz Holdings Limited, a Johannesburg Stock Exchange listed financial services company. Mr. Catterall holds a Bachelor of Commerce degree from the University of Natal (Durban). We believe that Mr. Catterall’s extensive experience in capital markets and financial services brings valuable expertise to our board of directors.</w:t>
      </w:r>
    </w:p>
    <w:p>
      <w:pPr>
        <w:spacing w:after="0" w:line="58" w:lineRule="exact"/>
        <w:rPr>
          <w:sz w:val="20"/>
          <w:szCs w:val="20"/>
          <w:color w:val="auto"/>
        </w:rPr>
      </w:pPr>
    </w:p>
    <w:p>
      <w:pPr>
        <w:ind w:right="20" w:firstLine="357"/>
        <w:spacing w:after="0" w:line="266" w:lineRule="auto"/>
        <w:rPr>
          <w:sz w:val="20"/>
          <w:szCs w:val="20"/>
          <w:color w:val="auto"/>
        </w:rPr>
      </w:pPr>
      <w:r>
        <w:rPr>
          <w:rFonts w:ascii="Arial" w:cs="Arial" w:eastAsia="Arial" w:hAnsi="Arial"/>
          <w:sz w:val="17"/>
          <w:szCs w:val="17"/>
          <w:b w:val="1"/>
          <w:bCs w:val="1"/>
          <w:i w:val="1"/>
          <w:iCs w:val="1"/>
          <w:color w:val="auto"/>
        </w:rPr>
        <w:t>David J. Grain</w:t>
      </w:r>
      <w:r>
        <w:rPr>
          <w:rFonts w:ascii="Arial" w:cs="Arial" w:eastAsia="Arial" w:hAnsi="Arial"/>
          <w:sz w:val="17"/>
          <w:szCs w:val="17"/>
          <w:color w:val="auto"/>
        </w:rPr>
        <w:t>— David Grain will become a member of our board of directors in connection with our listing on NASDAQ.</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Grain currently serves as the Chief Executive Officer of Grain Management, LLC, a private equity firm focused on investments in the media and communications sectors, which he founded in 2006. Prior to founding Grain Management, LLC, from January 2003 to December 2005, Mr. Grain served as the President of Global Signal, Inc. (formerly NYSE: GSL), the largest communication tower owner/operator at the time and an affiliate of Fortress. Prior to joining Global Signal, Inc., from 2000 to 2003, he served as Senior Vice President at AT&amp;T Broadband in New England, a provider of digital video, high speed Internet and digital phone services to more than two million customers in the region. Prior to leading AT&amp;T Broadband’s New England operations, Mr. Grain spent more than a decade in the financial services industry, most recently at Morgan Stanley in New York from 1992 to 2000 where he focused primarily on telecommunications, media and technology companies. Mr. Grain serves on the board of directors of The Southern Company (NYSE: SO), a gas and electric utility company. Mr. Grain earned a Bachelor of Arts degree in English from the College of the Holy Cross and a Master of Business Administration degree from the Amos Tuck School at Dartmouth College. We believe that Mr. Grain’s experience with publicly traded companies as an executive and as a member of the board of directors will bring valuable skills and leadership to our board of directors.</w:t>
      </w:r>
    </w:p>
    <w:p>
      <w:pPr>
        <w:spacing w:after="0" w:line="81" w:lineRule="exact"/>
        <w:rPr>
          <w:sz w:val="20"/>
          <w:szCs w:val="20"/>
          <w:color w:val="auto"/>
        </w:rPr>
      </w:pPr>
    </w:p>
    <w:p>
      <w:pPr>
        <w:ind w:right="80" w:firstLine="357"/>
        <w:spacing w:after="0" w:line="287" w:lineRule="auto"/>
        <w:rPr>
          <w:sz w:val="20"/>
          <w:szCs w:val="20"/>
          <w:color w:val="auto"/>
        </w:rPr>
      </w:pPr>
      <w:r>
        <w:rPr>
          <w:rFonts w:ascii="Arial" w:cs="Arial" w:eastAsia="Arial" w:hAnsi="Arial"/>
          <w:sz w:val="16"/>
          <w:szCs w:val="16"/>
          <w:b w:val="1"/>
          <w:bCs w:val="1"/>
          <w:i w:val="1"/>
          <w:iCs w:val="1"/>
          <w:color w:val="auto"/>
        </w:rPr>
        <w:t>C. William Griffin</w:t>
      </w:r>
      <w:r>
        <w:rPr>
          <w:rFonts w:ascii="Arial" w:cs="Arial" w:eastAsia="Arial" w:hAnsi="Arial"/>
          <w:sz w:val="16"/>
          <w:szCs w:val="16"/>
          <w:color w:val="auto"/>
        </w:rPr>
        <w:t>— Bill Griffin will become a member of our board of directors in connection with our listing on NASDAQ.</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Griffin has more than 45 years of experience in financial services. He currently serves as Executive Vice President, Enterprise Strategy of ServiceLink, LLC, helping deliver end-to-end solutions to large financial institutions, a position he has held since January 2017. Prior to that, Mr. Griffin served in various capacities within Fidelity National Financial, Inc. (“Fidelity”) and its affiliates, including as Executive Vice President of Black Knight Financial Services from January 2014 to December 2016 and Executive Vice President of Sales and Marketing for Lender Processing Services from November 2011 to December 2013. He also served as President and Chief Executive Officer from 2002 to 2003 when Lender Processing Services was acquired by Fidelity. Mr. Griffin holds a Bachelor of Business Administration degree from The University of Georgia. We believe that Mr. Griffin’s leadership and extensive financial experience will bring significant value to our board of directors.</w:t>
      </w:r>
    </w:p>
    <w:p>
      <w:pPr>
        <w:spacing w:after="0" w:line="59" w:lineRule="exact"/>
        <w:rPr>
          <w:sz w:val="20"/>
          <w:szCs w:val="20"/>
          <w:color w:val="auto"/>
        </w:rPr>
      </w:pPr>
    </w:p>
    <w:p>
      <w:pPr>
        <w:ind w:firstLine="357"/>
        <w:spacing w:after="0" w:line="266" w:lineRule="auto"/>
        <w:rPr>
          <w:sz w:val="20"/>
          <w:szCs w:val="20"/>
          <w:color w:val="auto"/>
        </w:rPr>
      </w:pPr>
      <w:r>
        <w:rPr>
          <w:rFonts w:ascii="Arial" w:cs="Arial" w:eastAsia="Arial" w:hAnsi="Arial"/>
          <w:sz w:val="17"/>
          <w:szCs w:val="17"/>
          <w:b w:val="1"/>
          <w:bCs w:val="1"/>
          <w:i w:val="1"/>
          <w:iCs w:val="1"/>
          <w:color w:val="auto"/>
        </w:rPr>
        <w:t>John J. Mack</w:t>
      </w:r>
      <w:r>
        <w:rPr>
          <w:rFonts w:ascii="Arial" w:cs="Arial" w:eastAsia="Arial" w:hAnsi="Arial"/>
          <w:sz w:val="17"/>
          <w:szCs w:val="17"/>
          <w:color w:val="auto"/>
        </w:rPr>
        <w:t>— John Mack will become a member of our board of directors in connection with our listing on NASDAQ.</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March 2012 until his retirement in December 2014, Mr. Mack served as a Senior Advisor for Kohlberg, Kravis, Roberts &amp; Co., L.P. Prior to that, Mr. Mack served as Chairman of the Board of Morgan Stanley, a financial services company, from June 2005 to December 2011, and served as the Chief Executive Officer of Morgan Stanley from June 2005 until December 2009, during which time he oversaw the firm’s conversion into a bank holding company. Mr. Mack was Co-Chief Executive Officer of Credit Suisse Group from 2003 to 2004 and the President, Chief Executive Officer and a director of Credit Suisse First Boston from 2001 to 2004. He became the President, Chief Operating Officer and a director of Morgan Stanley Dean Witter &amp; Co. in May 1997 and served in that position until 2001. Mr. Mack joined Morgan Stanley in May 1972 in the bond department and served as head of the Worldwide Taxable Fixed Income Division from 1985 to 1992, became a member of the board of directors in 1987, became Chairman of the Operating Committee in March 1992 and became President in June 1993. Mr. Mack is a senior advisor to Morgan Stanley &amp; Co. LLC and serves on the board of directors of Glencore plc and LendingClub Corporation. Mr. Mack holds a Bachelor of Arts degree in History from Duke University. Mr. Mack was chosen to serve on our board of directors because of his extensive experience advising and managing banking and financial services companies. We believe that Mr. Mack’s strong business leadership experience brings important insight and skills to our board of directors.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60" w:firstLine="357"/>
        <w:spacing w:after="0" w:line="283" w:lineRule="auto"/>
        <w:rPr>
          <w:sz w:val="20"/>
          <w:szCs w:val="20"/>
          <w:color w:val="auto"/>
        </w:rPr>
      </w:pPr>
      <w:r>
        <w:rPr>
          <w:rFonts w:ascii="Arial" w:cs="Arial" w:eastAsia="Arial" w:hAnsi="Arial"/>
          <w:sz w:val="16"/>
          <w:szCs w:val="16"/>
          <w:b w:val="1"/>
          <w:bCs w:val="1"/>
          <w:i w:val="1"/>
          <w:iCs w:val="1"/>
          <w:color w:val="auto"/>
        </w:rPr>
        <w:t>Katherine E. Wanner</w:t>
      </w:r>
      <w:r>
        <w:rPr>
          <w:rFonts w:ascii="Arial" w:cs="Arial" w:eastAsia="Arial" w:hAnsi="Arial"/>
          <w:sz w:val="16"/>
          <w:szCs w:val="16"/>
          <w:color w:val="auto"/>
        </w:rPr>
        <w:t>— Katherine Wanner will become a member of our board of directors in connection with our listing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From 1993 to 1997, Ms. Wanner served in various roles within the finance, communications and business development groups at Brinson Partners Inc. and UBS Global Asset Management, where she was responsible for the revenue cycle, statistical analysis and market research, and later joined the private equity group in 1998. In 2001, Ms. Wanner was a founding Partner at Adams Street Partners, LLC, a global private equity firm with over $30 billion in assets under its management and offices in six locations around the world, and the successor firm to Brinson Partners Inc. and UBS Global Asset Management. From 2007 until her retirement in 2015, Ms. Wanner managed Adams Street Partners’ US Primary investment team and served on the firm’s Global Primary Investment Committee, which was responsible for sourcing, analyzing and monitoring investments in private equity partnerships, implementing strategy and approving all primary fund investments. Post Ms. Wanner’s retirement from Adams Street Partners in 2015, Ms. Wanner has served as an Operating Partner at Abundant Venture Partners from 2016 to April 2018. Since April 2018 and currently, Ms. Wanner serves as an Advisor at Abundant Venture Partners. Since 1998, Ms. Wanner has served on many private equity and venture capital advisory boards and completed many primary investments across several sectors, and was responsible for managing relationships with several of the firm’s United States based venture, energy focused and special situation managers. Additionally, from 1989 to 1993, Ms. Wanner gained experience in statistical modeling, reporting, tracking and analysis as a Senior Financial Analyst at Frontier Risk Management, Range Wise, Inc. and Morgan Stanley &amp; Company. Ms. Wanner received a Bachelor of Science in Finance from Binghamton University and a Master of Business Administration from the Kellogg School of Management at Northwestern University. We believe Ms. Wanner’s extensive financial experience in business investments and asset management will bring significant value to our board of directors.</w:t>
      </w:r>
    </w:p>
    <w:p>
      <w:pPr>
        <w:spacing w:after="0" w:line="66" w:lineRule="exact"/>
        <w:rPr>
          <w:sz w:val="20"/>
          <w:szCs w:val="20"/>
          <w:color w:val="auto"/>
        </w:rPr>
      </w:pPr>
    </w:p>
    <w:p>
      <w:pPr>
        <w:ind w:right="160" w:firstLine="357"/>
        <w:spacing w:after="0" w:line="286" w:lineRule="auto"/>
        <w:rPr>
          <w:sz w:val="20"/>
          <w:szCs w:val="20"/>
          <w:color w:val="auto"/>
        </w:rPr>
      </w:pPr>
      <w:r>
        <w:rPr>
          <w:rFonts w:ascii="Arial" w:cs="Arial" w:eastAsia="Arial" w:hAnsi="Arial"/>
          <w:sz w:val="16"/>
          <w:szCs w:val="16"/>
          <w:b w:val="1"/>
          <w:bCs w:val="1"/>
          <w:i w:val="1"/>
          <w:iCs w:val="1"/>
          <w:color w:val="auto"/>
        </w:rPr>
        <w:t>Matthew Wilkinson</w:t>
      </w:r>
      <w:r>
        <w:rPr>
          <w:rFonts w:ascii="Arial" w:cs="Arial" w:eastAsia="Arial" w:hAnsi="Arial"/>
          <w:sz w:val="16"/>
          <w:szCs w:val="16"/>
          <w:color w:val="auto"/>
        </w:rPr>
        <w:t>— Matthew Wilkinson will become a member of our board of directors in connection with our listing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Mr. Wilkinson currently serves as a director at ICG Advisors. Prior to that, Mr. Wilkinson served as vice president of strategy for Kayne Anderson Capital Advisors from January 2017 to March 2018. Prior to joining Kayne Anderson Capital Advisors, Mr. Wilkinson was with the State of Michigan Retirement Systems (“SMRS”) from July 2011 to January 2017, most recently serving as a senior portfolio manager in the short-term, absolute return and real return division from September 2014 to January 2017, where he built out and managed a real assets portfolio with $2 billion in commitments and a special situations portfolio with over $800 million in commitments for SMRS. Prior to SMRS, he founded and operated his own investment firm primarily focused on investing in small cap equities. Mr. Wilkinson holds an M.B.A. from Michigan State University and a B.A. (magna cum laude) from Ohio State University. We believe that Mr. Wilkinson’s leadership, management experience and strong background in corporate finance, bring important and valuable skills to our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Controlled Company</w:t>
      </w:r>
    </w:p>
    <w:p>
      <w:pPr>
        <w:spacing w:after="0" w:line="119" w:lineRule="exact"/>
        <w:rPr>
          <w:sz w:val="20"/>
          <w:szCs w:val="20"/>
          <w:color w:val="auto"/>
        </w:rPr>
      </w:pPr>
    </w:p>
    <w:p>
      <w:pPr>
        <w:ind w:firstLine="357"/>
        <w:spacing w:after="0" w:line="267" w:lineRule="auto"/>
        <w:rPr>
          <w:sz w:val="20"/>
          <w:szCs w:val="20"/>
          <w:color w:val="auto"/>
        </w:rPr>
      </w:pPr>
      <w:r>
        <w:rPr>
          <w:rFonts w:ascii="Arial" w:cs="Arial" w:eastAsia="Arial" w:hAnsi="Arial"/>
          <w:sz w:val="17"/>
          <w:szCs w:val="17"/>
          <w:color w:val="auto"/>
        </w:rPr>
        <w:t>Because New Fortress Energy Holdings will initially hold approximately 88.0% (without giving effect to any shares purchased in this offering by New Fortress Energy Holdings, its stockholders or entities affiliated with them) of the voting power of our shares following the completion of this offering, we expect to be a controlled company as of the completion of the offering under the Sarbanes-Oxley Act and NASDAQ corporate governance standards. A controlled company does not need its board of directors to have a majority of independent directors or to form independent compensation and nominating and governance committees. Although we are not required to do so, we intend to establish independent compensation and nominating and governance committees following the completion of this offering. As a controlled company, we will remain subject to the rules of the Sarbanes-Oxley Act and NASDAQ that require us to have an audit committee composed entirely of independent directors. Under these rules, we must have at least one independent director on our audit committee by the date our Class A shares are listed on NASDAQ, at least two independent directors on our audit committee within 90 days of the listing date, and at least three independent directors on our audit committee within one year of the listing date.</w:t>
      </w:r>
    </w:p>
    <w:p>
      <w:pPr>
        <w:spacing w:after="0" w:line="76" w:lineRule="exact"/>
        <w:rPr>
          <w:sz w:val="20"/>
          <w:szCs w:val="20"/>
          <w:color w:val="auto"/>
        </w:rPr>
      </w:pPr>
    </w:p>
    <w:p>
      <w:pPr>
        <w:ind w:right="160" w:firstLine="357"/>
        <w:spacing w:after="0" w:line="261"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the Sarbanes-Oxley Act and NASDAQ corporate governance standards, including by appointing a majority of independent directors to our board of directors, subject to a permitted “phase-in”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9" w:lineRule="exact"/>
        <w:rPr>
          <w:sz w:val="20"/>
          <w:szCs w:val="20"/>
          <w:color w:val="auto"/>
        </w:rPr>
      </w:pPr>
    </w:p>
    <w:p>
      <w:pPr>
        <w:ind w:right="100" w:firstLine="357"/>
        <w:spacing w:after="0" w:line="274" w:lineRule="auto"/>
        <w:rPr>
          <w:sz w:val="20"/>
          <w:szCs w:val="20"/>
          <w:color w:val="auto"/>
        </w:rPr>
      </w:pPr>
      <w:r>
        <w:rPr>
          <w:rFonts w:ascii="Arial" w:cs="Arial" w:eastAsia="Arial" w:hAnsi="Arial"/>
          <w:sz w:val="18"/>
          <w:szCs w:val="18"/>
          <w:color w:val="auto"/>
        </w:rPr>
        <w:t>The Board has determined that Messrs. Catterall, Grain, Griffin, Mack and Wilkinson and Ms. Wanner are independent under the standards adopted by NASDAQ and the SEC.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40" w:firstLine="357"/>
        <w:spacing w:after="0" w:line="269" w:lineRule="auto"/>
        <w:rPr>
          <w:sz w:val="20"/>
          <w:szCs w:val="20"/>
          <w:color w:val="auto"/>
        </w:rPr>
      </w:pPr>
      <w:r>
        <w:rPr>
          <w:rFonts w:ascii="Arial" w:cs="Arial" w:eastAsia="Arial" w:hAnsi="Arial"/>
          <w:sz w:val="17"/>
          <w:szCs w:val="17"/>
          <w:color w:val="auto"/>
        </w:rPr>
        <w:t>Additionally, upon consummation of this offering, the Board will be divided into three classes of directors, with each class as equal in number as possible, serving staggered three-year terms. Class I, Class II and Class III directors will serve until our annual general meeting in 2020, 2021 and 2022, respectively. Messrs. Mack and Wilkinson and Ms. Wanner will be assigned to Class I; Messrs. Grain and Griffin will be assigned to Class II; and Messrs. Edens, Nardone and Catterall will be assigned to Class III. At each annual general meeting held after the initial classification, directors will be elected to succeed the class of directors whose terms have expired. This classification of the Board could have the effect of increasing the length of time necessary to change the composition of a majority of the Board. In general, at least two annual general meetings will be necessary to effect a change in a majority of the members of the Board.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5" w:lineRule="exact"/>
        <w:rPr>
          <w:sz w:val="20"/>
          <w:szCs w:val="20"/>
          <w:color w:val="auto"/>
        </w:rPr>
      </w:pPr>
    </w:p>
    <w:p>
      <w:pPr>
        <w:ind w:right="80" w:firstLine="357"/>
        <w:spacing w:after="0" w:line="252" w:lineRule="auto"/>
        <w:rPr>
          <w:sz w:val="20"/>
          <w:szCs w:val="20"/>
          <w:color w:val="auto"/>
        </w:rPr>
      </w:pPr>
      <w:r>
        <w:rPr>
          <w:rFonts w:ascii="Arial" w:cs="Arial" w:eastAsia="Arial" w:hAnsi="Arial"/>
          <w:sz w:val="18"/>
          <w:szCs w:val="18"/>
          <w:color w:val="auto"/>
        </w:rPr>
        <w:t>We are required to have an audit committee of at least three members, and all of its members are required to meet the independence and experience standards established by NASDAQ and the Securities Exchange Act of 1934, as amended, subject to certain transitional relief during the one-year period following consummation of this offering as described above. We will establish an audit committee compliant with NASDAQ and SEC rules prior to the completion of this offering and expect Ms. Wanner and Messrs. Grain and Griffin will serve as members of such committee with Ms. Wanner serving as the chairperson. SEC rules also require that a public company disclose whether or not its audit committee has an “audit committee financial expert” as a member. Each of Ms. Wanner and Mr. Grain will satisfy the definition of “audit committee financial expert.” We expect to adopt an audit committee charter defining the committee’s primary duties in a manner consistent with the rules of the SEC and NASDAQ standards.</w:t>
      </w:r>
    </w:p>
    <w:p>
      <w:pPr>
        <w:spacing w:after="0" w:line="83" w:lineRule="exact"/>
        <w:rPr>
          <w:sz w:val="20"/>
          <w:szCs w:val="20"/>
          <w:color w:val="auto"/>
        </w:rPr>
      </w:pPr>
    </w:p>
    <w:p>
      <w:pPr>
        <w:ind w:right="40" w:firstLine="357"/>
        <w:spacing w:after="0" w:line="289" w:lineRule="auto"/>
        <w:rPr>
          <w:sz w:val="20"/>
          <w:szCs w:val="20"/>
          <w:color w:val="auto"/>
        </w:rPr>
      </w:pPr>
      <w:r>
        <w:rPr>
          <w:rFonts w:ascii="Arial" w:cs="Arial" w:eastAsia="Arial" w:hAnsi="Arial"/>
          <w:sz w:val="16"/>
          <w:szCs w:val="16"/>
          <w:color w:val="auto"/>
        </w:rPr>
        <w:t>The audit committee will assist the board of directors in its oversight of the integrity of our financial statements and our compliance with legal and regulatory requirements and company policies and controls. The audit committee will have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will also be responsible for confirming the independence and objectivity of our independent registered public accounting firm. Our independent registered public accounting firm will be given unrestricted access to the audit committee and our management.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5" w:lineRule="exact"/>
        <w:rPr>
          <w:sz w:val="20"/>
          <w:szCs w:val="20"/>
          <w:color w:val="auto"/>
        </w:rPr>
      </w:pPr>
    </w:p>
    <w:p>
      <w:pPr>
        <w:ind w:firstLine="357"/>
        <w:spacing w:after="0" w:line="267" w:lineRule="auto"/>
        <w:rPr>
          <w:sz w:val="20"/>
          <w:szCs w:val="20"/>
          <w:color w:val="auto"/>
        </w:rPr>
      </w:pPr>
      <w:r>
        <w:rPr>
          <w:rFonts w:ascii="Arial" w:cs="Arial" w:eastAsia="Arial" w:hAnsi="Arial"/>
          <w:sz w:val="17"/>
          <w:szCs w:val="17"/>
          <w:color w:val="auto"/>
        </w:rPr>
        <w:t>Because we will be a “controlled company” as of the closing of this offering within the meaning of the NASDAQ corporate governance standards, we will not be required to have a compensation committee. However, prior to the completion of this offering, we will establish a compensation committee to ease the administrative burden on the full board. So long as we continue to be a controlled company, our compensation committee is not required to be comprised solely of independent directors. As such, Messrs. Edens and Nardone will serve as the members of our compensation committee. Our compensation committee will establish and direct our compensation program for our officers and certain other employees, including administration of our incentive compensation and benefit plans, to the full extent permitted pursuant to those plans and arrangements. However, the board will retain authority to grant and amend awards under our omnibus incentive plan that are (i) subject to Section 16 of the Exchange Act and (ii) granted to our officers who are subject to the reporting obligations of Section 16 of the Exchange Act and members of the board. In connection with the formation of this committee, we adopted a compensation committee charter defining the committee’s primary duties and authority.</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5" w:lineRule="exact"/>
        <w:rPr>
          <w:sz w:val="20"/>
          <w:szCs w:val="20"/>
          <w:color w:val="auto"/>
        </w:rPr>
      </w:pPr>
    </w:p>
    <w:p>
      <w:pPr>
        <w:ind w:right="280" w:firstLine="357"/>
        <w:spacing w:after="0" w:line="253" w:lineRule="auto"/>
        <w:rPr>
          <w:sz w:val="20"/>
          <w:szCs w:val="20"/>
          <w:color w:val="auto"/>
        </w:rPr>
      </w:pPr>
      <w:r>
        <w:rPr>
          <w:rFonts w:ascii="Arial" w:cs="Arial" w:eastAsia="Arial" w:hAnsi="Arial"/>
          <w:sz w:val="18"/>
          <w:szCs w:val="18"/>
          <w:color w:val="auto"/>
        </w:rPr>
        <w:t>Because we intend to list our Class A shares on NASDAQ, we will not be required to have a nominating and corporate governance committee as of the closing of this offering. However, following the closing of this offering, we intend to establish a nominating and corporate governance committee. This committee will identify, evaluate and recommend qualified nominees to serve on our board of directors, develop and oversee our internal corporate governance processes and maintain a management succession plan. In connection with the formation of this committee, we expect to adopt a nominating and corporate governance committee charter defining the committee’s primary duties in a manner consistent with the rules of the SEC and NASDAQ or market standards.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Advisory Committee Regarding Our Communities &amp; The Environment</w:t>
      </w:r>
    </w:p>
    <w:p>
      <w:pPr>
        <w:spacing w:after="0" w:line="115"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We recognize that billions of people around the planet lack access to affordable power. We seek to provide the capital, expertise and vision to address this problem while also making a positive impact on the communities in which we operate and contributing to the preservation of the environment. Following the consummation of this offering, we intend to establish an advisory committee (the “Advisory Committee”) to assist the board of directors in providing a meaningful and positive impact in the areas where we conduct our business. We intend to collaborate with the Advisory Committee to help improve the quality of life and increase advancement opportunities for members of the communities in which we operate. While our product is more environmentally friendly than many traditional distillate fuels, we recognize that our business has an environmental impact. As such, we intend to collaborate with the Advisory Committee to reduce any environmental impact we may have and help contribute to preserving our environment.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9"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9" w:lineRule="exact"/>
        <w:rPr>
          <w:sz w:val="20"/>
          <w:szCs w:val="20"/>
          <w:color w:val="auto"/>
        </w:rPr>
      </w:pPr>
    </w:p>
    <w:p>
      <w:pPr>
        <w:ind w:right="80" w:firstLine="357"/>
        <w:spacing w:after="0" w:line="277" w:lineRule="auto"/>
        <w:rPr>
          <w:sz w:val="20"/>
          <w:szCs w:val="20"/>
          <w:color w:val="auto"/>
        </w:rPr>
      </w:pPr>
      <w:r>
        <w:rPr>
          <w:rFonts w:ascii="Arial" w:cs="Arial" w:eastAsia="Arial" w:hAnsi="Arial"/>
          <w:sz w:val="17"/>
          <w:szCs w:val="17"/>
          <w:color w:val="auto"/>
        </w:rPr>
        <w:t>Prior to the completion of this offering, our board of directors will adopt a code of business conduct and ethics applicable to our employees, directors and officers, in accordance with applicable U.S. federal securities laws and the corporate governance rules of NASDAQ. Any waiver of this code may be made only by our board of directors and will be promptly disclosed as required by applicable U.S. federal securities laws and the corporate governance rules of NASDAQ.</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9" w:lineRule="exact"/>
        <w:rPr>
          <w:sz w:val="20"/>
          <w:szCs w:val="20"/>
          <w:color w:val="auto"/>
        </w:rPr>
      </w:pPr>
    </w:p>
    <w:p>
      <w:pPr>
        <w:ind w:right="200" w:firstLine="357"/>
        <w:spacing w:after="0" w:line="261" w:lineRule="auto"/>
        <w:rPr>
          <w:sz w:val="20"/>
          <w:szCs w:val="20"/>
          <w:color w:val="auto"/>
        </w:rPr>
      </w:pPr>
      <w:r>
        <w:rPr>
          <w:rFonts w:ascii="Arial" w:cs="Arial" w:eastAsia="Arial" w:hAnsi="Arial"/>
          <w:sz w:val="18"/>
          <w:szCs w:val="18"/>
          <w:color w:val="auto"/>
        </w:rPr>
        <w:t>As an “emerging growth company,” we are required to provide a Summary Compensation Table and an Outstanding Equity Awards at Fiscal Year End Table, as well as limited narrative disclosures regarding executive compensation for our last completed fiscal year.</w:t>
      </w:r>
    </w:p>
    <w:p>
      <w:pPr>
        <w:spacing w:after="0" w:line="76" w:lineRule="exact"/>
        <w:rPr>
          <w:sz w:val="20"/>
          <w:szCs w:val="20"/>
          <w:color w:val="auto"/>
        </w:rPr>
      </w:pPr>
    </w:p>
    <w:p>
      <w:pPr>
        <w:ind w:right="120" w:firstLine="357"/>
        <w:spacing w:after="0" w:line="268" w:lineRule="auto"/>
        <w:rPr>
          <w:sz w:val="20"/>
          <w:szCs w:val="20"/>
          <w:color w:val="auto"/>
        </w:rPr>
      </w:pPr>
      <w:r>
        <w:rPr>
          <w:rFonts w:ascii="Arial" w:cs="Arial" w:eastAsia="Arial" w:hAnsi="Arial"/>
          <w:sz w:val="17"/>
          <w:szCs w:val="17"/>
          <w:color w:val="auto"/>
        </w:rPr>
        <w:t>We were formed on August 6, 2018 and, as a result, did not have executive officers during 2017 and the majority of 2018. However, because (1) all of the assets and operations of New Fortress Energy Holdings (our predecessor for financial reporting purposes) will be contributed to NFI (which will be our subsidiary) in connection with this offering and such assets and operations will constitute our only assets and operations and (2) one of our executive officers was also an executive officer of New Fortress Energy Holdings and provided the same type of services to New Fortress Energy Holdings in 2017 and 2018 prior to our formation as he provides to us, we have included disclosure regarding compensation paid to the executive officer of New Fortress Energy Holdings for the 2017 fiscal year and for the 2018 fiscal year prior to the date of our formation as well as disclosure regarding compensation paid to all of our executive officers following our formation. The only individual serving as an officer of New Fortress Energy Holdings during 2018 was Christopher S. Guinta.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47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Principal Position (New Fortress Energy Holdings)</w:t>
            </w:r>
          </w:p>
        </w:tc>
      </w:tr>
      <w:tr>
        <w:trPr>
          <w:trHeight w:val="235"/>
        </w:trPr>
        <w:tc>
          <w:tcPr>
            <w:tcW w:w="4600" w:type="dxa"/>
            <w:vAlign w:val="bottom"/>
          </w:tcPr>
          <w:p>
            <w:pPr>
              <w:spacing w:after="0"/>
              <w:rPr>
                <w:sz w:val="20"/>
                <w:szCs w:val="20"/>
                <w:color w:val="auto"/>
              </w:rPr>
            </w:pPr>
            <w:r>
              <w:rPr>
                <w:rFonts w:ascii="Arial" w:cs="Arial" w:eastAsia="Arial" w:hAnsi="Arial"/>
                <w:sz w:val="18"/>
                <w:szCs w:val="18"/>
                <w:color w:val="auto"/>
              </w:rPr>
              <w:t>Wesley R. Edens</w:t>
            </w:r>
          </w:p>
        </w:tc>
        <w:tc>
          <w:tcPr>
            <w:tcW w:w="12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41"/>
        </w:trPr>
        <w:tc>
          <w:tcPr>
            <w:tcW w:w="4600" w:type="dxa"/>
            <w:vAlign w:val="bottom"/>
          </w:tcPr>
          <w:p>
            <w:pPr>
              <w:spacing w:after="0"/>
              <w:rPr>
                <w:sz w:val="20"/>
                <w:szCs w:val="20"/>
                <w:color w:val="auto"/>
              </w:rPr>
            </w:pPr>
            <w:r>
              <w:rPr>
                <w:rFonts w:ascii="Arial" w:cs="Arial" w:eastAsia="Arial" w:hAnsi="Arial"/>
                <w:sz w:val="18"/>
                <w:szCs w:val="18"/>
                <w:color w:val="auto"/>
              </w:rPr>
              <w:t>Christopher S. Guinta</w:t>
            </w:r>
          </w:p>
        </w:tc>
        <w:tc>
          <w:tcPr>
            <w:tcW w:w="12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41"/>
        </w:trPr>
        <w:tc>
          <w:tcPr>
            <w:tcW w:w="4600" w:type="dxa"/>
            <w:vAlign w:val="bottom"/>
          </w:tcPr>
          <w:p>
            <w:pPr>
              <w:spacing w:after="0"/>
              <w:rPr>
                <w:sz w:val="20"/>
                <w:szCs w:val="20"/>
                <w:color w:val="auto"/>
              </w:rPr>
            </w:pPr>
            <w:r>
              <w:rPr>
                <w:rFonts w:ascii="Arial" w:cs="Arial" w:eastAsia="Arial" w:hAnsi="Arial"/>
                <w:sz w:val="18"/>
                <w:szCs w:val="18"/>
                <w:color w:val="auto"/>
              </w:rPr>
              <w:t>Michael J. Utsler</w:t>
            </w:r>
          </w:p>
        </w:tc>
        <w:tc>
          <w:tcPr>
            <w:tcW w:w="120" w:type="dxa"/>
            <w:vAlign w:val="bottom"/>
          </w:tcPr>
          <w:p>
            <w:pPr>
              <w:spacing w:after="0"/>
              <w:rPr>
                <w:sz w:val="20"/>
                <w:szCs w:val="20"/>
                <w:color w:val="auto"/>
              </w:rPr>
            </w:pPr>
          </w:p>
        </w:tc>
        <w:tc>
          <w:tcPr>
            <w:tcW w:w="4760" w:type="dxa"/>
            <w:vAlign w:val="bottom"/>
          </w:tcPr>
          <w:p>
            <w:pPr>
              <w:ind w:left="40"/>
              <w:spacing w:after="0"/>
              <w:rPr>
                <w:sz w:val="20"/>
                <w:szCs w:val="20"/>
                <w:color w:val="auto"/>
              </w:rPr>
            </w:pPr>
            <w:r>
              <w:rPr>
                <w:rFonts w:ascii="Arial" w:cs="Arial" w:eastAsia="Arial" w:hAnsi="Arial"/>
                <w:sz w:val="18"/>
                <w:szCs w:val="18"/>
                <w:color w:val="auto"/>
              </w:rPr>
              <w:t>Chief Operating Officer</w:t>
            </w:r>
          </w:p>
        </w:tc>
      </w:tr>
    </w:tbl>
    <w:p>
      <w:pPr>
        <w:spacing w:after="0" w:line="106" w:lineRule="exact"/>
        <w:rPr>
          <w:sz w:val="20"/>
          <w:szCs w:val="20"/>
          <w:color w:val="auto"/>
        </w:rPr>
      </w:pPr>
    </w:p>
    <w:p>
      <w:pPr>
        <w:ind w:right="80" w:firstLine="357"/>
        <w:spacing w:after="0" w:line="274" w:lineRule="auto"/>
        <w:rPr>
          <w:sz w:val="20"/>
          <w:szCs w:val="20"/>
          <w:color w:val="auto"/>
        </w:rPr>
      </w:pPr>
      <w:r>
        <w:rPr>
          <w:rFonts w:ascii="Arial" w:cs="Arial" w:eastAsia="Arial" w:hAnsi="Arial"/>
          <w:sz w:val="18"/>
          <w:szCs w:val="18"/>
          <w:color w:val="auto"/>
        </w:rPr>
        <w:t>Mr. Edens was appointed as our Chief Executive Officer effective as of August 6, 2018. Mr. Utsler was appointed as our Chief Operating Officer effective as of October 29, 2018.</w:t>
      </w:r>
    </w:p>
    <w:p>
      <w:pPr>
        <w:spacing w:after="0" w:line="64" w:lineRule="exact"/>
        <w:rPr>
          <w:sz w:val="20"/>
          <w:szCs w:val="20"/>
          <w:color w:val="auto"/>
        </w:rPr>
      </w:pPr>
    </w:p>
    <w:p>
      <w:pPr>
        <w:ind w:right="120" w:firstLine="357"/>
        <w:spacing w:after="0" w:line="294" w:lineRule="auto"/>
        <w:rPr>
          <w:sz w:val="20"/>
          <w:szCs w:val="20"/>
          <w:color w:val="auto"/>
        </w:rPr>
      </w:pPr>
      <w:r>
        <w:rPr>
          <w:rFonts w:ascii="Arial" w:cs="Arial" w:eastAsia="Arial" w:hAnsi="Arial"/>
          <w:sz w:val="16"/>
          <w:szCs w:val="16"/>
          <w:color w:val="auto"/>
        </w:rPr>
        <w:t>Mr. Edens is compensated by FIG LLC for services performed for the benefit of Fortress and certain other Fortress entities. However, none of the compensation received by Mr. Edens from FIG LLC is compensation for services rendered to us. Rather, Mr. Edens has elected to serve as our CEO without compensation, primarily due to his substantial ownership stake in us. Consequently, disclosure of compensation paid by FIG LLC to Mr. Edens would in no way reflect compensation for services provided to us and would be misleading to shareholders. As such, compensation information for Mr. Edens is not included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Summary Compensation Table</w:t>
      </w:r>
    </w:p>
    <w:p>
      <w:pPr>
        <w:spacing w:after="0" w:line="119" w:lineRule="exact"/>
        <w:rPr>
          <w:sz w:val="20"/>
          <w:szCs w:val="20"/>
          <w:color w:val="auto"/>
        </w:rPr>
      </w:pPr>
    </w:p>
    <w:p>
      <w:pPr>
        <w:ind w:right="100" w:firstLine="357"/>
        <w:spacing w:after="0" w:line="274" w:lineRule="auto"/>
        <w:rPr>
          <w:sz w:val="20"/>
          <w:szCs w:val="20"/>
          <w:color w:val="auto"/>
        </w:rPr>
      </w:pPr>
      <w:r>
        <w:rPr>
          <w:rFonts w:ascii="Arial" w:cs="Arial" w:eastAsia="Arial" w:hAnsi="Arial"/>
          <w:sz w:val="18"/>
          <w:szCs w:val="18"/>
          <w:color w:val="auto"/>
        </w:rPr>
        <w:t>The following table provides information regarding the compensation earned by the named executive officers during the fiscal year ended December 31, 2018.</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23"/>
                <w:szCs w:val="23"/>
                <w:b w:val="1"/>
                <w:bCs w:val="1"/>
                <w:color w:val="auto"/>
                <w:vertAlign w:val="superscript"/>
              </w:rPr>
              <w:t>2</w:t>
            </w:r>
          </w:p>
        </w:tc>
        <w:tc>
          <w:tcPr>
            <w:tcW w:w="180" w:type="dxa"/>
            <w:vAlign w:val="bottom"/>
            <w:vMerge w:val="restart"/>
          </w:tcPr>
          <w:p>
            <w:pPr>
              <w:spacing w:after="0"/>
              <w:rPr>
                <w:sz w:val="13"/>
                <w:szCs w:val="13"/>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5"/>
                <w:szCs w:val="15"/>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Salary ($)</w:t>
            </w: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40" w:type="dxa"/>
            <w:vAlign w:val="bottom"/>
            <w:gridSpan w:val="3"/>
            <w:shd w:val="clear" w:color="auto" w:fill="CCEEFF"/>
          </w:tcPr>
          <w:p>
            <w:pPr>
              <w:spacing w:after="0" w:line="228" w:lineRule="exact"/>
              <w:rPr>
                <w:sz w:val="20"/>
                <w:szCs w:val="20"/>
                <w:color w:val="auto"/>
              </w:rPr>
            </w:pPr>
            <w:r>
              <w:rPr>
                <w:rFonts w:ascii="Arial" w:cs="Arial" w:eastAsia="Arial" w:hAnsi="Arial"/>
                <w:sz w:val="16"/>
                <w:szCs w:val="16"/>
                <w:b w:val="1"/>
                <w:bCs w:val="1"/>
                <w:color w:val="auto"/>
              </w:rPr>
              <w:t xml:space="preserve">Wesley R. Edens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Chief Executive Officer</w:t>
            </w:r>
            <w:r>
              <w:rPr>
                <w:rFonts w:ascii="Arial" w:cs="Arial" w:eastAsia="Arial" w:hAnsi="Arial"/>
                <w:sz w:val="26"/>
                <w:szCs w:val="26"/>
                <w:color w:val="auto"/>
                <w:vertAlign w:val="superscript"/>
              </w:rPr>
              <w:t>1</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2018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414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Christopher S. Guinta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Chief Financial Officer</w:t>
            </w:r>
          </w:p>
        </w:tc>
        <w:tc>
          <w:tcPr>
            <w:tcW w:w="840" w:type="dxa"/>
            <w:vAlign w:val="bottom"/>
            <w:gridSpan w:val="3"/>
          </w:tcPr>
          <w:p>
            <w:pPr>
              <w:jc w:val="right"/>
              <w:ind w:right="180"/>
              <w:spacing w:after="0"/>
              <w:rPr>
                <w:sz w:val="20"/>
                <w:szCs w:val="20"/>
                <w:color w:val="auto"/>
              </w:rPr>
            </w:pPr>
            <w:r>
              <w:rPr>
                <w:rFonts w:ascii="Arial" w:cs="Arial" w:eastAsia="Arial" w:hAnsi="Arial"/>
                <w:sz w:val="17"/>
                <w:szCs w:val="17"/>
                <w:color w:val="auto"/>
              </w:rPr>
              <w:t>2018</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350,000</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350,000</w:t>
            </w:r>
          </w:p>
        </w:tc>
        <w:tc>
          <w:tcPr>
            <w:tcW w:w="0" w:type="dxa"/>
            <w:vAlign w:val="bottom"/>
          </w:tcPr>
          <w:p>
            <w:pPr>
              <w:spacing w:after="0"/>
              <w:rPr>
                <w:sz w:val="1"/>
                <w:szCs w:val="1"/>
                <w:color w:val="auto"/>
              </w:rPr>
            </w:pPr>
          </w:p>
        </w:tc>
      </w:tr>
      <w:tr>
        <w:trPr>
          <w:trHeight w:val="232"/>
        </w:trPr>
        <w:tc>
          <w:tcPr>
            <w:tcW w:w="1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2017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255,208</w:t>
            </w:r>
          </w:p>
        </w:tc>
        <w:tc>
          <w:tcPr>
            <w:tcW w:w="1140" w:type="dxa"/>
            <w:vAlign w:val="bottom"/>
            <w:gridSpan w:val="2"/>
            <w:shd w:val="clear" w:color="auto" w:fill="CCEEFF"/>
          </w:tcPr>
          <w:p>
            <w:pPr>
              <w:jc w:val="right"/>
              <w:ind w:right="140"/>
              <w:spacing w:after="0" w:line="232" w:lineRule="exact"/>
              <w:rPr>
                <w:sz w:val="20"/>
                <w:szCs w:val="20"/>
                <w:color w:val="auto"/>
              </w:rPr>
            </w:pPr>
            <w:r>
              <w:rPr>
                <w:rFonts w:ascii="Arial" w:cs="Arial" w:eastAsia="Arial" w:hAnsi="Arial"/>
                <w:sz w:val="16"/>
                <w:szCs w:val="16"/>
                <w:color w:val="auto"/>
              </w:rPr>
              <w:t>475,000</w:t>
            </w:r>
            <w:r>
              <w:rPr>
                <w:rFonts w:ascii="Arial" w:cs="Arial" w:eastAsia="Arial" w:hAnsi="Arial"/>
                <w:sz w:val="26"/>
                <w:szCs w:val="26"/>
                <w:color w:val="auto"/>
                <w:vertAlign w:val="superscript"/>
              </w:rPr>
              <w:t>3</w:t>
            </w:r>
          </w:p>
        </w:tc>
        <w:tc>
          <w:tcPr>
            <w:tcW w:w="1440" w:type="dxa"/>
            <w:vAlign w:val="bottom"/>
            <w:gridSpan w:val="2"/>
            <w:shd w:val="clear" w:color="auto" w:fill="CCEEFF"/>
          </w:tcPr>
          <w:p>
            <w:pPr>
              <w:jc w:val="right"/>
              <w:ind w:right="140"/>
              <w:spacing w:after="0" w:line="232" w:lineRule="exact"/>
              <w:rPr>
                <w:sz w:val="20"/>
                <w:szCs w:val="20"/>
                <w:color w:val="auto"/>
              </w:rPr>
            </w:pPr>
            <w:r>
              <w:rPr>
                <w:rFonts w:ascii="Arial" w:cs="Arial" w:eastAsia="Arial" w:hAnsi="Arial"/>
                <w:sz w:val="16"/>
                <w:szCs w:val="16"/>
                <w:color w:val="auto"/>
              </w:rPr>
              <w:t>35,422</w:t>
            </w:r>
            <w:r>
              <w:rPr>
                <w:rFonts w:ascii="Arial" w:cs="Arial" w:eastAsia="Arial" w:hAnsi="Arial"/>
                <w:sz w:val="26"/>
                <w:szCs w:val="26"/>
                <w:color w:val="auto"/>
                <w:vertAlign w:val="superscript"/>
              </w:rPr>
              <w:t>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765,630</w:t>
            </w:r>
          </w:p>
        </w:tc>
        <w:tc>
          <w:tcPr>
            <w:tcW w:w="0" w:type="dxa"/>
            <w:vAlign w:val="bottom"/>
          </w:tcPr>
          <w:p>
            <w:pPr>
              <w:spacing w:after="0"/>
              <w:rPr>
                <w:sz w:val="1"/>
                <w:szCs w:val="1"/>
                <w:color w:val="auto"/>
              </w:rPr>
            </w:pPr>
          </w:p>
        </w:tc>
      </w:tr>
      <w:tr>
        <w:trPr>
          <w:trHeight w:val="228"/>
        </w:trPr>
        <w:tc>
          <w:tcPr>
            <w:tcW w:w="4140" w:type="dxa"/>
            <w:vAlign w:val="bottom"/>
            <w:gridSpan w:val="3"/>
            <w:shd w:val="clear" w:color="auto" w:fill="CCEDFF"/>
          </w:tcPr>
          <w:p>
            <w:pPr>
              <w:spacing w:after="0" w:line="228" w:lineRule="exact"/>
              <w:rPr>
                <w:sz w:val="20"/>
                <w:szCs w:val="20"/>
                <w:color w:val="auto"/>
              </w:rPr>
            </w:pPr>
            <w:r>
              <w:rPr>
                <w:rFonts w:ascii="Arial" w:cs="Arial" w:eastAsia="Arial" w:hAnsi="Arial"/>
                <w:sz w:val="16"/>
                <w:szCs w:val="16"/>
                <w:b w:val="1"/>
                <w:bCs w:val="1"/>
                <w:color w:val="auto"/>
              </w:rPr>
              <w:t xml:space="preserve">Michael J. Utsler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Chief Operating Officer</w:t>
            </w:r>
            <w:r>
              <w:rPr>
                <w:rFonts w:ascii="Arial" w:cs="Arial" w:eastAsia="Arial" w:hAnsi="Arial"/>
                <w:sz w:val="26"/>
                <w:szCs w:val="26"/>
                <w:color w:val="auto"/>
                <w:vertAlign w:val="superscript"/>
              </w:rPr>
              <w:t>5</w:t>
            </w:r>
          </w:p>
        </w:tc>
        <w:tc>
          <w:tcPr>
            <w:tcW w:w="840" w:type="dxa"/>
            <w:vAlign w:val="bottom"/>
            <w:gridSpan w:val="3"/>
            <w:shd w:val="clear" w:color="auto" w:fill="CCEDFF"/>
          </w:tcPr>
          <w:p>
            <w:pPr>
              <w:jc w:val="right"/>
              <w:ind w:right="180"/>
              <w:spacing w:after="0"/>
              <w:rPr>
                <w:sz w:val="20"/>
                <w:szCs w:val="20"/>
                <w:color w:val="auto"/>
              </w:rPr>
            </w:pPr>
            <w:r>
              <w:rPr>
                <w:rFonts w:ascii="Arial" w:cs="Arial" w:eastAsia="Arial" w:hAnsi="Arial"/>
                <w:sz w:val="17"/>
                <w:szCs w:val="17"/>
                <w:color w:val="auto"/>
              </w:rPr>
              <w:t>2018</w:t>
            </w:r>
          </w:p>
        </w:tc>
        <w:tc>
          <w:tcPr>
            <w:tcW w:w="1040" w:type="dxa"/>
            <w:vAlign w:val="bottom"/>
            <w:gridSpan w:val="2"/>
            <w:shd w:val="clear" w:color="auto" w:fill="CCEDFF"/>
          </w:tcPr>
          <w:p>
            <w:pPr>
              <w:jc w:val="right"/>
              <w:ind w:right="200"/>
              <w:spacing w:after="0"/>
              <w:rPr>
                <w:sz w:val="20"/>
                <w:szCs w:val="20"/>
                <w:color w:val="auto"/>
              </w:rPr>
            </w:pPr>
            <w:r>
              <w:rPr>
                <w:rFonts w:ascii="Arial" w:cs="Arial" w:eastAsia="Arial" w:hAnsi="Arial"/>
                <w:sz w:val="17"/>
                <w:szCs w:val="17"/>
                <w:color w:val="auto"/>
              </w:rPr>
              <w:t>212,500</w:t>
            </w:r>
          </w:p>
        </w:tc>
        <w:tc>
          <w:tcPr>
            <w:tcW w:w="1140" w:type="dxa"/>
            <w:vAlign w:val="bottom"/>
            <w:gridSpan w:val="2"/>
            <w:shd w:val="clear" w:color="auto" w:fill="CCEDFF"/>
          </w:tcPr>
          <w:p>
            <w:pPr>
              <w:jc w:val="right"/>
              <w:ind w:right="140"/>
              <w:spacing w:after="0" w:line="228" w:lineRule="exact"/>
              <w:rPr>
                <w:sz w:val="20"/>
                <w:szCs w:val="20"/>
                <w:color w:val="auto"/>
              </w:rPr>
            </w:pPr>
            <w:r>
              <w:rPr>
                <w:rFonts w:ascii="Arial" w:cs="Arial" w:eastAsia="Arial" w:hAnsi="Arial"/>
                <w:sz w:val="16"/>
                <w:szCs w:val="16"/>
                <w:color w:val="auto"/>
              </w:rPr>
              <w:t>75,000</w:t>
            </w:r>
            <w:r>
              <w:rPr>
                <w:rFonts w:ascii="Arial" w:cs="Arial" w:eastAsia="Arial" w:hAnsi="Arial"/>
                <w:sz w:val="26"/>
                <w:szCs w:val="26"/>
                <w:color w:val="auto"/>
                <w:vertAlign w:val="superscript"/>
              </w:rPr>
              <w:t>6</w:t>
            </w:r>
          </w:p>
        </w:tc>
        <w:tc>
          <w:tcPr>
            <w:tcW w:w="1440" w:type="dxa"/>
            <w:vAlign w:val="bottom"/>
            <w:gridSpan w:val="2"/>
            <w:shd w:val="clear" w:color="auto" w:fill="CCEDFF"/>
          </w:tcPr>
          <w:p>
            <w:pPr>
              <w:jc w:val="right"/>
              <w:ind w:right="140"/>
              <w:spacing w:after="0" w:line="228" w:lineRule="exact"/>
              <w:rPr>
                <w:sz w:val="20"/>
                <w:szCs w:val="20"/>
                <w:color w:val="auto"/>
              </w:rPr>
            </w:pPr>
            <w:r>
              <w:rPr>
                <w:rFonts w:ascii="Arial" w:cs="Arial" w:eastAsia="Arial" w:hAnsi="Arial"/>
                <w:sz w:val="16"/>
                <w:szCs w:val="16"/>
                <w:color w:val="auto"/>
              </w:rPr>
              <w:t>63,399</w:t>
            </w:r>
            <w:r>
              <w:rPr>
                <w:rFonts w:ascii="Arial" w:cs="Arial" w:eastAsia="Arial" w:hAnsi="Arial"/>
                <w:sz w:val="26"/>
                <w:szCs w:val="26"/>
                <w:color w:val="auto"/>
                <w:vertAlign w:val="superscript"/>
              </w:rPr>
              <w:t>7</w:t>
            </w:r>
          </w:p>
        </w:tc>
        <w:tc>
          <w:tcPr>
            <w:tcW w:w="900" w:type="dxa"/>
            <w:vAlign w:val="bottom"/>
            <w:gridSpan w:val="2"/>
            <w:shd w:val="clear" w:color="auto" w:fill="CCEDFF"/>
          </w:tcPr>
          <w:p>
            <w:pPr>
              <w:jc w:val="right"/>
              <w:ind w:right="60"/>
              <w:spacing w:after="0"/>
              <w:rPr>
                <w:sz w:val="20"/>
                <w:szCs w:val="20"/>
                <w:color w:val="auto"/>
              </w:rPr>
            </w:pPr>
            <w:r>
              <w:rPr>
                <w:rFonts w:ascii="Arial" w:cs="Arial" w:eastAsia="Arial" w:hAnsi="Arial"/>
                <w:sz w:val="17"/>
                <w:szCs w:val="17"/>
                <w:color w:val="auto"/>
              </w:rPr>
              <w:t>350,899</w:t>
            </w:r>
          </w:p>
        </w:tc>
        <w:tc>
          <w:tcPr>
            <w:tcW w:w="0" w:type="dxa"/>
            <w:vAlign w:val="bottom"/>
          </w:tcPr>
          <w:p>
            <w:pPr>
              <w:spacing w:after="0"/>
              <w:rPr>
                <w:sz w:val="1"/>
                <w:szCs w:val="1"/>
                <w:color w:val="auto"/>
              </w:rPr>
            </w:pPr>
          </w:p>
        </w:tc>
      </w:tr>
      <w:tr>
        <w:trPr>
          <w:trHeight w:val="201"/>
        </w:trPr>
        <w:tc>
          <w:tcPr>
            <w:tcW w:w="1420" w:type="dxa"/>
            <w:vAlign w:val="bottom"/>
            <w:tcBorders>
              <w:bottom w:val="single" w:sz="8" w:color="auto"/>
            </w:tcBorders>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-425450</wp:posOffset>
            </wp:positionV>
            <wp:extent cx="3407410" cy="1447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07410" cy="144780"/>
                    </a:xfrm>
                    <a:prstGeom prst="rect">
                      <a:avLst/>
                    </a:prstGeom>
                    <a:noFill/>
                  </pic:spPr>
                </pic:pic>
              </a:graphicData>
            </a:graphic>
          </wp:anchor>
        </w:drawing>
      </w:r>
    </w:p>
    <w:p>
      <w:pPr>
        <w:spacing w:after="0" w:line="189" w:lineRule="exact"/>
        <w:rPr>
          <w:sz w:val="20"/>
          <w:szCs w:val="20"/>
          <w:color w:val="auto"/>
        </w:rPr>
      </w:pPr>
    </w:p>
    <w:p>
      <w:pPr>
        <w:ind w:left="360" w:right="60" w:hanging="355"/>
        <w:spacing w:after="0" w:line="309" w:lineRule="auto"/>
        <w:tabs>
          <w:tab w:leader="none" w:pos="3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Mr. Edens was appointed as our Chief Executive Officer effective as of August 6, 2018. As described more fully above, this table does not include information regarding compensation paid to Mr. Edens because Mr. Edens does not receive any compensation from any party for services rendered to us.</w:t>
      </w:r>
    </w:p>
    <w:p>
      <w:pPr>
        <w:spacing w:after="0" w:line="44" w:lineRule="exact"/>
        <w:rPr>
          <w:rFonts w:ascii="Arial" w:cs="Arial" w:eastAsia="Arial" w:hAnsi="Arial"/>
          <w:sz w:val="13"/>
          <w:szCs w:val="13"/>
          <w:color w:val="auto"/>
        </w:rPr>
      </w:pPr>
    </w:p>
    <w:p>
      <w:pPr>
        <w:jc w:val="both"/>
        <w:ind w:left="360" w:right="340" w:hanging="355"/>
        <w:spacing w:after="0" w:line="284" w:lineRule="auto"/>
        <w:tabs>
          <w:tab w:leader="none" w:pos="3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Bonus amounts for services rendered in 2018 cannot be calculated as of the date of this prospectus. Once bonus amounts for services rendered in 2018 are determined, such amounts (including an updated total of compensation paid for 2018) will be filed with the SEC on Form 8-K. For additional information regarding potential bonuses, see “Narrative Disclosure to Summary Compensation Table — Cash Bonus” below.</w:t>
      </w:r>
    </w:p>
    <w:p>
      <w:pPr>
        <w:spacing w:after="0" w:line="59" w:lineRule="exact"/>
        <w:rPr>
          <w:rFonts w:ascii="Arial" w:cs="Arial" w:eastAsia="Arial" w:hAnsi="Arial"/>
          <w:sz w:val="13"/>
          <w:szCs w:val="13"/>
          <w:color w:val="auto"/>
        </w:rPr>
      </w:pPr>
    </w:p>
    <w:p>
      <w:pPr>
        <w:ind w:left="360" w:right="140" w:hanging="355"/>
        <w:spacing w:after="0" w:line="270"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(i) a $75,000 sign-on bonus paid to Mr. Guinta in 2017 in connection with his appointment and (ii) an annual bonus for services rendered in 2017, but paid in 2018.</w:t>
      </w:r>
    </w:p>
    <w:p>
      <w:pPr>
        <w:spacing w:after="0" w:line="67" w:lineRule="exact"/>
        <w:rPr>
          <w:rFonts w:ascii="Arial" w:cs="Arial" w:eastAsia="Arial" w:hAnsi="Arial"/>
          <w:sz w:val="14"/>
          <w:szCs w:val="14"/>
          <w:color w:val="auto"/>
        </w:rPr>
      </w:pPr>
    </w:p>
    <w:p>
      <w:pPr>
        <w:ind w:left="360" w:right="60" w:hanging="355"/>
        <w:spacing w:after="0" w:line="270"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(i) reimbursement for relocation expenses incurred as a result of Mr. Guinta’s appointment and relocation to New York, New York in the amount of $26,012 and (ii) a tax gross-up payment in the amount of $9,410.</w:t>
      </w:r>
    </w:p>
    <w:p>
      <w:pPr>
        <w:spacing w:after="0" w:line="67" w:lineRule="exact"/>
        <w:rPr>
          <w:rFonts w:ascii="Arial" w:cs="Arial" w:eastAsia="Arial" w:hAnsi="Arial"/>
          <w:sz w:val="14"/>
          <w:szCs w:val="14"/>
          <w:color w:val="auto"/>
        </w:rPr>
      </w:pPr>
    </w:p>
    <w:p>
      <w:pPr>
        <w:ind w:left="360" w:hanging="355"/>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Utsler was appointed as our Chief Operating Officer effective as of October 29, 2018.</w:t>
      </w:r>
    </w:p>
    <w:p>
      <w:pPr>
        <w:spacing w:after="0" w:line="107" w:lineRule="exact"/>
        <w:rPr>
          <w:rFonts w:ascii="Arial" w:cs="Arial" w:eastAsia="Arial" w:hAnsi="Arial"/>
          <w:sz w:val="14"/>
          <w:szCs w:val="14"/>
          <w:color w:val="auto"/>
        </w:rPr>
      </w:pPr>
    </w:p>
    <w:p>
      <w:pPr>
        <w:ind w:left="360" w:hanging="355"/>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a sign-on bonus paid to Mr. Utsler in connection with his appointment.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8" w:lineRule="exact"/>
        <w:rPr>
          <w:sz w:val="20"/>
          <w:szCs w:val="20"/>
          <w:color w:val="auto"/>
        </w:rPr>
      </w:pPr>
    </w:p>
    <w:p>
      <w:pPr>
        <w:ind w:left="360" w:right="80" w:hanging="355"/>
        <w:spacing w:after="0" w:line="317" w:lineRule="auto"/>
        <w:tabs>
          <w:tab w:leader="none" w:pos="3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(i) a tax gross-up payment made to Mr. Utsler with respect to his sign-on bonus in the amount of $48,366 pursuant to the terms of his employment offer letter and (ii) reimbursement for temporary housing in connection with his relocation to Miami, Florida in the amount of $15,033. For additional information regarding Mr. Utsler’s employment offer letter, see “Narrative Disclosure to Summary Compensation Table — Utsler Offer Letter” below.</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Base Salary</w:t>
      </w:r>
    </w:p>
    <w:p>
      <w:pPr>
        <w:spacing w:after="0" w:line="115" w:lineRule="exact"/>
        <w:rPr>
          <w:sz w:val="20"/>
          <w:szCs w:val="20"/>
          <w:color w:val="auto"/>
        </w:rPr>
      </w:pPr>
    </w:p>
    <w:p>
      <w:pPr>
        <w:ind w:right="40" w:firstLine="357"/>
        <w:spacing w:after="0" w:line="253" w:lineRule="auto"/>
        <w:rPr>
          <w:sz w:val="20"/>
          <w:szCs w:val="20"/>
          <w:color w:val="auto"/>
        </w:rPr>
      </w:pPr>
      <w:r>
        <w:rPr>
          <w:rFonts w:ascii="Arial" w:cs="Arial" w:eastAsia="Arial" w:hAnsi="Arial"/>
          <w:sz w:val="18"/>
          <w:szCs w:val="18"/>
          <w:color w:val="auto"/>
        </w:rPr>
        <w:t>Base salary is a fixed component of compensation for each year, which may be increased from time to time based on the individual’s performance and other factors as determined by the sole member of New Fortress Energy Holdings. Base salaries were originally set pursuant to negotiations with the named executive officer at the time of hire. As previously noted, Mr. Edens does not receive compensation from us. For 2018, annualized base salaries for Mr. Guinta and Mr. Utsler were $350,000 and $1,200,000, respectively. For additional information on the elements of Mr. Guinta’s and Mr. Utsler’s compensation, see “Narrative Disclosure to Summary Compensation Table — Guinta Offer Letter” and “Narrative Disclosure to Summary Compensation Table — Utsler Offer Letter” below.</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Bonus</w:t>
      </w:r>
    </w:p>
    <w:p>
      <w:pPr>
        <w:spacing w:after="0" w:line="115" w:lineRule="exact"/>
        <w:rPr>
          <w:sz w:val="20"/>
          <w:szCs w:val="20"/>
          <w:color w:val="auto"/>
        </w:rPr>
      </w:pPr>
    </w:p>
    <w:p>
      <w:pPr>
        <w:ind w:right="180" w:firstLine="357"/>
        <w:spacing w:after="0" w:line="271" w:lineRule="auto"/>
        <w:rPr>
          <w:sz w:val="20"/>
          <w:szCs w:val="20"/>
          <w:color w:val="auto"/>
        </w:rPr>
      </w:pPr>
      <w:r>
        <w:rPr>
          <w:rFonts w:ascii="Arial" w:cs="Arial" w:eastAsia="Arial" w:hAnsi="Arial"/>
          <w:sz w:val="17"/>
          <w:szCs w:val="17"/>
          <w:color w:val="auto"/>
        </w:rPr>
        <w:t>For 2018, target bonus opportunities for Mr. Guinta and Mr. Utsler were 125% and between 100% and 150% of annualized base salary, respectively. Following a review of performance by our Board of Directors and its subsidiaries as well as the contributions of Mr. Guinta and Mr. Utsler to that performance, our Board of Directors will determine the actual amount of the bonuses payable to Mr. Guinta and Mr. Utsler. For additional information regarding the elements of Mr. Guinta’s and Mr. Utsler’s compensation, see “Narrative Disclosure to Summary Compensation Table — Guinta Offer Letter” and “Narrative Disclosure to Summary Compensation Table — Utsler Offer Letter” below.</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Long-Term Incentive Awards</w:t>
      </w:r>
    </w:p>
    <w:p>
      <w:pPr>
        <w:spacing w:after="0" w:line="115" w:lineRule="exact"/>
        <w:rPr>
          <w:sz w:val="20"/>
          <w:szCs w:val="20"/>
          <w:color w:val="auto"/>
        </w:rPr>
      </w:pPr>
    </w:p>
    <w:p>
      <w:pPr>
        <w:jc w:val="both"/>
        <w:ind w:right="320" w:firstLine="357"/>
        <w:spacing w:after="0" w:line="261" w:lineRule="auto"/>
        <w:rPr>
          <w:sz w:val="20"/>
          <w:szCs w:val="20"/>
          <w:color w:val="auto"/>
        </w:rPr>
      </w:pPr>
      <w:r>
        <w:rPr>
          <w:rFonts w:ascii="Arial" w:cs="Arial" w:eastAsia="Arial" w:hAnsi="Arial"/>
          <w:sz w:val="18"/>
          <w:szCs w:val="18"/>
          <w:color w:val="auto"/>
        </w:rPr>
        <w:t>The named executive officers were not granted long-term incentive awards during 2018. However, in connection with this offering, we intend to adopt a long-term incentive plan. For more details on the terms of the long-term incentive plan, see “NFE 2019 Omnibus Incentive Plan,” below.</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Guinta Offer Letter</w:t>
      </w:r>
    </w:p>
    <w:p>
      <w:pPr>
        <w:spacing w:after="0" w:line="115"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On March 14, 2017, NFE Management, LLC entered into an offer letter (the “Guinta Offer Letter”) with Mr. Guinta. The Guinta Offer Letter provides Mr. Guinta with (a) an annualized base salary of $350,000, (b) a discretionary target bonus opportunity equal to 125% of annual base salary (with a guaranteed $250,000 bonus for calendar year 2017), (c) a sign-on bonus of $75,000, which is required to be repaid by Mr. Guinta in the event of his resignation or termination of employment for Cause (as defined below) prior to the first anniversary of his start date, (d) subject to the adoption of a definitive equity compensation plan, an equity award grant with a grant date value of $2,500,000, which will be governed by the terms of such equity compensation plan and the applicable documents underlying the grant, and (e) eligibility to participate in the broad-based employee benefit plans, as may be adopted from time to time, subject to the eligibility requirements of such employee benefit plans.</w:t>
      </w:r>
    </w:p>
    <w:p>
      <w:pPr>
        <w:spacing w:after="0" w:line="58" w:lineRule="exact"/>
        <w:rPr>
          <w:sz w:val="20"/>
          <w:szCs w:val="20"/>
          <w:color w:val="auto"/>
        </w:rPr>
      </w:pPr>
    </w:p>
    <w:p>
      <w:pPr>
        <w:jc w:val="both"/>
        <w:ind w:right="660" w:firstLine="357"/>
        <w:spacing w:after="0" w:line="309" w:lineRule="auto"/>
        <w:rPr>
          <w:sz w:val="20"/>
          <w:szCs w:val="20"/>
          <w:color w:val="auto"/>
        </w:rPr>
      </w:pPr>
      <w:r>
        <w:rPr>
          <w:rFonts w:ascii="Arial" w:cs="Arial" w:eastAsia="Arial" w:hAnsi="Arial"/>
          <w:sz w:val="16"/>
          <w:szCs w:val="16"/>
          <w:color w:val="auto"/>
        </w:rPr>
        <w:t>The Guinta Offer Letter also contains certain restrictive covenants, including (a) non-competition and non-solicitation covenants that are applicable during Mr. Guinta’s term of employment, and for twelve months following his resignation or termination of his employment for Cause and (b) restrictions on disclosure of confidential information.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Utsler Offer Letter</w:t>
      </w:r>
    </w:p>
    <w:p>
      <w:pPr>
        <w:spacing w:after="0" w:line="115"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On August 30, 2018, NFE Management, LLC entered into an offer letter (the “Utsler Offer Letter”) with Mr. Utsler. The Utsler Offer Letter provides Mr. Utsler with (a) an annualized base salary of $1,200,000, (b) a discretionary target bonus opportunity equal to between 100% and 150% of annual base salary (prorated for calendar year 2018), (c) a sign-on bonus of $75,000, calculated and paid on a tax grossed-up basis, a 12-month pro-rated portion of which is required to be repaid by Mr. Utsler in the event of his resignation or termination of employment for Cause (as defined below) prior to the first anniversary of his start date, (d) subject to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adoption of a definitive equity compensation plan, an equity award grant with a grant date value of $10,000,000, which will be governed by the terms of such equity compensation plan and the applicable documents underlying the grant, (e) residential accommodations in Miami, Florida for a period of ninety days to assist with relocation, and (f) eligibility to participate in the broad-based employee benefit plans, as may be adopted from time to time, subject to the eligibility requirements of such employee benefit plans.</w:t>
      </w:r>
    </w:p>
    <w:p>
      <w:pPr>
        <w:spacing w:after="0" w:line="81"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color w:val="auto"/>
        </w:rPr>
        <w:t>The Utsler Offer Letter also contains certain restrictive covenants, including (a) non-competition and non-solicitation covenants that are applicable during Mr. Utsler’s term of employment, and for six months following his resignation or termination of his employment for Cause and (b) restrictions on disclosure of confidential information.</w:t>
      </w:r>
    </w:p>
    <w:p>
      <w:pPr>
        <w:spacing w:after="0" w:line="76"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As used in the Guinta and Utsler Offer Letters, “Cause” generally means the executive’s (i) willful misconduct or gross negligence in the performance of his duties; (ii) failure to perform his duties or to follow the lawful directives of the board of directors;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applicable Offer Letter or any other agreement with a member of the Company Group, including (without limitation), a violation of the code of conduct or other written policy of any such entity.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named executive officers had not been granted equity awards as of December 31, 2018.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 2019 Omnibus Incentive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5" w:lineRule="exact"/>
        <w:rPr>
          <w:sz w:val="20"/>
          <w:szCs w:val="20"/>
          <w:color w:val="auto"/>
        </w:rPr>
      </w:pPr>
    </w:p>
    <w:p>
      <w:pPr>
        <w:ind w:right="40" w:firstLine="357"/>
        <w:spacing w:after="0" w:line="291" w:lineRule="auto"/>
        <w:rPr>
          <w:sz w:val="20"/>
          <w:szCs w:val="20"/>
          <w:color w:val="auto"/>
        </w:rPr>
      </w:pPr>
      <w:r>
        <w:rPr>
          <w:rFonts w:ascii="Arial" w:cs="Arial" w:eastAsia="Arial" w:hAnsi="Arial"/>
          <w:sz w:val="16"/>
          <w:szCs w:val="16"/>
          <w:color w:val="auto"/>
        </w:rPr>
        <w:t>Prior to the completion of this offering, we will adopt the NFE 2019 Omnibus Incentive Plan (the “Plan”). The purposes of the Plan will be to provide additional incentives to selected employees, directors, independent contractors and consultants of NFE or its affiliates, to strengthen their commitment, motivate them to faithfully and diligently perform their responsibilities and to attract and retain competent and dedicated persons who are essential to the success of our business and whose efforts will impact our long-term growth and profitability. To accomplish these purposes, the Plan will provide for the issuance of options, share appreciation rights (“SARs”), restricted shares, restricted share units (“RSUs”), share bonuses, other share-based awards and cash awards.</w:t>
      </w:r>
    </w:p>
    <w:p>
      <w:pPr>
        <w:spacing w:after="0" w:line="57" w:lineRule="exact"/>
        <w:rPr>
          <w:sz w:val="20"/>
          <w:szCs w:val="20"/>
          <w:color w:val="auto"/>
        </w:rPr>
      </w:pPr>
    </w:p>
    <w:p>
      <w:pPr>
        <w:ind w:right="80" w:firstLine="357"/>
        <w:spacing w:after="0" w:line="257" w:lineRule="auto"/>
        <w:rPr>
          <w:sz w:val="20"/>
          <w:szCs w:val="20"/>
          <w:color w:val="auto"/>
        </w:rPr>
      </w:pPr>
      <w:r>
        <w:rPr>
          <w:rFonts w:ascii="Arial" w:cs="Arial" w:eastAsia="Arial" w:hAnsi="Arial"/>
          <w:sz w:val="18"/>
          <w:szCs w:val="18"/>
          <w:color w:val="auto"/>
        </w:rPr>
        <w:t>Effective as of the date of the offering, we intend to grant RSUs under the Plan to our non-employee directors. It is anticipated that the awards to directors will have a grant date value of approximately $1,000,000, calculated based on the price per share in this offering, and that such awards will vest in three equal installments on the date of each of the three annual meetings following the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Expected Plan Terms</w:t>
      </w:r>
    </w:p>
    <w:p>
      <w:pPr>
        <w:spacing w:after="0" w:line="115" w:lineRule="exact"/>
        <w:rPr>
          <w:sz w:val="20"/>
          <w:szCs w:val="20"/>
          <w:color w:val="auto"/>
        </w:rPr>
      </w:pPr>
    </w:p>
    <w:p>
      <w:pPr>
        <w:ind w:right="100" w:firstLine="357"/>
        <w:spacing w:after="0" w:line="294" w:lineRule="auto"/>
        <w:rPr>
          <w:sz w:val="20"/>
          <w:szCs w:val="20"/>
          <w:color w:val="auto"/>
        </w:rPr>
      </w:pPr>
      <w:r>
        <w:rPr>
          <w:rFonts w:ascii="Arial" w:cs="Arial" w:eastAsia="Arial" w:hAnsi="Arial"/>
          <w:sz w:val="16"/>
          <w:szCs w:val="16"/>
          <w:color w:val="auto"/>
        </w:rPr>
        <w:t>A total number of our Class A shares equal to 10% of the aggregate of our outstanding Class A and Class B shares as of the completion of this offering will be reserved and available for issuance under the Plan, as increased on the first day of each fiscal year beginning in calendar year 2020 by a number of Class A shares equal to the excess of 10% of the aggregate number of outstanding Class A and Class B shares on the last day of the immediately preceding fiscal year, over the number of Class A shares reserved and available for issuance under the Plan as of the last day of the immediately preceding fiscal year.</w:t>
      </w:r>
    </w:p>
    <w:p>
      <w:pPr>
        <w:spacing w:after="0" w:line="54" w:lineRule="exact"/>
        <w:rPr>
          <w:sz w:val="20"/>
          <w:szCs w:val="20"/>
          <w:color w:val="auto"/>
        </w:rPr>
      </w:pPr>
    </w:p>
    <w:p>
      <w:pPr>
        <w:ind w:right="20" w:firstLine="357"/>
        <w:spacing w:after="0" w:line="289" w:lineRule="auto"/>
        <w:rPr>
          <w:sz w:val="20"/>
          <w:szCs w:val="20"/>
          <w:color w:val="auto"/>
        </w:rPr>
      </w:pPr>
      <w:r>
        <w:rPr>
          <w:rFonts w:ascii="Arial" w:cs="Arial" w:eastAsia="Arial" w:hAnsi="Arial"/>
          <w:sz w:val="16"/>
          <w:szCs w:val="16"/>
          <w:color w:val="auto"/>
        </w:rPr>
        <w:t>Class A shares subject to an award under the Plan that remain unissued upon the cancellation, termination or expiration of the award will again become available for grant under the Plan. Additionally, Class A shares that are exchanged by a participant or withheld by us as full or partial payment in connection with any award under the Plan, as well as any Class A shares exchanged by a participant or withheld by us to satisfy the tax withholding obligations related to any award, will also be available for subsequent awards under the Plan. To the extent an award is paid or settled in cash, the number of Class A shares previously subject to the award will again be available for grants pursuant to the Plan. To the extent that an award can only be settled in cash, such award will not be counted against the total number of Class A shares available for grant under the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firstLine="357"/>
        <w:spacing w:after="0" w:line="277" w:lineRule="auto"/>
        <w:rPr>
          <w:sz w:val="20"/>
          <w:szCs w:val="20"/>
          <w:color w:val="auto"/>
        </w:rPr>
      </w:pPr>
      <w:r>
        <w:rPr>
          <w:rFonts w:ascii="Arial" w:cs="Arial" w:eastAsia="Arial" w:hAnsi="Arial"/>
          <w:sz w:val="17"/>
          <w:szCs w:val="17"/>
          <w:color w:val="auto"/>
        </w:rPr>
        <w:t>The Plan will be administered by our compensation commmittee; provided, however, that our board of directors will administer the Plan with respect to awards that are (i) subject to Section 16 of the Exchange Act and (ii) granted to any recipient who is subject to Section 16 of the Exchange Act. The plan administrator may interpret the Plan and may prescribe, amend and rescind rules and make all other determinations necessary or desirable for the administration of the Plan.</w:t>
      </w:r>
    </w:p>
    <w:p>
      <w:pPr>
        <w:spacing w:after="0" w:line="63" w:lineRule="exact"/>
        <w:rPr>
          <w:sz w:val="20"/>
          <w:szCs w:val="20"/>
          <w:color w:val="auto"/>
        </w:rPr>
      </w:pPr>
    </w:p>
    <w:p>
      <w:pPr>
        <w:ind w:right="40" w:firstLine="357"/>
        <w:spacing w:after="0" w:line="255" w:lineRule="auto"/>
        <w:rPr>
          <w:sz w:val="20"/>
          <w:szCs w:val="20"/>
          <w:color w:val="auto"/>
        </w:rPr>
      </w:pPr>
      <w:r>
        <w:rPr>
          <w:rFonts w:ascii="Arial" w:cs="Arial" w:eastAsia="Arial" w:hAnsi="Arial"/>
          <w:sz w:val="18"/>
          <w:szCs w:val="18"/>
          <w:color w:val="auto"/>
        </w:rPr>
        <w:t>The Plan permits the plan administrator to select the officers, employees, non-employee directors, independent contractors and consultants of NFE or its affiliates who will receive awards, to determine the terms and conditions of those awards, including but not limited to the exercise price or other purchase price of an award, the number of our Class A shares or cash or other property subject to an award, the term of an award and the vesting schedule applicable to an award, and to amend the terms and conditions of outstanding awards.</w:t>
      </w:r>
    </w:p>
    <w:p>
      <w:pPr>
        <w:spacing w:after="0" w:line="81" w:lineRule="exact"/>
        <w:rPr>
          <w:sz w:val="20"/>
          <w:szCs w:val="20"/>
          <w:color w:val="auto"/>
        </w:rPr>
      </w:pPr>
    </w:p>
    <w:p>
      <w:pPr>
        <w:ind w:right="20" w:firstLine="357"/>
        <w:spacing w:after="0" w:line="288" w:lineRule="auto"/>
        <w:rPr>
          <w:sz w:val="20"/>
          <w:szCs w:val="20"/>
          <w:color w:val="auto"/>
        </w:rPr>
      </w:pPr>
      <w:r>
        <w:rPr>
          <w:rFonts w:ascii="Arial" w:cs="Arial" w:eastAsia="Arial" w:hAnsi="Arial"/>
          <w:sz w:val="16"/>
          <w:szCs w:val="16"/>
          <w:color w:val="auto"/>
        </w:rPr>
        <w:t>RSUs and restricted shares may be granted under the Plan. The plan administrator will determine the purchase price, vesting schedule and performance objectives, if any, applicable to the grant of RSUs and restricted shares. If the restrictions, performance objectives or other conditions determined by the plan administrator are not satisfied, the RSUs and restricted shares will be forfeited. Subject to the provisions of the Plan and the applicable individual award agreement, the plan administrator may provide for the lapse of restrictions in installments or the acceleration or waiver of restrictions (in whole or part) under certain circumstances as set forth in the applicable individual award agreement, including the attainment of certain performance goals, a participant’s termination of employment or service or a participant’s death or disability. The rights of RSU and restricted shareholders upon a termination of employment or service will be set forth in individual award agreements.</w:t>
      </w:r>
    </w:p>
    <w:p>
      <w:pPr>
        <w:spacing w:after="0" w:line="58"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Unless the applicable award agreement provides otherwise, participants with restricted shares will generally have all of the rights of a Class A shareholder during the restricted period, including the right to vote and receive dividends declared with respect to such restricted shares. Dividends declared during the restricted period with respect to such restricted shares may be paid or distributed when accrued, or may become payable if the underlying restricted shares vest. During the restricted period, participants with RSUs will generally not have any rights of a Class A shareholder, but, if the applicable individual award agreement so provides, may be credited with dividend equivalent rights. Dividend equivalents may be paid or distributed when accrued, or may be paid at the time that our Class A shares in respect of the related RSUs are delivered to the participant.</w:t>
      </w:r>
    </w:p>
    <w:p>
      <w:pPr>
        <w:spacing w:after="0" w:line="59"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We may issue share options under the Plan. Options granted under the Plan may be in the form of non-qualified options or “incentive share options” within the meaning of Section 422 of the Internal Revenue Code, as set forth in the applicable individual option award agreement. The exercise price of all options granted under the Plan will be determined by the plan administrator, but in no event may the exercise price be less than 100% of the fair market value of the related Class A shares on the date of grant. The maximum term of all share options granted under the Plan will be determined by the plan administrator, but may not exceed ten years. Each share option will vest and become exercisable (including in the event of the optionee’s termination of employment or service) at such time and subject to such terms and conditions as determined by the plan administrator in the applicable individual option agreement.</w:t>
      </w:r>
    </w:p>
    <w:p>
      <w:pPr>
        <w:spacing w:after="0" w:line="86" w:lineRule="exact"/>
        <w:rPr>
          <w:sz w:val="20"/>
          <w:szCs w:val="20"/>
          <w:color w:val="auto"/>
        </w:rPr>
      </w:pPr>
    </w:p>
    <w:p>
      <w:pPr>
        <w:ind w:right="80" w:firstLine="357"/>
        <w:spacing w:after="0" w:line="268" w:lineRule="auto"/>
        <w:rPr>
          <w:sz w:val="20"/>
          <w:szCs w:val="20"/>
          <w:color w:val="auto"/>
        </w:rPr>
      </w:pPr>
      <w:r>
        <w:rPr>
          <w:rFonts w:ascii="Arial" w:cs="Arial" w:eastAsia="Arial" w:hAnsi="Arial"/>
          <w:sz w:val="17"/>
          <w:szCs w:val="17"/>
          <w:color w:val="auto"/>
        </w:rPr>
        <w:t>SARs may be granted under the Plan either alone or in conjunction with all or part of any option granted under the Plan. A free-standing SAR granted under the Plan entitles its holder to receive, at the time of exercise, an amount per share equal to the excess of the fair market value (at the date of exercise) of a Class A share over the base price of the free-standing SAR. A SAR granted in conjunction with all or part of an option under the Plan entitles its holder to receive, at the time of exercise of the SAR and surrender of the related option, an amount per share equal to the excess of the fair market value (at the date of exercise) of a Class A share over the exercise price of the related option. Each SAR will be granted with a base price that is not less than 100% of the fair market value of the related Class A shares on the date of grant. The maximum term of all SARs granted under the Plan will be determined by the plan administrator, but may not exceed ten years. The plan administrator may determine to settle the exercise of a SAR in Class A shares, cash, or any combination thereof.</w:t>
      </w:r>
    </w:p>
    <w:p>
      <w:pPr>
        <w:spacing w:after="0" w:line="74" w:lineRule="exact"/>
        <w:rPr>
          <w:sz w:val="20"/>
          <w:szCs w:val="20"/>
          <w:color w:val="auto"/>
        </w:rPr>
      </w:pPr>
    </w:p>
    <w:p>
      <w:pPr>
        <w:ind w:right="100" w:firstLine="357"/>
        <w:spacing w:after="0" w:line="277" w:lineRule="auto"/>
        <w:rPr>
          <w:sz w:val="20"/>
          <w:szCs w:val="20"/>
          <w:color w:val="auto"/>
        </w:rPr>
      </w:pPr>
      <w:r>
        <w:rPr>
          <w:rFonts w:ascii="Arial" w:cs="Arial" w:eastAsia="Arial" w:hAnsi="Arial"/>
          <w:sz w:val="17"/>
          <w:szCs w:val="17"/>
          <w:color w:val="auto"/>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80" w:firstLine="357"/>
        <w:spacing w:after="0" w:line="289" w:lineRule="auto"/>
        <w:rPr>
          <w:sz w:val="20"/>
          <w:szCs w:val="20"/>
          <w:color w:val="auto"/>
        </w:rPr>
      </w:pPr>
      <w:r>
        <w:rPr>
          <w:rFonts w:ascii="Arial" w:cs="Arial" w:eastAsia="Arial" w:hAnsi="Arial"/>
          <w:sz w:val="16"/>
          <w:szCs w:val="16"/>
          <w:color w:val="auto"/>
        </w:rPr>
        <w:t>Other share-based awards, valued in whole or in part by reference to, or otherwise based on, our Class A shares (including dividend equivalents) may be granted under the Plan. Dividends or dividend equivalents awarded under the Plan may be paid or distributed when accrued, or may be subject to the same restrictions, conditions and risks of forfeiture as the underlying awards and only become payable if the underlying awards vest. The plan administrator will determine the terms and conditions of such other share-based awards, including the number of Class A shares to be granted pursuant to such other share-based awards, the manner in which such other share-based awards will be settled (e.g., in Class A shares, cash or other property), and the conditions to the vesting and payment of such other share-based awards (including the achievement of performance objectives).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Bonuses payable in fully vested Class A shares and awards that are payable solely in cash may also be granted under the Plan.</w:t>
      </w:r>
    </w:p>
    <w:p>
      <w:pPr>
        <w:spacing w:after="0" w:line="138" w:lineRule="exact"/>
        <w:rPr>
          <w:sz w:val="20"/>
          <w:szCs w:val="20"/>
          <w:color w:val="auto"/>
        </w:rPr>
      </w:pPr>
    </w:p>
    <w:p>
      <w:pPr>
        <w:ind w:right="360" w:firstLine="357"/>
        <w:spacing w:after="0" w:line="274" w:lineRule="auto"/>
        <w:rPr>
          <w:sz w:val="20"/>
          <w:szCs w:val="20"/>
          <w:color w:val="auto"/>
        </w:rPr>
      </w:pPr>
      <w:r>
        <w:rPr>
          <w:rFonts w:ascii="Arial" w:cs="Arial" w:eastAsia="Arial" w:hAnsi="Arial"/>
          <w:sz w:val="18"/>
          <w:szCs w:val="18"/>
          <w:color w:val="auto"/>
        </w:rPr>
        <w:t>The plan administrator may grant equity-based awards and incentives under the Plan that are subject to the achievement of performance objectives selected by the plan administrator in its sole discretion.</w:t>
      </w:r>
    </w:p>
    <w:p>
      <w:pPr>
        <w:spacing w:after="0" w:line="64"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color w:val="auto"/>
        </w:rPr>
        <w:t>In the event of a merger, consolidation, reclassification, recapitalization, spin-off, spin-out, repurchase, reorganization, corporate transaction or event, special or extraordinary dividend or other extraordinary distribution (whether in the form of Class A shares, cash or other property), share split, reverse share split, subdivision or consolidation, combination, exchange of shares, or other change in corporate structure affecting our Class A shares, an equitable substitution or proportionate adjustment shall be made, at the sole discretion of the plan administrator, in (i) the aggregate number of our Class A shares reserved for issuance under the Plan, (ii) the kind and number of securities subject to, and the exercise price or base price of, any outstanding options and SARs granted under the Plan, (iii) the kind, number and purchase price of our Class A shares, or the amount of cash or amount or type of property, subject to outstanding restricted shares, RSUs, share bonuses and other share-based awards granted under the Plan, or (iv) the performance goals and periods applicable to award granted under the Plan.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Class A shares, cash or other property covered by such awards over the aggregate exercise price or base price, if any, of such awards, but if the exercise price or base price of any outstanding award is equal to or greater than the fair market value of our Class A shares, cash or other property covered by such award, the board of directors may cancel the award without the payment of any consideration to the participant.</w:t>
      </w:r>
    </w:p>
    <w:p>
      <w:pPr>
        <w:spacing w:after="0" w:line="61" w:lineRule="exact"/>
        <w:rPr>
          <w:sz w:val="20"/>
          <w:szCs w:val="20"/>
          <w:color w:val="auto"/>
        </w:rPr>
      </w:pPr>
    </w:p>
    <w:p>
      <w:pPr>
        <w:ind w:right="20" w:firstLine="357"/>
        <w:spacing w:after="0" w:line="286" w:lineRule="auto"/>
        <w:rPr>
          <w:sz w:val="20"/>
          <w:szCs w:val="20"/>
          <w:color w:val="auto"/>
        </w:rPr>
      </w:pPr>
      <w:r>
        <w:rPr>
          <w:rFonts w:ascii="Arial" w:cs="Arial" w:eastAsia="Arial" w:hAnsi="Arial"/>
          <w:sz w:val="16"/>
          <w:szCs w:val="16"/>
          <w:color w:val="auto"/>
        </w:rPr>
        <w:t>Each participant will be required to make arrangements satisfactory to the plan administrator regarding payment of an amount up to the maximum statutory tax rates in the participant’s applicable jurisdictions with respect to any award granted under the Plan, as determined by us. Whenever cash is to be paid pursuant to an award, we have the right, to the extent permitted by law, to deduct any such taxes from any payment of any kind otherwise due to the participant. Additionally, whenever Class A shares or other property other than cash are to be delivered pursuant to an award, we may (i) require the participant to pay us an amount in cash, (ii) withhold from delivery of Class A shares or other property, or (iii) accept delivery of already owned unrestricted Class A shares, in each case in the sole discretion of the plan administrator. The Class A shares withheld must have a value not exceeding the applicable taxes to be withheld and applied to the tax obligations, determined based on the greatest withholding rates that may be used without creating adverse accounting treatment with respect to such award. We may also use any other method of obtaining the necessary payment or proceeds, as permitted by law, to satisfy our withholding obligation with respect to any award.</w:t>
      </w:r>
    </w:p>
    <w:p>
      <w:pPr>
        <w:spacing w:after="0" w:line="61" w:lineRule="exact"/>
        <w:rPr>
          <w:sz w:val="20"/>
          <w:szCs w:val="20"/>
          <w:color w:val="auto"/>
        </w:rPr>
      </w:pPr>
    </w:p>
    <w:p>
      <w:pPr>
        <w:jc w:val="both"/>
        <w:ind w:right="40" w:firstLine="357"/>
        <w:spacing w:after="0" w:line="299" w:lineRule="auto"/>
        <w:rPr>
          <w:sz w:val="20"/>
          <w:szCs w:val="20"/>
          <w:color w:val="auto"/>
        </w:rPr>
      </w:pPr>
      <w:r>
        <w:rPr>
          <w:rFonts w:ascii="Arial" w:cs="Arial" w:eastAsia="Arial" w:hAnsi="Arial"/>
          <w:sz w:val="16"/>
          <w:szCs w:val="16"/>
          <w:color w:val="auto"/>
        </w:rPr>
        <w:t>The Plan provides the board of directors with authority to amend, alter or terminate the Plan, but generally such action may not impair the rights of any participant with respect to outstanding awards without the participant’s consent. The plan administrator may amend an award, prospectively or retroactively, but generally such amendment may not impair the rights of any participant without the participant’s consent. Shareholder approval of any such action will be obtained if required to comply with applicable law.</w:t>
      </w:r>
    </w:p>
    <w:p>
      <w:pPr>
        <w:spacing w:after="0" w:line="49" w:lineRule="exact"/>
        <w:rPr>
          <w:sz w:val="20"/>
          <w:szCs w:val="20"/>
          <w:color w:val="auto"/>
        </w:rPr>
      </w:pPr>
    </w:p>
    <w:p>
      <w:pPr>
        <w:jc w:val="both"/>
        <w:ind w:right="40" w:firstLine="357"/>
        <w:spacing w:after="0" w:line="274" w:lineRule="auto"/>
        <w:rPr>
          <w:sz w:val="20"/>
          <w:szCs w:val="20"/>
          <w:color w:val="auto"/>
        </w:rPr>
      </w:pPr>
      <w:r>
        <w:rPr>
          <w:rFonts w:ascii="Arial" w:cs="Arial" w:eastAsia="Arial" w:hAnsi="Arial"/>
          <w:sz w:val="18"/>
          <w:szCs w:val="18"/>
          <w:color w:val="auto"/>
        </w:rPr>
        <w:t>The Plan will terminate on the tenth anniversary of the effective date of the Plan (although awards granted before that time will remain outstanding in accordance with their terms).</w:t>
      </w:r>
    </w:p>
    <w:p>
      <w:pPr>
        <w:spacing w:after="0" w:line="6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We intend to file with the SEC a registration statement on Form S-8 covering the Class A shares issuable under the Plan.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9"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We were formed on August 6, 2018 and, as a result, did not have any directors for the majority of 2018. New Fortress Energy Holdings (our predecessor for financial reporting purposes) did not award any compensation to members of its board of directors during 2018 prior to our formation and we did not award any compensation to members of our Board of Directors in 2018 following our formation.</w:t>
      </w:r>
    </w:p>
    <w:p>
      <w:pPr>
        <w:spacing w:after="0" w:line="79" w:lineRule="exact"/>
        <w:rPr>
          <w:sz w:val="20"/>
          <w:szCs w:val="20"/>
          <w:color w:val="auto"/>
        </w:rPr>
      </w:pPr>
    </w:p>
    <w:p>
      <w:pPr>
        <w:ind w:firstLine="357"/>
        <w:spacing w:after="0" w:line="288" w:lineRule="auto"/>
        <w:rPr>
          <w:sz w:val="20"/>
          <w:szCs w:val="20"/>
          <w:color w:val="auto"/>
        </w:rPr>
      </w:pPr>
      <w:r>
        <w:rPr>
          <w:rFonts w:ascii="Arial" w:cs="Arial" w:eastAsia="Arial" w:hAnsi="Arial"/>
          <w:sz w:val="16"/>
          <w:szCs w:val="16"/>
          <w:color w:val="auto"/>
        </w:rPr>
        <w:t>Following the closing of this offering, non-employee directors will receive an annual cash retainer equal to $100,000 per year, payable quarterly. Additionally, the chair of the Audit Committee of the board of directors will receive an additional $10,000 annual cash retainer, payable quarterly. Non-employee directors will also receive a one-time equity grant under the Plan with a grant-date value equal to $1,000,000 upon their appointment to the board (an “Initial Grant”). As described in additional detail above under the heading “NFE 2019 Omnibus Incentive Plan – Introduction,” upon the completion of this offering, non-employee directors will receive a grant of RSUs under the Plan equal to $1,000,000 (calculated based on the price per share in this offering), which will vest in equal parts on the day following each of our first three annual meetings. This grant of RSUs will constitute the Initial Grant for each of the persons who will become non-employee directors upon the consummation of this offering.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19"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The following table sets forth the beneficial ownership of our Class A shares and Class B shares that will be issued and outstanding upon the consummation of this offering and the related transactions, and assuming the underwriters do not exercise their option to purchase additional Class A shares and held by:</w:t>
      </w:r>
    </w:p>
    <w:p>
      <w:pPr>
        <w:spacing w:after="0" w:line="76" w:lineRule="exact"/>
        <w:rPr>
          <w:sz w:val="20"/>
          <w:szCs w:val="20"/>
          <w:color w:val="auto"/>
        </w:rPr>
      </w:pPr>
    </w:p>
    <w:p>
      <w:pPr>
        <w:ind w:left="700" w:hanging="34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beneficial owners of 5% or more of any class of our shares;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director, director nominee and named executive officer;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05" w:lineRule="exact"/>
        <w:rPr>
          <w:sz w:val="20"/>
          <w:szCs w:val="20"/>
          <w:color w:val="auto"/>
        </w:rPr>
      </w:pPr>
    </w:p>
    <w:p>
      <w:pPr>
        <w:ind w:right="320" w:firstLine="357"/>
        <w:spacing w:after="0" w:line="201" w:lineRule="auto"/>
        <w:rPr>
          <w:sz w:val="20"/>
          <w:szCs w:val="20"/>
          <w:color w:val="auto"/>
        </w:rPr>
      </w:pPr>
      <w:r>
        <w:rPr>
          <w:rFonts w:ascii="Arial" w:cs="Arial" w:eastAsia="Arial" w:hAnsi="Arial"/>
          <w:sz w:val="18"/>
          <w:szCs w:val="18"/>
          <w:color w:val="auto"/>
        </w:rPr>
        <w:t>Unless otherwise noted, the address for each beneficial owner listed below is 111 W.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Percentage of</w:t>
            </w:r>
          </w:p>
        </w:tc>
      </w:t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Total Class A</w:t>
            </w:r>
          </w:p>
        </w:tc>
      </w:t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Percentage of</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 of</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Shares and</w:t>
            </w:r>
          </w:p>
        </w:tc>
      </w:t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Class A Shares</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Class A Shares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Class B Shares</w:t>
            </w:r>
          </w:p>
        </w:tc>
        <w:tc>
          <w:tcPr>
            <w:tcW w:w="18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Class B Shares</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Class B Shares</w:t>
            </w:r>
          </w:p>
        </w:tc>
      </w:t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Beneficially</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Beneficially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Beneficially</w:t>
            </w:r>
          </w:p>
        </w:tc>
        <w:tc>
          <w:tcPr>
            <w:tcW w:w="18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Beneficially</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Beneficially</w:t>
            </w:r>
          </w:p>
        </w:tc>
      </w:tr>
      <w:tr>
        <w:trPr>
          <w:trHeight w:val="177"/>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00" w:type="dxa"/>
            <w:vAlign w:val="bottom"/>
          </w:tcPr>
          <w:p>
            <w:pPr>
              <w:spacing w:after="0"/>
              <w:rPr>
                <w:sz w:val="15"/>
                <w:szCs w:val="15"/>
                <w:color w:val="auto"/>
              </w:rPr>
            </w:pPr>
          </w:p>
        </w:tc>
      </w:tr>
      <w:tr>
        <w:trPr>
          <w:trHeight w:val="241"/>
        </w:trPr>
        <w:tc>
          <w:tcPr>
            <w:tcW w:w="3060" w:type="dxa"/>
            <w:vAlign w:val="bottom"/>
            <w:shd w:val="clear" w:color="auto" w:fill="CCEEFF"/>
          </w:tcPr>
          <w:p>
            <w:pPr>
              <w:spacing w:after="0" w:line="241" w:lineRule="exact"/>
              <w:rPr>
                <w:sz w:val="20"/>
                <w:szCs w:val="20"/>
                <w:color w:val="auto"/>
              </w:rPr>
            </w:pPr>
            <w:r>
              <w:rPr>
                <w:rFonts w:ascii="Arial" w:cs="Arial" w:eastAsia="Arial" w:hAnsi="Arial"/>
                <w:sz w:val="17"/>
                <w:szCs w:val="17"/>
                <w:color w:val="auto"/>
              </w:rPr>
              <w:t>New Fortress Energy Holdings</w:t>
            </w:r>
            <w:r>
              <w:rPr>
                <w:rFonts w:ascii="Arial" w:cs="Arial" w:eastAsia="Arial" w:hAnsi="Arial"/>
                <w:sz w:val="27"/>
                <w:szCs w:val="27"/>
                <w:color w:val="auto"/>
                <w:vertAlign w:val="superscript"/>
              </w:rPr>
              <w:t>(1)</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147,058,824</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r>
      <w:tr>
        <w:trPr>
          <w:trHeight w:val="241"/>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Director Nominees and</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1"/>
        </w:trPr>
        <w:tc>
          <w:tcPr>
            <w:tcW w:w="3060" w:type="dxa"/>
            <w:vAlign w:val="bottom"/>
          </w:tcPr>
          <w:p>
            <w:pPr>
              <w:spacing w:after="0" w:line="241" w:lineRule="exact"/>
              <w:rPr>
                <w:sz w:val="20"/>
                <w:szCs w:val="20"/>
                <w:color w:val="auto"/>
              </w:rPr>
            </w:pPr>
            <w:r>
              <w:rPr>
                <w:rFonts w:ascii="Arial" w:cs="Arial" w:eastAsia="Arial" w:hAnsi="Arial"/>
                <w:sz w:val="17"/>
                <w:szCs w:val="17"/>
                <w:color w:val="auto"/>
              </w:rPr>
              <w:t>Wesley R. Edens</w:t>
            </w:r>
            <w:r>
              <w:rPr>
                <w:rFonts w:ascii="Arial" w:cs="Arial" w:eastAsia="Arial" w:hAnsi="Arial"/>
                <w:sz w:val="27"/>
                <w:szCs w:val="27"/>
                <w:color w:val="auto"/>
                <w:vertAlign w:val="superscript"/>
              </w:rPr>
              <w:t>(1)</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2,500,000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060" w:type="dxa"/>
            <w:vAlign w:val="bottom"/>
          </w:tcPr>
          <w:p>
            <w:pPr>
              <w:jc w:val="right"/>
              <w:spacing w:after="0"/>
              <w:rPr>
                <w:sz w:val="20"/>
                <w:szCs w:val="20"/>
                <w:color w:val="auto"/>
              </w:rPr>
            </w:pPr>
            <w:r>
              <w:rPr>
                <w:rFonts w:ascii="Arial" w:cs="Arial" w:eastAsia="Arial" w:hAnsi="Arial"/>
                <w:sz w:val="18"/>
                <w:szCs w:val="18"/>
                <w:color w:val="auto"/>
              </w:rPr>
              <w:t>147,058,824</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r>
      <w:tr>
        <w:trPr>
          <w:trHeight w:val="241"/>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Christopher S. Guinta</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Michael J. Utsler</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8"/>
        </w:trPr>
        <w:tc>
          <w:tcPr>
            <w:tcW w:w="3060" w:type="dxa"/>
            <w:vAlign w:val="bottom"/>
            <w:shd w:val="clear" w:color="auto" w:fill="CCEEFF"/>
          </w:tcPr>
          <w:p>
            <w:pPr>
              <w:spacing w:after="0" w:line="247" w:lineRule="exact"/>
              <w:rPr>
                <w:sz w:val="20"/>
                <w:szCs w:val="20"/>
                <w:color w:val="auto"/>
              </w:rPr>
            </w:pPr>
            <w:r>
              <w:rPr>
                <w:rFonts w:ascii="Arial" w:cs="Arial" w:eastAsia="Arial" w:hAnsi="Arial"/>
                <w:sz w:val="17"/>
                <w:szCs w:val="17"/>
                <w:color w:val="auto"/>
              </w:rPr>
              <w:t>Randal A. Nardone</w:t>
            </w:r>
            <w:r>
              <w:rPr>
                <w:rFonts w:ascii="Arial" w:cs="Arial" w:eastAsia="Arial" w:hAnsi="Arial"/>
                <w:sz w:val="28"/>
                <w:szCs w:val="28"/>
                <w:color w:val="auto"/>
                <w:vertAlign w:val="superscript"/>
              </w:rPr>
              <w:t>(1)</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2,500,000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147,058,824</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w:t>
            </w: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Desmond Iain Catterall</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8"/>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David J. Grain</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C. William Griffin</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8"/>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John J. Mack</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5"/>
        </w:trPr>
        <w:tc>
          <w:tcPr>
            <w:tcW w:w="3060" w:type="dxa"/>
            <w:vAlign w:val="bottom"/>
          </w:tcPr>
          <w:p>
            <w:pPr>
              <w:spacing w:after="0"/>
              <w:rPr>
                <w:sz w:val="20"/>
                <w:szCs w:val="20"/>
                <w:color w:val="auto"/>
              </w:rPr>
            </w:pPr>
            <w:r>
              <w:rPr>
                <w:rFonts w:ascii="Arial" w:cs="Arial" w:eastAsia="Arial" w:hAnsi="Arial"/>
                <w:sz w:val="18"/>
                <w:szCs w:val="18"/>
                <w:color w:val="auto"/>
              </w:rPr>
              <w:t>Katherine E. Wanner</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8"/>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Matthew Wilkinson</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4"/>
        </w:trPr>
        <w:tc>
          <w:tcPr>
            <w:tcW w:w="3060" w:type="dxa"/>
            <w:vAlign w:val="bottom"/>
          </w:tcPr>
          <w:p>
            <w:pPr>
              <w:spacing w:after="0"/>
              <w:rPr>
                <w:sz w:val="20"/>
                <w:szCs w:val="20"/>
                <w:color w:val="auto"/>
              </w:rPr>
            </w:pPr>
            <w:r>
              <w:rPr>
                <w:rFonts w:ascii="Arial" w:cs="Arial" w:eastAsia="Arial" w:hAnsi="Arial"/>
                <w:sz w:val="18"/>
                <w:szCs w:val="18"/>
                <w:color w:val="auto"/>
                <w:w w:val="97"/>
              </w:rPr>
              <w:t>All executive officers and directors as a</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060" w:type="dxa"/>
            <w:vAlign w:val="bottom"/>
          </w:tcPr>
          <w:p>
            <w:pPr>
              <w:ind w:left="180"/>
              <w:spacing w:after="0"/>
              <w:rPr>
                <w:sz w:val="20"/>
                <w:szCs w:val="20"/>
                <w:color w:val="auto"/>
              </w:rPr>
            </w:pPr>
            <w:r>
              <w:rPr>
                <w:rFonts w:ascii="Arial" w:cs="Arial" w:eastAsia="Arial" w:hAnsi="Arial"/>
                <w:sz w:val="18"/>
                <w:szCs w:val="18"/>
                <w:color w:val="auto"/>
              </w:rPr>
              <w:t>group (10 persons)</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5,000,000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060" w:type="dxa"/>
            <w:vAlign w:val="bottom"/>
          </w:tcPr>
          <w:p>
            <w:pPr>
              <w:jc w:val="right"/>
              <w:spacing w:after="0"/>
              <w:rPr>
                <w:sz w:val="20"/>
                <w:szCs w:val="20"/>
                <w:color w:val="auto"/>
              </w:rPr>
            </w:pPr>
            <w:r>
              <w:rPr>
                <w:rFonts w:ascii="Arial" w:cs="Arial" w:eastAsia="Arial" w:hAnsi="Arial"/>
                <w:sz w:val="18"/>
                <w:szCs w:val="18"/>
                <w:color w:val="auto"/>
              </w:rPr>
              <w:t>147,058,824</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9029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spacing w:after="0" w:line="283" w:lineRule="exact"/>
        <w:rPr>
          <w:sz w:val="20"/>
          <w:szCs w:val="20"/>
          <w:color w:val="auto"/>
        </w:rPr>
      </w:pPr>
    </w:p>
    <w:p>
      <w:pPr>
        <w:ind w:left="360" w:hanging="355"/>
        <w:spacing w:after="0" w:line="246" w:lineRule="auto"/>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New Fortress Energy Holdings, which directly holds the Class B shares of the Company, is majority-owned and controlled by the Fortress Shareholder. Fortress Shareholder is controlled by Wesley R. Edens, our Chief Executive Officer. Mr. Edens exercises voting power over the shares held by New Fortress Energy Holdings and may be deemed to be the beneficial owner thereof. Each of Mr. Edens and Mr. Nardone has the right to acquire beneficial ownership of his pro rata portion of the Class B shares and corresponding NFI LLC Units held directly by New Fortress Energy Holdings at his election pursuant to the NFI LLC Agreement and may be deemed to share dispositive power over such Class B shares and NFI LLC Units. Each of Mr. Edens and Mr. Nardone agreed to purchase 2,500,000 Class A shares in the offering.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19" w:lineRule="exact"/>
        <w:rPr>
          <w:sz w:val="20"/>
          <w:szCs w:val="20"/>
          <w:color w:val="auto"/>
        </w:rPr>
      </w:pPr>
    </w:p>
    <w:p>
      <w:pPr>
        <w:jc w:val="both"/>
        <w:ind w:right="240" w:firstLine="357"/>
        <w:spacing w:after="0" w:line="309" w:lineRule="auto"/>
        <w:rPr>
          <w:sz w:val="20"/>
          <w:szCs w:val="20"/>
          <w:color w:val="auto"/>
        </w:rPr>
      </w:pPr>
      <w:r>
        <w:rPr>
          <w:rFonts w:ascii="Arial" w:cs="Arial" w:eastAsia="Arial" w:hAnsi="Arial"/>
          <w:sz w:val="16"/>
          <w:szCs w:val="16"/>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Affiliates in Connection with the Transactions</w:t>
      </w:r>
    </w:p>
    <w:p>
      <w:pPr>
        <w:spacing w:after="0" w:line="119" w:lineRule="exact"/>
        <w:rPr>
          <w:sz w:val="20"/>
          <w:szCs w:val="20"/>
          <w:color w:val="auto"/>
        </w:rPr>
      </w:pPr>
    </w:p>
    <w:p>
      <w:pPr>
        <w:ind w:right="340" w:firstLine="357"/>
        <w:spacing w:after="0" w:line="274" w:lineRule="auto"/>
        <w:rPr>
          <w:sz w:val="20"/>
          <w:szCs w:val="20"/>
          <w:color w:val="auto"/>
        </w:rPr>
      </w:pPr>
      <w:r>
        <w:rPr>
          <w:rFonts w:ascii="Arial" w:cs="Arial" w:eastAsia="Arial" w:hAnsi="Arial"/>
          <w:sz w:val="18"/>
          <w:szCs w:val="18"/>
          <w:color w:val="auto"/>
        </w:rPr>
        <w:t>In connection with this offering, we will enter into certain agreements with New Fortress Energy Holdings, as described in more detail below.</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115"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In connection with the closing of this offering, we will enter into a contribution agreement that will effect the Transactions, including the transfer of the ownership interests in NFI to us, and the use of the net proceeds of this offering. While we believe this agreement is on terms no less favorable to any party than those that could have been negotiated with an unaffiliated third party, it will not be the result of arm’s-length negotiations. All of the transaction expenses incurred in connection with these transactions will be paid from the proceeds of this offering.</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the completion of this offering, we will enter into the Shareholders’ Agreement with New Fortress Energy Holdings.</w:t>
      </w:r>
    </w:p>
    <w:p>
      <w:pPr>
        <w:spacing w:after="0" w:line="138" w:lineRule="exact"/>
        <w:rPr>
          <w:sz w:val="20"/>
          <w:szCs w:val="20"/>
          <w:color w:val="auto"/>
        </w:rPr>
      </w:pPr>
    </w:p>
    <w:p>
      <w:pPr>
        <w:ind w:right="140" w:firstLine="357"/>
        <w:spacing w:after="0" w:line="274" w:lineRule="auto"/>
        <w:rPr>
          <w:sz w:val="20"/>
          <w:szCs w:val="20"/>
          <w:color w:val="auto"/>
        </w:rPr>
      </w:pPr>
      <w:r>
        <w:rPr>
          <w:rFonts w:ascii="Arial" w:cs="Arial" w:eastAsia="Arial" w:hAnsi="Arial"/>
          <w:sz w:val="18"/>
          <w:szCs w:val="18"/>
          <w:color w:val="auto"/>
        </w:rPr>
        <w:t>As discussed further below, the Shareholders’ Agreement will provide certain rights to New Fortress Energy Holdings and its affiliates.</w:t>
      </w:r>
    </w:p>
    <w:p>
      <w:pPr>
        <w:spacing w:after="0" w:line="64" w:lineRule="exact"/>
        <w:rPr>
          <w:sz w:val="20"/>
          <w:szCs w:val="20"/>
          <w:color w:val="auto"/>
        </w:rPr>
      </w:pPr>
    </w:p>
    <w:p>
      <w:pPr>
        <w:ind w:right="60" w:firstLine="357"/>
        <w:spacing w:after="0" w:line="291" w:lineRule="auto"/>
        <w:rPr>
          <w:sz w:val="20"/>
          <w:szCs w:val="20"/>
          <w:color w:val="auto"/>
        </w:rPr>
      </w:pPr>
      <w:r>
        <w:rPr>
          <w:rFonts w:ascii="Arial" w:cs="Arial" w:eastAsia="Arial" w:hAnsi="Arial"/>
          <w:sz w:val="16"/>
          <w:szCs w:val="16"/>
          <w:color w:val="auto"/>
        </w:rPr>
        <w:t>Our Shareholders’ Agreement will provide that the parties thereto will use their respective reasonable efforts (including voting or causing to be voted all of our voting shares beneficially owned by each) so that no amendment is made to our operating agreement in effect as of the date of the Shareholders’ Agreement that would add restrictions to the transferability of our shares by New Fortress Energy Holdings or its permitted transferees which are beyond those provided for in our operating agreement,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Designation and Election of Directors</w:t>
      </w:r>
    </w:p>
    <w:p>
      <w:pPr>
        <w:spacing w:after="0" w:line="115" w:lineRule="exact"/>
        <w:rPr>
          <w:sz w:val="20"/>
          <w:szCs w:val="20"/>
          <w:color w:val="auto"/>
        </w:rPr>
      </w:pPr>
    </w:p>
    <w:p>
      <w:pPr>
        <w:ind w:right="140" w:firstLine="357"/>
        <w:spacing w:after="0" w:line="291" w:lineRule="auto"/>
        <w:rPr>
          <w:sz w:val="20"/>
          <w:szCs w:val="20"/>
          <w:color w:val="auto"/>
        </w:rPr>
      </w:pPr>
      <w:r>
        <w:rPr>
          <w:rFonts w:ascii="Arial" w:cs="Arial" w:eastAsia="Arial" w:hAnsi="Arial"/>
          <w:sz w:val="16"/>
          <w:szCs w:val="16"/>
          <w:color w:val="auto"/>
        </w:rPr>
        <w:t>Our Shareholders’ Agreement will provide that, for so long as the Shareholders’ Agreement is in effect, we and New Fortress Energy Holdings shall take all reasonable actions within our respective control (including voting or causing to be voted all of the securities entitled to vote generally in the election of our directors held of record or beneficially owned by New Fortress Energy Holdings or its affiliates, and, with respect to us, including in the slate of nominees recommended by the board those individuals designated by New Fortress Energy Holdings) so as to elect to the board, and to cause to continue in office, not more than eight directors (or such other number as New Fortress Energy Holdings may agree in writing), of whom, at any given time:</w:t>
      </w:r>
    </w:p>
    <w:p>
      <w:pPr>
        <w:spacing w:after="0" w:line="57" w:lineRule="exact"/>
        <w:rPr>
          <w:sz w:val="20"/>
          <w:szCs w:val="20"/>
          <w:color w:val="auto"/>
        </w:rPr>
      </w:pPr>
    </w:p>
    <w:p>
      <w:pPr>
        <w:ind w:left="700" w:right="80" w:hanging="346"/>
        <w:spacing w:after="0" w:line="255"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of directors, plus one director, shall be individuals designated by New Fortress Energy Holdings, for so long as New Fortress Energy Holdings directly or indirectly beneficially owns, together with its affiliates and permitted transferees, at least 30% of our voting power, provided that if the board consists of six or fewer directors, then New Fortress Energy Holdings shall have the right to designate a number of directors equal to a majority of the board;</w:t>
      </w:r>
    </w:p>
    <w:p>
      <w:pPr>
        <w:spacing w:after="0" w:line="80" w:lineRule="exact"/>
        <w:rPr>
          <w:rFonts w:ascii="Arial" w:cs="Arial" w:eastAsia="Arial" w:hAnsi="Arial"/>
          <w:sz w:val="18"/>
          <w:szCs w:val="18"/>
          <w:color w:val="auto"/>
        </w:rPr>
      </w:pPr>
    </w:p>
    <w:p>
      <w:pPr>
        <w:ind w:left="700" w:hanging="346"/>
        <w:spacing w:after="0" w:line="255"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number equal to a majority of the board of directors, minus one director, shall be individuals designated by New Fortress Energy Holdings, for so long as New Fortress Energy Holdings directly or indirectly beneficially owns, together with its affiliates and permitted transferees, less than 30% but at least 20% of our voting power, provided that if the board of directors consists of six or fewer directors, then New Fortress Energy Holdings shall have the right to designate a number of directors equal to three directors;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120" w:hanging="346"/>
        <w:spacing w:after="0" w:line="254"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of directors shall be individuals designated by New Fortress Energy Holdings for so long as New Fortress Energy Holdings directly or indirectly beneficially owns, together with its affiliates and permitted transferees, less than 20% but at least 10% of our voting power, provided that if the board of directors consists of six or fewer directors, then New Fortress Energy Holdings shall have the right to designate a number of directors equal to two directors; and</w:t>
      </w:r>
    </w:p>
    <w:p>
      <w:pPr>
        <w:spacing w:after="0" w:line="80" w:lineRule="exact"/>
        <w:rPr>
          <w:rFonts w:ascii="Arial" w:cs="Arial" w:eastAsia="Arial" w:hAnsi="Arial"/>
          <w:sz w:val="18"/>
          <w:szCs w:val="18"/>
          <w:color w:val="auto"/>
        </w:rPr>
      </w:pPr>
    </w:p>
    <w:p>
      <w:pPr>
        <w:ind w:left="700" w:right="120" w:hanging="346"/>
        <w:spacing w:after="0" w:line="254"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of directors shall be individuals designated by New Fortress Energy Holdings for so long as New Fortress Energy Holdings directly or indirectly beneficially owns, together with its affiliates and permitted transferees, less than 10% but at least 5% of our voting power, provided that if the board of directors consists of six or fewer directors, then New Fortress Energy Holdings shall have the right to designate a number of directors equal to one director.</w:t>
      </w:r>
    </w:p>
    <w:p>
      <w:pPr>
        <w:spacing w:after="0" w:line="81" w:lineRule="exact"/>
        <w:rPr>
          <w:sz w:val="20"/>
          <w:szCs w:val="20"/>
          <w:color w:val="auto"/>
        </w:rPr>
      </w:pPr>
    </w:p>
    <w:p>
      <w:pPr>
        <w:ind w:right="40" w:firstLine="357"/>
        <w:spacing w:after="0" w:line="261" w:lineRule="auto"/>
        <w:rPr>
          <w:sz w:val="20"/>
          <w:szCs w:val="20"/>
          <w:color w:val="auto"/>
        </w:rPr>
      </w:pPr>
      <w:r>
        <w:rPr>
          <w:rFonts w:ascii="Arial" w:cs="Arial" w:eastAsia="Arial" w:hAnsi="Arial"/>
          <w:sz w:val="18"/>
          <w:szCs w:val="18"/>
          <w:color w:val="auto"/>
        </w:rPr>
        <w:t>So long as New Fortress Energy Holdings is entitled to designate one or more nominees to the board and notifies the board of directors of its desire to remove, with or without cause, any director previously designated by it to the board, we are required to take all necessary action to cause such removal.</w:t>
      </w:r>
    </w:p>
    <w:p>
      <w:pPr>
        <w:spacing w:after="0" w:line="76" w:lineRule="exact"/>
        <w:rPr>
          <w:sz w:val="20"/>
          <w:szCs w:val="20"/>
          <w:color w:val="auto"/>
        </w:rPr>
      </w:pPr>
    </w:p>
    <w:p>
      <w:pPr>
        <w:ind w:right="440" w:firstLine="357"/>
        <w:spacing w:after="0" w:line="274" w:lineRule="auto"/>
        <w:rPr>
          <w:sz w:val="20"/>
          <w:szCs w:val="20"/>
          <w:color w:val="auto"/>
        </w:rPr>
      </w:pPr>
      <w:r>
        <w:rPr>
          <w:rFonts w:ascii="Arial" w:cs="Arial" w:eastAsia="Arial" w:hAnsi="Arial"/>
          <w:sz w:val="18"/>
          <w:szCs w:val="18"/>
          <w:color w:val="auto"/>
        </w:rPr>
        <w:t>In accordance with the Shareholders’ Agreement, New Fortress Energy Holdings has designated Messrs. Catterall, Grain, Griffin, Mack and Wilkinson for election to our board of directors.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Indemnification</w:t>
      </w:r>
    </w:p>
    <w:p>
      <w:pPr>
        <w:spacing w:after="0" w:line="115"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The agreement will provide that we will indemnify New Fortress Energy Holdings and its officers, directors, employees, agents and affiliates against losses arising out of third-party claims (including litigation matters and other claims) based on, arising out of or resulting from:</w:t>
      </w:r>
    </w:p>
    <w:p>
      <w:pPr>
        <w:spacing w:after="0" w:line="76" w:lineRule="exact"/>
        <w:rPr>
          <w:sz w:val="20"/>
          <w:szCs w:val="20"/>
          <w:color w:val="auto"/>
        </w:rPr>
      </w:pPr>
    </w:p>
    <w:p>
      <w:pPr>
        <w:ind w:left="700" w:right="640" w:hanging="346"/>
        <w:spacing w:after="0" w:line="274"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ownership or the operation of our assets or properties, and the operation or conduct of our business, prior to or following this offering; and</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activities we engage in.</w:t>
      </w:r>
    </w:p>
    <w:p>
      <w:pPr>
        <w:spacing w:after="0" w:line="115" w:lineRule="exact"/>
        <w:rPr>
          <w:sz w:val="20"/>
          <w:szCs w:val="20"/>
          <w:color w:val="auto"/>
        </w:rPr>
      </w:pPr>
    </w:p>
    <w:p>
      <w:pPr>
        <w:ind w:right="140" w:firstLine="357"/>
        <w:spacing w:after="0" w:line="254" w:lineRule="auto"/>
        <w:rPr>
          <w:sz w:val="20"/>
          <w:szCs w:val="20"/>
          <w:color w:val="auto"/>
        </w:rPr>
      </w:pPr>
      <w:r>
        <w:rPr>
          <w:rFonts w:ascii="Arial" w:cs="Arial" w:eastAsia="Arial" w:hAnsi="Arial"/>
          <w:sz w:val="18"/>
          <w:szCs w:val="18"/>
          <w:color w:val="auto"/>
        </w:rPr>
        <w:t>In addition, we will agree to indemnify New Fortress Energy Holdings and its officers, directors, employees, agents and affiliates against losses, including liabilities under the Securities Act and the Exchange Act, relating to misstatements in or omissions from the registration statement of which this prospectus is a part and any other registration statement or report that we file, other than misstatements or omissions made in reliance on information relating to and furnished by New Fortress Energy Holdings for use in the preparation of that registration statement or report, against which New Fortress Energy Holdings will agree to indemnify us.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Registration Rights</w:t>
      </w:r>
    </w:p>
    <w:p>
      <w:pPr>
        <w:spacing w:after="0" w:line="115" w:lineRule="exact"/>
        <w:rPr>
          <w:sz w:val="20"/>
          <w:szCs w:val="20"/>
          <w:color w:val="auto"/>
        </w:rPr>
      </w:pPr>
    </w:p>
    <w:p>
      <w:pPr>
        <w:ind w:right="40" w:firstLine="357"/>
        <w:spacing w:after="0" w:line="267" w:lineRule="auto"/>
        <w:rPr>
          <w:sz w:val="20"/>
          <w:szCs w:val="20"/>
          <w:color w:val="auto"/>
        </w:rPr>
      </w:pPr>
      <w:r>
        <w:rPr>
          <w:rFonts w:ascii="Arial" w:cs="Arial" w:eastAsia="Arial" w:hAnsi="Arial"/>
          <w:sz w:val="17"/>
          <w:szCs w:val="17"/>
          <w:i w:val="1"/>
          <w:iCs w:val="1"/>
          <w:color w:val="auto"/>
        </w:rPr>
        <w:t>Demand Rights</w:t>
      </w:r>
      <w:r>
        <w:rPr>
          <w:rFonts w:ascii="Arial" w:cs="Arial" w:eastAsia="Arial" w:hAnsi="Arial"/>
          <w:sz w:val="17"/>
          <w:szCs w:val="17"/>
          <w:color w:val="auto"/>
        </w:rPr>
        <w:t>. Under our Shareholders’ Agreement, New Fortress Energy Holdings will have, for so long as New Fortress</w:t>
      </w:r>
      <w:r>
        <w:rPr>
          <w:rFonts w:ascii="Arial" w:cs="Arial" w:eastAsia="Arial" w:hAnsi="Arial"/>
          <w:sz w:val="17"/>
          <w:szCs w:val="17"/>
          <w:i w:val="1"/>
          <w:iCs w:val="1"/>
          <w:color w:val="auto"/>
        </w:rPr>
        <w:t xml:space="preserve"> </w:t>
      </w:r>
      <w:r>
        <w:rPr>
          <w:rFonts w:ascii="Arial" w:cs="Arial" w:eastAsia="Arial" w:hAnsi="Arial"/>
          <w:sz w:val="17"/>
          <w:szCs w:val="17"/>
          <w:color w:val="auto"/>
        </w:rPr>
        <w:t>Energy Holdings directly or indirectly beneficially owns, together with its affiliates and permitted transferees, an amount of our Class A and Class B shares (whether owned at the time of this offering or subsequently acquired) equal to or greater than 1% of the Class A and Class B shares issued and outstanding immediately after the consummation of this offering (a “Registrable Amount”), “demand” registration rights that allow New Fortress Energy Holdings, for itself and for its affiliates and permitted transferees, at any time after 180 days following the consummation of this offering, to request that we register under the Securities Act an amount of Class A shares equal to or greater than a Registrable Amount. New Fortress Energy Holdings, for itself and for its affiliates and permitted transferees, will be entitled to unlimited demand registrations so long as such persons, together, beneficially own a Registrable Amount. We will also not be required to effect any demand registration within one month of a “firm commitment” underwritten offering to which the requestor held “piggyback” rights, described below, and which included at least 50% of the Class A shares requested by the requestor to be included or within one month of any other underwritten offering pursuant to a shelf registration statement.</w:t>
      </w:r>
    </w:p>
    <w:p>
      <w:pPr>
        <w:spacing w:after="0" w:line="73" w:lineRule="exact"/>
        <w:rPr>
          <w:sz w:val="20"/>
          <w:szCs w:val="20"/>
          <w:color w:val="auto"/>
        </w:rPr>
      </w:pPr>
    </w:p>
    <w:p>
      <w:pPr>
        <w:ind w:right="260" w:firstLine="357"/>
        <w:spacing w:after="0" w:line="274" w:lineRule="auto"/>
        <w:rPr>
          <w:sz w:val="20"/>
          <w:szCs w:val="20"/>
          <w:color w:val="auto"/>
        </w:rPr>
      </w:pPr>
      <w:r>
        <w:rPr>
          <w:rFonts w:ascii="Arial" w:cs="Arial" w:eastAsia="Arial" w:hAnsi="Arial"/>
          <w:sz w:val="18"/>
          <w:szCs w:val="18"/>
          <w:i w:val="1"/>
          <w:iCs w:val="1"/>
          <w:color w:val="auto"/>
        </w:rPr>
        <w:t>Piggyback Rights</w:t>
      </w:r>
      <w:r>
        <w:rPr>
          <w:rFonts w:ascii="Arial" w:cs="Arial" w:eastAsia="Arial" w:hAnsi="Arial"/>
          <w:sz w:val="18"/>
          <w:szCs w:val="18"/>
          <w:color w:val="auto"/>
        </w:rPr>
        <w:t>. For so long as New Fortress Energy Holdings beneficially owns, together with its affiliates and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transferees, a Registrable Amount, New Fortress Energy Holdings (and its affiliates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permitted transferees) will also have “piggyback” registration rights that allow them to include Class A shares that they own in any public offering of equity securities initiated by us (other than those public offerings pursuant to registration statements on Form S-4 or Form S-8 or pursuant to an employee benefit plan arrangement) or by any of our other shareholders that have registration rights. These “piggyback” registration rights will be subject to proportional cutbacks based on the manner of the offering and the identity of the party initiating such offering.</w:t>
      </w:r>
    </w:p>
    <w:p>
      <w:pPr>
        <w:spacing w:after="0" w:line="81"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i w:val="1"/>
          <w:iCs w:val="1"/>
          <w:color w:val="auto"/>
        </w:rPr>
        <w:t>Shelf Registration</w:t>
      </w:r>
      <w:r>
        <w:rPr>
          <w:rFonts w:ascii="Arial" w:cs="Arial" w:eastAsia="Arial" w:hAnsi="Arial"/>
          <w:sz w:val="17"/>
          <w:szCs w:val="17"/>
          <w:color w:val="auto"/>
        </w:rPr>
        <w:t>. Under our Shareholders’ Agreement, we will grant to New Fortress Energy Holdings or any of its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transferees, for so long as New Fortress Energy Holdings, together with its affiliates and permitted transferees, beneficially owns a Registrable Amount, the right to request a shelf registration on Form S-3 providing for offerings of Class A shares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 month period) if we determine that certain disclosures required by the shelf registration statement would be detrimental to us or our shareholders. In addition, New Fortress Energy Holdings, for itself and for its affiliates and permitted transferees, may elect to participate in such shelf registrations within ten days after notice of the registration is given.</w:t>
      </w:r>
    </w:p>
    <w:p>
      <w:pPr>
        <w:spacing w:after="0" w:line="74"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i w:val="1"/>
          <w:iCs w:val="1"/>
          <w:color w:val="auto"/>
        </w:rPr>
        <w:t>Indemnification; Expenses; Lock-ups</w:t>
      </w:r>
      <w:r>
        <w:rPr>
          <w:rFonts w:ascii="Arial" w:cs="Arial" w:eastAsia="Arial" w:hAnsi="Arial"/>
          <w:sz w:val="17"/>
          <w:szCs w:val="17"/>
          <w:color w:val="auto"/>
        </w:rPr>
        <w:t>. Under our Shareholders’ Agreement, we will agree to indemnify the applicable selling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and its officers, directors, employees, managers, members partners, agents and controlling persons against any losses or damages resulting from any untrue statement or omission of material fact in any registration statement or prospectus pursuant to which it sells Class A shares, unless such liability arose from the applicable selling shareholder’s misstatement or omission, and the applicable selling shareholder will agree to indemnify us against all losses caused by its misstatements or omissions. We will pay all registration and offering-related expenses incidental to our performance under the Shareholders’ Agreement, and the applicable selling shareholder will pay its portion of all underwriting discounts, commissions and transfer taxes, if any, relating to the sale of its Class A shares under the Shareholders’ Agreement. We have agreed to enter into, and to cause our officers and directors to enter into, lock-up agreements in connection with any exercise of registration rights by New Fortress Energy Holdings, for itself and for its affiliates and permitted transferees.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Information Rights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our Shareholders’ Agreement, New Fortress Energy Holdings will have the right to request certain information from us.</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Assistance in the Sale of New Fortress Energy Holdings’ Shares</w:t>
      </w:r>
    </w:p>
    <w:p>
      <w:pPr>
        <w:spacing w:after="0" w:line="115" w:lineRule="exact"/>
        <w:rPr>
          <w:sz w:val="20"/>
          <w:szCs w:val="20"/>
          <w:color w:val="auto"/>
        </w:rPr>
      </w:pPr>
    </w:p>
    <w:p>
      <w:pPr>
        <w:jc w:val="both"/>
        <w:ind w:right="60" w:firstLine="357"/>
        <w:spacing w:after="0" w:line="284" w:lineRule="auto"/>
        <w:rPr>
          <w:sz w:val="20"/>
          <w:szCs w:val="20"/>
          <w:color w:val="auto"/>
        </w:rPr>
      </w:pPr>
      <w:r>
        <w:rPr>
          <w:rFonts w:ascii="Arial" w:cs="Arial" w:eastAsia="Arial" w:hAnsi="Arial"/>
          <w:sz w:val="17"/>
          <w:szCs w:val="17"/>
          <w:color w:val="auto"/>
        </w:rPr>
        <w:t>Under our Shareholders’ Agreement, if New Fortress Energy Holdings seeks to sell its Class A shares other than pursuant to a registration statement, we shall use our reasonable best efforts to assist New Fortress Energy Holdings in the sale process, including by providing information to potential purchasers as requested by New Fortress Energy Holdings.</w:t>
      </w:r>
    </w:p>
    <w:p>
      <w:pPr>
        <w:spacing w:after="0" w:line="57" w:lineRule="exact"/>
        <w:rPr>
          <w:sz w:val="20"/>
          <w:szCs w:val="20"/>
          <w:color w:val="auto"/>
        </w:rPr>
      </w:pPr>
    </w:p>
    <w:p>
      <w:pPr>
        <w:ind w:right="100" w:firstLine="357"/>
        <w:spacing w:after="0" w:line="257" w:lineRule="auto"/>
        <w:rPr>
          <w:sz w:val="20"/>
          <w:szCs w:val="20"/>
          <w:color w:val="auto"/>
        </w:rPr>
      </w:pPr>
      <w:r>
        <w:rPr>
          <w:rFonts w:ascii="Arial" w:cs="Arial" w:eastAsia="Arial" w:hAnsi="Arial"/>
          <w:sz w:val="18"/>
          <w:szCs w:val="18"/>
          <w:color w:val="auto"/>
        </w:rPr>
        <w:t>In addition, if the board of the directors starts and then abandons a sale process, and New Fortress Energy Holdings subsequently indicates that it wants to sell its Class A shares, we shall permit New Fortress Energy Holdings to engage in discussions with potential purchasers who participated in the abandoned sales process. We shall be obligated to assist New Fortress Energy Holdings in any such sale process.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Amended and Restated Limited Liability Company Agreement of NFI</w:t>
      </w:r>
    </w:p>
    <w:p>
      <w:pPr>
        <w:spacing w:after="0" w:line="115" w:lineRule="exact"/>
        <w:rPr>
          <w:sz w:val="20"/>
          <w:szCs w:val="20"/>
          <w:color w:val="auto"/>
        </w:rPr>
      </w:pPr>
    </w:p>
    <w:p>
      <w:pPr>
        <w:ind w:right="160" w:firstLine="357"/>
        <w:spacing w:after="0" w:line="274" w:lineRule="auto"/>
        <w:rPr>
          <w:sz w:val="20"/>
          <w:szCs w:val="20"/>
          <w:color w:val="auto"/>
        </w:rPr>
      </w:pPr>
      <w:r>
        <w:rPr>
          <w:rFonts w:ascii="Arial" w:cs="Arial" w:eastAsia="Arial" w:hAnsi="Arial"/>
          <w:sz w:val="18"/>
          <w:szCs w:val="18"/>
          <w:color w:val="auto"/>
        </w:rPr>
        <w:t>The form of NFI LLC Agreement is filed as an exhibit to the registration statement of which this prospectus forms a part, and the following description of the NFI LLC Agreement is qualified in its entirety by reference thereto.</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Redemption Rights</w:t>
      </w:r>
    </w:p>
    <w:p>
      <w:pPr>
        <w:spacing w:after="0" w:line="115" w:lineRule="exact"/>
        <w:rPr>
          <w:sz w:val="20"/>
          <w:szCs w:val="20"/>
          <w:color w:val="auto"/>
        </w:rPr>
      </w:pPr>
    </w:p>
    <w:p>
      <w:pPr>
        <w:jc w:val="both"/>
        <w:ind w:right="60" w:firstLine="357"/>
        <w:spacing w:after="0" w:line="261" w:lineRule="auto"/>
        <w:rPr>
          <w:sz w:val="20"/>
          <w:szCs w:val="20"/>
          <w:color w:val="auto"/>
        </w:rPr>
      </w:pPr>
      <w:r>
        <w:rPr>
          <w:rFonts w:ascii="Arial" w:cs="Arial" w:eastAsia="Arial" w:hAnsi="Arial"/>
          <w:sz w:val="18"/>
          <w:szCs w:val="18"/>
          <w:color w:val="auto"/>
        </w:rPr>
        <w:t>Following this offering, under the NFI LLC Agreement, New Fortress Energy Holdings and any permitted transferees of their NFI LLC Units will, subject to certain limitations, have the right, pursuant to the Redemption Right, to cause NFI to acquire all or a portion of its NFI LLC Units for, at NFI’s election, (i) Class A shares at 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redemption ratio of one Class A share for each NFI LLC Unit redeemed, subject to conversion rate adjustments for equity splits, equity dividends and reclassification and other similar transactions or (ii) an equivalent amount of cash. NFI will determine whether to issue Class A shares or cash based on facts in existence at the time of the decision, which we expect would include the relative value of the Class A shares (including trading prices for the Class A shares at the time), the cash purchase price, the availability of other sources of liquidity to acquire the NFI LLC Units and alternative uses for such cash. As the sole managing member of NFI, our decision to make a cash payment upon the redemption of NFI LLC Units will be made by a committee of our board of directors. Alternatively, upon the exercise of the Redemption Right, NFE (instead of NFI) will have the right, pursuant to the Call Right, to, for administrative convenience, acquire each tendered NFI LLC Unit directly from the redeeming NFI unitholder for, at its election,</w:t>
      </w:r>
    </w:p>
    <w:p>
      <w:pPr>
        <w:spacing w:after="0" w:line="2" w:lineRule="exact"/>
        <w:rPr>
          <w:sz w:val="20"/>
          <w:szCs w:val="20"/>
          <w:color w:val="auto"/>
        </w:rPr>
      </w:pPr>
    </w:p>
    <w:p>
      <w:pPr>
        <w:ind w:firstLine="5"/>
        <w:spacing w:after="0" w:line="251" w:lineRule="auto"/>
        <w:tabs>
          <w:tab w:leader="none" w:pos="2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 Class A share, subject to conversion rate adjustments for equity splits, equity dividends and reclassification and other similar transactions or (y) an equivalent amount of cash. Our decision with respect to the Call Right will be made by a committee of our board of directors. In connection with any redemption of NFI LLC Units pursuant to the Redemption Right or our Call Right, the corresponding number of Class B shares will be cancelled.</w:t>
      </w:r>
    </w:p>
    <w:p>
      <w:pPr>
        <w:spacing w:after="0" w:line="85" w:lineRule="exact"/>
        <w:rPr>
          <w:sz w:val="20"/>
          <w:szCs w:val="20"/>
          <w:color w:val="auto"/>
        </w:rPr>
      </w:pPr>
    </w:p>
    <w:p>
      <w:pPr>
        <w:ind w:right="80" w:firstLine="357"/>
        <w:spacing w:after="0" w:line="257" w:lineRule="auto"/>
        <w:rPr>
          <w:sz w:val="20"/>
          <w:szCs w:val="20"/>
          <w:color w:val="auto"/>
        </w:rPr>
      </w:pPr>
      <w:r>
        <w:rPr>
          <w:rFonts w:ascii="Arial" w:cs="Arial" w:eastAsia="Arial" w:hAnsi="Arial"/>
          <w:sz w:val="18"/>
          <w:szCs w:val="18"/>
          <w:color w:val="auto"/>
        </w:rPr>
        <w:t>For purposes of any transfer or exchange of NFI LLC Units initially owned by New Fortress Energy Holdings and our Class B shares, the NFI LLC Agreement and our operating agreement will contain provisions effectively linking each NFI LLC Unit with one of our Class B shares. Class B shares cannot be transferred without transferring an equal number of NFI LLC Units and vice versa.</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Distributions and Allocations</w:t>
      </w:r>
    </w:p>
    <w:p>
      <w:pPr>
        <w:spacing w:after="0" w:line="115" w:lineRule="exact"/>
        <w:rPr>
          <w:sz w:val="20"/>
          <w:szCs w:val="20"/>
          <w:color w:val="auto"/>
        </w:rPr>
      </w:pPr>
    </w:p>
    <w:p>
      <w:pPr>
        <w:ind w:right="80" w:firstLine="357"/>
        <w:spacing w:after="0" w:line="277" w:lineRule="auto"/>
        <w:rPr>
          <w:sz w:val="20"/>
          <w:szCs w:val="20"/>
          <w:color w:val="auto"/>
        </w:rPr>
      </w:pPr>
      <w:r>
        <w:rPr>
          <w:rFonts w:ascii="Arial" w:cs="Arial" w:eastAsia="Arial" w:hAnsi="Arial"/>
          <w:sz w:val="17"/>
          <w:szCs w:val="17"/>
          <w:color w:val="auto"/>
        </w:rPr>
        <w:t>In accordance with the NFI LLC Agreement, subject to the requirement to make tax distributions described below, we will have the right to determine when distributions will be made to the holders of NFI LLC Units and the amount of any such distributions. Following this offering, if we authorize a distribution, such distribution will be made to the holders of NFI LLC Units generally on a pro rata basis in accordance with their respective percentage ownership of NFI LLC Units.</w:t>
      </w:r>
    </w:p>
    <w:p>
      <w:pPr>
        <w:spacing w:after="0" w:line="63" w:lineRule="exact"/>
        <w:rPr>
          <w:sz w:val="20"/>
          <w:szCs w:val="20"/>
          <w:color w:val="auto"/>
        </w:rPr>
      </w:pPr>
    </w:p>
    <w:p>
      <w:pPr>
        <w:ind w:right="40" w:firstLine="357"/>
        <w:spacing w:after="0" w:line="285" w:lineRule="auto"/>
        <w:rPr>
          <w:sz w:val="20"/>
          <w:szCs w:val="20"/>
          <w:color w:val="auto"/>
        </w:rPr>
      </w:pPr>
      <w:r>
        <w:rPr>
          <w:rFonts w:ascii="Arial" w:cs="Arial" w:eastAsia="Arial" w:hAnsi="Arial"/>
          <w:sz w:val="16"/>
          <w:szCs w:val="16"/>
          <w:color w:val="auto"/>
        </w:rPr>
        <w:t>NFI will allocate its net income or net loss for each year to the holders of NFI LLC Units pursuant to the terms of the NFI LLC Agreement, and the holders of NFI LLC Units, including NFE, will generally incur U.S. federal, state and local income taxes on their share of any taxable income of NFI. Net income and losses of NFI generally will be allocated to the holders of NFI LLC Units on a pro rata basis in accordance with their respective percentage ownership of NFI LLC Units, subject to requirements under U.S. federal income tax law that certain items of income, gain, loss or deduction be allocated disproportionately in certain circumstances. To the extent NFI has available cash and subject to the terms of NFE’s credit agreements and any other debt instruments, we will cause NFI to make (i) generally pro rata distributions to holders of NFI LLC Units, including NFE, in an amount sufficient to allow NFE to pay its taxes, (ii) additional pro rata distributions to all holders of NFI LLC Units in an amount generally intended to allow holders of NFI LLC Units (other than NFE) to satisfy their respective income tax liabilities with respect to their allocable share of the income of NFI (based on certain assumptions and conventions and as determined by NFI Holdings), and (iii) non-pro rata distributions to NFE in an amount at least sufficient to reimburse it for its corporate and other overhead expenses.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Issuance of Equity</w:t>
      </w:r>
    </w:p>
    <w:p>
      <w:pPr>
        <w:spacing w:after="0" w:line="115" w:lineRule="exact"/>
        <w:rPr>
          <w:sz w:val="20"/>
          <w:szCs w:val="20"/>
          <w:color w:val="auto"/>
        </w:rPr>
      </w:pPr>
    </w:p>
    <w:p>
      <w:pPr>
        <w:ind w:right="200" w:firstLine="357"/>
        <w:spacing w:after="0" w:line="253" w:lineRule="auto"/>
        <w:rPr>
          <w:sz w:val="20"/>
          <w:szCs w:val="20"/>
          <w:color w:val="auto"/>
        </w:rPr>
      </w:pPr>
      <w:r>
        <w:rPr>
          <w:rFonts w:ascii="Arial" w:cs="Arial" w:eastAsia="Arial" w:hAnsi="Arial"/>
          <w:sz w:val="18"/>
          <w:szCs w:val="18"/>
          <w:color w:val="auto"/>
        </w:rPr>
        <w:t>The NFI LLC Agreement will provide that, except as otherwise determined by us, at any time NFE issues a Class A share or any other equity security, the net proceeds received by NFE with respect to such issuance, if any, shall be concurrently invested in NFI, and NFI shall issue to NFE one NFI LLC Unit or other economically equivalent equity interest unless such net proceeds are used by NFE to acquire a NFI LLC Unit pursuant to NFE’s exercise of the Call Right. Conversely, if at any time, any of NFE’s Class A shares are redeemed, repurchased or otherwise acquired, NFI shall redeem, repurchase or otherwise acquire an equal number of NFI LLC Units held by NFE, upon the same terms and for the same price, as our Class A shares are redeemed, repurchased or otherwise acquired.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Persons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Miami Ground Lease</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lease the property for our Miami Facility from an affiliate of Fortress.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i w:val="1"/>
          <w:iCs w:val="1"/>
          <w:color w:val="auto"/>
        </w:rPr>
        <w:t>The Lease</w:t>
      </w:r>
      <w:r>
        <w:rPr>
          <w:rFonts w:ascii="Arial" w:cs="Arial" w:eastAsia="Arial" w:hAnsi="Arial"/>
          <w:sz w:val="18"/>
          <w:szCs w:val="18"/>
          <w:color w:val="auto"/>
        </w:rPr>
        <w:t>. Our subsidiary, LNG Holdings (Florida) LLC (“Florida Holdings”), is the owner and operator of the Miami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Florida Holdings holds rights to the real property on which the Miami Facility is located pursuant to that certain Ground Lease Agreement dated November 20, 2014 (the “Miami Lease”), by and between FDG LR 7 LLC, as landlord (“Miami Landlord”), and Florida Holdings, as tenant (in such capacity, “Miami Tenant”). The Miami Landlord is owned by certain funds managed by an affiliate of Fortress.</w:t>
      </w:r>
    </w:p>
    <w:p>
      <w:pPr>
        <w:spacing w:after="0" w:line="81" w:lineRule="exact"/>
        <w:rPr>
          <w:sz w:val="20"/>
          <w:szCs w:val="20"/>
          <w:color w:val="auto"/>
        </w:rPr>
      </w:pPr>
    </w:p>
    <w:p>
      <w:pPr>
        <w:ind w:right="200" w:firstLine="357"/>
        <w:spacing w:after="0" w:line="261"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the Miami Lease commenced November 20, 2014, and expires November 19, 2019. The term will</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extend for five additional periods of five years each (unless Miami Tenant notifies Miami Landlord otherwise as set forth in the Miami Lease).</w:t>
      </w:r>
    </w:p>
    <w:p>
      <w:pPr>
        <w:spacing w:after="0" w:line="76" w:lineRule="exact"/>
        <w:rPr>
          <w:sz w:val="20"/>
          <w:szCs w:val="20"/>
          <w:color w:val="auto"/>
        </w:rPr>
      </w:pPr>
    </w:p>
    <w:p>
      <w:pPr>
        <w:ind w:right="80" w:firstLine="357"/>
        <w:spacing w:after="0" w:line="299" w:lineRule="auto"/>
        <w:rPr>
          <w:sz w:val="20"/>
          <w:szCs w:val="20"/>
          <w:color w:val="auto"/>
        </w:rPr>
      </w:pPr>
      <w:r>
        <w:rPr>
          <w:rFonts w:ascii="Arial" w:cs="Arial" w:eastAsia="Arial" w:hAnsi="Arial"/>
          <w:sz w:val="16"/>
          <w:szCs w:val="16"/>
          <w:i w:val="1"/>
          <w:iCs w:val="1"/>
          <w:color w:val="auto"/>
        </w:rPr>
        <w:t>Rent; Security</w:t>
      </w:r>
      <w:r>
        <w:rPr>
          <w:rFonts w:ascii="Arial" w:cs="Arial" w:eastAsia="Arial" w:hAnsi="Arial"/>
          <w:sz w:val="16"/>
          <w:szCs w:val="16"/>
          <w:color w:val="auto"/>
        </w:rPr>
        <w:t>. Miami Tenant pays base rent in the amount of $270,000 per year, which amount shall escalate by 2.5% on each</w:t>
      </w:r>
      <w:r>
        <w:rPr>
          <w:rFonts w:ascii="Arial" w:cs="Arial" w:eastAsia="Arial" w:hAnsi="Arial"/>
          <w:sz w:val="16"/>
          <w:szCs w:val="16"/>
          <w:i w:val="1"/>
          <w:iCs w:val="1"/>
          <w:color w:val="auto"/>
        </w:rPr>
        <w:t xml:space="preserve"> </w:t>
      </w:r>
      <w:r>
        <w:rPr>
          <w:rFonts w:ascii="Arial" w:cs="Arial" w:eastAsia="Arial" w:hAnsi="Arial"/>
          <w:sz w:val="16"/>
          <w:szCs w:val="16"/>
          <w:color w:val="auto"/>
        </w:rPr>
        <w:t>anniversary of the commencement date. Miami Tenant has delivered a security deposit in the amount of $135,000, which will be reduced to $70,000 upon commencement of the first renewal term, and further reduced to $0 upon commencement of the second renewal term. Miami Tenant has the right to provide the security deposit in the form of letter of credit.</w:t>
      </w:r>
    </w:p>
    <w:p>
      <w:pPr>
        <w:spacing w:after="0" w:line="49" w:lineRule="exact"/>
        <w:rPr>
          <w:sz w:val="20"/>
          <w:szCs w:val="20"/>
          <w:color w:val="auto"/>
        </w:rPr>
      </w:pPr>
    </w:p>
    <w:p>
      <w:pPr>
        <w:ind w:right="580" w:firstLine="357"/>
        <w:spacing w:after="0" w:line="305" w:lineRule="auto"/>
        <w:rPr>
          <w:sz w:val="20"/>
          <w:szCs w:val="20"/>
          <w:color w:val="auto"/>
        </w:rPr>
      </w:pPr>
      <w:r>
        <w:rPr>
          <w:rFonts w:ascii="Arial" w:cs="Arial" w:eastAsia="Arial" w:hAnsi="Arial"/>
          <w:sz w:val="17"/>
          <w:szCs w:val="17"/>
          <w:i w:val="1"/>
          <w:iCs w:val="1"/>
          <w:color w:val="auto"/>
        </w:rPr>
        <w:t>Net Lease</w:t>
      </w:r>
      <w:r>
        <w:rPr>
          <w:rFonts w:ascii="Arial" w:cs="Arial" w:eastAsia="Arial" w:hAnsi="Arial"/>
          <w:sz w:val="17"/>
          <w:szCs w:val="17"/>
          <w:color w:val="auto"/>
        </w:rPr>
        <w:t>. Miami Tenant is responsible for all other costs attributable to the Miami leased premises and Miami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all property taxes, insurance, and utilities, as well as all maintenance, repair, and replacement costs.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Private Aircraft</w:t>
      </w:r>
    </w:p>
    <w:p>
      <w:pPr>
        <w:spacing w:after="0" w:line="115" w:lineRule="exact"/>
        <w:rPr>
          <w:sz w:val="20"/>
          <w:szCs w:val="20"/>
          <w:color w:val="auto"/>
        </w:rPr>
      </w:pPr>
    </w:p>
    <w:p>
      <w:pPr>
        <w:ind w:right="80" w:firstLine="357"/>
        <w:spacing w:after="0" w:line="255" w:lineRule="auto"/>
        <w:rPr>
          <w:sz w:val="20"/>
          <w:szCs w:val="20"/>
          <w:color w:val="auto"/>
        </w:rPr>
      </w:pPr>
      <w:r>
        <w:rPr>
          <w:rFonts w:ascii="Arial" w:cs="Arial" w:eastAsia="Arial" w:hAnsi="Arial"/>
          <w:sz w:val="18"/>
          <w:szCs w:val="18"/>
          <w:color w:val="auto"/>
        </w:rPr>
        <w:t>Mr. Edens owns or leases an aircraft that we charter from a third-party aircraft operator for business purposes in the ordinary course of operations. We incurred $2.9 million and $1.6 million for the years ended December 31, 2017 and 2016, respectively, and such amounts are included within Selling, general and administrative charges reimbursed to FIG LLC pursuant to the management services agreement described below. We paid the aircraft operator market rates for the charters. The operator remits a portion of these amounts to Mr. Edens.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115" w:lineRule="exact"/>
        <w:rPr>
          <w:sz w:val="20"/>
          <w:szCs w:val="20"/>
          <w:color w:val="auto"/>
        </w:rPr>
      </w:pPr>
    </w:p>
    <w:p>
      <w:pPr>
        <w:ind w:right="60" w:firstLine="357"/>
        <w:spacing w:after="0" w:line="255" w:lineRule="auto"/>
        <w:rPr>
          <w:sz w:val="20"/>
          <w:szCs w:val="20"/>
          <w:color w:val="auto"/>
        </w:rPr>
      </w:pPr>
      <w:r>
        <w:rPr>
          <w:rFonts w:ascii="Arial" w:cs="Arial" w:eastAsia="Arial" w:hAnsi="Arial"/>
          <w:sz w:val="18"/>
          <w:szCs w:val="18"/>
          <w:color w:val="auto"/>
        </w:rPr>
        <w:t>We are party to a management services agreement with FIG LLC, an affiliate of Fortress, pursuant to which FIG LLC provides us with certain back-office services and charges us for selling, general and administrative expenses incurred to provide these services. For the years ended December 31, 2017 and 2016, we paid FIG LLC $3.9 million and $2.2 million, respectively, for services provided under the management services agreement. The management services agreement will be terminated in connection with the closing of this offering.</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5" w:lineRule="exact"/>
        <w:rPr>
          <w:sz w:val="20"/>
          <w:szCs w:val="20"/>
          <w:color w:val="auto"/>
        </w:rPr>
      </w:pPr>
    </w:p>
    <w:p>
      <w:pPr>
        <w:jc w:val="both"/>
        <w:ind w:right="380" w:firstLine="357"/>
        <w:spacing w:after="0" w:line="261" w:lineRule="auto"/>
        <w:rPr>
          <w:sz w:val="20"/>
          <w:szCs w:val="20"/>
          <w:color w:val="auto"/>
        </w:rPr>
      </w:pPr>
      <w:r>
        <w:rPr>
          <w:rFonts w:ascii="Arial" w:cs="Arial" w:eastAsia="Arial" w:hAnsi="Arial"/>
          <w:sz w:val="18"/>
          <w:szCs w:val="18"/>
          <w:color w:val="auto"/>
        </w:rPr>
        <w:t>We intend to enter into an administrative services agreement with FIG LLC, an affiliate of Fortress, in connection with the closing of this offering, pursuant to which FIG LLC will provide us with certain back-office services and charge us for selling, general and administrative expenses incurred to provide these services.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Corporate Headquarters Lease</w:t>
      </w:r>
    </w:p>
    <w:p>
      <w:pPr>
        <w:spacing w:after="0" w:line="115" w:lineRule="exact"/>
        <w:rPr>
          <w:sz w:val="20"/>
          <w:szCs w:val="20"/>
          <w:color w:val="auto"/>
        </w:rPr>
      </w:pPr>
    </w:p>
    <w:p>
      <w:pPr>
        <w:ind w:right="80" w:firstLine="357"/>
        <w:spacing w:after="0" w:line="299" w:lineRule="auto"/>
        <w:rPr>
          <w:sz w:val="20"/>
          <w:szCs w:val="20"/>
          <w:color w:val="auto"/>
        </w:rPr>
      </w:pPr>
      <w:r>
        <w:rPr>
          <w:rFonts w:ascii="Arial" w:cs="Arial" w:eastAsia="Arial" w:hAnsi="Arial"/>
          <w:sz w:val="16"/>
          <w:szCs w:val="16"/>
          <w:color w:val="auto"/>
        </w:rPr>
        <w:t>In November 2018, we entered into a month-to-month non-exclusive license agreement, pursuant to which we lease our corporate offices from Fortress Shareholder, an entity owned jointly by Wesley R. Edens and Randal A. Nardone. Annual rent for the year ended December 31, 2018 under this license agreement is approximately $1,100,000. Fortress Shareholder agreed to be the lessor of record for the lease to facilitate the Company’s ability to occupy the space in the timeframe desired by the Company.</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Participation in this Offering</w:t>
      </w:r>
    </w:p>
    <w:p>
      <w:pPr>
        <w:spacing w:after="0" w:line="115" w:lineRule="exact"/>
        <w:rPr>
          <w:sz w:val="20"/>
          <w:szCs w:val="20"/>
          <w:color w:val="auto"/>
        </w:rPr>
      </w:pPr>
    </w:p>
    <w:p>
      <w:pPr>
        <w:jc w:val="both"/>
        <w:ind w:right="140" w:firstLine="357"/>
        <w:spacing w:after="0" w:line="257" w:lineRule="auto"/>
        <w:rPr>
          <w:sz w:val="20"/>
          <w:szCs w:val="20"/>
          <w:color w:val="auto"/>
        </w:rPr>
      </w:pPr>
      <w:r>
        <w:rPr>
          <w:rFonts w:ascii="Arial" w:cs="Arial" w:eastAsia="Arial" w:hAnsi="Arial"/>
          <w:sz w:val="18"/>
          <w:szCs w:val="18"/>
          <w:color w:val="auto"/>
        </w:rPr>
        <w:t>Certain of our executive officers and directors (including our Chief Executive Officer and Chairman) have agreed to purchase 5,000,000 Class A shares in this offering at the initial public offering price per share and on the same terms as the other purchasers in this offering. The underwriters will receive the same underwriting discount on these shares as they will on any other shares sold to the public in this offering.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Procedures for Review, Approval and Ratification of Transactions with Related Persons</w:t>
      </w:r>
    </w:p>
    <w:p>
      <w:pPr>
        <w:spacing w:after="0" w:line="115"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We expect that our Board will adopt a written policy that outlines procedures for approving transactions with related persons, and that any such transactions will be reviewed and approved or ratified by a majority of our disinterested and independent directors pursuant to the procedures outlined in any such policy. In determining whether to approve or ratify a transaction with a related person, we expect that the independent and disinterested directors will consider a variety of factors they deem relevant.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Shares</w:t>
      </w:r>
    </w:p>
    <w:p>
      <w:pPr>
        <w:spacing w:after="0" w:line="119" w:lineRule="exact"/>
        <w:rPr>
          <w:sz w:val="20"/>
          <w:szCs w:val="20"/>
          <w:color w:val="auto"/>
        </w:rPr>
      </w:pPr>
    </w:p>
    <w:p>
      <w:pPr>
        <w:ind w:right="20" w:firstLine="357"/>
        <w:spacing w:after="0" w:line="27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Class A shares are entitled to one vote per share held of record on all matters to be voted upon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A shares do not have cumulative voting rights in the election of directors.</w:t>
      </w:r>
    </w:p>
    <w:p>
      <w:pPr>
        <w:spacing w:after="0" w:line="70" w:lineRule="exact"/>
        <w:rPr>
          <w:sz w:val="20"/>
          <w:szCs w:val="20"/>
          <w:color w:val="auto"/>
        </w:rPr>
      </w:pPr>
    </w:p>
    <w:p>
      <w:pPr>
        <w:ind w:right="160" w:firstLine="357"/>
        <w:spacing w:after="0" w:line="284"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Holders of our Class A shares are entitled to ratably receive dividends when and if declared by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out of funds legally available for that purpose, subject to any statutory or contractual restrictions on the payment of dividends and to any prior rights and preferences that may be applicable to any outstanding preferred shares.</w:t>
      </w:r>
    </w:p>
    <w:p>
      <w:pPr>
        <w:spacing w:after="0" w:line="57" w:lineRule="exact"/>
        <w:rPr>
          <w:sz w:val="20"/>
          <w:szCs w:val="20"/>
          <w:color w:val="auto"/>
        </w:rPr>
      </w:pPr>
    </w:p>
    <w:p>
      <w:pPr>
        <w:jc w:val="both"/>
        <w:ind w:right="100" w:firstLine="357"/>
        <w:spacing w:after="0" w:line="261"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our liquidation, dissolution, distribution of assets or other winding up, the holders of Class A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are entitled to receive ratably the assets available for distribution to the shareholders after payment of liabilities and the liquidation preference of any of our outstanding preferred shares.</w:t>
      </w:r>
    </w:p>
    <w:p>
      <w:pPr>
        <w:spacing w:after="0" w:line="76" w:lineRule="exact"/>
        <w:rPr>
          <w:sz w:val="20"/>
          <w:szCs w:val="20"/>
          <w:color w:val="auto"/>
        </w:rPr>
      </w:pPr>
    </w:p>
    <w:p>
      <w:pPr>
        <w:ind w:right="180" w:firstLine="357"/>
        <w:spacing w:after="0" w:line="261"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The Class A shares have no preemptive or conversion rights and are not subject to further calls or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by us. There are no redemption or sinking fund provisions applicable to the Class A shares. All outstanding Class A shares, including the Class A shares offered in this offering, are fully paid and non-assessable.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Shares</w:t>
      </w:r>
    </w:p>
    <w:p>
      <w:pPr>
        <w:spacing w:after="0" w:line="119" w:lineRule="exact"/>
        <w:rPr>
          <w:sz w:val="20"/>
          <w:szCs w:val="20"/>
          <w:color w:val="auto"/>
        </w:rPr>
      </w:pPr>
    </w:p>
    <w:p>
      <w:pPr>
        <w:jc w:val="both"/>
        <w:ind w:right="80" w:firstLine="357"/>
        <w:spacing w:after="0" w:line="257" w:lineRule="auto"/>
        <w:rPr>
          <w:sz w:val="20"/>
          <w:szCs w:val="20"/>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In connection with the reorganization and this offering, the NFI unitholders will receive one Class B share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NFI LLC Unit that they hold. Accordingly, the NFI unitholders will have a number of votes in NFE equal to the aggregate number of NFI LLC Units that they hold. Class B shares cannot be transferred without transferring an equal number of NFI LLC Units and vice versa.</w:t>
      </w:r>
    </w:p>
    <w:p>
      <w:pPr>
        <w:spacing w:after="0" w:line="79" w:lineRule="exact"/>
        <w:rPr>
          <w:sz w:val="20"/>
          <w:szCs w:val="20"/>
          <w:color w:val="auto"/>
        </w:rPr>
      </w:pPr>
    </w:p>
    <w:p>
      <w:pPr>
        <w:ind w:right="20" w:firstLine="357"/>
        <w:spacing w:after="0" w:line="27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Class B shares are entitled to one vote per share held of record on all matters to be voted upon by</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B shares do not have cumulative voting rights in the election of directors.</w:t>
      </w:r>
    </w:p>
    <w:p>
      <w:pPr>
        <w:spacing w:after="0" w:line="70"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i w:val="1"/>
          <w:iCs w:val="1"/>
          <w:color w:val="auto"/>
        </w:rPr>
        <w:t>Dividend and Liquidation Rights</w:t>
      </w:r>
      <w:r>
        <w:rPr>
          <w:rFonts w:ascii="Arial" w:cs="Arial" w:eastAsia="Arial" w:hAnsi="Arial"/>
          <w:sz w:val="18"/>
          <w:szCs w:val="18"/>
          <w:color w:val="auto"/>
        </w:rPr>
        <w:t>. Holders of our Class B shares do not have any right to receive dividends, unless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our Class B shares or of rights, options, warrants or other securities convertible or 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19"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Pursuant to our operating agreement,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The rights with respect to a series of preferred shares may be more favorable to the holder(s) thereof than the rights attached to our Class A shares. It is not possible to state the actual effect of the issuance of any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preferred shares on the rights of holders of our Class A shares until our board of directors determines the specific rights attached to such preference share. The effect of issuing preferred shares may include, among other things, one or more of the following:</w:t>
      </w:r>
    </w:p>
    <w:p>
      <w:pPr>
        <w:spacing w:after="0" w:line="17" w:lineRule="exact"/>
        <w:rPr>
          <w:sz w:val="20"/>
          <w:szCs w:val="20"/>
          <w:color w:val="auto"/>
        </w:rPr>
      </w:pPr>
    </w:p>
    <w:p>
      <w:pPr>
        <w:ind w:left="700" w:hanging="34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restricting any dividends in respect of our Class A shares;</w:t>
      </w:r>
    </w:p>
    <w:p>
      <w:pPr>
        <w:spacing w:after="0" w:line="114" w:lineRule="exact"/>
        <w:rPr>
          <w:rFonts w:ascii="Arial" w:cs="Arial" w:eastAsia="Arial" w:hAnsi="Arial"/>
          <w:sz w:val="18"/>
          <w:szCs w:val="18"/>
          <w:color w:val="auto"/>
        </w:rPr>
      </w:pPr>
    </w:p>
    <w:p>
      <w:pPr>
        <w:ind w:left="700" w:right="360" w:hanging="346"/>
        <w:spacing w:after="0" w:line="274"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diluting the voting power of our Class A shares or providing that holders of preferred shares have the right to vote on matters as a class;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impairing the liquidation rights of our Class A shares;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delaying or preventing a change of control of us; or</w:t>
      </w:r>
    </w:p>
    <w:p>
      <w:pPr>
        <w:spacing w:after="0" w:line="114" w:lineRule="exact"/>
        <w:rPr>
          <w:rFonts w:ascii="Arial" w:cs="Arial" w:eastAsia="Arial" w:hAnsi="Arial"/>
          <w:sz w:val="18"/>
          <w:szCs w:val="18"/>
          <w:color w:val="auto"/>
        </w:rPr>
      </w:pPr>
    </w:p>
    <w:p>
      <w:pPr>
        <w:ind w:left="700" w:right="80" w:hanging="346"/>
        <w:spacing w:after="0" w:line="261"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NFE issues preferred shares, NFI will concurrently issue to NFE an equal number of preferred units, corresponding to the preferred shares issued by NFE. Such preferred units will have substantially the same rights to distributions and other economic rights as those of the preferred shares of NFE.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Duties</w:t>
      </w:r>
    </w:p>
    <w:p>
      <w:pPr>
        <w:spacing w:after="0" w:line="115" w:lineRule="exact"/>
        <w:rPr>
          <w:sz w:val="20"/>
          <w:szCs w:val="20"/>
          <w:color w:val="auto"/>
        </w:rPr>
      </w:pPr>
    </w:p>
    <w:p>
      <w:pPr>
        <w:ind w:right="100" w:firstLine="357"/>
        <w:spacing w:after="0" w:line="261" w:lineRule="auto"/>
        <w:rPr>
          <w:sz w:val="20"/>
          <w:szCs w:val="20"/>
          <w:color w:val="auto"/>
        </w:rPr>
      </w:pPr>
      <w:r>
        <w:rPr>
          <w:rFonts w:ascii="Arial" w:cs="Arial" w:eastAsia="Arial" w:hAnsi="Arial"/>
          <w:sz w:val="18"/>
          <w:szCs w:val="18"/>
          <w:color w:val="auto"/>
        </w:rPr>
        <w:t>American Stock Transfer &amp; Trust Company, LLC will serve as the registrar and transfer agent for the Class A shares. We will pay all fees charged by the transfer agent for transfers of Class A shares except the following, which must be paid by our Class A shareholders:</w:t>
      </w:r>
    </w:p>
    <w:p>
      <w:pPr>
        <w:spacing w:after="0" w:line="76" w:lineRule="exact"/>
        <w:rPr>
          <w:sz w:val="20"/>
          <w:szCs w:val="20"/>
          <w:color w:val="auto"/>
        </w:rPr>
      </w:pPr>
    </w:p>
    <w:p>
      <w:pPr>
        <w:ind w:left="700" w:hanging="34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115"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There will be no charge to our Class A shareholders for disbursements of any dividends. We will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may resign, by notice to us, or be removed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119" w:lineRule="exact"/>
        <w:rPr>
          <w:sz w:val="20"/>
          <w:szCs w:val="20"/>
          <w:color w:val="auto"/>
        </w:rPr>
      </w:pPr>
    </w:p>
    <w:p>
      <w:pPr>
        <w:ind w:right="20" w:firstLine="357"/>
        <w:spacing w:after="0" w:line="261" w:lineRule="auto"/>
        <w:rPr>
          <w:sz w:val="20"/>
          <w:szCs w:val="20"/>
          <w:color w:val="auto"/>
        </w:rPr>
      </w:pPr>
      <w:r>
        <w:rPr>
          <w:rFonts w:ascii="Arial" w:cs="Arial" w:eastAsia="Arial" w:hAnsi="Arial"/>
          <w:sz w:val="18"/>
          <w:szCs w:val="18"/>
          <w:color w:val="auto"/>
        </w:rPr>
        <w:t>Upon the transfer of a Class A share or a Class B share in accordance with our operating agreement, the transferee of the Class A share or Class B share shall be admitted as a member with respect to the class of shares transferred when such transfer and admission are reflected in our books and records. Each transferee:</w:t>
      </w:r>
    </w:p>
    <w:p>
      <w:pPr>
        <w:spacing w:after="0" w:line="76" w:lineRule="exact"/>
        <w:rPr>
          <w:sz w:val="20"/>
          <w:szCs w:val="20"/>
          <w:color w:val="auto"/>
        </w:rPr>
      </w:pPr>
    </w:p>
    <w:p>
      <w:pPr>
        <w:ind w:left="700" w:hanging="34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automatically becomes bound by the terms and conditions of our operating agreement;</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represents that the transferee has the capacity, power and authority to enter into our operating agreement; and</w:t>
      </w:r>
    </w:p>
    <w:p>
      <w:pPr>
        <w:spacing w:after="0" w:line="126" w:lineRule="exact"/>
        <w:rPr>
          <w:rFonts w:ascii="Arial" w:cs="Arial" w:eastAsia="Arial" w:hAnsi="Arial"/>
          <w:sz w:val="17"/>
          <w:szCs w:val="17"/>
          <w:color w:val="auto"/>
        </w:rPr>
      </w:pPr>
    </w:p>
    <w:p>
      <w:pPr>
        <w:ind w:left="700" w:right="320" w:hanging="346"/>
        <w:spacing w:after="0" w:line="339"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makes the consents, acknowledgements and waivers contained in our operating agreement, such as the approval of all transactions and agreements that we are entering into in connection with our formation and this offering.</w:t>
      </w:r>
    </w:p>
    <w:p>
      <w:pPr>
        <w:spacing w:after="0" w:line="17" w:lineRule="exact"/>
        <w:rPr>
          <w:sz w:val="20"/>
          <w:szCs w:val="20"/>
          <w:color w:val="auto"/>
        </w:rPr>
      </w:pPr>
    </w:p>
    <w:p>
      <w:pPr>
        <w:ind w:right="120" w:firstLine="357"/>
        <w:spacing w:after="0" w:line="274" w:lineRule="auto"/>
        <w:rPr>
          <w:sz w:val="20"/>
          <w:szCs w:val="20"/>
          <w:color w:val="auto"/>
        </w:rPr>
      </w:pPr>
      <w:r>
        <w:rPr>
          <w:rFonts w:ascii="Arial" w:cs="Arial" w:eastAsia="Arial" w:hAnsi="Arial"/>
          <w:sz w:val="18"/>
          <w:szCs w:val="18"/>
          <w:color w:val="auto"/>
        </w:rPr>
        <w:t>We will cause any transfers to be recorded on our books and records from time to time (or shall cause the transfer agent to do so, as applicable).</w:t>
      </w:r>
    </w:p>
    <w:p>
      <w:pPr>
        <w:spacing w:after="0" w:line="64" w:lineRule="exact"/>
        <w:rPr>
          <w:sz w:val="20"/>
          <w:szCs w:val="20"/>
          <w:color w:val="auto"/>
        </w:rPr>
      </w:pPr>
    </w:p>
    <w:p>
      <w:pPr>
        <w:jc w:val="both"/>
        <w:ind w:right="80" w:firstLine="357"/>
        <w:spacing w:after="0" w:line="261" w:lineRule="auto"/>
        <w:rPr>
          <w:sz w:val="20"/>
          <w:szCs w:val="20"/>
          <w:color w:val="auto"/>
        </w:rPr>
      </w:pPr>
      <w:r>
        <w:rPr>
          <w:rFonts w:ascii="Arial" w:cs="Arial" w:eastAsia="Arial" w:hAnsi="Arial"/>
          <w:sz w:val="18"/>
          <w:szCs w:val="18"/>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Class A shares and Class B shares are securities and any transfers are subject to the laws governing the transfer of securities.</w:t>
      </w:r>
    </w:p>
    <w:p>
      <w:pPr>
        <w:spacing w:after="0" w:line="138" w:lineRule="exact"/>
        <w:rPr>
          <w:sz w:val="20"/>
          <w:szCs w:val="20"/>
          <w:color w:val="auto"/>
        </w:rPr>
      </w:pPr>
    </w:p>
    <w:p>
      <w:pPr>
        <w:jc w:val="both"/>
        <w:ind w:right="20" w:firstLine="357"/>
        <w:spacing w:after="0" w:line="261" w:lineRule="auto"/>
        <w:rPr>
          <w:sz w:val="20"/>
          <w:szCs w:val="20"/>
          <w:color w:val="auto"/>
        </w:rPr>
      </w:pPr>
      <w:r>
        <w:rPr>
          <w:rFonts w:ascii="Arial" w:cs="Arial" w:eastAsia="Arial" w:hAnsi="Arial"/>
          <w:sz w:val="18"/>
          <w:szCs w:val="18"/>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OPERATING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119" w:lineRule="exact"/>
        <w:rPr>
          <w:sz w:val="20"/>
          <w:szCs w:val="20"/>
          <w:color w:val="auto"/>
        </w:rPr>
      </w:pPr>
    </w:p>
    <w:p>
      <w:pPr>
        <w:ind w:right="100" w:firstLine="357"/>
        <w:spacing w:after="0" w:line="274" w:lineRule="auto"/>
        <w:rPr>
          <w:sz w:val="20"/>
          <w:szCs w:val="20"/>
          <w:color w:val="auto"/>
        </w:rPr>
      </w:pPr>
      <w:r>
        <w:rPr>
          <w:rFonts w:ascii="Arial" w:cs="Arial" w:eastAsia="Arial" w:hAnsi="Arial"/>
          <w:sz w:val="18"/>
          <w:szCs w:val="18"/>
          <w:color w:val="auto"/>
        </w:rPr>
        <w:t>Our limited liability company was formed on August 6, 2018, and will remain in existence until dissolved in accordance with our operating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19" w:lineRule="exact"/>
        <w:rPr>
          <w:sz w:val="20"/>
          <w:szCs w:val="20"/>
          <w:color w:val="auto"/>
        </w:rPr>
      </w:pPr>
    </w:p>
    <w:p>
      <w:pPr>
        <w:jc w:val="both"/>
        <w:ind w:right="440" w:firstLine="357"/>
        <w:spacing w:after="0" w:line="261" w:lineRule="auto"/>
        <w:rPr>
          <w:sz w:val="20"/>
          <w:szCs w:val="20"/>
          <w:color w:val="auto"/>
        </w:rPr>
      </w:pPr>
      <w:r>
        <w:rPr>
          <w:rFonts w:ascii="Arial" w:cs="Arial" w:eastAsia="Arial" w:hAnsi="Arial"/>
          <w:sz w:val="18"/>
          <w:szCs w:val="18"/>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be Bound by our Operating Agreement</w:t>
      </w:r>
    </w:p>
    <w:p>
      <w:pPr>
        <w:spacing w:after="0" w:line="119" w:lineRule="exact"/>
        <w:rPr>
          <w:sz w:val="20"/>
          <w:szCs w:val="20"/>
          <w:color w:val="auto"/>
        </w:rPr>
      </w:pPr>
    </w:p>
    <w:p>
      <w:pPr>
        <w:ind w:right="200" w:firstLine="357"/>
        <w:spacing w:after="0" w:line="274" w:lineRule="auto"/>
        <w:rPr>
          <w:sz w:val="20"/>
          <w:szCs w:val="20"/>
          <w:color w:val="auto"/>
        </w:rPr>
      </w:pPr>
      <w:r>
        <w:rPr>
          <w:rFonts w:ascii="Arial" w:cs="Arial" w:eastAsia="Arial" w:hAnsi="Arial"/>
          <w:sz w:val="18"/>
          <w:szCs w:val="18"/>
          <w:color w:val="auto"/>
        </w:rPr>
        <w:t>By purchasing our Class A shares, you will be admitted as a member of our limited liability company and will be deemed to have agreed to be bound by the terms of our operating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Our Operating Agreement</w:t>
      </w:r>
    </w:p>
    <w:p>
      <w:pPr>
        <w:spacing w:after="0" w:line="119" w:lineRule="exact"/>
        <w:rPr>
          <w:sz w:val="20"/>
          <w:szCs w:val="20"/>
          <w:color w:val="auto"/>
        </w:rPr>
      </w:pPr>
    </w:p>
    <w:p>
      <w:pPr>
        <w:ind w:right="100" w:firstLine="357"/>
        <w:spacing w:after="0" w:line="277" w:lineRule="auto"/>
        <w:rPr>
          <w:sz w:val="20"/>
          <w:szCs w:val="20"/>
          <w:color w:val="auto"/>
        </w:rPr>
      </w:pPr>
      <w:r>
        <w:rPr>
          <w:rFonts w:ascii="Arial" w:cs="Arial" w:eastAsia="Arial" w:hAnsi="Arial"/>
          <w:sz w:val="17"/>
          <w:szCs w:val="17"/>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Prohibited Amendments</w:t>
      </w:r>
      <w:r>
        <w:rPr>
          <w:rFonts w:ascii="Arial" w:cs="Arial" w:eastAsia="Arial" w:hAnsi="Arial"/>
          <w:sz w:val="18"/>
          <w:szCs w:val="18"/>
          <w:color w:val="auto"/>
        </w:rPr>
        <w:t>. No amendment may be made that would:</w:t>
      </w:r>
    </w:p>
    <w:p>
      <w:pPr>
        <w:spacing w:after="0" w:line="115" w:lineRule="exact"/>
        <w:rPr>
          <w:sz w:val="20"/>
          <w:szCs w:val="20"/>
          <w:color w:val="auto"/>
        </w:rPr>
      </w:pPr>
    </w:p>
    <w:p>
      <w:pPr>
        <w:ind w:left="700" w:right="200" w:hanging="346"/>
        <w:spacing w:after="0" w:line="274"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pacing w:after="0" w:line="63" w:lineRule="exact"/>
        <w:rPr>
          <w:rFonts w:ascii="Arial" w:cs="Arial" w:eastAsia="Arial" w:hAnsi="Arial"/>
          <w:sz w:val="18"/>
          <w:szCs w:val="18"/>
          <w:color w:val="auto"/>
        </w:rPr>
      </w:pPr>
    </w:p>
    <w:p>
      <w:pPr>
        <w:ind w:left="700" w:right="60" w:hanging="346"/>
        <w:spacing w:after="0" w:line="274"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114" w:lineRule="exact"/>
        <w:rPr>
          <w:rFonts w:ascii="Arial" w:cs="Arial" w:eastAsia="Arial" w:hAnsi="Arial"/>
          <w:sz w:val="18"/>
          <w:szCs w:val="18"/>
          <w:color w:val="auto"/>
        </w:rPr>
      </w:pPr>
    </w:p>
    <w:p>
      <w:pPr>
        <w:ind w:left="700" w:right="100" w:hanging="346"/>
        <w:spacing w:after="0" w:line="261"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the Consenting Entities and holders of a majority of the total combined voting power of our outstanding shares.</w:t>
      </w:r>
    </w:p>
    <w:p>
      <w:pPr>
        <w:spacing w:after="0" w:line="76" w:lineRule="exact"/>
        <w:rPr>
          <w:sz w:val="20"/>
          <w:szCs w:val="20"/>
          <w:color w:val="auto"/>
        </w:rPr>
      </w:pPr>
    </w:p>
    <w:p>
      <w:pPr>
        <w:ind w:right="60" w:firstLine="357"/>
        <w:spacing w:after="0" w:line="339" w:lineRule="auto"/>
        <w:rPr>
          <w:sz w:val="20"/>
          <w:szCs w:val="20"/>
          <w:color w:val="auto"/>
        </w:rPr>
      </w:pPr>
      <w:r>
        <w:rPr>
          <w:rFonts w:ascii="Arial" w:cs="Arial" w:eastAsia="Arial" w:hAnsi="Arial"/>
          <w:sz w:val="16"/>
          <w:szCs w:val="16"/>
          <w:color w:val="auto"/>
        </w:rPr>
        <w:t>The provision of our operating agreement preventing the amendments having the effects described in any of the clauses above can be amended upon the approval of the Consenting Entities and holders of at least two-thirds of the outstanding shares.</w:t>
      </w:r>
    </w:p>
    <w:p>
      <w:pPr>
        <w:spacing w:after="0" w:line="17" w:lineRule="exact"/>
        <w:rPr>
          <w:sz w:val="20"/>
          <w:szCs w:val="20"/>
          <w:color w:val="auto"/>
        </w:rPr>
      </w:pPr>
    </w:p>
    <w:p>
      <w:pPr>
        <w:ind w:right="280" w:firstLine="357"/>
        <w:spacing w:after="0" w:line="274" w:lineRule="auto"/>
        <w:rPr>
          <w:sz w:val="20"/>
          <w:szCs w:val="20"/>
          <w:color w:val="auto"/>
        </w:rPr>
      </w:pPr>
      <w:r>
        <w:rPr>
          <w:rFonts w:ascii="Arial" w:cs="Arial" w:eastAsia="Arial" w:hAnsi="Arial"/>
          <w:sz w:val="18"/>
          <w:szCs w:val="18"/>
          <w:i w:val="1"/>
          <w:iCs w:val="1"/>
          <w:color w:val="auto"/>
        </w:rPr>
        <w:t>No Shareholder Approval</w:t>
      </w:r>
      <w:r>
        <w:rPr>
          <w:rFonts w:ascii="Arial" w:cs="Arial" w:eastAsia="Arial" w:hAnsi="Arial"/>
          <w:sz w:val="18"/>
          <w:szCs w:val="18"/>
          <w:color w:val="auto"/>
        </w:rPr>
        <w:t>. Our board of directors may generally make amendments to our operating agreement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any shareholder or assignee to reflect:</w:t>
      </w:r>
    </w:p>
    <w:p>
      <w:pPr>
        <w:spacing w:after="0" w:line="64" w:lineRule="exact"/>
        <w:rPr>
          <w:sz w:val="20"/>
          <w:szCs w:val="20"/>
          <w:color w:val="auto"/>
        </w:rPr>
      </w:pPr>
    </w:p>
    <w:p>
      <w:pPr>
        <w:ind w:left="700" w:hanging="346"/>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change in our name, the location of our principal place of our business, our registered agent or our registered office;</w:t>
      </w:r>
    </w:p>
    <w:p>
      <w:pPr>
        <w:spacing w:after="0" w:line="137" w:lineRule="exact"/>
        <w:rPr>
          <w:rFonts w:ascii="Arial" w:cs="Arial" w:eastAsia="Arial" w:hAnsi="Arial"/>
          <w:sz w:val="16"/>
          <w:szCs w:val="16"/>
          <w:color w:val="auto"/>
        </w:rPr>
      </w:pPr>
    </w:p>
    <w:p>
      <w:pPr>
        <w:ind w:left="700" w:hanging="346"/>
        <w:spacing w:after="0"/>
        <w:tabs>
          <w:tab w:leader="none" w:pos="7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admission, substitution, withdrawal or removal of shareholders in accordance with our operating agreement;</w:t>
      </w:r>
    </w:p>
    <w:p>
      <w:pPr>
        <w:spacing w:after="0" w:line="126" w:lineRule="exact"/>
        <w:rPr>
          <w:rFonts w:ascii="Arial" w:cs="Arial" w:eastAsia="Arial" w:hAnsi="Arial"/>
          <w:sz w:val="17"/>
          <w:szCs w:val="17"/>
          <w:color w:val="auto"/>
        </w:rPr>
      </w:pPr>
    </w:p>
    <w:p>
      <w:pPr>
        <w:jc w:val="both"/>
        <w:ind w:left="700" w:right="80" w:hanging="346"/>
        <w:spacing w:after="0" w:line="261"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75" w:lineRule="exact"/>
        <w:rPr>
          <w:rFonts w:ascii="Arial" w:cs="Arial" w:eastAsia="Arial" w:hAnsi="Arial"/>
          <w:sz w:val="18"/>
          <w:szCs w:val="18"/>
          <w:color w:val="auto"/>
        </w:rPr>
      </w:pPr>
    </w:p>
    <w:p>
      <w:pPr>
        <w:ind w:left="700" w:right="840" w:hanging="346"/>
        <w:spacing w:after="0" w:line="339" w:lineRule="auto"/>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continue our qualification as a company in which our members have limited liability under the laws of any state;</w:t>
      </w:r>
    </w:p>
    <w:p>
      <w:pPr>
        <w:spacing w:after="0" w:line="16" w:lineRule="exact"/>
        <w:rPr>
          <w:rFonts w:ascii="Arial" w:cs="Arial" w:eastAsia="Arial" w:hAnsi="Arial"/>
          <w:sz w:val="16"/>
          <w:szCs w:val="16"/>
          <w:color w:val="auto"/>
        </w:rPr>
      </w:pPr>
    </w:p>
    <w:p>
      <w:pPr>
        <w:ind w:left="700" w:hanging="34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change in our legal form from a limited liability company to a corporation;</w:t>
      </w:r>
    </w:p>
    <w:p>
      <w:pPr>
        <w:spacing w:after="0" w:line="114" w:lineRule="exact"/>
        <w:rPr>
          <w:rFonts w:ascii="Arial" w:cs="Arial" w:eastAsia="Arial" w:hAnsi="Arial"/>
          <w:sz w:val="18"/>
          <w:szCs w:val="18"/>
          <w:color w:val="auto"/>
        </w:rPr>
      </w:pPr>
    </w:p>
    <w:p>
      <w:pPr>
        <w:ind w:left="700" w:right="80" w:hanging="346"/>
        <w:spacing w:after="0" w:line="274"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based upon the advice of counsel, to be necessary or appropriate to prevent us, members of our board, or our officers, agents or trustees from</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20" w:right="40"/>
        <w:spacing w:after="0" w:line="284" w:lineRule="auto"/>
        <w:rPr>
          <w:sz w:val="20"/>
          <w:szCs w:val="20"/>
          <w:color w:val="auto"/>
        </w:rPr>
      </w:pPr>
      <w:r>
        <w:rPr>
          <w:rFonts w:ascii="Arial" w:cs="Arial" w:eastAsia="Arial" w:hAnsi="Arial"/>
          <w:sz w:val="17"/>
          <w:szCs w:val="17"/>
          <w:color w:val="auto"/>
        </w:rPr>
        <w:t>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57" w:lineRule="exact"/>
        <w:rPr>
          <w:sz w:val="20"/>
          <w:szCs w:val="20"/>
          <w:color w:val="auto"/>
        </w:rPr>
      </w:pPr>
    </w:p>
    <w:p>
      <w:pPr>
        <w:ind w:left="700" w:right="300" w:hanging="346"/>
        <w:spacing w:after="0" w:line="274"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amendment expressly permitted in our operating agreement to be made by our board of directors acting alone;</w:t>
      </w:r>
    </w:p>
    <w:p>
      <w:pPr>
        <w:spacing w:after="0" w:line="126" w:lineRule="exact"/>
        <w:rPr>
          <w:rFonts w:ascii="Arial" w:cs="Arial" w:eastAsia="Arial" w:hAnsi="Arial"/>
          <w:sz w:val="17"/>
          <w:szCs w:val="17"/>
          <w:color w:val="auto"/>
        </w:rPr>
      </w:pPr>
    </w:p>
    <w:p>
      <w:pPr>
        <w:ind w:left="700" w:right="200" w:hanging="346"/>
        <w:spacing w:after="0" w:line="274"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operating agreement;</w:t>
      </w:r>
    </w:p>
    <w:p>
      <w:pPr>
        <w:spacing w:after="0" w:line="63" w:lineRule="exact"/>
        <w:rPr>
          <w:rFonts w:ascii="Arial" w:cs="Arial" w:eastAsia="Arial" w:hAnsi="Arial"/>
          <w:sz w:val="18"/>
          <w:szCs w:val="18"/>
          <w:color w:val="auto"/>
        </w:rPr>
      </w:pPr>
    </w:p>
    <w:p>
      <w:pPr>
        <w:ind w:left="700" w:right="260" w:hanging="346"/>
        <w:spacing w:after="0" w:line="339" w:lineRule="auto"/>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16" w:lineRule="exact"/>
        <w:rPr>
          <w:rFonts w:ascii="Arial" w:cs="Arial" w:eastAsia="Arial" w:hAnsi="Arial"/>
          <w:sz w:val="16"/>
          <w:szCs w:val="16"/>
          <w:color w:val="auto"/>
        </w:rPr>
      </w:pPr>
    </w:p>
    <w:p>
      <w:pPr>
        <w:ind w:left="700" w:hanging="3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15" w:lineRule="exact"/>
        <w:rPr>
          <w:sz w:val="20"/>
          <w:szCs w:val="20"/>
          <w:color w:val="auto"/>
        </w:rPr>
      </w:pPr>
    </w:p>
    <w:p>
      <w:pPr>
        <w:ind w:right="40" w:firstLine="357"/>
        <w:spacing w:after="0" w:line="274"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64" w:lineRule="exact"/>
        <w:rPr>
          <w:sz w:val="20"/>
          <w:szCs w:val="20"/>
          <w:color w:val="auto"/>
        </w:rPr>
      </w:pPr>
    </w:p>
    <w:p>
      <w:pPr>
        <w:ind w:left="700" w:hanging="34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14" w:lineRule="exact"/>
        <w:rPr>
          <w:rFonts w:ascii="Arial" w:cs="Arial" w:eastAsia="Arial" w:hAnsi="Arial"/>
          <w:sz w:val="18"/>
          <w:szCs w:val="18"/>
          <w:color w:val="auto"/>
        </w:rPr>
      </w:pPr>
    </w:p>
    <w:p>
      <w:pPr>
        <w:ind w:left="700" w:right="180" w:hanging="346"/>
        <w:spacing w:after="0" w:line="339" w:lineRule="auto"/>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6" w:lineRule="exact"/>
        <w:rPr>
          <w:rFonts w:ascii="Arial" w:cs="Arial" w:eastAsia="Arial" w:hAnsi="Arial"/>
          <w:sz w:val="16"/>
          <w:szCs w:val="16"/>
          <w:color w:val="auto"/>
        </w:rPr>
      </w:pPr>
    </w:p>
    <w:p>
      <w:pPr>
        <w:ind w:left="700" w:hanging="346"/>
        <w:spacing w:after="0" w:line="261"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5" w:lineRule="exact"/>
        <w:rPr>
          <w:rFonts w:ascii="Arial" w:cs="Arial" w:eastAsia="Arial" w:hAnsi="Arial"/>
          <w:sz w:val="18"/>
          <w:szCs w:val="18"/>
          <w:color w:val="auto"/>
        </w:rPr>
      </w:pPr>
    </w:p>
    <w:p>
      <w:pPr>
        <w:ind w:left="700" w:right="360" w:hanging="346"/>
        <w:spacing w:after="0" w:line="274"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operating agreement; or</w:t>
      </w:r>
    </w:p>
    <w:p>
      <w:pPr>
        <w:spacing w:after="0" w:line="63" w:lineRule="exact"/>
        <w:rPr>
          <w:rFonts w:ascii="Arial" w:cs="Arial" w:eastAsia="Arial" w:hAnsi="Arial"/>
          <w:sz w:val="18"/>
          <w:szCs w:val="18"/>
          <w:color w:val="auto"/>
        </w:rPr>
      </w:pPr>
    </w:p>
    <w:p>
      <w:pPr>
        <w:ind w:left="700" w:right="160" w:hanging="346"/>
        <w:spacing w:after="0" w:line="274"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operating agreement or are otherwise contemplated by our operating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119" w:lineRule="exact"/>
        <w:rPr>
          <w:sz w:val="20"/>
          <w:szCs w:val="20"/>
          <w:color w:val="auto"/>
        </w:rPr>
      </w:pPr>
    </w:p>
    <w:p>
      <w:pPr>
        <w:ind w:right="20" w:firstLine="357"/>
        <w:spacing w:after="0" w:line="286" w:lineRule="auto"/>
        <w:rPr>
          <w:sz w:val="20"/>
          <w:szCs w:val="20"/>
          <w:color w:val="auto"/>
        </w:rPr>
      </w:pPr>
      <w:r>
        <w:rPr>
          <w:rFonts w:ascii="Arial" w:cs="Arial" w:eastAsia="Arial" w:hAnsi="Arial"/>
          <w:sz w:val="16"/>
          <w:szCs w:val="16"/>
          <w:color w:val="auto"/>
        </w:rPr>
        <w:t>We will continue as a limited liability company until terminated under our operating agreement. We will dissolve upon: (1) the election of our board of directors to dissolve us, if approved by the Consenting Entities and the holders of a majority of our outstanding shares; (2) the sale, exchange or other disposition of all or substantially all of our assets and those of our subsidiaries;</w:t>
      </w:r>
    </w:p>
    <w:p>
      <w:pPr>
        <w:spacing w:after="0" w:line="1" w:lineRule="exact"/>
        <w:rPr>
          <w:sz w:val="20"/>
          <w:szCs w:val="20"/>
          <w:color w:val="auto"/>
        </w:rPr>
      </w:pPr>
    </w:p>
    <w:p>
      <w:pPr>
        <w:ind w:right="320" w:firstLine="5"/>
        <w:spacing w:after="0" w:line="253" w:lineRule="auto"/>
        <w:tabs>
          <w:tab w:leader="none" w:pos="2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entry of a decree of judicial dissolution of our limited liability company; or (4) at any time that we no longer have any shareholders, unless our business is continued in accordance with the Delaware Limited Liability Company Act (the “Delaware LLC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119" w:lineRule="exact"/>
        <w:rPr>
          <w:sz w:val="20"/>
          <w:szCs w:val="20"/>
          <w:color w:val="auto"/>
        </w:rPr>
      </w:pPr>
    </w:p>
    <w:p>
      <w:pPr>
        <w:ind w:firstLine="357"/>
        <w:spacing w:after="0" w:line="269" w:lineRule="auto"/>
        <w:rPr>
          <w:sz w:val="20"/>
          <w:szCs w:val="20"/>
          <w:color w:val="auto"/>
        </w:rPr>
      </w:pPr>
      <w:r>
        <w:rPr>
          <w:rFonts w:ascii="Arial" w:cs="Arial" w:eastAsia="Arial" w:hAnsi="Arial"/>
          <w:sz w:val="17"/>
          <w:szCs w:val="17"/>
          <w:color w:val="auto"/>
        </w:rPr>
        <w:t>We are required to keep appropriate books of our business at our principal offices. The books will be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We will use reasonable efforts to furnish to you an annual report containing audited consolidated financial statements and a report on those consolidated financial statements by our independent public accountants. We will be deemed to have made any such report available if we file such report with the SEC on EDGAR or make the report available on a publicly available website that we maintain.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119" w:lineRule="exact"/>
        <w:rPr>
          <w:sz w:val="20"/>
          <w:szCs w:val="20"/>
          <w:color w:val="auto"/>
        </w:rPr>
      </w:pPr>
    </w:p>
    <w:p>
      <w:pPr>
        <w:ind w:right="180" w:firstLine="357"/>
        <w:spacing w:after="0" w:line="309" w:lineRule="auto"/>
        <w:rPr>
          <w:sz w:val="20"/>
          <w:szCs w:val="20"/>
          <w:color w:val="auto"/>
        </w:rPr>
      </w:pPr>
      <w:r>
        <w:rPr>
          <w:rFonts w:ascii="Arial" w:cs="Arial" w:eastAsia="Arial" w:hAnsi="Arial"/>
          <w:sz w:val="16"/>
          <w:szCs w:val="16"/>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Additional Interests</w:t>
      </w:r>
    </w:p>
    <w:p>
      <w:pPr>
        <w:spacing w:after="0" w:line="115" w:lineRule="exact"/>
        <w:rPr>
          <w:sz w:val="20"/>
          <w:szCs w:val="20"/>
          <w:color w:val="auto"/>
        </w:rPr>
      </w:pPr>
    </w:p>
    <w:p>
      <w:pPr>
        <w:ind w:right="20" w:firstLine="357"/>
        <w:spacing w:after="0" w:line="271" w:lineRule="auto"/>
        <w:rPr>
          <w:sz w:val="20"/>
          <w:szCs w:val="20"/>
          <w:color w:val="auto"/>
        </w:rPr>
      </w:pPr>
      <w:r>
        <w:rPr>
          <w:rFonts w:ascii="Arial" w:cs="Arial" w:eastAsia="Arial" w:hAnsi="Arial"/>
          <w:sz w:val="17"/>
          <w:szCs w:val="17"/>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NASDAQ.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Statute—Section 203</w:t>
      </w:r>
    </w:p>
    <w:p>
      <w:pPr>
        <w:spacing w:after="0" w:line="115" w:lineRule="exact"/>
        <w:rPr>
          <w:sz w:val="20"/>
          <w:szCs w:val="20"/>
          <w:color w:val="auto"/>
        </w:rPr>
      </w:pPr>
    </w:p>
    <w:p>
      <w:pPr>
        <w:ind w:right="260" w:firstLine="357"/>
        <w:spacing w:after="0" w:line="274"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pacing w:after="0" w:line="64" w:lineRule="exact"/>
        <w:rPr>
          <w:sz w:val="20"/>
          <w:szCs w:val="20"/>
          <w:color w:val="auto"/>
        </w:rPr>
      </w:pPr>
    </w:p>
    <w:p>
      <w:pPr>
        <w:ind w:right="40" w:firstLine="357"/>
        <w:spacing w:after="0" w:line="269" w:lineRule="auto"/>
        <w:rPr>
          <w:sz w:val="20"/>
          <w:szCs w:val="20"/>
          <w:color w:val="auto"/>
        </w:rPr>
      </w:pPr>
      <w:r>
        <w:rPr>
          <w:rFonts w:ascii="Arial" w:cs="Arial" w:eastAsia="Arial" w:hAnsi="Arial"/>
          <w:sz w:val="17"/>
          <w:szCs w:val="17"/>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 For purposes of Section 203, a business combination includes a merger, asset sale or other transaction resulting in a financial benefit to the interested shareholder, and an interested shareholder is a person who, together with affiliates and associates, owns, or within three years prior, did own, 15% or more of voting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 of Our Operating Agreement</w:t>
      </w:r>
    </w:p>
    <w:p>
      <w:pPr>
        <w:spacing w:after="0" w:line="115"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color w:val="auto"/>
        </w:rPr>
        <w:t>Our operating agreement provides that our board shall consist of not fewer than three and not more than nine directors as the board of directors may from time to time determine, subject to the consent rights of the Consenting Entities described under “— Consent Rights” below. Our board of directors will consist of directors and will be divided into three classes that are, as nearly as possible, of equal size. Each class of directors is elected for a three-year term of office, but the terms are staggered so that the term of only one class of directors expires at each annual general meeting. The current terms of the Class I, Class II and Class III directors will expire in 2020, 2021, and 2022, respectively.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71" w:lineRule="exact"/>
        <w:rPr>
          <w:sz w:val="20"/>
          <w:szCs w:val="20"/>
          <w:color w:val="auto"/>
        </w:rPr>
      </w:pPr>
    </w:p>
    <w:p>
      <w:pPr>
        <w:ind w:right="140" w:firstLine="357"/>
        <w:spacing w:after="0" w:line="261" w:lineRule="auto"/>
        <w:rPr>
          <w:sz w:val="20"/>
          <w:szCs w:val="20"/>
          <w:color w:val="auto"/>
        </w:rPr>
      </w:pPr>
      <w:r>
        <w:rPr>
          <w:rFonts w:ascii="Arial" w:cs="Arial" w:eastAsia="Arial" w:hAnsi="Arial"/>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76" w:lineRule="exact"/>
        <w:rPr>
          <w:sz w:val="20"/>
          <w:szCs w:val="20"/>
          <w:color w:val="auto"/>
        </w:rPr>
      </w:pPr>
    </w:p>
    <w:p>
      <w:pPr>
        <w:ind w:right="80" w:firstLine="357"/>
        <w:spacing w:after="0" w:line="261" w:lineRule="auto"/>
        <w:rPr>
          <w:sz w:val="20"/>
          <w:szCs w:val="20"/>
          <w:color w:val="auto"/>
        </w:rPr>
      </w:pPr>
      <w:r>
        <w:rPr>
          <w:rFonts w:ascii="Arial" w:cs="Arial" w:eastAsia="Arial" w:hAnsi="Arial"/>
          <w:sz w:val="18"/>
          <w:szCs w:val="18"/>
          <w:color w:val="auto"/>
        </w:rPr>
        <w:t>In addition, our operating agreement provides that any director or the entire board of directors may be removed, with or without cause, at any time, by holders of a majority of the total combined voting power of all of our outstanding Class A shares and Class B shares then entitled to vote at an election of directors.</w:t>
      </w:r>
    </w:p>
    <w:p>
      <w:pPr>
        <w:spacing w:after="0" w:line="76" w:lineRule="exact"/>
        <w:rPr>
          <w:sz w:val="20"/>
          <w:szCs w:val="20"/>
          <w:color w:val="auto"/>
        </w:rPr>
      </w:pPr>
    </w:p>
    <w:p>
      <w:pPr>
        <w:ind w:right="160" w:firstLine="357"/>
        <w:spacing w:after="0" w:line="261" w:lineRule="auto"/>
        <w:rPr>
          <w:sz w:val="20"/>
          <w:szCs w:val="20"/>
          <w:color w:val="auto"/>
        </w:rPr>
      </w:pPr>
      <w:r>
        <w:rPr>
          <w:rFonts w:ascii="Arial" w:cs="Arial" w:eastAsia="Arial" w:hAnsi="Arial"/>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60" w:firstLine="357"/>
        <w:spacing w:after="0" w:line="257" w:lineRule="auto"/>
        <w:rPr>
          <w:sz w:val="20"/>
          <w:szCs w:val="20"/>
          <w:color w:val="auto"/>
        </w:rPr>
      </w:pPr>
      <w:r>
        <w:rPr>
          <w:rFonts w:ascii="Arial" w:cs="Arial" w:eastAsia="Arial" w:hAnsi="Arial"/>
          <w:sz w:val="18"/>
          <w:szCs w:val="18"/>
          <w:color w:val="auto"/>
        </w:rPr>
        <w:t>Pursuant to our operating agreement, preferred shares may be issued from time to time, and the board of directors is authorized to determine and alter all designations, preferences, rights, powers and duties without limitation. See “Description of Shares— Preferred Shares.” Our operating agreement does not provide our shareholders with the ability to call a special meeting of the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Our Shareholders to Act</w:t>
      </w:r>
    </w:p>
    <w:p>
      <w:pPr>
        <w:spacing w:after="0" w:line="115" w:lineRule="exact"/>
        <w:rPr>
          <w:sz w:val="20"/>
          <w:szCs w:val="20"/>
          <w:color w:val="auto"/>
        </w:rPr>
      </w:pPr>
    </w:p>
    <w:p>
      <w:pPr>
        <w:ind w:right="80" w:firstLine="357"/>
        <w:spacing w:after="0" w:line="255" w:lineRule="auto"/>
        <w:rPr>
          <w:sz w:val="20"/>
          <w:szCs w:val="20"/>
          <w:color w:val="auto"/>
        </w:rPr>
      </w:pPr>
      <w:r>
        <w:rPr>
          <w:rFonts w:ascii="Arial" w:cs="Arial" w:eastAsia="Arial" w:hAnsi="Arial"/>
          <w:sz w:val="18"/>
          <w:szCs w:val="18"/>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81" w:lineRule="exact"/>
        <w:rPr>
          <w:sz w:val="20"/>
          <w:szCs w:val="20"/>
          <w:color w:val="auto"/>
        </w:rPr>
      </w:pPr>
    </w:p>
    <w:p>
      <w:pPr>
        <w:ind w:right="280" w:firstLine="357"/>
        <w:spacing w:after="0" w:line="274"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64" w:lineRule="exact"/>
        <w:rPr>
          <w:sz w:val="20"/>
          <w:szCs w:val="20"/>
          <w:color w:val="auto"/>
        </w:rPr>
      </w:pPr>
    </w:p>
    <w:p>
      <w:pPr>
        <w:ind w:firstLine="357"/>
        <w:spacing w:after="0" w:line="284" w:lineRule="auto"/>
        <w:rPr>
          <w:sz w:val="20"/>
          <w:szCs w:val="20"/>
          <w:color w:val="auto"/>
        </w:rPr>
      </w:pPr>
      <w:r>
        <w:rPr>
          <w:rFonts w:ascii="Arial" w:cs="Arial" w:eastAsia="Arial" w:hAnsi="Arial"/>
          <w:sz w:val="16"/>
          <w:szCs w:val="16"/>
          <w:color w:val="auto"/>
        </w:rPr>
        <w:t>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provided, however,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Officers and Directors</w:t>
      </w:r>
    </w:p>
    <w:p>
      <w:pPr>
        <w:spacing w:after="0" w:line="119" w:lineRule="exact"/>
        <w:rPr>
          <w:sz w:val="20"/>
          <w:szCs w:val="20"/>
          <w:color w:val="auto"/>
        </w:rPr>
      </w:pPr>
    </w:p>
    <w:p>
      <w:pPr>
        <w:ind w:right="120" w:firstLine="357"/>
        <w:spacing w:after="0" w:line="289" w:lineRule="auto"/>
        <w:rPr>
          <w:sz w:val="20"/>
          <w:szCs w:val="20"/>
          <w:color w:val="auto"/>
        </w:rPr>
      </w:pPr>
      <w:r>
        <w:rPr>
          <w:rFonts w:ascii="Arial" w:cs="Arial" w:eastAsia="Arial" w:hAnsi="Arial"/>
          <w:sz w:val="16"/>
          <w:szCs w:val="16"/>
          <w:color w:val="auto"/>
        </w:rPr>
        <w:t>Our operating agreement provides that our business and affairs shall be managed under the direction of our board of directors, which shall have the power to appoint our officers. Our operating agreement further provides that the authority and function of our board of directors and officers shall be identical to the authority and functions of a board of directors and officers of a corporation organized under the Delaware General Corporation Law, or DGCL, except as expressly modified by the terms of the operating agreement. Finally, our operating agreement provides that except as specifically provided therein, the fiduciary duties and obligations owed to our limited liability company and to our members shall be the same as the respective duties and obligations owed by officers and directors of a corporation organized under the DGCL to their corporation and stockholders, respectively.</w:t>
      </w:r>
    </w:p>
    <w:p>
      <w:pPr>
        <w:spacing w:after="0" w:line="59" w:lineRule="exact"/>
        <w:rPr>
          <w:sz w:val="20"/>
          <w:szCs w:val="20"/>
          <w:color w:val="auto"/>
        </w:rPr>
      </w:pPr>
    </w:p>
    <w:p>
      <w:pPr>
        <w:ind w:right="80" w:firstLine="357"/>
        <w:spacing w:after="0" w:line="253" w:lineRule="auto"/>
        <w:rPr>
          <w:sz w:val="20"/>
          <w:szCs w:val="20"/>
          <w:color w:val="auto"/>
        </w:rPr>
      </w:pPr>
      <w:r>
        <w:rPr>
          <w:rFonts w:ascii="Arial" w:cs="Arial" w:eastAsia="Arial" w:hAnsi="Arial"/>
          <w:sz w:val="18"/>
          <w:szCs w:val="18"/>
          <w:color w:val="auto"/>
        </w:rPr>
        <w:t>However, there are certain provisions in our operating agreement that modify duties and obligations owed by our directors and officers from those required under the DGCL and provide for exculpation and indemnification of our officers and directors that differ from the DGCL. First, our operating agreement provides that to the fullest extent permitted by applicable law our directors or officers will not be liable to us. Unlike under our operating agreement, under the DGCL, a director or officer would be liable to us for (i) breach of duty of loyalty to us or our shareholders, (ii) intentional misconduct or knowing violations of the law that are not done in good faith, (iii) improper redemption of stock or declaration of a dividend, or (iv) a transaction from which the director derived an improper personal benefit.</w:t>
      </w:r>
    </w:p>
    <w:p>
      <w:pPr>
        <w:spacing w:after="0" w:line="82" w:lineRule="exact"/>
        <w:rPr>
          <w:sz w:val="20"/>
          <w:szCs w:val="20"/>
          <w:color w:val="auto"/>
        </w:rPr>
      </w:pPr>
    </w:p>
    <w:p>
      <w:pPr>
        <w:ind w:right="120" w:firstLine="357"/>
        <w:spacing w:after="0" w:line="255" w:lineRule="auto"/>
        <w:rPr>
          <w:sz w:val="20"/>
          <w:szCs w:val="20"/>
          <w:color w:val="auto"/>
        </w:rPr>
      </w:pPr>
      <w:r>
        <w:rPr>
          <w:rFonts w:ascii="Arial" w:cs="Arial" w:eastAsia="Arial" w:hAnsi="Arial"/>
          <w:sz w:val="18"/>
          <w:szCs w:val="18"/>
          <w:color w:val="auto"/>
        </w:rPr>
        <w:t>Second, our operating agreement provides that we indemnify our directors and officers for acts or omissions to the fullest extent permitted by law. In contrast, under the DGCL, a corporation can only indemnify directors and officers for acts or omissions if the director or officer acted in good faith, in a manner the person reasonably believed to be in or not opposed to the best interests of the corporation, and, in a criminal action, if the officer or director had no reasonable cause to believe the person's conduct was unlawful.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firstLine="357"/>
        <w:spacing w:after="0" w:line="284" w:lineRule="auto"/>
        <w:rPr>
          <w:sz w:val="20"/>
          <w:szCs w:val="20"/>
          <w:color w:val="auto"/>
        </w:rPr>
      </w:pPr>
      <w:r>
        <w:rPr>
          <w:rFonts w:ascii="Arial" w:cs="Arial" w:eastAsia="Arial" w:hAnsi="Arial"/>
          <w:sz w:val="16"/>
          <w:szCs w:val="16"/>
          <w:color w:val="auto"/>
        </w:rPr>
        <w:t>Third, our operating agreement provides that in the event a potential conflict of interest exists or arises between any of our directors or their respective affiliates, on the one hand, and us, any of our subsidiaries or any of our shareholders, on the other hand, a resolution or course of action by our board of directors shall be deemed approved by all of our shareholders, and shall not constitute a breach of the fiduciary duties of members of the board to us or our shareholders, if such resolution or course of action is</w:t>
      </w:r>
    </w:p>
    <w:p>
      <w:pPr>
        <w:spacing w:after="0" w:line="2" w:lineRule="exact"/>
        <w:rPr>
          <w:sz w:val="20"/>
          <w:szCs w:val="20"/>
          <w:color w:val="auto"/>
        </w:rPr>
      </w:pPr>
    </w:p>
    <w:p>
      <w:pPr>
        <w:ind w:right="20" w:firstLine="5"/>
        <w:spacing w:after="0" w:line="251" w:lineRule="auto"/>
        <w:tabs>
          <w:tab w:leader="none" w:pos="213"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approved by a conflicts committee, which is composed of independent directors, (ii) approved by shareholders holding a majority of our shares that are disinterested parties, (iii) on terms that, when taken together in their entirety, are no less favorable than those generally provided to or available from unrelated third parties, or (iv) fair and reasonable to us. On the other hand, under the DGCL, a corporation is not permitted to automatically exempt board members from claims of breach of fiduciary duty under such circumstances.</w:t>
      </w:r>
    </w:p>
    <w:p>
      <w:pPr>
        <w:spacing w:after="0" w:line="83" w:lineRule="exact"/>
        <w:rPr>
          <w:sz w:val="20"/>
          <w:szCs w:val="20"/>
          <w:color w:val="auto"/>
        </w:rPr>
      </w:pPr>
    </w:p>
    <w:p>
      <w:pPr>
        <w:ind w:right="140" w:firstLine="357"/>
        <w:spacing w:after="0" w:line="261" w:lineRule="auto"/>
        <w:rPr>
          <w:sz w:val="20"/>
          <w:szCs w:val="20"/>
          <w:color w:val="auto"/>
        </w:rPr>
      </w:pPr>
      <w:r>
        <w:rPr>
          <w:rFonts w:ascii="Arial" w:cs="Arial" w:eastAsia="Arial" w:hAnsi="Arial"/>
          <w:sz w:val="18"/>
          <w:szCs w:val="18"/>
          <w:color w:val="auto"/>
        </w:rPr>
        <w:t>Fourth, our operating agreement provides that, in our capacity as the managing member of NFI, our board of directors may approve amendments to the NFI LLC Agreement relating to the mechanics of a redemption of NFI LLC Units (together with Class B Shares) for Class A Shares without any duty to us.</w:t>
      </w:r>
    </w:p>
    <w:p>
      <w:pPr>
        <w:spacing w:after="0" w:line="76" w:lineRule="exact"/>
        <w:rPr>
          <w:sz w:val="20"/>
          <w:szCs w:val="20"/>
          <w:color w:val="auto"/>
        </w:rPr>
      </w:pPr>
    </w:p>
    <w:p>
      <w:pPr>
        <w:ind w:right="220" w:firstLine="357"/>
        <w:spacing w:after="0" w:line="261" w:lineRule="auto"/>
        <w:rPr>
          <w:sz w:val="20"/>
          <w:szCs w:val="20"/>
          <w:color w:val="auto"/>
        </w:rPr>
      </w:pPr>
      <w:r>
        <w:rPr>
          <w:rFonts w:ascii="Arial" w:cs="Arial" w:eastAsia="Arial" w:hAnsi="Arial"/>
          <w:sz w:val="18"/>
          <w:szCs w:val="18"/>
          <w:color w:val="auto"/>
        </w:rPr>
        <w:t>In addition, our operating agreement provides that all conflicts of interest described in this prospectus, including, but not limited to, our agreements with an affiliate of Fortress for the use of facilities at a port along the Delaware River and a port on the Texas Gulf Coast, are deemed to have been specifically approved by all of our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Members of Our Board of Directors</w:t>
      </w:r>
    </w:p>
    <w:p>
      <w:pPr>
        <w:spacing w:after="0" w:line="119" w:lineRule="exact"/>
        <w:rPr>
          <w:sz w:val="20"/>
          <w:szCs w:val="20"/>
          <w:color w:val="auto"/>
        </w:rPr>
      </w:pPr>
    </w:p>
    <w:p>
      <w:pPr>
        <w:ind w:right="60" w:firstLine="357"/>
        <w:spacing w:after="0" w:line="271" w:lineRule="auto"/>
        <w:rPr>
          <w:sz w:val="20"/>
          <w:szCs w:val="20"/>
          <w:color w:val="auto"/>
        </w:rPr>
      </w:pPr>
      <w:r>
        <w:rPr>
          <w:rFonts w:ascii="Arial" w:cs="Arial" w:eastAsia="Arial" w:hAnsi="Arial"/>
          <w:sz w:val="17"/>
          <w:szCs w:val="17"/>
          <w:color w:val="auto"/>
        </w:rPr>
        <w:t>Beginning with our first annual meeting of shareholders following this offering, certain members of our board of directors will be elected by our shareholders on a staggered basis. Our board of directors will initially consist of eight directors. Our board is divided into three classes that are, as nearly as possible, of equal size. Each class of directors is elected for a three-year term of office, but the terms are staggered so that the term of only one class of directors expires at each annual general meeting. The current terms of the Class I, Class II and Class III directors will expire in 2020, 2021, and 2022, respectively. Any vacancy on the board of directors may be filled by a majority of the directors then in office.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119" w:lineRule="exact"/>
        <w:rPr>
          <w:sz w:val="20"/>
          <w:szCs w:val="20"/>
          <w:color w:val="auto"/>
        </w:rPr>
      </w:pPr>
    </w:p>
    <w:p>
      <w:pPr>
        <w:ind w:right="60" w:firstLine="357"/>
        <w:spacing w:after="0" w:line="257" w:lineRule="auto"/>
        <w:rPr>
          <w:sz w:val="20"/>
          <w:szCs w:val="20"/>
          <w:color w:val="auto"/>
        </w:rPr>
      </w:pPr>
      <w:r>
        <w:rPr>
          <w:rFonts w:ascii="Arial" w:cs="Arial" w:eastAsia="Arial" w:hAnsi="Arial"/>
          <w:sz w:val="18"/>
          <w:szCs w:val="18"/>
          <w:color w:val="auto"/>
        </w:rPr>
        <w:t>A director or the entire board of directors may be removed, with or without cause, at any time, by holders of a majority of the total combined voting power of all of our outstanding Class A shares and Class B shares then entitled to vote at an election of directors. The vacancy in the board of directors caused by any such removal will be filled by a vote of the majority of directors then in office.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119" w:lineRule="exact"/>
        <w:rPr>
          <w:sz w:val="20"/>
          <w:szCs w:val="20"/>
          <w:color w:val="auto"/>
        </w:rPr>
      </w:pPr>
    </w:p>
    <w:p>
      <w:pPr>
        <w:ind w:firstLine="357"/>
        <w:spacing w:after="0" w:line="269" w:lineRule="auto"/>
        <w:rPr>
          <w:sz w:val="20"/>
          <w:szCs w:val="20"/>
          <w:color w:val="auto"/>
        </w:rPr>
      </w:pPr>
      <w:r>
        <w:rPr>
          <w:rFonts w:ascii="Arial" w:cs="Arial" w:eastAsia="Arial" w:hAnsi="Arial"/>
          <w:sz w:val="17"/>
          <w:szCs w:val="17"/>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operating agreement will provide that unless we consent in writing to the selection of an alternative forum, the Court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Chancery of the State of Delaware will, to the fullest extent permitted by applicable law, be the sole and exclusive forum for:</w:t>
      </w:r>
    </w:p>
    <w:p>
      <w:pPr>
        <w:spacing w:after="0" w:line="112" w:lineRule="exact"/>
        <w:rPr>
          <w:sz w:val="20"/>
          <w:szCs w:val="20"/>
          <w:color w:val="auto"/>
        </w:rPr>
      </w:pPr>
    </w:p>
    <w:p>
      <w:pPr>
        <w:ind w:left="700" w:hanging="3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4" w:lineRule="exact"/>
        <w:rPr>
          <w:rFonts w:ascii="Arial" w:cs="Arial" w:eastAsia="Arial" w:hAnsi="Arial"/>
          <w:sz w:val="18"/>
          <w:szCs w:val="18"/>
          <w:color w:val="auto"/>
        </w:rPr>
      </w:pPr>
    </w:p>
    <w:p>
      <w:pPr>
        <w:ind w:left="700" w:right="60" w:hanging="346"/>
        <w:spacing w:after="0" w:line="274"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shareholders;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680" w:hanging="346"/>
        <w:spacing w:after="0" w:line="274"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Delaware LLC Act or our operating agreement; or</w:t>
      </w:r>
    </w:p>
    <w:p>
      <w:pPr>
        <w:spacing w:after="0" w:line="63" w:lineRule="exact"/>
        <w:rPr>
          <w:rFonts w:ascii="Arial" w:cs="Arial" w:eastAsia="Arial" w:hAnsi="Arial"/>
          <w:sz w:val="18"/>
          <w:szCs w:val="18"/>
          <w:color w:val="auto"/>
        </w:rPr>
      </w:pPr>
    </w:p>
    <w:p>
      <w:pPr>
        <w:ind w:left="700" w:right="100" w:hanging="346"/>
        <w:spacing w:after="0" w:line="261"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76"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Our operating agreement will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operating agreements or certificates of incorporation has been challenged in legal proceedings, and it is possible that, in connection with one or more actions or proceedings described above, a court could rule that this provision in our operating agreement is inapplicable or unenforceable.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119" w:lineRule="exact"/>
        <w:rPr>
          <w:sz w:val="20"/>
          <w:szCs w:val="20"/>
          <w:color w:val="auto"/>
        </w:rPr>
      </w:pPr>
    </w:p>
    <w:p>
      <w:pPr>
        <w:ind w:right="160" w:firstLine="357"/>
        <w:spacing w:after="0" w:line="261" w:lineRule="auto"/>
        <w:rPr>
          <w:sz w:val="20"/>
          <w:szCs w:val="20"/>
          <w:color w:val="auto"/>
        </w:rPr>
      </w:pPr>
      <w:r>
        <w:rPr>
          <w:rFonts w:ascii="Arial" w:cs="Arial" w:eastAsia="Arial" w:hAnsi="Arial"/>
          <w:sz w:val="18"/>
          <w:szCs w:val="18"/>
          <w:color w:val="auto"/>
        </w:rPr>
        <w:t>Our operating agreement provides that our directors will not be personally liable to us or our shareholders for monetary damages for breach of a fiduciary duty as a director, except to the extent such exemption is not permitted under the Delaware LLC Act.</w:t>
      </w:r>
    </w:p>
    <w:p>
      <w:pPr>
        <w:spacing w:after="0" w:line="76" w:lineRule="exact"/>
        <w:rPr>
          <w:sz w:val="20"/>
          <w:szCs w:val="20"/>
          <w:color w:val="auto"/>
        </w:rPr>
      </w:pPr>
    </w:p>
    <w:p>
      <w:pPr>
        <w:ind w:right="120" w:firstLine="357"/>
        <w:spacing w:after="0" w:line="255" w:lineRule="auto"/>
        <w:rPr>
          <w:sz w:val="20"/>
          <w:szCs w:val="20"/>
          <w:color w:val="auto"/>
        </w:rPr>
      </w:pPr>
      <w:r>
        <w:rPr>
          <w:rFonts w:ascii="Arial" w:cs="Arial" w:eastAsia="Arial" w:hAnsi="Arial"/>
          <w:sz w:val="18"/>
          <w:szCs w:val="18"/>
          <w:color w:val="auto"/>
        </w:rPr>
        <w:t>Our operating agreement provides that we must indemnify our directors and officers to the fullest extent permitted by law. We are also expressly authorized to advance certain expenses (including attorneys’ fees and disbursements and court costs) to our directors and officers and carry directors’ and officers’ insurance providing indemnification for our directors and officers for some liabilities. We believe that these indemnification provisions and insurance are useful to attract and retain qualified directors and officers.</w:t>
      </w:r>
    </w:p>
    <w:p>
      <w:pPr>
        <w:spacing w:after="0" w:line="81" w:lineRule="exact"/>
        <w:rPr>
          <w:sz w:val="20"/>
          <w:szCs w:val="20"/>
          <w:color w:val="auto"/>
        </w:rPr>
      </w:pPr>
    </w:p>
    <w:p>
      <w:pPr>
        <w:ind w:right="120" w:firstLine="357"/>
        <w:spacing w:after="0" w:line="288" w:lineRule="auto"/>
        <w:rPr>
          <w:sz w:val="20"/>
          <w:szCs w:val="20"/>
          <w:color w:val="auto"/>
        </w:rPr>
      </w:pPr>
      <w:r>
        <w:rPr>
          <w:rFonts w:ascii="Arial" w:cs="Arial" w:eastAsia="Arial" w:hAnsi="Arial"/>
          <w:sz w:val="16"/>
          <w:szCs w:val="16"/>
          <w:color w:val="auto"/>
        </w:rPr>
        <w:t>Prior to the completion of this offering, we intend to enter into separate indemnification agreements with each of our directors and executive officers. Each indemnification agreement will provide, among other things, for indemnification to the fullest extent permitted by law and our operating agreement against (i) any and all expenses and liabilities, including judgments, fines, penalties and amounts paid in settlement of any claim with our approval and counsel fees and disbursements, (ii) any liability pursuant to a loan guarantee, or otherwise, for any of our indebtedness, and (iii) any liabilities incurred as a result of acting on our behalf (as a fiduciary or otherwise) in connection with an employee benefit plan. The indemnification agreements will provide for the advancement or payment of all expenses to the indemnitee and for reimbursement to us if it is found that such indemnitee is not entitled to such indemnification under applicable law and our operating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Rights</w:t>
      </w:r>
    </w:p>
    <w:p>
      <w:pPr>
        <w:spacing w:after="0" w:line="119" w:lineRule="exact"/>
        <w:rPr>
          <w:sz w:val="20"/>
          <w:szCs w:val="20"/>
          <w:color w:val="auto"/>
        </w:rPr>
      </w:pPr>
    </w:p>
    <w:p>
      <w:pPr>
        <w:ind w:right="20" w:firstLine="357"/>
        <w:spacing w:after="0" w:line="277" w:lineRule="auto"/>
        <w:rPr>
          <w:sz w:val="20"/>
          <w:szCs w:val="20"/>
          <w:color w:val="auto"/>
        </w:rPr>
      </w:pPr>
      <w:r>
        <w:rPr>
          <w:rFonts w:ascii="Arial" w:cs="Arial" w:eastAsia="Arial" w:hAnsi="Arial"/>
          <w:sz w:val="17"/>
          <w:szCs w:val="17"/>
          <w:color w:val="auto"/>
        </w:rPr>
        <w:t>So long as the Consenting Entities and their affiliates collectively, directly or indirectly, own at least 30% of the outstanding Class A shares and Class B shares,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63" w:lineRule="exact"/>
        <w:rPr>
          <w:sz w:val="20"/>
          <w:szCs w:val="20"/>
          <w:color w:val="auto"/>
        </w:rPr>
      </w:pPr>
    </w:p>
    <w:p>
      <w:pPr>
        <w:ind w:left="700" w:right="20" w:hanging="346"/>
        <w:spacing w:after="0" w:line="274"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material change, through any acquisition, disposition of assets or otherwise, in the nature of our business or operations and our subsidiaries as of the date of our operating agreement;</w:t>
      </w:r>
    </w:p>
    <w:p>
      <w:pPr>
        <w:spacing w:after="0" w:line="63" w:lineRule="exact"/>
        <w:rPr>
          <w:rFonts w:ascii="Arial" w:cs="Arial" w:eastAsia="Arial" w:hAnsi="Arial"/>
          <w:sz w:val="18"/>
          <w:szCs w:val="18"/>
          <w:color w:val="auto"/>
        </w:rPr>
      </w:pPr>
    </w:p>
    <w:p>
      <w:pPr>
        <w:ind w:left="700" w:right="40" w:hanging="346"/>
        <w:spacing w:after="0" w:line="274"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terminating Wesley Edens as our chief executive officer or as Chairman of the Board of Directors and hiring or appointing his successor;</w:t>
      </w:r>
    </w:p>
    <w:p>
      <w:pPr>
        <w:spacing w:after="0" w:line="63" w:lineRule="exact"/>
        <w:rPr>
          <w:rFonts w:ascii="Arial" w:cs="Arial" w:eastAsia="Arial" w:hAnsi="Arial"/>
          <w:sz w:val="18"/>
          <w:szCs w:val="18"/>
          <w:color w:val="auto"/>
        </w:rPr>
      </w:pPr>
    </w:p>
    <w:p>
      <w:pPr>
        <w:ind w:left="700" w:right="320" w:hanging="346"/>
        <w:spacing w:after="0" w:line="261"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transaction that, if consummated, would constitute a Change of Control (as defined in our operating agreement) or entering into any definitive agreement or series of related agreements that govern any transaction or series of related transactions that, if consummated, would result in a Change of Control;</w:t>
      </w:r>
    </w:p>
    <w:p>
      <w:pPr>
        <w:spacing w:after="0" w:line="75" w:lineRule="exact"/>
        <w:rPr>
          <w:rFonts w:ascii="Arial" w:cs="Arial" w:eastAsia="Arial" w:hAnsi="Arial"/>
          <w:sz w:val="18"/>
          <w:szCs w:val="18"/>
          <w:color w:val="auto"/>
        </w:rPr>
      </w:pPr>
    </w:p>
    <w:p>
      <w:pPr>
        <w:ind w:left="700" w:right="640" w:hanging="346"/>
        <w:spacing w:after="0" w:line="274"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committees of the Board of Directors and board and committees of our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340" w:hanging="346"/>
        <w:spacing w:after="0" w:line="274"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voluntary election by us or any of our subsidiaries to liquidate or dissolve or commence bankruptcy or insolvency proceedings or the adoption of a plan with respect to any of the foregoing; and</w:t>
      </w:r>
    </w:p>
    <w:p>
      <w:pPr>
        <w:spacing w:after="0" w:line="63" w:lineRule="exact"/>
        <w:rPr>
          <w:rFonts w:ascii="Arial" w:cs="Arial" w:eastAsia="Arial" w:hAnsi="Arial"/>
          <w:sz w:val="18"/>
          <w:szCs w:val="18"/>
          <w:color w:val="auto"/>
        </w:rPr>
      </w:pPr>
    </w:p>
    <w:p>
      <w:pPr>
        <w:jc w:val="both"/>
        <w:ind w:left="700" w:right="180" w:hanging="346"/>
        <w:spacing w:after="0" w:line="339" w:lineRule="auto"/>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amendment, modification or waiver of our operating agreement or any other of our governing documents following the date of our operating agreement that materially and adversely affects any Consenting Entity or any of their affiliates.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115" w:lineRule="exact"/>
        <w:rPr>
          <w:sz w:val="20"/>
          <w:szCs w:val="20"/>
          <w:color w:val="auto"/>
        </w:rPr>
      </w:pPr>
    </w:p>
    <w:p>
      <w:pPr>
        <w:ind w:left="700" w:right="120" w:hanging="346"/>
        <w:spacing w:after="0" w:line="284" w:lineRule="auto"/>
        <w:tabs>
          <w:tab w:leader="none" w:pos="7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New Fortress Energy Holdings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57" w:lineRule="exact"/>
        <w:rPr>
          <w:rFonts w:ascii="Arial" w:cs="Arial" w:eastAsia="Arial" w:hAnsi="Arial"/>
          <w:sz w:val="17"/>
          <w:szCs w:val="17"/>
          <w:color w:val="auto"/>
        </w:rPr>
      </w:pPr>
    </w:p>
    <w:p>
      <w:pPr>
        <w:ind w:left="700" w:right="520" w:hanging="346"/>
        <w:spacing w:after="0" w:line="261"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New Fortress Energy Holdings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75" w:lineRule="exact"/>
        <w:rPr>
          <w:rFonts w:ascii="Arial" w:cs="Arial" w:eastAsia="Arial" w:hAnsi="Arial"/>
          <w:sz w:val="18"/>
          <w:szCs w:val="18"/>
          <w:color w:val="auto"/>
        </w:rPr>
      </w:pPr>
    </w:p>
    <w:p>
      <w:pPr>
        <w:ind w:left="700" w:right="480" w:hanging="346"/>
        <w:spacing w:after="0" w:line="274"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have renounced any interest or expectancy in, or in being offered an opportunity to participate in, such corporate opportunities; and</w:t>
      </w:r>
    </w:p>
    <w:p>
      <w:pPr>
        <w:spacing w:after="0" w:line="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that any of our directors and officers who is also a director, officer or employee of New Fortress Energy Holdings and their respective affiliates acquire knowledge of a corporate opportunity or is offered a corporate opportunity, provided that this knowledge was not acquired solely in such person’s capacity as our director or officer and such person acted in good faith, then such person is deemed to have fully satisfied such person’s fiduciary duty and is not liable to us if New Fortress Energy Holdings and their respective affiliates pursues or acquires the corporate opportunity or if such person did not present the corporate opportunity to 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119"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Immediately prior to this offering, there was no public market for our Class A shares. Future sales of substantial amounts of Class A shares in the market (including Class A shares issuable upon exercise of the Redemption Right), or the perception that such sales may occur, could adversely affect the market price of our Class A shares.</w:t>
      </w:r>
    </w:p>
    <w:p>
      <w:pPr>
        <w:spacing w:after="0" w:line="76" w:lineRule="exact"/>
        <w:rPr>
          <w:sz w:val="20"/>
          <w:szCs w:val="20"/>
          <w:color w:val="auto"/>
        </w:rPr>
      </w:pPr>
    </w:p>
    <w:p>
      <w:pPr>
        <w:ind w:right="60" w:firstLine="357"/>
        <w:spacing w:after="0" w:line="271" w:lineRule="auto"/>
        <w:rPr>
          <w:sz w:val="20"/>
          <w:szCs w:val="20"/>
          <w:color w:val="auto"/>
        </w:rPr>
      </w:pPr>
      <w:r>
        <w:rPr>
          <w:rFonts w:ascii="Arial" w:cs="Arial" w:eastAsia="Arial" w:hAnsi="Arial"/>
          <w:sz w:val="17"/>
          <w:szCs w:val="17"/>
          <w:color w:val="auto"/>
        </w:rPr>
        <w:t>Upon the closing of this offering, we will have outstanding an aggregate of 20,000,000 Class A shares, assuming the issuance of 20,000,000 Class A shares offering by us in this offering. Our Class A shares sold in this offering will generally be freely transferable without restriction or further registration under the Securities Act, except that any Class A shares held by an “affiliate” of ours may not be resold publicly except in compliance with the registration requirements of the Securities Act or under an exemption under Rule 144 or otherwise. Rule 144 permits securities acquired by an affiliate of the issuer to be sold into the market in an amount that does not exceed, during any three-month period, the greater of:</w:t>
      </w:r>
    </w:p>
    <w:p>
      <w:pPr>
        <w:spacing w:after="0" w:line="71" w:lineRule="exact"/>
        <w:rPr>
          <w:sz w:val="20"/>
          <w:szCs w:val="20"/>
          <w:color w:val="auto"/>
        </w:rPr>
      </w:pPr>
    </w:p>
    <w:p>
      <w:pPr>
        <w:ind w:left="700" w:hanging="34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 of the total number of the securities outstanding; or</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shares for the four weeks prior to the sale.</w:t>
      </w:r>
    </w:p>
    <w:p>
      <w:pPr>
        <w:spacing w:after="0" w:line="115" w:lineRule="exact"/>
        <w:rPr>
          <w:sz w:val="20"/>
          <w:szCs w:val="20"/>
          <w:color w:val="auto"/>
        </w:rPr>
      </w:pPr>
    </w:p>
    <w:p>
      <w:pPr>
        <w:ind w:right="20" w:firstLine="357"/>
        <w:spacing w:after="0" w:line="268" w:lineRule="auto"/>
        <w:rPr>
          <w:sz w:val="20"/>
          <w:szCs w:val="20"/>
          <w:color w:val="auto"/>
        </w:rPr>
      </w:pPr>
      <w:r>
        <w:rPr>
          <w:rFonts w:ascii="Arial" w:cs="Arial" w:eastAsia="Arial" w:hAnsi="Arial"/>
          <w:sz w:val="17"/>
          <w:szCs w:val="17"/>
          <w:color w:val="auto"/>
        </w:rPr>
        <w:t>Sales under Rule 144 are also subject to specific manner of sale provisions, holding period requirements, notice requirements and the availability of current public information about us. A person who is not deemed to have been an affiliate of ours at any time during the three months preceding a sale, and who has beneficially owned our Class A shares for at least six months (provided we are in compliance with the current public information requirement), or one year (regardless of whether we are in compliance with the current public information requirement), would be entitled to sell those Class A shares under Rule 144, subject only to the current public information requirement. After beneficially owning Rule 144 restricted shares for at least one year, a person who is not deemed to have been an affiliate of ours at any time during the 90 days preceding a sale would be entitled to freely sell those Class A shares without regard to the public information requirements, volume limitations, manner of sale provisions and notice requirements of Rule 144.</w:t>
      </w:r>
    </w:p>
    <w:p>
      <w:pPr>
        <w:spacing w:after="0" w:line="74" w:lineRule="exact"/>
        <w:rPr>
          <w:sz w:val="20"/>
          <w:szCs w:val="20"/>
          <w:color w:val="auto"/>
        </w:rPr>
      </w:pPr>
    </w:p>
    <w:p>
      <w:pPr>
        <w:ind w:right="40" w:firstLine="357"/>
        <w:spacing w:after="0" w:line="294" w:lineRule="auto"/>
        <w:rPr>
          <w:sz w:val="20"/>
          <w:szCs w:val="20"/>
          <w:color w:val="auto"/>
        </w:rPr>
      </w:pPr>
      <w:r>
        <w:rPr>
          <w:rFonts w:ascii="Arial" w:cs="Arial" w:eastAsia="Arial" w:hAnsi="Arial"/>
          <w:sz w:val="16"/>
          <w:szCs w:val="16"/>
          <w:color w:val="auto"/>
        </w:rPr>
        <w:t>Our operating agreement provides that we may issue an unlimited number of limited liability company interests of any type at any time without a vote of the shareholders, subject to the requirements of NASDAQ. Any issuance of additional Class A shares or other limited liability company interests would result in a corresponding decrease in the proportionate ownership interest in us represented by, and could adversely affect the market price of, Class A shares then outstanding. Please read “Our Operating Agreement—Anti-Takeover Effects of Delaware Law and Our Operating Agreement—Issuance of Additional Interests.”</w:t>
      </w:r>
    </w:p>
    <w:p>
      <w:pPr>
        <w:spacing w:after="0" w:line="54" w:lineRule="exact"/>
        <w:rPr>
          <w:sz w:val="20"/>
          <w:szCs w:val="20"/>
          <w:color w:val="auto"/>
        </w:rPr>
      </w:pPr>
    </w:p>
    <w:p>
      <w:pPr>
        <w:ind w:right="40" w:firstLine="357"/>
        <w:spacing w:after="0" w:line="268" w:lineRule="auto"/>
        <w:rPr>
          <w:sz w:val="20"/>
          <w:szCs w:val="20"/>
          <w:color w:val="auto"/>
        </w:rPr>
      </w:pPr>
      <w:r>
        <w:rPr>
          <w:rFonts w:ascii="Arial" w:cs="Arial" w:eastAsia="Arial" w:hAnsi="Arial"/>
          <w:sz w:val="17"/>
          <w:szCs w:val="17"/>
          <w:color w:val="auto"/>
        </w:rPr>
        <w:t>Under the Shareholders’ Agreement that we expect to enter into, New Fortress Energy Holdings and its affiliates will have the right to cause us to register under the Securities Act and applicable state securities laws the offer and sale of any shares that they hold. Subject to the terms and conditions of the Shareholders’ Agreement, these registration rights allow New Fortress Energy Holdings and its affiliates or their assignees holding any shares to require registration of any of these shares and to include any of these shares in a registration by us of other shares, including shares offered by us or by any shareholder. In connection with any registration of this kind, we will indemnify each shareholder participating in the registration and its officers, directors, and controlling persons from and against any liabilities under the Securities Act or any applicable state securities laws arising from the registration statement or prospectus. We will bear all costs and expenses incidental to any registration, excluding any underwriting discount. Except as described below, New Fortress Energy Holdings and its affiliates may sell their shares in private transactions at any time, subject to compliance with applicable laws.</w:t>
      </w:r>
    </w:p>
    <w:p>
      <w:pPr>
        <w:spacing w:after="0" w:line="71" w:lineRule="exact"/>
        <w:rPr>
          <w:sz w:val="20"/>
          <w:szCs w:val="20"/>
          <w:color w:val="auto"/>
        </w:rPr>
      </w:pPr>
    </w:p>
    <w:p>
      <w:pPr>
        <w:ind w:right="300" w:firstLine="357"/>
        <w:spacing w:after="0" w:line="261" w:lineRule="auto"/>
        <w:rPr>
          <w:sz w:val="20"/>
          <w:szCs w:val="20"/>
          <w:color w:val="auto"/>
        </w:rPr>
      </w:pPr>
      <w:r>
        <w:rPr>
          <w:rFonts w:ascii="Arial" w:cs="Arial" w:eastAsia="Arial" w:hAnsi="Arial"/>
          <w:sz w:val="18"/>
          <w:szCs w:val="18"/>
          <w:color w:val="auto"/>
        </w:rPr>
        <w:t>Our executive officers and directors and New Fortress Energy Holdings will agree not to sell any Class A shares they beneficially own for a period of 180 days from the date of the underwriting agreement to be entered into in connection with this offering. Please read “Underwriting” for a description of these lock-up provisions.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119" w:lineRule="exact"/>
        <w:rPr>
          <w:sz w:val="20"/>
          <w:szCs w:val="20"/>
          <w:color w:val="auto"/>
        </w:rPr>
      </w:pPr>
    </w:p>
    <w:p>
      <w:pPr>
        <w:ind w:firstLine="357"/>
        <w:spacing w:after="0" w:line="269" w:lineRule="auto"/>
        <w:rPr>
          <w:sz w:val="20"/>
          <w:szCs w:val="20"/>
          <w:color w:val="auto"/>
        </w:rPr>
      </w:pPr>
      <w:r>
        <w:rPr>
          <w:rFonts w:ascii="Arial" w:cs="Arial" w:eastAsia="Arial" w:hAnsi="Arial"/>
          <w:sz w:val="17"/>
          <w:szCs w:val="17"/>
          <w:color w:val="auto"/>
        </w:rPr>
        <w:t>The following is a summary of the material U.S. federal income tax considerations related to the purchase, ownership and disposition of our Class A shares by a non-U.S. holder (as defined below),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possibly with retroactive effect. We cannot assure you that a change in law will not significantly alter the tax considerations that we describe in this summary. We have not sought any ruling from the Internal Revenue Services (the “IRS”) with respect to the statements made and the conclusions reached in the following summary, and there can be no assurance that the IRS or a court will agree with such statements and conclusions.</w:t>
      </w:r>
    </w:p>
    <w:p>
      <w:pPr>
        <w:spacing w:after="0" w:line="72" w:lineRule="exact"/>
        <w:rPr>
          <w:sz w:val="20"/>
          <w:szCs w:val="20"/>
          <w:color w:val="auto"/>
        </w:rPr>
      </w:pPr>
    </w:p>
    <w:p>
      <w:pPr>
        <w:ind w:right="100" w:firstLine="357"/>
        <w:spacing w:after="0" w:line="299" w:lineRule="auto"/>
        <w:rPr>
          <w:sz w:val="20"/>
          <w:szCs w:val="20"/>
          <w:color w:val="auto"/>
        </w:rPr>
      </w:pPr>
      <w:r>
        <w:rPr>
          <w:rFonts w:ascii="Arial" w:cs="Arial" w:eastAsia="Arial" w:hAnsi="Arial"/>
          <w:sz w:val="16"/>
          <w:szCs w:val="16"/>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49" w:lineRule="exact"/>
        <w:rPr>
          <w:sz w:val="20"/>
          <w:szCs w:val="20"/>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14" w:lineRule="exact"/>
        <w:rPr>
          <w:rFonts w:ascii="Arial" w:cs="Arial" w:eastAsia="Arial" w:hAnsi="Arial"/>
          <w:sz w:val="18"/>
          <w:szCs w:val="18"/>
          <w:color w:val="auto"/>
        </w:rPr>
      </w:pPr>
    </w:p>
    <w:p>
      <w:pPr>
        <w:ind w:left="700" w:hanging="346"/>
        <w:spacing w:after="0" w:line="339" w:lineRule="auto"/>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qualified foreign pension funds (or any entities all of the interests of which are held by a qualified foreign pension fund) or any other person that is subject to special rules or exemptions under the Foreign Investment in Real Property Tax Act;</w:t>
      </w:r>
    </w:p>
    <w:p>
      <w:pPr>
        <w:spacing w:after="0" w:line="16" w:lineRule="exact"/>
        <w:rPr>
          <w:rFonts w:ascii="Arial" w:cs="Arial" w:eastAsia="Arial" w:hAnsi="Arial"/>
          <w:sz w:val="16"/>
          <w:szCs w:val="16"/>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14" w:lineRule="exact"/>
        <w:rPr>
          <w:rFonts w:ascii="Arial" w:cs="Arial" w:eastAsia="Arial" w:hAnsi="Arial"/>
          <w:sz w:val="18"/>
          <w:szCs w:val="18"/>
          <w:color w:val="auto"/>
        </w:rPr>
      </w:pPr>
    </w:p>
    <w:p>
      <w:pPr>
        <w:ind w:left="700" w:right="120" w:hanging="346"/>
        <w:spacing w:after="0" w:line="274"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partnerships or other pass-through entities for U.S. federal income tax purposes or holders of interests therein;</w:t>
      </w:r>
    </w:p>
    <w:p>
      <w:pPr>
        <w:spacing w:after="0" w:line="126" w:lineRule="exact"/>
        <w:rPr>
          <w:rFonts w:ascii="Arial" w:cs="Arial" w:eastAsia="Arial" w:hAnsi="Arial"/>
          <w:sz w:val="17"/>
          <w:szCs w:val="17"/>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114" w:lineRule="exact"/>
        <w:rPr>
          <w:rFonts w:ascii="Arial" w:cs="Arial" w:eastAsia="Arial" w:hAnsi="Arial"/>
          <w:sz w:val="18"/>
          <w:szCs w:val="18"/>
          <w:color w:val="auto"/>
        </w:rPr>
      </w:pPr>
    </w:p>
    <w:p>
      <w:pPr>
        <w:ind w:left="700" w:right="100" w:hanging="346"/>
        <w:spacing w:after="0" w:line="274"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14" w:lineRule="exact"/>
        <w:rPr>
          <w:rFonts w:ascii="Arial" w:cs="Arial" w:eastAsia="Arial" w:hAnsi="Arial"/>
          <w:sz w:val="18"/>
          <w:szCs w:val="18"/>
          <w:color w:val="auto"/>
        </w:rPr>
      </w:pPr>
    </w:p>
    <w:p>
      <w:pPr>
        <w:ind w:left="700" w:right="640" w:hanging="346"/>
        <w:spacing w:after="0" w:line="274"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60" w:lineRule="exact"/>
        <w:rPr>
          <w:sz w:val="20"/>
          <w:szCs w:val="20"/>
          <w:color w:val="auto"/>
        </w:rPr>
      </w:pPr>
    </w:p>
    <w:p>
      <w:pPr>
        <w:ind w:firstLine="357"/>
        <w:spacing w:after="0" w:line="275" w:lineRule="auto"/>
        <w:rPr>
          <w:sz w:val="20"/>
          <w:szCs w:val="20"/>
          <w:color w:val="auto"/>
        </w:rPr>
      </w:pPr>
      <w:r>
        <w:rPr>
          <w:rFonts w:ascii="Arial" w:cs="Arial" w:eastAsia="Arial" w:hAnsi="Arial"/>
          <w:sz w:val="17"/>
          <w:szCs w:val="17"/>
          <w:b w:val="1"/>
          <w:bCs w:val="1"/>
          <w:color w:val="auto"/>
        </w:rPr>
        <w:t>PROSPECTIVE INVESTORS ARE ENCOURAGED TO CONSULT THEIR TAX ADVISORS WITH RESPECT TO THE APPLICATION OF THE U.S. FEDERAL INCOME TAX LAWS TO THEIR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19" w:lineRule="exact"/>
        <w:rPr>
          <w:sz w:val="20"/>
          <w:szCs w:val="20"/>
          <w:color w:val="auto"/>
        </w:rPr>
      </w:pPr>
    </w:p>
    <w:p>
      <w:pPr>
        <w:ind w:right="400" w:firstLine="357"/>
        <w:spacing w:after="0" w:line="274" w:lineRule="auto"/>
        <w:rPr>
          <w:sz w:val="20"/>
          <w:szCs w:val="20"/>
          <w:color w:val="auto"/>
        </w:rPr>
      </w:pPr>
      <w:r>
        <w:rPr>
          <w:rFonts w:ascii="Arial" w:cs="Arial" w:eastAsia="Arial" w:hAnsi="Arial"/>
          <w:sz w:val="18"/>
          <w:szCs w:val="18"/>
          <w:color w:val="auto"/>
        </w:rPr>
        <w:t>For purposes of this discussion, a “non-U.S. holder” is a beneficial owner of our Class A shares that is not for U.S. federal income tax purposes a partnership or any of the following:</w:t>
      </w:r>
    </w:p>
    <w:p>
      <w:pPr>
        <w:spacing w:after="0" w:line="64" w:lineRule="exact"/>
        <w:rPr>
          <w:sz w:val="20"/>
          <w:szCs w:val="20"/>
          <w:color w:val="auto"/>
        </w:rPr>
      </w:pPr>
    </w:p>
    <w:p>
      <w:pPr>
        <w:ind w:left="700" w:hanging="34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4" w:lineRule="exact"/>
        <w:rPr>
          <w:rFonts w:ascii="Arial" w:cs="Arial" w:eastAsia="Arial" w:hAnsi="Arial"/>
          <w:sz w:val="18"/>
          <w:szCs w:val="18"/>
          <w:color w:val="auto"/>
        </w:rPr>
      </w:pPr>
    </w:p>
    <w:p>
      <w:pPr>
        <w:ind w:left="700" w:right="400" w:hanging="346"/>
        <w:spacing w:after="0" w:line="274"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4" w:lineRule="exact"/>
        <w:rPr>
          <w:rFonts w:ascii="Arial" w:cs="Arial" w:eastAsia="Arial" w:hAnsi="Arial"/>
          <w:sz w:val="18"/>
          <w:szCs w:val="18"/>
          <w:color w:val="auto"/>
        </w:rPr>
      </w:pPr>
    </w:p>
    <w:p>
      <w:pPr>
        <w:ind w:left="700" w:hanging="346"/>
        <w:spacing w:after="0" w:line="261"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76" w:lineRule="exact"/>
        <w:rPr>
          <w:sz w:val="20"/>
          <w:szCs w:val="20"/>
          <w:color w:val="auto"/>
        </w:rPr>
      </w:pPr>
    </w:p>
    <w:p>
      <w:pPr>
        <w:ind w:right="40" w:firstLine="357"/>
        <w:spacing w:after="0" w:line="254"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shares to consult their tax advisors regarding the U.S. federal income tax considerations of the purchase, ownership and disposition of our Class A shares by such partnership.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 U.S. Federal Income Taxation</w:t>
      </w:r>
    </w:p>
    <w:p>
      <w:pPr>
        <w:spacing w:after="0" w:line="119" w:lineRule="exact"/>
        <w:rPr>
          <w:sz w:val="20"/>
          <w:szCs w:val="20"/>
          <w:color w:val="auto"/>
        </w:rPr>
      </w:pPr>
    </w:p>
    <w:p>
      <w:pPr>
        <w:ind w:right="60" w:firstLine="357"/>
        <w:spacing w:after="0" w:line="305" w:lineRule="auto"/>
        <w:rPr>
          <w:sz w:val="20"/>
          <w:szCs w:val="20"/>
          <w:color w:val="auto"/>
        </w:rPr>
      </w:pPr>
      <w:r>
        <w:rPr>
          <w:rFonts w:ascii="Arial" w:cs="Arial" w:eastAsia="Arial" w:hAnsi="Arial"/>
          <w:sz w:val="17"/>
          <w:szCs w:val="17"/>
          <w:color w:val="auto"/>
        </w:rPr>
        <w:t>Although NFE was formed as a limited liability company, we have elected to be taxed as a corporation for U.S. federal income tax purposes. Thus, NFE is generally obligated to pay U.S. federal income tax on our worldwide net taxable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19" w:lineRule="exact"/>
        <w:rPr>
          <w:sz w:val="20"/>
          <w:szCs w:val="20"/>
          <w:color w:val="auto"/>
        </w:rPr>
      </w:pPr>
    </w:p>
    <w:p>
      <w:pPr>
        <w:ind w:right="140" w:firstLine="357"/>
        <w:spacing w:after="0" w:line="270" w:lineRule="auto"/>
        <w:rPr>
          <w:sz w:val="20"/>
          <w:szCs w:val="20"/>
          <w:color w:val="auto"/>
        </w:rPr>
      </w:pPr>
      <w:r>
        <w:rPr>
          <w:rFonts w:ascii="Arial" w:cs="Arial" w:eastAsia="Arial" w:hAnsi="Arial"/>
          <w:sz w:val="17"/>
          <w:szCs w:val="17"/>
          <w:color w:val="auto"/>
        </w:rPr>
        <w:t>As described in the section entitled “Dividend Policy,” we do not plan to make any distributions on our Class A shares for the foreseeable future. However, in the event we do make distributions of cash or other property on our Class A shares,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Class A shares (and will reduce such tax basis) and thereafter as capital gain from the sale or exchange of such Class A shares. See “—Gain on Disposition of Class A Shares.”</w:t>
      </w:r>
    </w:p>
    <w:p>
      <w:pPr>
        <w:spacing w:after="0" w:line="70" w:lineRule="exact"/>
        <w:rPr>
          <w:sz w:val="20"/>
          <w:szCs w:val="20"/>
          <w:color w:val="auto"/>
        </w:rPr>
      </w:pPr>
    </w:p>
    <w:p>
      <w:pPr>
        <w:ind w:right="40" w:firstLine="357"/>
        <w:spacing w:after="0" w:line="294" w:lineRule="auto"/>
        <w:rPr>
          <w:sz w:val="20"/>
          <w:szCs w:val="20"/>
          <w:color w:val="auto"/>
        </w:rPr>
      </w:pPr>
      <w:r>
        <w:rPr>
          <w:rFonts w:ascii="Arial" w:cs="Arial" w:eastAsia="Arial" w:hAnsi="Arial"/>
          <w:sz w:val="16"/>
          <w:szCs w:val="16"/>
          <w:color w:val="auto"/>
        </w:rPr>
        <w:t>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an IRS Form W-8BEN or IRS Form W-8BEN-E (or other applicable or successor form) certifying qualification for the reduced rate.</w:t>
      </w:r>
    </w:p>
    <w:p>
      <w:pPr>
        <w:spacing w:after="0" w:line="54" w:lineRule="exact"/>
        <w:rPr>
          <w:sz w:val="20"/>
          <w:szCs w:val="20"/>
          <w:color w:val="auto"/>
        </w:rPr>
      </w:pPr>
    </w:p>
    <w:p>
      <w:pPr>
        <w:ind w:right="20" w:firstLine="357"/>
        <w:spacing w:after="0" w:line="287" w:lineRule="auto"/>
        <w:rPr>
          <w:sz w:val="20"/>
          <w:szCs w:val="20"/>
          <w:color w:val="auto"/>
        </w:rPr>
      </w:pPr>
      <w:r>
        <w:rPr>
          <w:rFonts w:ascii="Arial" w:cs="Arial" w:eastAsia="Arial" w:hAnsi="Arial"/>
          <w:sz w:val="16"/>
          <w:szCs w:val="16"/>
          <w:color w:val="auto"/>
        </w:rPr>
        <w:t>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(including backup withholding described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119" w:lineRule="exact"/>
        <w:rPr>
          <w:sz w:val="20"/>
          <w:szCs w:val="20"/>
          <w:color w:val="auto"/>
        </w:rPr>
      </w:pPr>
    </w:p>
    <w:p>
      <w:pPr>
        <w:ind w:right="200" w:firstLine="357"/>
        <w:spacing w:after="0" w:line="261" w:lineRule="auto"/>
        <w:rPr>
          <w:sz w:val="20"/>
          <w:szCs w:val="20"/>
          <w:color w:val="auto"/>
        </w:rPr>
      </w:pPr>
      <w:r>
        <w:rPr>
          <w:rFonts w:ascii="Arial" w:cs="Arial" w:eastAsia="Arial" w:hAnsi="Arial"/>
          <w:sz w:val="18"/>
          <w:szCs w:val="18"/>
          <w:color w:val="auto"/>
        </w:rPr>
        <w:t>Subject to the discussion below under “—Backup Withholding and Information Reporting,” a non-U.S. holder generally will not be subject to U.S. federal income tax or withholding on any gain realized upon the sale or other disposition of our Class A shares unless:</w:t>
      </w:r>
    </w:p>
    <w:p>
      <w:pPr>
        <w:spacing w:after="0" w:line="76" w:lineRule="exact"/>
        <w:rPr>
          <w:sz w:val="20"/>
          <w:szCs w:val="20"/>
          <w:color w:val="auto"/>
        </w:rPr>
      </w:pPr>
    </w:p>
    <w:p>
      <w:pPr>
        <w:ind w:left="700" w:right="300" w:hanging="346"/>
        <w:spacing w:after="0" w:line="339"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6" w:lineRule="exact"/>
        <w:rPr>
          <w:rFonts w:ascii="Arial" w:cs="Arial" w:eastAsia="Arial" w:hAnsi="Arial"/>
          <w:sz w:val="16"/>
          <w:szCs w:val="16"/>
          <w:color w:val="auto"/>
        </w:rPr>
      </w:pPr>
    </w:p>
    <w:p>
      <w:pPr>
        <w:ind w:left="700" w:right="280" w:hanging="346"/>
        <w:spacing w:after="0" w:line="261"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75" w:lineRule="exact"/>
        <w:rPr>
          <w:rFonts w:ascii="Arial" w:cs="Arial" w:eastAsia="Arial" w:hAnsi="Arial"/>
          <w:sz w:val="18"/>
          <w:szCs w:val="18"/>
          <w:color w:val="auto"/>
        </w:rPr>
      </w:pPr>
    </w:p>
    <w:p>
      <w:pPr>
        <w:ind w:left="700" w:right="120" w:hanging="346"/>
        <w:spacing w:after="0" w:line="309"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in the event that we are or become a United States real property holding corporation (“USRPHC”) for U.S. federal income tax purposes and as a result such gain is treated as effectively connected with a trade or business conducted by the non-U.S. holder in the United States.</w:t>
      </w:r>
    </w:p>
    <w:p>
      <w:pPr>
        <w:spacing w:after="0" w:line="41" w:lineRule="exact"/>
        <w:rPr>
          <w:sz w:val="20"/>
          <w:szCs w:val="20"/>
          <w:color w:val="auto"/>
        </w:rPr>
      </w:pPr>
    </w:p>
    <w:p>
      <w:pPr>
        <w:ind w:right="160" w:firstLine="357"/>
        <w:spacing w:after="0" w:line="261"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76" w:lineRule="exact"/>
        <w:rPr>
          <w:sz w:val="20"/>
          <w:szCs w:val="20"/>
          <w:color w:val="auto"/>
        </w:rPr>
      </w:pPr>
    </w:p>
    <w:p>
      <w:pPr>
        <w:ind w:right="60" w:firstLine="357"/>
        <w:spacing w:after="0" w:line="291"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57" w:lineRule="exact"/>
        <w:rPr>
          <w:sz w:val="20"/>
          <w:szCs w:val="20"/>
          <w:color w:val="auto"/>
        </w:rPr>
      </w:pPr>
    </w:p>
    <w:p>
      <w:pPr>
        <w:ind w:firstLine="357"/>
        <w:spacing w:after="0" w:line="283" w:lineRule="auto"/>
        <w:rPr>
          <w:sz w:val="20"/>
          <w:szCs w:val="20"/>
          <w:color w:val="auto"/>
        </w:rPr>
      </w:pPr>
      <w:r>
        <w:rPr>
          <w:rFonts w:ascii="Arial" w:cs="Arial" w:eastAsia="Arial" w:hAnsi="Arial"/>
          <w:sz w:val="16"/>
          <w:szCs w:val="16"/>
          <w:color w:val="auto"/>
        </w:rPr>
        <w:t>With respect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although this determination is not free from doubt, and we may become a USRPHC in the future depending on the manner in which we expand our business. In the event that we are or become a USRPHC, as long as our Class A shares are treated as “regularly traded on an established securities market” (within the meaning of the U.S. Treasury Regulations) at the time of the disposition,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U.S. real property interest and will be taxable on gain realized on the disposition of our Class A shares as a result of our status as a USRPHC. If we are or become a USRPHC and our Class A shares were not considered to be regularly traded on an established securities market, such holder (regardless of the percentage of stock owned) would be treated as disposing of a U.S. real property interest and would be subject to U.S. federal income tax on a taxable disposition of our Class A shares (as described in the preceding paragraph), and a 15% withholding tax would apply to the gross proceeds from such disposition. In addition, if we are or become a USRPHC, we may be required to withhold 15% of any distribution to a non-U.S. holder to the extent such distribution is not treated as paid from our current or accumulated earnings and profits if either our Class A shares are not then treated as regularly traded on an established securities market or the non-U.S. holder owns in excess of 5% of our Class A shares.</w:t>
      </w:r>
    </w:p>
    <w:p>
      <w:pPr>
        <w:spacing w:after="0" w:line="64" w:lineRule="exact"/>
        <w:rPr>
          <w:sz w:val="20"/>
          <w:szCs w:val="20"/>
          <w:color w:val="auto"/>
        </w:rPr>
      </w:pPr>
    </w:p>
    <w:p>
      <w:pPr>
        <w:ind w:right="40" w:firstLine="357"/>
        <w:spacing w:after="0" w:line="279" w:lineRule="auto"/>
        <w:rPr>
          <w:sz w:val="20"/>
          <w:szCs w:val="20"/>
          <w:color w:val="auto"/>
        </w:rPr>
      </w:pPr>
      <w:r>
        <w:rPr>
          <w:rFonts w:ascii="Arial" w:cs="Arial" w:eastAsia="Arial" w:hAnsi="Arial"/>
          <w:sz w:val="18"/>
          <w:szCs w:val="18"/>
          <w:b w:val="1"/>
          <w:bCs w:val="1"/>
          <w:color w:val="auto"/>
        </w:rPr>
        <w:t>NON-U.S. HOLDERS SHOULD CONSULT THEIR TAX ADVISORS WITH RESPECT TO THE APPLICATION OF THE FOREGOING RULES TO THEIR OWNERSHIP AND DISPOSITION OF OUR CLASS A SHARES.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19" w:lineRule="exact"/>
        <w:rPr>
          <w:sz w:val="20"/>
          <w:szCs w:val="20"/>
          <w:color w:val="auto"/>
        </w:rPr>
      </w:pPr>
    </w:p>
    <w:p>
      <w:pPr>
        <w:ind w:right="440" w:firstLine="357"/>
        <w:spacing w:after="0" w:line="261" w:lineRule="auto"/>
        <w:rPr>
          <w:sz w:val="20"/>
          <w:szCs w:val="20"/>
          <w:color w:val="auto"/>
        </w:rPr>
      </w:pPr>
      <w:r>
        <w:rPr>
          <w:rFonts w:ascii="Arial" w:cs="Arial" w:eastAsia="Arial" w:hAnsi="Arial"/>
          <w:sz w:val="18"/>
          <w:szCs w:val="18"/>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subject to backup withholding if the non-U.S. holder establishes an exemption by properly certifying its non-U.S. status on an IRS Form W-8BEN or IRS Form W-8BEN-E (or other applicable or successor form).</w:t>
      </w:r>
    </w:p>
    <w:p>
      <w:pPr>
        <w:spacing w:after="0" w:line="64" w:lineRule="exact"/>
        <w:rPr>
          <w:sz w:val="20"/>
          <w:szCs w:val="20"/>
          <w:color w:val="auto"/>
        </w:rPr>
      </w:pPr>
    </w:p>
    <w:p>
      <w:pPr>
        <w:ind w:right="40" w:firstLine="357"/>
        <w:spacing w:after="0" w:line="287" w:lineRule="auto"/>
        <w:rPr>
          <w:sz w:val="20"/>
          <w:szCs w:val="20"/>
          <w:color w:val="auto"/>
        </w:rPr>
      </w:pPr>
      <w:r>
        <w:rPr>
          <w:rFonts w:ascii="Arial" w:cs="Arial" w:eastAsia="Arial" w:hAnsi="Arial"/>
          <w:sz w:val="16"/>
          <w:szCs w:val="16"/>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59" w:lineRule="exact"/>
        <w:rPr>
          <w:sz w:val="20"/>
          <w:szCs w:val="20"/>
          <w:color w:val="auto"/>
        </w:rPr>
      </w:pPr>
    </w:p>
    <w:p>
      <w:pPr>
        <w:jc w:val="both"/>
        <w:ind w:right="80" w:firstLine="357"/>
        <w:spacing w:after="0" w:line="261"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119" w:lineRule="exact"/>
        <w:rPr>
          <w:sz w:val="20"/>
          <w:szCs w:val="20"/>
          <w:color w:val="auto"/>
        </w:rPr>
      </w:pPr>
    </w:p>
    <w:p>
      <w:pPr>
        <w:ind w:firstLine="357"/>
        <w:spacing w:after="0" w:line="266" w:lineRule="auto"/>
        <w:rPr>
          <w:sz w:val="20"/>
          <w:szCs w:val="20"/>
          <w:color w:val="auto"/>
        </w:rPr>
      </w:pPr>
      <w:r>
        <w:rPr>
          <w:rFonts w:ascii="Arial" w:cs="Arial" w:eastAsia="Arial" w:hAnsi="Arial"/>
          <w:sz w:val="17"/>
          <w:szCs w:val="17"/>
          <w:color w:val="auto"/>
        </w:rPr>
        <w:t>Sections 1471 through 1474 of the Code, and the U.S. Treasury regulations and administrative guidance issued thereunder (“FATCA”), impose a 30% withholding tax on any dividends paid on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shares.</w:t>
      </w:r>
    </w:p>
    <w:p>
      <w:pPr>
        <w:spacing w:after="0" w:line="73" w:lineRule="exact"/>
        <w:rPr>
          <w:sz w:val="20"/>
          <w:szCs w:val="20"/>
          <w:color w:val="auto"/>
        </w:rPr>
      </w:pPr>
    </w:p>
    <w:p>
      <w:pPr>
        <w:jc w:val="both"/>
        <w:ind w:right="80" w:firstLine="357"/>
        <w:spacing w:after="0" w:line="259" w:lineRule="auto"/>
        <w:rPr>
          <w:sz w:val="20"/>
          <w:szCs w:val="20"/>
          <w:color w:val="auto"/>
        </w:rPr>
      </w:pPr>
      <w:r>
        <w:rPr>
          <w:rFonts w:ascii="Arial" w:cs="Arial" w:eastAsia="Arial" w:hAnsi="Arial"/>
          <w:sz w:val="18"/>
          <w:szCs w:val="18"/>
          <w:b w:val="1"/>
          <w:bCs w:val="1"/>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ERISA CONSIDERATIONS</w:t>
      </w:r>
    </w:p>
    <w:p>
      <w:pPr>
        <w:spacing w:after="0" w:line="119" w:lineRule="exact"/>
        <w:rPr>
          <w:sz w:val="20"/>
          <w:szCs w:val="20"/>
          <w:color w:val="auto"/>
        </w:rPr>
      </w:pPr>
    </w:p>
    <w:p>
      <w:pPr>
        <w:ind w:right="120" w:firstLine="357"/>
        <w:spacing w:after="0" w:line="289" w:lineRule="auto"/>
        <w:rPr>
          <w:sz w:val="20"/>
          <w:szCs w:val="20"/>
          <w:color w:val="auto"/>
        </w:rPr>
      </w:pPr>
      <w:r>
        <w:rPr>
          <w:rFonts w:ascii="Arial" w:cs="Arial" w:eastAsia="Arial" w:hAnsi="Arial"/>
          <w:sz w:val="16"/>
          <w:szCs w:val="16"/>
          <w:color w:val="auto"/>
        </w:rPr>
        <w:t>The following is a summary of certain considerations associated with the acquisition and holding of our Class A shares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ERISA)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59" w:lineRule="exact"/>
        <w:rPr>
          <w:sz w:val="20"/>
          <w:szCs w:val="20"/>
          <w:color w:val="auto"/>
        </w:rPr>
      </w:pPr>
    </w:p>
    <w:p>
      <w:pPr>
        <w:ind w:right="80" w:firstLine="357"/>
        <w:spacing w:after="0" w:line="254" w:lineRule="auto"/>
        <w:rPr>
          <w:sz w:val="20"/>
          <w:szCs w:val="20"/>
          <w:color w:val="auto"/>
        </w:rPr>
      </w:pPr>
      <w:r>
        <w:rPr>
          <w:rFonts w:ascii="Arial" w:cs="Arial" w:eastAsia="Arial" w:hAnsi="Arial"/>
          <w:sz w:val="18"/>
          <w:szCs w:val="18"/>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Fiduciary Matters</w:t>
      </w:r>
    </w:p>
    <w:p>
      <w:pPr>
        <w:spacing w:after="0" w:line="119" w:lineRule="exact"/>
        <w:rPr>
          <w:sz w:val="20"/>
          <w:szCs w:val="20"/>
          <w:color w:val="auto"/>
        </w:rPr>
      </w:pPr>
    </w:p>
    <w:p>
      <w:pPr>
        <w:ind w:firstLine="357"/>
        <w:spacing w:after="0" w:line="294"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54" w:lineRule="exact"/>
        <w:rPr>
          <w:sz w:val="20"/>
          <w:szCs w:val="20"/>
          <w:color w:val="auto"/>
        </w:rPr>
      </w:pPr>
    </w:p>
    <w:p>
      <w:pPr>
        <w:ind w:right="160" w:firstLine="357"/>
        <w:spacing w:after="0" w:line="299" w:lineRule="auto"/>
        <w:rPr>
          <w:sz w:val="20"/>
          <w:szCs w:val="20"/>
          <w:color w:val="auto"/>
        </w:rPr>
      </w:pPr>
      <w:r>
        <w:rPr>
          <w:rFonts w:ascii="Arial" w:cs="Arial" w:eastAsia="Arial" w:hAnsi="Arial"/>
          <w:sz w:val="16"/>
          <w:szCs w:val="16"/>
          <w:color w:val="auto"/>
        </w:rPr>
        <w:t>In considering an investment in our Class A shares with a portion of the assets of any Plan, a fiduciary should consider the Plan’s particular circumstances and all of the facts and circumstances of the investment and determine whether the acquisition and holding of such Class A shares is in accordance with the documents and instruments governing the Plan and the applicable provisions of ERISA, the Code, or any Similar Law relating to the fiduciary’s duties to the Plan, including, without limitation:</w:t>
      </w:r>
    </w:p>
    <w:p>
      <w:pPr>
        <w:spacing w:after="0" w:line="49" w:lineRule="exact"/>
        <w:rPr>
          <w:sz w:val="20"/>
          <w:szCs w:val="20"/>
          <w:color w:val="auto"/>
        </w:rPr>
      </w:pPr>
    </w:p>
    <w:p>
      <w:pPr>
        <w:ind w:left="700" w:hanging="346"/>
        <w:spacing w:after="0"/>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whether the investment is prudent under Section 404(a)(1)(B) of ERISA and any other applicable Similar Laws;</w:t>
      </w:r>
    </w:p>
    <w:p>
      <w:pPr>
        <w:spacing w:after="0" w:line="126" w:lineRule="exact"/>
        <w:rPr>
          <w:rFonts w:ascii="Arial" w:cs="Arial" w:eastAsia="Arial" w:hAnsi="Arial"/>
          <w:sz w:val="17"/>
          <w:szCs w:val="17"/>
          <w:color w:val="auto"/>
        </w:rPr>
      </w:pPr>
    </w:p>
    <w:p>
      <w:pPr>
        <w:ind w:left="700" w:hanging="346"/>
        <w:spacing w:after="0" w:line="274"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in making the investment, the ERISA Plan will satisfy the diversification requirements of Section 404(a)(1)(C) of ERISA and any other applicable Similar Laws;</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investment is permitted under the terms of the applicable documents governing the Plan;</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in the future there may be no market in which to sell or otherwise dispose of the Class A shares;</w:t>
      </w:r>
    </w:p>
    <w:p>
      <w:pPr>
        <w:spacing w:after="0" w:line="114" w:lineRule="exact"/>
        <w:rPr>
          <w:rFonts w:ascii="Arial" w:cs="Arial" w:eastAsia="Arial" w:hAnsi="Arial"/>
          <w:sz w:val="18"/>
          <w:szCs w:val="18"/>
          <w:color w:val="auto"/>
        </w:rPr>
      </w:pPr>
    </w:p>
    <w:p>
      <w:pPr>
        <w:ind w:left="700" w:right="160" w:hanging="346"/>
        <w:spacing w:after="0" w:line="339" w:lineRule="auto"/>
        <w:tabs>
          <w:tab w:leader="none" w:pos="7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whether the acquisition or holding of such Class A shares will constitute a “prohibited transaction” under Section 406 of ERISA or Section 4975 of the Code (please see discussion under “—Prohibited Transaction Issues” below); and</w:t>
      </w:r>
    </w:p>
    <w:p>
      <w:pPr>
        <w:spacing w:after="0" w:line="16" w:lineRule="exact"/>
        <w:rPr>
          <w:rFonts w:ascii="Arial" w:cs="Arial" w:eastAsia="Arial" w:hAnsi="Arial"/>
          <w:sz w:val="16"/>
          <w:szCs w:val="16"/>
          <w:color w:val="auto"/>
        </w:rPr>
      </w:pPr>
    </w:p>
    <w:p>
      <w:pPr>
        <w:ind w:left="700" w:right="60" w:hanging="346"/>
        <w:spacing w:after="0" w:line="274"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Plan will be considered to hold, as plan assets, (i) only such Class A shares or (ii) an undivided interest in our underlying assets (please see the discussion under “—Plan Asset Issues”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 Issues</w:t>
      </w:r>
    </w:p>
    <w:p>
      <w:pPr>
        <w:spacing w:after="0" w:line="119" w:lineRule="exact"/>
        <w:rPr>
          <w:sz w:val="20"/>
          <w:szCs w:val="20"/>
          <w:color w:val="auto"/>
        </w:rPr>
      </w:pPr>
    </w:p>
    <w:p>
      <w:pPr>
        <w:ind w:right="40" w:firstLine="357"/>
        <w:spacing w:after="0" w:line="294" w:lineRule="auto"/>
        <w:rPr>
          <w:sz w:val="20"/>
          <w:szCs w:val="20"/>
          <w:color w:val="auto"/>
        </w:rPr>
      </w:pPr>
      <w:r>
        <w:rPr>
          <w:rFonts w:ascii="Arial" w:cs="Arial" w:eastAsia="Arial" w:hAnsi="Arial"/>
          <w:sz w:val="16"/>
          <w:szCs w:val="16"/>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liabilities under ERISA and the Code. The acquisition and/or holding of our Class A shares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49" w:lineRule="exact"/>
        <w:rPr>
          <w:sz w:val="20"/>
          <w:szCs w:val="20"/>
          <w:color w:val="auto"/>
        </w:rPr>
      </w:pPr>
    </w:p>
    <w:p>
      <w:pPr>
        <w:jc w:val="both"/>
        <w:ind w:right="60" w:firstLine="357"/>
        <w:spacing w:after="0" w:line="261" w:lineRule="auto"/>
        <w:rPr>
          <w:sz w:val="20"/>
          <w:szCs w:val="20"/>
          <w:color w:val="auto"/>
        </w:rPr>
      </w:pPr>
      <w:r>
        <w:rPr>
          <w:rFonts w:ascii="Arial" w:cs="Arial" w:eastAsia="Arial" w:hAnsi="Arial"/>
          <w:sz w:val="18"/>
          <w:szCs w:val="18"/>
          <w:color w:val="auto"/>
        </w:rPr>
        <w:t>Because of the foregoing, our Class A shares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Issues</w:t>
      </w:r>
    </w:p>
    <w:p>
      <w:pPr>
        <w:spacing w:after="0" w:line="119" w:lineRule="exact"/>
        <w:rPr>
          <w:sz w:val="20"/>
          <w:szCs w:val="20"/>
          <w:color w:val="auto"/>
        </w:rPr>
      </w:pPr>
    </w:p>
    <w:p>
      <w:pPr>
        <w:ind w:right="20" w:firstLine="357"/>
        <w:spacing w:after="0" w:line="257" w:lineRule="auto"/>
        <w:rPr>
          <w:sz w:val="20"/>
          <w:szCs w:val="20"/>
          <w:color w:val="auto"/>
        </w:rPr>
      </w:pPr>
      <w:r>
        <w:rPr>
          <w:rFonts w:ascii="Arial" w:cs="Arial" w:eastAsia="Arial" w:hAnsi="Arial"/>
          <w:sz w:val="18"/>
          <w:szCs w:val="18"/>
          <w:color w:val="auto"/>
        </w:rPr>
        <w:t>Additionally, a fiduciary of a Plan should consider whether the Plan will, by investing in our Class A shares,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79" w:lineRule="exact"/>
        <w:rPr>
          <w:sz w:val="20"/>
          <w:szCs w:val="20"/>
          <w:color w:val="auto"/>
        </w:rPr>
      </w:pPr>
    </w:p>
    <w:p>
      <w:pPr>
        <w:ind w:firstLine="357"/>
        <w:spacing w:after="0" w:line="261" w:lineRule="auto"/>
        <w:rPr>
          <w:sz w:val="20"/>
          <w:szCs w:val="20"/>
          <w:color w:val="auto"/>
        </w:rPr>
      </w:pPr>
      <w:r>
        <w:rPr>
          <w:rFonts w:ascii="Arial" w:cs="Arial" w:eastAsia="Arial" w:hAnsi="Arial"/>
          <w:sz w:val="18"/>
          <w:szCs w:val="18"/>
          <w:color w:val="auto"/>
        </w:rPr>
        <w:t>The Department of Labor (the “DOL”) regulations provide guidance with respect to whether the assets of an entity in which ERISA Plans acquire equity interests would be deemed “plan assets” under some circumstances. Under these regulations, an entity’s assets generally would not be considered to be “plan assets” if, among other things:</w:t>
      </w:r>
    </w:p>
    <w:p>
      <w:pPr>
        <w:spacing w:after="0" w:line="76" w:lineRule="exact"/>
        <w:rPr>
          <w:sz w:val="20"/>
          <w:szCs w:val="20"/>
          <w:color w:val="auto"/>
        </w:rPr>
      </w:pPr>
    </w:p>
    <w:p>
      <w:pPr>
        <w:ind w:left="700" w:right="180" w:hanging="346"/>
        <w:spacing w:after="0" w:line="299" w:lineRule="auto"/>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48" w:lineRule="exact"/>
        <w:rPr>
          <w:rFonts w:ascii="Arial" w:cs="Arial" w:eastAsia="Arial" w:hAnsi="Arial"/>
          <w:sz w:val="16"/>
          <w:szCs w:val="16"/>
          <w:color w:val="auto"/>
        </w:rPr>
      </w:pPr>
    </w:p>
    <w:p>
      <w:pPr>
        <w:ind w:left="700" w:hanging="346"/>
        <w:spacing w:after="0" w:line="261"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75" w:lineRule="exact"/>
        <w:rPr>
          <w:rFonts w:ascii="Arial" w:cs="Arial" w:eastAsia="Arial" w:hAnsi="Arial"/>
          <w:sz w:val="18"/>
          <w:szCs w:val="18"/>
          <w:color w:val="auto"/>
        </w:rPr>
      </w:pPr>
    </w:p>
    <w:p>
      <w:pPr>
        <w:ind w:left="700" w:hanging="346"/>
        <w:spacing w:after="0" w:line="270" w:lineRule="auto"/>
        <w:tabs>
          <w:tab w:leader="none" w:pos="7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70" w:lineRule="exact"/>
        <w:rPr>
          <w:sz w:val="20"/>
          <w:szCs w:val="20"/>
          <w:color w:val="auto"/>
        </w:rPr>
      </w:pPr>
    </w:p>
    <w:p>
      <w:pPr>
        <w:ind w:right="40" w:firstLine="357"/>
        <w:spacing w:after="0" w:line="287" w:lineRule="auto"/>
        <w:rPr>
          <w:sz w:val="20"/>
          <w:szCs w:val="20"/>
          <w:color w:val="auto"/>
        </w:rPr>
      </w:pPr>
      <w:r>
        <w:rPr>
          <w:rFonts w:ascii="Arial" w:cs="Arial" w:eastAsia="Arial" w:hAnsi="Arial"/>
          <w:sz w:val="16"/>
          <w:szCs w:val="16"/>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Class A shares on behalf of, or with the assets of, any Plan, consult with their counsel regarding the potential applicability of ERISA, Section 4975 of the Code and any Similar Laws to such investment and whether an exemption would be applicable to the acquisition and holding of such Class A shares. Purchasers of our Class A shares have the exclusive responsibility for ensuring that their acquisition and holding of such Class A shares complies with the fiduciary responsibility rules of ERISA and does not violate the prohibited transaction rules of ERISA, the Code or applicable Similar Laws. The sale of our Class A shares to a Plan is in no respect a representation by us or any of our respective affiliates or representatives that such an investment meets all relevant legal requirements with respect to investments by any such Plan or that such investment is appropriate for any such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19" w:lineRule="exact"/>
        <w:rPr>
          <w:sz w:val="20"/>
          <w:szCs w:val="20"/>
          <w:color w:val="auto"/>
        </w:rPr>
      </w:pPr>
    </w:p>
    <w:p>
      <w:pPr>
        <w:ind w:right="20" w:firstLine="357"/>
        <w:spacing w:after="0" w:line="257" w:lineRule="auto"/>
        <w:rPr>
          <w:sz w:val="20"/>
          <w:szCs w:val="20"/>
          <w:color w:val="auto"/>
        </w:rPr>
      </w:pPr>
      <w:r>
        <w:rPr>
          <w:rFonts w:ascii="Arial" w:cs="Arial" w:eastAsia="Arial" w:hAnsi="Arial"/>
          <w:sz w:val="18"/>
          <w:szCs w:val="18"/>
          <w:color w:val="auto"/>
        </w:rPr>
        <w:t>Under the terms and subject to the conditions in an underwriting agreement to be entered into in connection with this offering, the underwriters named below, for whom Morgan Stanley &amp; Co. LLC, Barclays Capital Inc., Citigroup Global Markets Inc. and Credit Suisse Securities (USA) LLC are acting as representatives, will severally agree to purchase, and we will agree to sell to them, the number of Class A shares indicated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 of</w:t>
            </w:r>
          </w:p>
        </w:tc>
      </w:tr>
      <w:tr>
        <w:trPr>
          <w:trHeight w:val="177"/>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89"/>
              </w:rPr>
              <w:t>Class A shares</w:t>
            </w:r>
          </w:p>
        </w:tc>
        <w:tc>
          <w:tcPr>
            <w:tcW w:w="100" w:type="dxa"/>
            <w:vAlign w:val="bottom"/>
          </w:tcPr>
          <w:p>
            <w:pPr>
              <w:spacing w:after="0"/>
              <w:rPr>
                <w:sz w:val="15"/>
                <w:szCs w:val="15"/>
                <w:color w:val="auto"/>
              </w:rPr>
            </w:pPr>
          </w:p>
        </w:tc>
      </w:tr>
      <w:tr>
        <w:trPr>
          <w:trHeight w:val="241"/>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Barclays Capital Inc.</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4,000,000</w:t>
            </w: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2,200,000</w:t>
            </w: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2,200,000</w:t>
            </w: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2,200,000</w:t>
            </w: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Allen &amp; Company LLC</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2,000,000</w:t>
            </w: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1,200,000</w:t>
            </w: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Stifel, Nicolaus &amp; Company, Incorporated</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1,200,000</w:t>
            </w:r>
          </w:p>
        </w:tc>
      </w:tr>
      <w:tr>
        <w:trPr>
          <w:trHeight w:val="254"/>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right w:val="single" w:sz="8" w:color="CCEEFF"/>
            </w:tcBorders>
            <w:shd w:val="clear" w:color="auto" w:fill="CCEEFF"/>
          </w:tcPr>
          <w:p>
            <w:pPr>
              <w:spacing w:after="0"/>
              <w:rPr>
                <w:sz w:val="22"/>
                <w:szCs w:val="22"/>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r>
      <w:tr>
        <w:trPr>
          <w:trHeight w:val="27"/>
        </w:trPr>
        <w:tc>
          <w:tcPr>
            <w:tcW w:w="77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5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right="60" w:firstLine="357"/>
        <w:spacing w:after="0" w:line="270"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Class A shares subject to their acceptance of the Class A shares from us and subject to prior sale. The underwriting agreement provides that the obligations of the several underwriters to pay for and accept delivery of the Class A shares offered by this prospectus are subject to the approval of certain legal matters by their counsel and to certain other conditions. The underwriters are obligated to take and pay for all of the Class A shares offered by this prospectus if any such Class A shares are taken. However, the underwriters are not required to take or pay for the Class A shares covered by the underwriters’ over-allotment option described below.</w:t>
      </w:r>
    </w:p>
    <w:p>
      <w:pPr>
        <w:spacing w:after="0" w:line="70" w:lineRule="exact"/>
        <w:rPr>
          <w:sz w:val="20"/>
          <w:szCs w:val="20"/>
          <w:color w:val="auto"/>
        </w:rPr>
      </w:pPr>
    </w:p>
    <w:p>
      <w:pPr>
        <w:ind w:right="120" w:firstLine="357"/>
        <w:spacing w:after="0" w:line="257" w:lineRule="auto"/>
        <w:rPr>
          <w:sz w:val="20"/>
          <w:szCs w:val="20"/>
          <w:color w:val="auto"/>
        </w:rPr>
      </w:pPr>
      <w:r>
        <w:rPr>
          <w:rFonts w:ascii="Arial" w:cs="Arial" w:eastAsia="Arial" w:hAnsi="Arial"/>
          <w:sz w:val="18"/>
          <w:szCs w:val="18"/>
          <w:color w:val="auto"/>
        </w:rPr>
        <w:t>The underwriters initially propose to offer part of the Class A shares directly to the public at the offering price listed on the cover page of this prospectus and part to certain dealers at a price that represents a concession not in excess of $0.4830 per Class A share under the public offering price. After the initial offering of the Class A shares, the offering price and other selling terms may from time to time be varied by the representatives.</w:t>
      </w:r>
    </w:p>
    <w:p>
      <w:pPr>
        <w:spacing w:after="0" w:line="79" w:lineRule="exact"/>
        <w:rPr>
          <w:sz w:val="20"/>
          <w:szCs w:val="20"/>
          <w:color w:val="auto"/>
        </w:rPr>
      </w:pPr>
    </w:p>
    <w:p>
      <w:pPr>
        <w:ind w:right="80" w:firstLine="357"/>
        <w:spacing w:after="0" w:line="289" w:lineRule="auto"/>
        <w:rPr>
          <w:sz w:val="20"/>
          <w:szCs w:val="20"/>
          <w:color w:val="auto"/>
        </w:rPr>
      </w:pPr>
      <w:r>
        <w:rPr>
          <w:rFonts w:ascii="Arial" w:cs="Arial" w:eastAsia="Arial" w:hAnsi="Arial"/>
          <w:sz w:val="16"/>
          <w:szCs w:val="16"/>
          <w:color w:val="auto"/>
        </w:rPr>
        <w:t>Under the underwriting agreement, we will grant to the underwriters an option, exercisable for 30 days from the date of the underwriting agreement, to purchase up to 3,000,000 additional Class A shares at the initial public offering price listed on the cover page of this prospectus, less underwriting discounts and commissions. The underwriters may exercise this option solely for the purpose of covering over-allotments, if any, made in connection with the offering of the Class A shares offered by this prospectus. To the extent the option is exercised, each underwriter will become obligated, subject to certain conditions, to purchase about the same percentage of the additional Class A shares as the number listed next to the underwriter’s name in the preceding table bears to the total number of Class A shares listed next to the names of all underwriters in the preceding table.</w:t>
      </w:r>
    </w:p>
    <w:p>
      <w:pPr>
        <w:spacing w:after="0" w:line="59" w:lineRule="exact"/>
        <w:rPr>
          <w:sz w:val="20"/>
          <w:szCs w:val="20"/>
          <w:color w:val="auto"/>
        </w:rPr>
      </w:pPr>
    </w:p>
    <w:p>
      <w:pPr>
        <w:jc w:val="both"/>
        <w:ind w:right="140" w:firstLine="357"/>
        <w:spacing w:after="0" w:line="257" w:lineRule="auto"/>
        <w:rPr>
          <w:sz w:val="20"/>
          <w:szCs w:val="20"/>
          <w:color w:val="auto"/>
        </w:rPr>
      </w:pPr>
      <w:r>
        <w:rPr>
          <w:rFonts w:ascii="Arial" w:cs="Arial" w:eastAsia="Arial" w:hAnsi="Arial"/>
          <w:sz w:val="18"/>
          <w:szCs w:val="18"/>
          <w:color w:val="auto"/>
        </w:rPr>
        <w:t>Certain of our executive officers and directors (including our Chief Executive Officer and Chairman) have agreed to purchase 5,000,000 Class A shares in this offering at the initial public offering price per share and on the same terms as the other purchasers in this offering. The underwriters will receive the same underwriting discount on these shares as they will on any other shares sold to the public in this offering.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20" w:firstLine="357"/>
        <w:spacing w:after="0" w:line="261" w:lineRule="auto"/>
        <w:rPr>
          <w:sz w:val="20"/>
          <w:szCs w:val="20"/>
          <w:color w:val="auto"/>
        </w:rPr>
      </w:pPr>
      <w:r>
        <w:rPr>
          <w:rFonts w:ascii="Arial" w:cs="Arial" w:eastAsia="Arial" w:hAnsi="Arial"/>
          <w:sz w:val="18"/>
          <w:szCs w:val="18"/>
          <w:color w:val="auto"/>
        </w:rPr>
        <w:t>The following table shows the per Class A share and total public offering price, underwriting discounts and commissions, and proceeds before expenses to us. These amounts are shown assuming both no exercise and full exercise of the underwriters’ option to purchase up to an additional 3,000,000 Class A shares.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Per Class A</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5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7"/>
              </w:rPr>
              <w:t>No Exercise</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Full Exercise</w:t>
            </w:r>
          </w:p>
        </w:tc>
        <w:tc>
          <w:tcPr>
            <w:tcW w:w="60" w:type="dxa"/>
            <w:vAlign w:val="bottom"/>
          </w:tcPr>
          <w:p>
            <w:pPr>
              <w:spacing w:after="0"/>
              <w:rPr>
                <w:sz w:val="15"/>
                <w:szCs w:val="15"/>
                <w:color w:val="auto"/>
              </w:rPr>
            </w:pPr>
          </w:p>
        </w:tc>
      </w:tr>
      <w:tr>
        <w:trPr>
          <w:trHeight w:val="235"/>
        </w:trPr>
        <w:tc>
          <w:tcPr>
            <w:tcW w:w="5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280,000,000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322,000,000</w:t>
            </w:r>
          </w:p>
        </w:tc>
      </w:tr>
      <w:tr>
        <w:trPr>
          <w:trHeight w:val="241"/>
        </w:trPr>
        <w:tc>
          <w:tcPr>
            <w:tcW w:w="570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0.8050</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16,100,000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18,515,000</w:t>
            </w:r>
          </w:p>
        </w:tc>
      </w:tr>
      <w:tr>
        <w:trPr>
          <w:trHeight w:val="20"/>
        </w:trPr>
        <w:tc>
          <w:tcPr>
            <w:tcW w:w="57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5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13.1950</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263,900,000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303,485,000</w:t>
            </w:r>
          </w:p>
        </w:tc>
      </w:tr>
    </w:tbl>
    <w:p>
      <w:pPr>
        <w:spacing w:after="0" w:line="93" w:lineRule="exact"/>
        <w:rPr>
          <w:sz w:val="20"/>
          <w:szCs w:val="20"/>
          <w:color w:val="auto"/>
        </w:rPr>
      </w:pPr>
    </w:p>
    <w:p>
      <w:pPr>
        <w:jc w:val="both"/>
        <w:ind w:right="220" w:firstLine="357"/>
        <w:spacing w:after="0" w:line="261"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$6,300,000. Under the underwriting agreement, we will agree to reimburse the underwriters for expenses relating to clearance of this offering with the Financial Industry Regulatory Authority up to $35,000.</w:t>
      </w:r>
    </w:p>
    <w:p>
      <w:pPr>
        <w:spacing w:after="0" w:line="76" w:lineRule="exact"/>
        <w:rPr>
          <w:sz w:val="20"/>
          <w:szCs w:val="20"/>
          <w:color w:val="auto"/>
        </w:rPr>
      </w:pPr>
    </w:p>
    <w:p>
      <w:pPr>
        <w:ind w:right="140" w:firstLine="357"/>
        <w:spacing w:after="0" w:line="274"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Class A shares offered by them.</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been authorized to list our Class A shares on NASDAQ under the trading symbol “NFE.”</w:t>
      </w:r>
    </w:p>
    <w:p>
      <w:pPr>
        <w:spacing w:after="0" w:line="115" w:lineRule="exact"/>
        <w:rPr>
          <w:sz w:val="20"/>
          <w:szCs w:val="20"/>
          <w:color w:val="auto"/>
        </w:rPr>
      </w:pPr>
    </w:p>
    <w:p>
      <w:pPr>
        <w:ind w:right="60" w:firstLine="357"/>
        <w:spacing w:after="0" w:line="257" w:lineRule="auto"/>
        <w:rPr>
          <w:sz w:val="20"/>
          <w:szCs w:val="20"/>
          <w:color w:val="auto"/>
        </w:rPr>
      </w:pPr>
      <w:r>
        <w:rPr>
          <w:rFonts w:ascii="Arial" w:cs="Arial" w:eastAsia="Arial" w:hAnsi="Arial"/>
          <w:sz w:val="18"/>
          <w:szCs w:val="18"/>
          <w:color w:val="auto"/>
        </w:rPr>
        <w:t>We, all of our directors and officers and the holders of all of our outstanding stock and stock options and New Fortress Energy Holdings will agree that, subject to certain exceptions, without the prior written consent of Morgan Stanley &amp; Co. LLC on behalf of the underwriters, we and they will not, during the period ending 180 days after the date of the underwriting agreement (the “restricted period”):</w:t>
      </w:r>
    </w:p>
    <w:p>
      <w:pPr>
        <w:spacing w:after="0" w:line="79" w:lineRule="exact"/>
        <w:rPr>
          <w:sz w:val="20"/>
          <w:szCs w:val="20"/>
          <w:color w:val="auto"/>
        </w:rPr>
      </w:pPr>
    </w:p>
    <w:p>
      <w:pPr>
        <w:ind w:left="700" w:right="20" w:hanging="346"/>
        <w:spacing w:after="0" w:line="309"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Class A shares, Class B shares or any securities convertible into or exercisable or exchangeable for Class A shares or Class B shares;</w:t>
      </w:r>
    </w:p>
    <w:p>
      <w:pPr>
        <w:spacing w:after="0" w:line="40" w:lineRule="exact"/>
        <w:rPr>
          <w:rFonts w:ascii="Arial" w:cs="Arial" w:eastAsia="Arial" w:hAnsi="Arial"/>
          <w:sz w:val="16"/>
          <w:szCs w:val="16"/>
          <w:color w:val="auto"/>
        </w:rPr>
      </w:pPr>
    </w:p>
    <w:p>
      <w:pPr>
        <w:ind w:left="700" w:hanging="346"/>
        <w:spacing w:after="0" w:line="339" w:lineRule="auto"/>
        <w:tabs>
          <w:tab w:leader="none" w:pos="7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file any registration statement with the Securities and Exchange Commission relating to the offering of any Class A shares, Class B shares or any securities convertible into or exercisable or exchangeable for Class A shares or Class B shares; or</w:t>
      </w:r>
    </w:p>
    <w:p>
      <w:pPr>
        <w:spacing w:after="0" w:line="16" w:lineRule="exact"/>
        <w:rPr>
          <w:rFonts w:ascii="Arial" w:cs="Arial" w:eastAsia="Arial" w:hAnsi="Arial"/>
          <w:sz w:val="16"/>
          <w:szCs w:val="16"/>
          <w:color w:val="auto"/>
        </w:rPr>
      </w:pPr>
    </w:p>
    <w:p>
      <w:pPr>
        <w:ind w:left="700" w:right="140" w:hanging="346"/>
        <w:spacing w:after="0" w:line="274" w:lineRule="auto"/>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Class A shares or Class B shares,</w:t>
      </w:r>
    </w:p>
    <w:p>
      <w:pPr>
        <w:spacing w:after="0" w:line="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whether any such transaction described above is to be settled by delivery of Class A shares or such other securities, in cash or otherwise. In addition, we and each such person agrees that, without the prior written consent of Morgan Stanley &amp; Co. LLC on behalf of the underwriters, we or such other person will not, during the restricted period, make any demand for, or exercise any right with respect to, the registration of any Class A shares, Class B shares or any security convertible into or exercisable or exchangeable for Class A shares or Class B shares.</w:t>
      </w:r>
    </w:p>
    <w:p>
      <w:pPr>
        <w:spacing w:after="0" w:line="81" w:lineRule="exact"/>
        <w:rPr>
          <w:sz w:val="20"/>
          <w:szCs w:val="20"/>
          <w:color w:val="auto"/>
        </w:rPr>
      </w:pPr>
    </w:p>
    <w:p>
      <w:pPr>
        <w:ind w:right="280" w:firstLine="357"/>
        <w:spacing w:after="0" w:line="274" w:lineRule="auto"/>
        <w:rPr>
          <w:sz w:val="20"/>
          <w:szCs w:val="20"/>
          <w:color w:val="auto"/>
        </w:rPr>
      </w:pPr>
      <w:r>
        <w:rPr>
          <w:rFonts w:ascii="Arial" w:cs="Arial" w:eastAsia="Arial" w:hAnsi="Arial"/>
          <w:sz w:val="18"/>
          <w:szCs w:val="18"/>
          <w:color w:val="auto"/>
        </w:rPr>
        <w:t>Morgan Stanley &amp; Co. LLC, in its sole discretion, may release the Class A shares and other securities subject to the lock-up agreements described above in whole or in part at any time.</w:t>
      </w:r>
    </w:p>
    <w:p>
      <w:pPr>
        <w:spacing w:after="0" w:line="64" w:lineRule="exact"/>
        <w:rPr>
          <w:sz w:val="20"/>
          <w:szCs w:val="20"/>
          <w:color w:val="auto"/>
        </w:rPr>
      </w:pPr>
    </w:p>
    <w:p>
      <w:pPr>
        <w:ind w:right="20" w:firstLine="357"/>
        <w:spacing w:after="0" w:line="267" w:lineRule="auto"/>
        <w:rPr>
          <w:sz w:val="20"/>
          <w:szCs w:val="20"/>
          <w:color w:val="auto"/>
        </w:rPr>
      </w:pPr>
      <w:r>
        <w:rPr>
          <w:rFonts w:ascii="Arial" w:cs="Arial" w:eastAsia="Arial" w:hAnsi="Arial"/>
          <w:sz w:val="17"/>
          <w:szCs w:val="17"/>
          <w:color w:val="auto"/>
        </w:rPr>
        <w:t>In order to facilitate the offering of the Class A shares, the underwriters may engage in transactions that stabilize, maintain or otherwise affect the price of the Class A shares. Specifically, the underwriters may sell more Class A shares than they are obligated to purchase under the underwriting agreement, creating a short position. A short sale is covered if the short position is no greater than the number of Class A shares available for purchase by the underwriters under the over-allotment option. The underwriters can close out a covered short sale by exercising the over-allotment option or purchasing Class A shares in the open market. In determining the source of Class A shares to close out a covered short sale, the underwriters will consider, among other things, the open market price of Class A shares compared to the price available under the over-allotment option. The underwriters may also sell Class A shares in excess of the over-allotment option, creating a naked short position. The underwriters must close out any naked short position by purchasing Class A shares in the open market. A naked short position is more likely to be created if the underwriters are concerned that there may be downward pressure on the price of the Class A shares in the open market after pricing that could adversely affect investors who purchase in this offering. As an additional means of facilitating this offering, the underwriters may bid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and purchase, Class A shares in the open market to stabilize the price of the Class A shares. These activities may raise or maintain the market price of the Class A shares above independent market levels or prevent or retard a decline in the market price of the Class A shares. The underwriters are not required to engage in these activities and may end any of these activities at any time.</w:t>
      </w:r>
    </w:p>
    <w:p>
      <w:pPr>
        <w:spacing w:after="0" w:line="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the underwriters will agree to indemnify each other against certain liabilities, including liabilities under the Securities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00"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Class A shares to underwriters for sale to their online brokerage account holders. Internet distributions will be allocated by the representatives to underwriters that may make Internet distributions on the same basis as other allocations.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19" w:lineRule="exact"/>
        <w:rPr>
          <w:sz w:val="20"/>
          <w:szCs w:val="20"/>
          <w:color w:val="auto"/>
        </w:rPr>
      </w:pPr>
    </w:p>
    <w:p>
      <w:pPr>
        <w:ind w:right="40" w:firstLine="357"/>
        <w:spacing w:after="0" w:line="29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Affiliates of certain of the underwriters are also lenders under our Term Loan Facility. An affiliate of Morgan Stanley &amp; Co. LLC is the administrative agent under our Term Loan Facility.</w:t>
      </w:r>
    </w:p>
    <w:p>
      <w:pPr>
        <w:spacing w:after="0" w:line="57" w:lineRule="exact"/>
        <w:rPr>
          <w:sz w:val="20"/>
          <w:szCs w:val="20"/>
          <w:color w:val="auto"/>
        </w:rPr>
      </w:pPr>
    </w:p>
    <w:p>
      <w:pPr>
        <w:ind w:right="40" w:firstLine="357"/>
        <w:spacing w:after="0" w:line="270"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70" w:lineRule="exact"/>
        <w:rPr>
          <w:sz w:val="20"/>
          <w:szCs w:val="20"/>
          <w:color w:val="auto"/>
        </w:rPr>
      </w:pPr>
    </w:p>
    <w:p>
      <w:pPr>
        <w:ind w:firstLine="357"/>
        <w:spacing w:after="0" w:line="269" w:lineRule="auto"/>
        <w:rPr>
          <w:sz w:val="20"/>
          <w:szCs w:val="20"/>
          <w:color w:val="auto"/>
        </w:rPr>
      </w:pPr>
      <w:r>
        <w:rPr>
          <w:rFonts w:ascii="Arial" w:cs="Arial" w:eastAsia="Arial" w:hAnsi="Arial"/>
          <w:sz w:val="17"/>
          <w:szCs w:val="17"/>
          <w:color w:val="auto"/>
        </w:rPr>
        <w:t>Effective as of the date of the offering, we intend to grant RSUs under the NFE 2019 Omnibus Incentive Plan to our non-employee directors. One of our non-employee directors is also a senior advisor to one of the underwriters. The RSUs to be received by such non-employee director will be deemed to be underwriting compensation in connection with this offering and will be subject to lock-up restrictions, as required by FINRA Rule 5110(g)(1). Such securities and the shares they represent may not be sold during the offering, or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of the registration statement of which this prospectus forms a part or commencement of sales of the offering, except as provided in FINRA Rule 5110(g)(2).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119" w:lineRule="exact"/>
        <w:rPr>
          <w:sz w:val="20"/>
          <w:szCs w:val="20"/>
          <w:color w:val="auto"/>
        </w:rPr>
      </w:pPr>
    </w:p>
    <w:p>
      <w:pPr>
        <w:ind w:right="60" w:firstLine="357"/>
        <w:spacing w:after="0" w:line="309" w:lineRule="auto"/>
        <w:rPr>
          <w:sz w:val="20"/>
          <w:szCs w:val="20"/>
          <w:color w:val="auto"/>
        </w:rPr>
      </w:pPr>
      <w:r>
        <w:rPr>
          <w:rFonts w:ascii="Arial" w:cs="Arial" w:eastAsia="Arial" w:hAnsi="Arial"/>
          <w:sz w:val="16"/>
          <w:szCs w:val="16"/>
          <w:color w:val="auto"/>
        </w:rPr>
        <w:t>We have granted to Morgan Stanley &amp; Co. LLC and Barclays Capital Inc. a right of first refusal to provide certain financing services to us for which they may receive fees. This right of first refusal is considered to be an item of value in connection with this offering pursuant to FINRA Rule 5110 and has a deemed compensation value of 1.0% of the offering proceeds of this offering.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19" w:lineRule="exact"/>
        <w:rPr>
          <w:sz w:val="20"/>
          <w:szCs w:val="20"/>
          <w:color w:val="auto"/>
        </w:rPr>
      </w:pPr>
    </w:p>
    <w:p>
      <w:pPr>
        <w:ind w:right="400" w:firstLine="357"/>
        <w:spacing w:after="0" w:line="273" w:lineRule="auto"/>
        <w:rPr>
          <w:sz w:val="20"/>
          <w:szCs w:val="20"/>
          <w:color w:val="auto"/>
        </w:rPr>
      </w:pPr>
      <w:r>
        <w:rPr>
          <w:rFonts w:ascii="Arial" w:cs="Arial" w:eastAsia="Arial" w:hAnsi="Arial"/>
          <w:sz w:val="17"/>
          <w:szCs w:val="17"/>
          <w:color w:val="auto"/>
        </w:rPr>
        <w:t>Prior to this offering, there has been no public market for our Class A shares. The initial public offering price will be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5" w:lineRule="exact"/>
        <w:rPr>
          <w:sz w:val="20"/>
          <w:szCs w:val="20"/>
          <w:color w:val="auto"/>
        </w:rPr>
      </w:pPr>
    </w:p>
    <w:p>
      <w:pPr>
        <w:ind w:firstLine="357"/>
        <w:spacing w:after="0" w:line="277"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our Class A shares may not be made in that Relevant Member State, except that an offer to the public in that Relevant Member State of our Class A shares may be made at any time under the following exemptions under the Prospectus Directive, if they have been implemented in that Relevant Member State:</w:t>
      </w:r>
    </w:p>
    <w:p>
      <w:pPr>
        <w:spacing w:after="0" w:line="63" w:lineRule="exact"/>
        <w:rPr>
          <w:sz w:val="20"/>
          <w:szCs w:val="20"/>
          <w:color w:val="auto"/>
        </w:rPr>
      </w:pPr>
    </w:p>
    <w:p>
      <w:pPr>
        <w:ind w:left="700" w:hanging="346"/>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4" w:lineRule="exact"/>
        <w:rPr>
          <w:rFonts w:ascii="Arial" w:cs="Arial" w:eastAsia="Arial" w:hAnsi="Arial"/>
          <w:sz w:val="18"/>
          <w:szCs w:val="18"/>
          <w:color w:val="auto"/>
        </w:rPr>
      </w:pPr>
    </w:p>
    <w:p>
      <w:pPr>
        <w:ind w:left="700" w:hanging="346"/>
        <w:spacing w:after="0" w:line="309" w:lineRule="auto"/>
        <w:tabs>
          <w:tab w:leader="none" w:pos="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40" w:lineRule="exact"/>
        <w:rPr>
          <w:rFonts w:ascii="Arial" w:cs="Arial" w:eastAsia="Arial" w:hAnsi="Arial"/>
          <w:sz w:val="16"/>
          <w:szCs w:val="16"/>
          <w:color w:val="auto"/>
        </w:rPr>
      </w:pPr>
    </w:p>
    <w:p>
      <w:pPr>
        <w:jc w:val="both"/>
        <w:ind w:left="700" w:right="40" w:hanging="346"/>
        <w:spacing w:after="0" w:line="261" w:lineRule="auto"/>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Class A shares shall result in a requirement for the publication by us or any underwriter of a prospectus pursuant to Article 3 of the Prospectus Directive.</w:t>
      </w:r>
    </w:p>
    <w:p>
      <w:pPr>
        <w:spacing w:after="0" w:line="76" w:lineRule="exact"/>
        <w:rPr>
          <w:sz w:val="20"/>
          <w:szCs w:val="20"/>
          <w:color w:val="auto"/>
        </w:rPr>
      </w:pPr>
    </w:p>
    <w:p>
      <w:pPr>
        <w:ind w:right="100" w:firstLine="357"/>
        <w:spacing w:after="0" w:line="270" w:lineRule="auto"/>
        <w:rPr>
          <w:sz w:val="20"/>
          <w:szCs w:val="20"/>
          <w:color w:val="auto"/>
        </w:rPr>
      </w:pPr>
      <w:r>
        <w:rPr>
          <w:rFonts w:ascii="Arial" w:cs="Arial" w:eastAsia="Arial" w:hAnsi="Arial"/>
          <w:sz w:val="17"/>
          <w:szCs w:val="17"/>
          <w:color w:val="auto"/>
        </w:rPr>
        <w:t>For the purposes of this provision, the expression an “offer to the public” in relation to our Class A shares in any Relevant Member State means the communication in any form and by any means of sufficient information on the terms of the offer and our Class A shares to be offered so as to enable an investor to decide to purchase our Class A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115" w:lineRule="exact"/>
        <w:rPr>
          <w:sz w:val="20"/>
          <w:szCs w:val="20"/>
          <w:color w:val="auto"/>
        </w:rPr>
      </w:pPr>
    </w:p>
    <w:p>
      <w:pPr>
        <w:ind w:left="700" w:right="60" w:hanging="346"/>
        <w:spacing w:after="0" w:line="257" w:lineRule="auto"/>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our Class A shares in circumstances in which Section 21(1) of the FSMA does not apply to us; and</w:t>
      </w:r>
    </w:p>
    <w:p>
      <w:pPr>
        <w:spacing w:after="0" w:line="79" w:lineRule="exact"/>
        <w:rPr>
          <w:rFonts w:ascii="Arial" w:cs="Arial" w:eastAsia="Arial" w:hAnsi="Arial"/>
          <w:sz w:val="18"/>
          <w:szCs w:val="18"/>
          <w:color w:val="auto"/>
        </w:rPr>
      </w:pPr>
    </w:p>
    <w:p>
      <w:pPr>
        <w:ind w:left="700" w:right="20" w:hanging="346"/>
        <w:spacing w:after="0" w:line="274" w:lineRule="auto"/>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our Class A shares in, from or otherwise involving the United Kingdom.</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France</w:t>
      </w:r>
    </w:p>
    <w:p>
      <w:pPr>
        <w:spacing w:after="0" w:line="115" w:lineRule="exact"/>
        <w:rPr>
          <w:sz w:val="20"/>
          <w:szCs w:val="20"/>
          <w:color w:val="auto"/>
        </w:rPr>
      </w:pPr>
    </w:p>
    <w:p>
      <w:pPr>
        <w:ind w:firstLine="357"/>
        <w:spacing w:after="0" w:line="253" w:lineRule="auto"/>
        <w:rPr>
          <w:sz w:val="20"/>
          <w:szCs w:val="20"/>
          <w:color w:val="auto"/>
        </w:rPr>
      </w:pPr>
      <w:r>
        <w:rPr>
          <w:rFonts w:ascii="Arial" w:cs="Arial" w:eastAsia="Arial" w:hAnsi="Arial"/>
          <w:sz w:val="18"/>
          <w:szCs w:val="18"/>
          <w:color w:val="auto"/>
        </w:rPr>
        <w:t xml:space="preserve">Neither this prospectus nor any other offering material relating to the Class A shares described in this prospectus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The Class A shares have not been offered or sold and will not be offered or sold, directly or indirectly, to the public in France. Neither this prospectus nor any other offering material relating to the Class A shares has been or will be (i) released, issued, distributed or caused to be released, issued or distributed to the public in France; or (ii) used in connection with any offer for subscription or sale of the Class A shares to the public in France.</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15" w:lineRule="exact"/>
        <w:rPr>
          <w:sz w:val="20"/>
          <w:szCs w:val="20"/>
          <w:color w:val="auto"/>
        </w:rPr>
      </w:pPr>
    </w:p>
    <w:p>
      <w:pPr>
        <w:ind w:left="700" w:right="120" w:hanging="346"/>
        <w:spacing w:after="0" w:line="284" w:lineRule="auto"/>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qualified investors (</w:t>
      </w:r>
      <w:r>
        <w:rPr>
          <w:rFonts w:ascii="Arial" w:cs="Arial" w:eastAsia="Arial" w:hAnsi="Arial"/>
          <w:sz w:val="17"/>
          <w:szCs w:val="17"/>
          <w:i w:val="1"/>
          <w:iCs w:val="1"/>
          <w:color w:val="auto"/>
        </w:rPr>
        <w:t>investisseurs qualifiés</w:t>
      </w:r>
      <w:r>
        <w:rPr>
          <w:rFonts w:ascii="Arial" w:cs="Arial" w:eastAsia="Arial" w:hAnsi="Arial"/>
          <w:sz w:val="17"/>
          <w:szCs w:val="17"/>
          <w:color w:val="auto"/>
        </w:rPr>
        <w:t>) and/or to a restricted circle of investors (</w:t>
      </w:r>
      <w:r>
        <w:rPr>
          <w:rFonts w:ascii="Arial" w:cs="Arial" w:eastAsia="Arial" w:hAnsi="Arial"/>
          <w:sz w:val="17"/>
          <w:szCs w:val="17"/>
          <w:i w:val="1"/>
          <w:iCs w:val="1"/>
          <w:color w:val="auto"/>
        </w:rPr>
        <w:t>cercle restreint d'investisseurs</w:t>
      </w:r>
      <w:r>
        <w:rPr>
          <w:rFonts w:ascii="Arial" w:cs="Arial" w:eastAsia="Arial" w:hAnsi="Arial"/>
          <w:sz w:val="17"/>
          <w:szCs w:val="17"/>
          <w:color w:val="auto"/>
        </w:rPr>
        <w:t xml:space="preserve">), in each case investing for their own account, all as defined in, and in accordance with, articles L.411-2, D.411-1, D.411-2, D.734-1, D.744-1, D.754-1 and D.764-1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700" w:hanging="346"/>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00" w:right="100" w:hanging="346"/>
        <w:spacing w:after="0" w:line="261" w:lineRule="auto"/>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L.411-2-II-1°-or-2°-or 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appel public à l'épargne</w:t>
      </w:r>
      <w:r>
        <w:rPr>
          <w:rFonts w:ascii="Arial" w:cs="Arial" w:eastAsia="Arial" w:hAnsi="Arial"/>
          <w:sz w:val="18"/>
          <w:szCs w:val="18"/>
          <w:color w:val="auto"/>
        </w:rPr>
        <w:t>).</w:t>
      </w:r>
    </w:p>
    <w:p>
      <w:pPr>
        <w:spacing w:after="0" w:line="76" w:lineRule="exact"/>
        <w:rPr>
          <w:sz w:val="20"/>
          <w:szCs w:val="20"/>
          <w:color w:val="auto"/>
        </w:rPr>
      </w:pPr>
    </w:p>
    <w:p>
      <w:pPr>
        <w:ind w:right="40" w:firstLine="357"/>
        <w:spacing w:after="0" w:line="274" w:lineRule="auto"/>
        <w:rPr>
          <w:sz w:val="20"/>
          <w:szCs w:val="20"/>
          <w:color w:val="auto"/>
        </w:rPr>
      </w:pPr>
      <w:r>
        <w:rPr>
          <w:rFonts w:ascii="Arial" w:cs="Arial" w:eastAsia="Arial" w:hAnsi="Arial"/>
          <w:sz w:val="18"/>
          <w:szCs w:val="18"/>
          <w:color w:val="auto"/>
        </w:rPr>
        <w:t xml:space="preserve">The Class A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15" w:lineRule="exact"/>
        <w:rPr>
          <w:sz w:val="20"/>
          <w:szCs w:val="20"/>
          <w:color w:val="auto"/>
        </w:rPr>
      </w:pPr>
    </w:p>
    <w:p>
      <w:pPr>
        <w:ind w:right="40" w:firstLine="357"/>
        <w:spacing w:after="0" w:line="271" w:lineRule="auto"/>
        <w:rPr>
          <w:sz w:val="20"/>
          <w:szCs w:val="20"/>
          <w:color w:val="auto"/>
        </w:rPr>
      </w:pPr>
      <w:r>
        <w:rPr>
          <w:rFonts w:ascii="Arial" w:cs="Arial" w:eastAsia="Arial" w:hAnsi="Arial"/>
          <w:sz w:val="17"/>
          <w:szCs w:val="17"/>
          <w:color w:val="auto"/>
        </w:rPr>
        <w:t>The Class A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1" w:lineRule="exact"/>
        <w:rPr>
          <w:sz w:val="20"/>
          <w:szCs w:val="20"/>
          <w:color w:val="auto"/>
        </w:rPr>
      </w:pPr>
    </w:p>
    <w:p>
      <w:pPr>
        <w:ind w:right="80" w:firstLine="357"/>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Class A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the Class A shares.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5" w:lineRule="exact"/>
        <w:rPr>
          <w:sz w:val="20"/>
          <w:szCs w:val="20"/>
          <w:color w:val="auto"/>
        </w:rPr>
      </w:pPr>
    </w:p>
    <w:p>
      <w:pPr>
        <w:ind w:firstLine="357"/>
        <w:spacing w:after="0" w:line="252"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shares to which this prospectus relates may be illiquid and/or subject to restrictions on their resale. Prospective purchasers of the Class A shares offered should conduct their own due diligence on the Class A shares. If you do not understand the contents of this prospectus you should consult an authorized financial advisor.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15" w:lineRule="exact"/>
        <w:rPr>
          <w:sz w:val="20"/>
          <w:szCs w:val="20"/>
          <w:color w:val="auto"/>
        </w:rPr>
      </w:pPr>
    </w:p>
    <w:p>
      <w:pPr>
        <w:ind w:firstLine="357"/>
        <w:spacing w:after="0" w:line="273" w:lineRule="auto"/>
        <w:rPr>
          <w:sz w:val="20"/>
          <w:szCs w:val="20"/>
          <w:color w:val="auto"/>
        </w:rPr>
      </w:pPr>
      <w:r>
        <w:rPr>
          <w:rFonts w:ascii="Arial" w:cs="Arial" w:eastAsia="Arial" w:hAnsi="Arial"/>
          <w:sz w:val="17"/>
          <w:szCs w:val="17"/>
          <w:color w:val="auto"/>
        </w:rPr>
        <w:t xml:space="preserve">The Class A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w:t>
      </w:r>
      <w:r>
        <w:rPr>
          <w:rFonts w:ascii="Arial" w:cs="Arial" w:eastAsia="Arial" w:hAnsi="Arial"/>
          <w:sz w:val="17"/>
          <w:szCs w:val="17"/>
          <w:color w:val="auto"/>
        </w:rPr>
        <w:t>. Any resale of the Class A shares must be made in accordance with an exemption from, or in a transaction not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prospectus requirements of applicable securities laws.</w:t>
      </w:r>
    </w:p>
    <w:p>
      <w:pPr>
        <w:spacing w:after="0" w:line="69" w:lineRule="exact"/>
        <w:rPr>
          <w:sz w:val="20"/>
          <w:szCs w:val="20"/>
          <w:color w:val="auto"/>
        </w:rPr>
      </w:pPr>
    </w:p>
    <w:p>
      <w:pPr>
        <w:ind w:right="40" w:firstLine="357"/>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9" w:lineRule="exact"/>
        <w:rPr>
          <w:sz w:val="20"/>
          <w:szCs w:val="20"/>
          <w:color w:val="auto"/>
        </w:rPr>
      </w:pPr>
    </w:p>
    <w:p>
      <w:pPr>
        <w:ind w:right="80" w:firstLine="357"/>
        <w:spacing w:after="0" w:line="261"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representatives are not required to comply with the disclosure requirements of NI 33-105 regarding underwriter conflicts of interest in connection with this offering.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5" w:lineRule="exact"/>
        <w:rPr>
          <w:sz w:val="20"/>
          <w:szCs w:val="20"/>
          <w:color w:val="auto"/>
        </w:rPr>
      </w:pPr>
    </w:p>
    <w:p>
      <w:pPr>
        <w:ind w:right="80" w:firstLine="357"/>
        <w:spacing w:after="0" w:line="261" w:lineRule="auto"/>
        <w:rPr>
          <w:sz w:val="20"/>
          <w:szCs w:val="20"/>
          <w:color w:val="auto"/>
        </w:rPr>
      </w:pPr>
      <w:r>
        <w:rPr>
          <w:rFonts w:ascii="Arial" w:cs="Arial" w:eastAsia="Arial" w:hAnsi="Arial"/>
          <w:sz w:val="18"/>
          <w:szCs w:val="18"/>
          <w:color w:val="auto"/>
        </w:rPr>
        <w:t>The Class A shares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Class A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Class A shares which are or are intended to be disposed of only to persons outside Hong Kong or only to “professional investors” within the meaning of the Securities and Futures Ordinance (Cap. 571, Laws of Hong Kong) and any rules made thereunder.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15" w:lineRule="exact"/>
        <w:rPr>
          <w:sz w:val="20"/>
          <w:szCs w:val="20"/>
          <w:color w:val="auto"/>
        </w:rPr>
      </w:pPr>
    </w:p>
    <w:p>
      <w:pPr>
        <w:ind w:right="20" w:firstLine="357"/>
        <w:spacing w:after="0" w:line="271" w:lineRule="auto"/>
        <w:rPr>
          <w:sz w:val="20"/>
          <w:szCs w:val="20"/>
          <w:color w:val="auto"/>
        </w:rPr>
      </w:pPr>
      <w:r>
        <w:rPr>
          <w:rFonts w:ascii="Arial" w:cs="Arial" w:eastAsia="Arial" w:hAnsi="Arial"/>
          <w:sz w:val="17"/>
          <w:szCs w:val="17"/>
          <w:color w:val="auto"/>
        </w:rPr>
        <w:t>The Class A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15" w:lineRule="exact"/>
        <w:rPr>
          <w:sz w:val="20"/>
          <w:szCs w:val="20"/>
          <w:color w:val="auto"/>
        </w:rPr>
      </w:pPr>
    </w:p>
    <w:p>
      <w:pPr>
        <w:ind w:right="20" w:firstLine="357"/>
        <w:spacing w:after="0" w:line="25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81" w:lineRule="exact"/>
        <w:rPr>
          <w:sz w:val="20"/>
          <w:szCs w:val="20"/>
          <w:color w:val="auto"/>
        </w:rPr>
      </w:pPr>
    </w:p>
    <w:p>
      <w:pPr>
        <w:ind w:right="60" w:firstLine="357"/>
        <w:spacing w:after="0" w:line="299" w:lineRule="auto"/>
        <w:rPr>
          <w:sz w:val="20"/>
          <w:szCs w:val="20"/>
          <w:color w:val="auto"/>
        </w:rPr>
      </w:pPr>
      <w:r>
        <w:rPr>
          <w:rFonts w:ascii="Arial" w:cs="Arial" w:eastAsia="Arial" w:hAnsi="Arial"/>
          <w:sz w:val="16"/>
          <w:szCs w:val="16"/>
          <w:color w:val="auto"/>
        </w:rPr>
        <w:t>Any offer in Australia of the Class A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Class A shares without disclosure to investors under Chapter 6D of the Corporations Act.</w:t>
      </w:r>
    </w:p>
    <w:p>
      <w:pPr>
        <w:spacing w:after="0" w:line="49" w:lineRule="exact"/>
        <w:rPr>
          <w:sz w:val="20"/>
          <w:szCs w:val="20"/>
          <w:color w:val="auto"/>
        </w:rPr>
      </w:pPr>
    </w:p>
    <w:p>
      <w:pPr>
        <w:ind w:right="20" w:firstLine="357"/>
        <w:spacing w:after="0" w:line="273" w:lineRule="auto"/>
        <w:rPr>
          <w:sz w:val="20"/>
          <w:szCs w:val="20"/>
          <w:color w:val="auto"/>
        </w:rPr>
      </w:pPr>
      <w:r>
        <w:rPr>
          <w:rFonts w:ascii="Arial" w:cs="Arial" w:eastAsia="Arial" w:hAnsi="Arial"/>
          <w:sz w:val="17"/>
          <w:szCs w:val="17"/>
          <w:color w:val="auto"/>
        </w:rPr>
        <w:t>The Class A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Class A shares must observe such Australian on-sale restrictions.</w:t>
      </w:r>
    </w:p>
    <w:p>
      <w:pPr>
        <w:spacing w:after="0" w:line="69" w:lineRule="exact"/>
        <w:rPr>
          <w:sz w:val="20"/>
          <w:szCs w:val="20"/>
          <w:color w:val="auto"/>
        </w:rPr>
      </w:pPr>
    </w:p>
    <w:p>
      <w:pPr>
        <w:ind w:right="40" w:firstLine="357"/>
        <w:spacing w:after="0" w:line="277"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15" w:lineRule="exact"/>
        <w:rPr>
          <w:sz w:val="20"/>
          <w:szCs w:val="20"/>
          <w:color w:val="auto"/>
        </w:rPr>
      </w:pPr>
    </w:p>
    <w:p>
      <w:pPr>
        <w:ind w:firstLine="357"/>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other document or material in connection with the offer or sale, or invitation for subscription or purchase, of the Class A shares may not be circulated or distributed, nor may the Class A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w:t>
      </w:r>
    </w:p>
    <w:p>
      <w:pPr>
        <w:spacing w:after="0" w:line="1" w:lineRule="exact"/>
        <w:rPr>
          <w:sz w:val="20"/>
          <w:szCs w:val="20"/>
          <w:color w:val="auto"/>
        </w:rPr>
      </w:pPr>
    </w:p>
    <w:p>
      <w:pPr>
        <w:ind w:left="4620" w:right="1540" w:hanging="4615"/>
        <w:spacing w:after="0" w:line="506" w:lineRule="auto"/>
        <w:tabs>
          <w:tab w:leader="none" w:pos="3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603059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Where the Class A shares are subscribed or purchased under Section 275 of the SFA by a relevant person which is:</w:t>
      </w:r>
    </w:p>
    <w:p>
      <w:pPr>
        <w:spacing w:after="0" w:line="126" w:lineRule="exact"/>
        <w:rPr>
          <w:sz w:val="20"/>
          <w:szCs w:val="20"/>
          <w:color w:val="auto"/>
        </w:rPr>
      </w:pPr>
    </w:p>
    <w:p>
      <w:pPr>
        <w:ind w:left="700" w:hanging="346"/>
        <w:spacing w:after="0" w:line="261"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700" w:right="740" w:hanging="346"/>
        <w:spacing w:after="0" w:line="274"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6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Class A shares pursuant to an offer made under Section 275 of the SFA except:</w:t>
      </w:r>
    </w:p>
    <w:p>
      <w:pPr>
        <w:spacing w:after="0" w:line="76" w:lineRule="exact"/>
        <w:rPr>
          <w:sz w:val="20"/>
          <w:szCs w:val="20"/>
          <w:color w:val="auto"/>
        </w:rPr>
      </w:pPr>
    </w:p>
    <w:p>
      <w:pPr>
        <w:ind w:left="700" w:right="200" w:hanging="346"/>
        <w:spacing w:after="0" w:line="274"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3" w:lineRule="exact"/>
        <w:rPr>
          <w:rFonts w:ascii="Arial" w:cs="Arial" w:eastAsia="Arial" w:hAnsi="Arial"/>
          <w:sz w:val="18"/>
          <w:szCs w:val="18"/>
          <w:color w:val="auto"/>
        </w:rPr>
      </w:pPr>
    </w:p>
    <w:p>
      <w:pPr>
        <w:ind w:left="700" w:hanging="34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4" w:lineRule="exact"/>
        <w:rPr>
          <w:rFonts w:ascii="Arial" w:cs="Arial" w:eastAsia="Arial" w:hAnsi="Arial"/>
          <w:sz w:val="18"/>
          <w:szCs w:val="18"/>
          <w:color w:val="auto"/>
        </w:rPr>
      </w:pPr>
    </w:p>
    <w:p>
      <w:pPr>
        <w:ind w:left="700" w:hanging="34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4" w:lineRule="exact"/>
        <w:rPr>
          <w:rFonts w:ascii="Arial" w:cs="Arial" w:eastAsia="Arial" w:hAnsi="Arial"/>
          <w:sz w:val="18"/>
          <w:szCs w:val="18"/>
          <w:color w:val="auto"/>
        </w:rPr>
      </w:pPr>
    </w:p>
    <w:p>
      <w:pPr>
        <w:ind w:left="700" w:right="200" w:hanging="346"/>
        <w:spacing w:after="0" w:line="274"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w:t>
      </w:r>
    </w:p>
    <w:p>
      <w:pPr>
        <w:spacing w:after="0" w:line="115" w:lineRule="exact"/>
        <w:rPr>
          <w:sz w:val="20"/>
          <w:szCs w:val="20"/>
          <w:color w:val="auto"/>
        </w:rPr>
      </w:pPr>
    </w:p>
    <w:p>
      <w:pPr>
        <w:ind w:right="460" w:firstLine="357"/>
        <w:spacing w:after="0" w:line="261" w:lineRule="auto"/>
        <w:rPr>
          <w:sz w:val="20"/>
          <w:szCs w:val="20"/>
          <w:color w:val="auto"/>
        </w:rPr>
      </w:pPr>
      <w:r>
        <w:rPr>
          <w:rFonts w:ascii="Arial" w:cs="Arial" w:eastAsia="Arial" w:hAnsi="Arial"/>
          <w:sz w:val="18"/>
          <w:szCs w:val="18"/>
          <w:color w:val="auto"/>
        </w:rPr>
        <w:t>This prospectus does not constitute a public offer of the Class A shares, whether by sale or subscription, in the People's Republic of China (the “PRC”). The Class A shares are not being offered or sold directly or indirectly in the PRC to or for the benefit of, legal or natural persons of the PRC.</w:t>
      </w:r>
    </w:p>
    <w:p>
      <w:pPr>
        <w:spacing w:after="0" w:line="76" w:lineRule="exact"/>
        <w:rPr>
          <w:sz w:val="20"/>
          <w:szCs w:val="20"/>
          <w:color w:val="auto"/>
        </w:rPr>
      </w:pPr>
    </w:p>
    <w:p>
      <w:pPr>
        <w:jc w:val="both"/>
        <w:ind w:firstLine="357"/>
        <w:spacing w:after="0" w:line="284" w:lineRule="auto"/>
        <w:rPr>
          <w:sz w:val="20"/>
          <w:szCs w:val="20"/>
          <w:color w:val="auto"/>
        </w:rPr>
      </w:pPr>
      <w:r>
        <w:rPr>
          <w:rFonts w:ascii="Arial" w:cs="Arial" w:eastAsia="Arial" w:hAnsi="Arial"/>
          <w:sz w:val="17"/>
          <w:szCs w:val="17"/>
          <w:color w:val="auto"/>
        </w:rPr>
        <w:t>Further, no legal or natural persons of the PRC may directly or indirectly purchase any of the Class A shares without obtaining all prior PRC's governmental approvals that are required, whether statutorily or otherwise. Persons who come into possession of this prospectus are required by the issuer and its representatives to observe these restrictions.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5" w:lineRule="exact"/>
        <w:rPr>
          <w:sz w:val="20"/>
          <w:szCs w:val="20"/>
          <w:color w:val="auto"/>
        </w:rPr>
      </w:pPr>
    </w:p>
    <w:p>
      <w:pPr>
        <w:ind w:right="80" w:firstLine="357"/>
        <w:spacing w:after="0" w:line="271" w:lineRule="auto"/>
        <w:rPr>
          <w:sz w:val="20"/>
          <w:szCs w:val="20"/>
          <w:color w:val="auto"/>
        </w:rPr>
      </w:pPr>
      <w:r>
        <w:rPr>
          <w:rFonts w:ascii="Arial" w:cs="Arial" w:eastAsia="Arial" w:hAnsi="Arial"/>
          <w:sz w:val="17"/>
          <w:szCs w:val="17"/>
          <w:color w:val="auto"/>
        </w:rPr>
        <w:t>The Class A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19" w:lineRule="exact"/>
        <w:rPr>
          <w:sz w:val="20"/>
          <w:szCs w:val="20"/>
          <w:color w:val="auto"/>
        </w:rPr>
      </w:pPr>
    </w:p>
    <w:p>
      <w:pPr>
        <w:jc w:val="both"/>
        <w:ind w:right="80" w:firstLine="357"/>
        <w:spacing w:after="0" w:line="261"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Certain legal matters in connection with our Class A shares offered hereby will be passed upon for the underwriters by Skadden, Arps, Slate, Meagher &amp; Flom LLP, New York, New York.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19" w:lineRule="exact"/>
        <w:rPr>
          <w:sz w:val="20"/>
          <w:szCs w:val="20"/>
          <w:color w:val="auto"/>
        </w:rPr>
      </w:pPr>
    </w:p>
    <w:p>
      <w:pPr>
        <w:jc w:val="both"/>
        <w:ind w:right="100" w:firstLine="357"/>
        <w:spacing w:after="0" w:line="299" w:lineRule="auto"/>
        <w:rPr>
          <w:sz w:val="20"/>
          <w:szCs w:val="20"/>
          <w:color w:val="auto"/>
        </w:rPr>
      </w:pPr>
      <w:r>
        <w:rPr>
          <w:rFonts w:ascii="Arial" w:cs="Arial" w:eastAsia="Arial" w:hAnsi="Arial"/>
          <w:sz w:val="16"/>
          <w:szCs w:val="16"/>
          <w:color w:val="auto"/>
        </w:rPr>
        <w:t>The consolidated financial statements of New Fortress Energy Holdings LLC at December 31, 2017 and 2016, and for each of the two years in the period ended December 31, 2017,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19" w:lineRule="exact"/>
        <w:rPr>
          <w:sz w:val="20"/>
          <w:szCs w:val="20"/>
          <w:color w:val="auto"/>
        </w:rPr>
      </w:pPr>
    </w:p>
    <w:p>
      <w:pPr>
        <w:ind w:right="100" w:firstLine="357"/>
        <w:spacing w:after="0" w:line="255" w:lineRule="auto"/>
        <w:rPr>
          <w:sz w:val="20"/>
          <w:szCs w:val="20"/>
          <w:color w:val="auto"/>
        </w:rPr>
      </w:pPr>
      <w:r>
        <w:rPr>
          <w:rFonts w:ascii="Arial" w:cs="Arial" w:eastAsia="Arial" w:hAnsi="Arial"/>
          <w:sz w:val="18"/>
          <w:szCs w:val="18"/>
          <w:color w:val="auto"/>
        </w:rPr>
        <w:t xml:space="preserve">We have filed with the SEC a registration statement on Form S-1 regarding our Class A shares. This prospectus does not contain all of the information found in the registration statement. For further information regarding us and the Class A shares offered by this prospectus, you may desire to review the full registration statement, including its exhibits and schedules, filed under the Securities Act. The registration statement of which this prospectus forms a part, including its exhibits and schedules can be downloaded from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81"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 xml:space="preserve">Upon completion of this offering, we will file with or furnish to the SEC periodic reports and other information. These reports and other information may be inspected and copied at the public reference facilities maintained by the SEC or obtained from the SEC’s website as provided above. Our website on the Internet is located at </w:t>
      </w:r>
      <w:r>
        <w:rPr>
          <w:rFonts w:ascii="Arial" w:cs="Arial" w:eastAsia="Arial" w:hAnsi="Arial"/>
          <w:sz w:val="16"/>
          <w:szCs w:val="16"/>
          <w:i w:val="1"/>
          <w:iCs w:val="1"/>
          <w:color w:val="auto"/>
        </w:rPr>
        <w:t>www.newfortresenergy.com</w:t>
      </w:r>
      <w:r>
        <w:rPr>
          <w:rFonts w:ascii="Arial" w:cs="Arial" w:eastAsia="Arial" w:hAnsi="Arial"/>
          <w:sz w:val="16"/>
          <w:szCs w:val="16"/>
          <w:color w:val="auto"/>
        </w:rPr>
        <w:t xml:space="preserve"> and we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57" w:lineRule="exact"/>
        <w:rPr>
          <w:sz w:val="20"/>
          <w:szCs w:val="20"/>
          <w:color w:val="auto"/>
        </w:rPr>
      </w:pPr>
    </w:p>
    <w:p>
      <w:pPr>
        <w:ind w:right="40" w:firstLine="357"/>
        <w:spacing w:after="0" w:line="284" w:lineRule="auto"/>
        <w:rPr>
          <w:sz w:val="20"/>
          <w:szCs w:val="20"/>
          <w:color w:val="auto"/>
        </w:rPr>
      </w:pPr>
      <w:r>
        <w:rPr>
          <w:rFonts w:ascii="Arial" w:cs="Arial" w:eastAsia="Arial" w:hAnsi="Arial"/>
          <w:sz w:val="17"/>
          <w:szCs w:val="17"/>
          <w:color w:val="auto"/>
        </w:rPr>
        <w:t>We intend to furnish or make available to our shareholders annual reports containing our audited financial statements and furnish or make available to our shareholders quarterly reports containing our unaudited interim financial information, including the information required by Form 10-Q, for the first three fiscal quarters of each fiscal year.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241"/>
        </w:trPr>
        <w:tc>
          <w:tcPr>
            <w:tcW w:w="884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2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88"/>
        </w:trPr>
        <w:tc>
          <w:tcPr>
            <w:tcW w:w="8840" w:type="dxa"/>
            <w:vAlign w:val="bottom"/>
            <w:gridSpan w:val="12"/>
          </w:tcPr>
          <w:p>
            <w:pPr>
              <w:spacing w:after="0" w:line="188" w:lineRule="exact"/>
              <w:rPr>
                <w:rFonts w:ascii="Arial" w:cs="Arial" w:eastAsia="Arial" w:hAnsi="Arial"/>
                <w:sz w:val="18"/>
                <w:szCs w:val="18"/>
                <w:color w:val="0000EE"/>
              </w:rPr>
            </w:pPr>
            <w:hyperlink w:anchor="page141">
              <w:r>
                <w:rPr>
                  <w:rFonts w:ascii="Arial" w:cs="Arial" w:eastAsia="Arial" w:hAnsi="Arial"/>
                  <w:sz w:val="18"/>
                  <w:szCs w:val="18"/>
                  <w:color w:val="0000EE"/>
                </w:rPr>
                <w:t>Condensed Consolidated Balance Sheets</w:t>
              </w:r>
            </w:hyperlink>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100"/>
              <w:spacing w:after="0" w:line="188" w:lineRule="exact"/>
              <w:rPr>
                <w:rFonts w:ascii="Arial" w:cs="Arial" w:eastAsia="Arial" w:hAnsi="Arial"/>
                <w:sz w:val="18"/>
                <w:szCs w:val="18"/>
                <w:color w:val="0000EE"/>
                <w:w w:val="81"/>
              </w:rPr>
            </w:pPr>
            <w:hyperlink w:anchor="page141">
              <w:r>
                <w:rPr>
                  <w:rFonts w:ascii="Arial" w:cs="Arial" w:eastAsia="Arial" w:hAnsi="Arial"/>
                  <w:sz w:val="18"/>
                  <w:szCs w:val="18"/>
                  <w:color w:val="0000EE"/>
                  <w:w w:val="81"/>
                </w:rPr>
                <w:t>F-2</w:t>
              </w:r>
            </w:hyperlink>
          </w:p>
        </w:tc>
      </w:tr>
      <w:tr>
        <w:trPr>
          <w:trHeight w:val="34"/>
        </w:trPr>
        <w:tc>
          <w:tcPr>
            <w:tcW w:w="20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5500" w:type="dxa"/>
            <w:vAlign w:val="bottom"/>
            <w:gridSpan w:val="11"/>
            <w:shd w:val="clear" w:color="auto" w:fill="CCEEFF"/>
          </w:tcPr>
          <w:p>
            <w:pPr>
              <w:spacing w:after="0" w:line="188"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Condensed Consolidated Statements of Operations and Comprehensive Loss</w:t>
              </w:r>
            </w:hyperlink>
          </w:p>
        </w:tc>
        <w:tc>
          <w:tcPr>
            <w:tcW w:w="3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00"/>
              <w:spacing w:after="0" w:line="188" w:lineRule="exact"/>
              <w:rPr>
                <w:rFonts w:ascii="Arial" w:cs="Arial" w:eastAsia="Arial" w:hAnsi="Arial"/>
                <w:sz w:val="18"/>
                <w:szCs w:val="18"/>
                <w:color w:val="0000EE"/>
                <w:w w:val="81"/>
              </w:rPr>
            </w:pPr>
            <w:hyperlink w:anchor="page142">
              <w:r>
                <w:rPr>
                  <w:rFonts w:ascii="Arial" w:cs="Arial" w:eastAsia="Arial" w:hAnsi="Arial"/>
                  <w:sz w:val="18"/>
                  <w:szCs w:val="18"/>
                  <w:color w:val="0000EE"/>
                  <w:w w:val="81"/>
                </w:rPr>
                <w:t>F-3</w:t>
              </w:r>
            </w:hyperlink>
          </w:p>
        </w:tc>
      </w:tr>
      <w:tr>
        <w:trPr>
          <w:trHeight w:val="34"/>
        </w:trPr>
        <w:tc>
          <w:tcPr>
            <w:tcW w:w="20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3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5500" w:type="dxa"/>
            <w:vAlign w:val="bottom"/>
            <w:gridSpan w:val="11"/>
          </w:tcPr>
          <w:p>
            <w:pPr>
              <w:spacing w:after="0" w:line="188" w:lineRule="exact"/>
              <w:rPr>
                <w:rFonts w:ascii="Arial" w:cs="Arial" w:eastAsia="Arial" w:hAnsi="Arial"/>
                <w:sz w:val="18"/>
                <w:szCs w:val="18"/>
                <w:color w:val="0000EE"/>
              </w:rPr>
            </w:pPr>
            <w:hyperlink w:anchor="page143">
              <w:r>
                <w:rPr>
                  <w:rFonts w:ascii="Arial" w:cs="Arial" w:eastAsia="Arial" w:hAnsi="Arial"/>
                  <w:sz w:val="18"/>
                  <w:szCs w:val="18"/>
                  <w:color w:val="0000EE"/>
                </w:rPr>
                <w:t>Condensed Consolidated Statement of Changes in Members’ Equity</w:t>
              </w:r>
            </w:hyperlink>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100"/>
              <w:spacing w:after="0" w:line="188" w:lineRule="exact"/>
              <w:rPr>
                <w:rFonts w:ascii="Arial" w:cs="Arial" w:eastAsia="Arial" w:hAnsi="Arial"/>
                <w:sz w:val="18"/>
                <w:szCs w:val="18"/>
                <w:color w:val="0000EE"/>
                <w:w w:val="81"/>
              </w:rPr>
            </w:pPr>
            <w:hyperlink w:anchor="page143">
              <w:r>
                <w:rPr>
                  <w:rFonts w:ascii="Arial" w:cs="Arial" w:eastAsia="Arial" w:hAnsi="Arial"/>
                  <w:sz w:val="18"/>
                  <w:szCs w:val="18"/>
                  <w:color w:val="0000EE"/>
                  <w:w w:val="81"/>
                </w:rPr>
                <w:t>F-4</w:t>
              </w:r>
            </w:hyperlink>
          </w:p>
        </w:tc>
      </w:tr>
      <w:tr>
        <w:trPr>
          <w:trHeight w:val="34"/>
        </w:trPr>
        <w:tc>
          <w:tcPr>
            <w:tcW w:w="20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3700" w:type="dxa"/>
            <w:vAlign w:val="bottom"/>
            <w:gridSpan w:val="5"/>
            <w:shd w:val="clear" w:color="auto" w:fill="CCEEFF"/>
          </w:tcPr>
          <w:p>
            <w:pPr>
              <w:spacing w:after="0" w:line="188" w:lineRule="exact"/>
              <w:rPr>
                <w:rFonts w:ascii="Arial" w:cs="Arial" w:eastAsia="Arial" w:hAnsi="Arial"/>
                <w:sz w:val="18"/>
                <w:szCs w:val="18"/>
                <w:color w:val="0000EE"/>
                <w:w w:val="88"/>
              </w:rPr>
            </w:pPr>
            <w:hyperlink w:anchor="page144">
              <w:r>
                <w:rPr>
                  <w:rFonts w:ascii="Arial" w:cs="Arial" w:eastAsia="Arial" w:hAnsi="Arial"/>
                  <w:sz w:val="18"/>
                  <w:szCs w:val="18"/>
                  <w:color w:val="0000EE"/>
                  <w:w w:val="88"/>
                </w:rPr>
                <w:t>Condensed Consolidated Statements of Cash Flows</w:t>
              </w:r>
            </w:hyperlink>
          </w:p>
        </w:tc>
        <w:tc>
          <w:tcPr>
            <w:tcW w:w="5140" w:type="dxa"/>
            <w:vAlign w:val="bottom"/>
            <w:gridSpan w:val="7"/>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00"/>
              <w:spacing w:after="0" w:line="188" w:lineRule="exact"/>
              <w:rPr>
                <w:rFonts w:ascii="Arial" w:cs="Arial" w:eastAsia="Arial" w:hAnsi="Arial"/>
                <w:sz w:val="18"/>
                <w:szCs w:val="18"/>
                <w:color w:val="0000EE"/>
                <w:w w:val="81"/>
              </w:rPr>
            </w:pPr>
            <w:hyperlink w:anchor="page144">
              <w:r>
                <w:rPr>
                  <w:rFonts w:ascii="Arial" w:cs="Arial" w:eastAsia="Arial" w:hAnsi="Arial"/>
                  <w:sz w:val="18"/>
                  <w:szCs w:val="18"/>
                  <w:color w:val="0000EE"/>
                  <w:w w:val="81"/>
                </w:rPr>
                <w:t>F-5</w:t>
              </w:r>
            </w:hyperlink>
          </w:p>
        </w:tc>
      </w:tr>
      <w:tr>
        <w:trPr>
          <w:trHeight w:val="34"/>
        </w:trPr>
        <w:tc>
          <w:tcPr>
            <w:tcW w:w="20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840" w:type="dxa"/>
            <w:vAlign w:val="bottom"/>
            <w:gridSpan w:val="12"/>
          </w:tcPr>
          <w:p>
            <w:pPr>
              <w:spacing w:after="0" w:line="188" w:lineRule="exact"/>
              <w:rPr>
                <w:rFonts w:ascii="Arial" w:cs="Arial" w:eastAsia="Arial" w:hAnsi="Arial"/>
                <w:sz w:val="18"/>
                <w:szCs w:val="18"/>
                <w:color w:val="0000EE"/>
              </w:rPr>
            </w:pPr>
            <w:hyperlink w:anchor="page145">
              <w:r>
                <w:rPr>
                  <w:rFonts w:ascii="Arial" w:cs="Arial" w:eastAsia="Arial" w:hAnsi="Arial"/>
                  <w:sz w:val="18"/>
                  <w:szCs w:val="18"/>
                  <w:color w:val="0000EE"/>
                </w:rPr>
                <w:t>Notes to Condensed Consolidated Financial Statements</w:t>
              </w:r>
            </w:hyperlink>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100"/>
              <w:spacing w:after="0" w:line="188" w:lineRule="exact"/>
              <w:rPr>
                <w:rFonts w:ascii="Arial" w:cs="Arial" w:eastAsia="Arial" w:hAnsi="Arial"/>
                <w:sz w:val="18"/>
                <w:szCs w:val="18"/>
                <w:color w:val="0000EE"/>
                <w:w w:val="81"/>
              </w:rPr>
            </w:pPr>
            <w:hyperlink w:anchor="page145">
              <w:r>
                <w:rPr>
                  <w:rFonts w:ascii="Arial" w:cs="Arial" w:eastAsia="Arial" w:hAnsi="Arial"/>
                  <w:sz w:val="18"/>
                  <w:szCs w:val="18"/>
                  <w:color w:val="0000EE"/>
                  <w:w w:val="81"/>
                </w:rPr>
                <w:t>F-6</w:t>
              </w:r>
            </w:hyperlink>
          </w:p>
        </w:tc>
      </w:tr>
      <w:tr>
        <w:trPr>
          <w:trHeight w:val="34"/>
        </w:trPr>
        <w:tc>
          <w:tcPr>
            <w:tcW w:w="20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20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8840" w:type="dxa"/>
            <w:vAlign w:val="bottom"/>
            <w:gridSpan w:val="12"/>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2"/>
        </w:trPr>
        <w:tc>
          <w:tcPr>
            <w:tcW w:w="4200" w:type="dxa"/>
            <w:vAlign w:val="bottom"/>
            <w:gridSpan w:val="8"/>
            <w:shd w:val="clear" w:color="auto" w:fill="CCEEFF"/>
          </w:tcPr>
          <w:p>
            <w:pPr>
              <w:spacing w:after="0" w:line="192" w:lineRule="exact"/>
              <w:rPr>
                <w:rFonts w:ascii="Arial" w:cs="Arial" w:eastAsia="Arial" w:hAnsi="Arial"/>
                <w:sz w:val="18"/>
                <w:szCs w:val="18"/>
                <w:color w:val="0000EE"/>
                <w:w w:val="90"/>
              </w:rPr>
            </w:pPr>
            <w:hyperlink w:anchor="page160">
              <w:r>
                <w:rPr>
                  <w:rFonts w:ascii="Arial" w:cs="Arial" w:eastAsia="Arial" w:hAnsi="Arial"/>
                  <w:sz w:val="18"/>
                  <w:szCs w:val="18"/>
                  <w:color w:val="0000EE"/>
                  <w:w w:val="90"/>
                </w:rPr>
                <w:t>Report of Independent Registered Public Accounting Firm</w:t>
              </w:r>
            </w:hyperlink>
          </w:p>
        </w:tc>
        <w:tc>
          <w:tcPr>
            <w:tcW w:w="4640" w:type="dxa"/>
            <w:vAlign w:val="bottom"/>
            <w:gridSpan w:val="4"/>
            <w:shd w:val="clear" w:color="auto" w:fill="CCEEFF"/>
          </w:tcPr>
          <w:p>
            <w:pPr>
              <w:spacing w:after="0"/>
              <w:rPr>
                <w:sz w:val="16"/>
                <w:szCs w:val="16"/>
                <w:color w:val="auto"/>
              </w:rPr>
            </w:pPr>
          </w:p>
        </w:tc>
        <w:tc>
          <w:tcPr>
            <w:tcW w:w="660" w:type="dxa"/>
            <w:vAlign w:val="bottom"/>
            <w:gridSpan w:val="4"/>
            <w:shd w:val="clear" w:color="auto" w:fill="CCEEFF"/>
          </w:tcPr>
          <w:p>
            <w:pPr>
              <w:jc w:val="right"/>
              <w:ind w:right="100"/>
              <w:spacing w:after="0" w:line="192" w:lineRule="exact"/>
              <w:rPr>
                <w:rFonts w:ascii="Arial" w:cs="Arial" w:eastAsia="Arial" w:hAnsi="Arial"/>
                <w:sz w:val="18"/>
                <w:szCs w:val="18"/>
                <w:color w:val="0000EE"/>
              </w:rPr>
            </w:pPr>
            <w:hyperlink w:anchor="page160">
              <w:r>
                <w:rPr>
                  <w:rFonts w:ascii="Arial" w:cs="Arial" w:eastAsia="Arial" w:hAnsi="Arial"/>
                  <w:sz w:val="18"/>
                  <w:szCs w:val="18"/>
                  <w:color w:val="0000EE"/>
                </w:rPr>
                <w:t>F-21</w:t>
              </w:r>
            </w:hyperlink>
          </w:p>
        </w:tc>
      </w:tr>
      <w:tr>
        <w:trPr>
          <w:trHeight w:val="34"/>
        </w:trPr>
        <w:tc>
          <w:tcPr>
            <w:tcW w:w="20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4200" w:type="dxa"/>
            <w:vAlign w:val="bottom"/>
            <w:gridSpan w:val="8"/>
          </w:tcPr>
          <w:p>
            <w:pPr>
              <w:spacing w:after="0" w:line="188" w:lineRule="exact"/>
              <w:rPr>
                <w:rFonts w:ascii="Arial" w:cs="Arial" w:eastAsia="Arial" w:hAnsi="Arial"/>
                <w:sz w:val="18"/>
                <w:szCs w:val="18"/>
                <w:color w:val="0000EE"/>
              </w:rPr>
            </w:pPr>
            <w:hyperlink w:anchor="page161">
              <w:r>
                <w:rPr>
                  <w:rFonts w:ascii="Arial" w:cs="Arial" w:eastAsia="Arial" w:hAnsi="Arial"/>
                  <w:sz w:val="18"/>
                  <w:szCs w:val="18"/>
                  <w:color w:val="0000EE"/>
                </w:rPr>
                <w:t>Consolidated Balance Sheets</w:t>
              </w:r>
            </w:hyperlink>
          </w:p>
        </w:tc>
        <w:tc>
          <w:tcPr>
            <w:tcW w:w="4640" w:type="dxa"/>
            <w:vAlign w:val="bottom"/>
            <w:gridSpan w:val="4"/>
          </w:tcPr>
          <w:p>
            <w:pPr>
              <w:spacing w:after="0"/>
              <w:rPr>
                <w:sz w:val="16"/>
                <w:szCs w:val="16"/>
                <w:color w:val="auto"/>
              </w:rPr>
            </w:pPr>
          </w:p>
        </w:tc>
        <w:tc>
          <w:tcPr>
            <w:tcW w:w="660" w:type="dxa"/>
            <w:vAlign w:val="bottom"/>
            <w:gridSpan w:val="4"/>
          </w:tcPr>
          <w:p>
            <w:pPr>
              <w:jc w:val="right"/>
              <w:ind w:right="100"/>
              <w:spacing w:after="0" w:line="188" w:lineRule="exact"/>
              <w:rPr>
                <w:rFonts w:ascii="Arial" w:cs="Arial" w:eastAsia="Arial" w:hAnsi="Arial"/>
                <w:sz w:val="18"/>
                <w:szCs w:val="18"/>
                <w:color w:val="0000EE"/>
              </w:rPr>
            </w:pPr>
            <w:hyperlink w:anchor="page161">
              <w:r>
                <w:rPr>
                  <w:rFonts w:ascii="Arial" w:cs="Arial" w:eastAsia="Arial" w:hAnsi="Arial"/>
                  <w:sz w:val="18"/>
                  <w:szCs w:val="18"/>
                  <w:color w:val="0000EE"/>
                </w:rPr>
                <w:t>F-22</w:t>
              </w:r>
            </w:hyperlink>
          </w:p>
        </w:tc>
      </w:tr>
      <w:tr>
        <w:trPr>
          <w:trHeight w:val="34"/>
        </w:trPr>
        <w:tc>
          <w:tcPr>
            <w:tcW w:w="208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4660" w:type="dxa"/>
            <w:vAlign w:val="bottom"/>
            <w:gridSpan w:val="9"/>
            <w:shd w:val="clear" w:color="auto" w:fill="CCEEFF"/>
          </w:tcPr>
          <w:p>
            <w:pPr>
              <w:spacing w:after="0" w:line="188"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Consolidated Statements of Operations and Comprehensive Loss</w:t>
              </w:r>
            </w:hyperlink>
          </w:p>
        </w:tc>
        <w:tc>
          <w:tcPr>
            <w:tcW w:w="4180" w:type="dxa"/>
            <w:vAlign w:val="bottom"/>
            <w:gridSpan w:val="3"/>
            <w:shd w:val="clear" w:color="auto" w:fill="CCEEFF"/>
          </w:tcPr>
          <w:p>
            <w:pPr>
              <w:spacing w:after="0"/>
              <w:rPr>
                <w:sz w:val="16"/>
                <w:szCs w:val="16"/>
                <w:color w:val="auto"/>
              </w:rPr>
            </w:pPr>
          </w:p>
        </w:tc>
        <w:tc>
          <w:tcPr>
            <w:tcW w:w="660" w:type="dxa"/>
            <w:vAlign w:val="bottom"/>
            <w:gridSpan w:val="4"/>
            <w:shd w:val="clear" w:color="auto" w:fill="CCEEFF"/>
          </w:tcPr>
          <w:p>
            <w:pPr>
              <w:jc w:val="right"/>
              <w:ind w:right="100"/>
              <w:spacing w:after="0" w:line="188" w:lineRule="exact"/>
              <w:rPr>
                <w:rFonts w:ascii="Arial" w:cs="Arial" w:eastAsia="Arial" w:hAnsi="Arial"/>
                <w:sz w:val="18"/>
                <w:szCs w:val="18"/>
                <w:color w:val="0000EE"/>
              </w:rPr>
            </w:pPr>
            <w:hyperlink w:anchor="page162">
              <w:r>
                <w:rPr>
                  <w:rFonts w:ascii="Arial" w:cs="Arial" w:eastAsia="Arial" w:hAnsi="Arial"/>
                  <w:sz w:val="18"/>
                  <w:szCs w:val="18"/>
                  <w:color w:val="0000EE"/>
                </w:rPr>
                <w:t>F-23</w:t>
              </w:r>
            </w:hyperlink>
          </w:p>
        </w:tc>
      </w:tr>
      <w:tr>
        <w:trPr>
          <w:trHeight w:val="34"/>
        </w:trPr>
        <w:tc>
          <w:tcPr>
            <w:tcW w:w="20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4660" w:type="dxa"/>
            <w:vAlign w:val="bottom"/>
            <w:gridSpan w:val="9"/>
          </w:tcPr>
          <w:p>
            <w:pPr>
              <w:spacing w:after="0" w:line="188" w:lineRule="exact"/>
              <w:rPr>
                <w:rFonts w:ascii="Arial" w:cs="Arial" w:eastAsia="Arial" w:hAnsi="Arial"/>
                <w:sz w:val="18"/>
                <w:szCs w:val="18"/>
                <w:color w:val="0000EE"/>
              </w:rPr>
            </w:pPr>
            <w:hyperlink w:anchor="page163">
              <w:r>
                <w:rPr>
                  <w:rFonts w:ascii="Arial" w:cs="Arial" w:eastAsia="Arial" w:hAnsi="Arial"/>
                  <w:sz w:val="18"/>
                  <w:szCs w:val="18"/>
                  <w:color w:val="0000EE"/>
                </w:rPr>
                <w:t>Consolidated Statements of Changes in Members’ Equity</w:t>
              </w:r>
            </w:hyperlink>
          </w:p>
        </w:tc>
        <w:tc>
          <w:tcPr>
            <w:tcW w:w="4180" w:type="dxa"/>
            <w:vAlign w:val="bottom"/>
            <w:gridSpan w:val="3"/>
          </w:tcPr>
          <w:p>
            <w:pPr>
              <w:spacing w:after="0"/>
              <w:rPr>
                <w:sz w:val="16"/>
                <w:szCs w:val="16"/>
                <w:color w:val="auto"/>
              </w:rPr>
            </w:pPr>
          </w:p>
        </w:tc>
        <w:tc>
          <w:tcPr>
            <w:tcW w:w="660" w:type="dxa"/>
            <w:vAlign w:val="bottom"/>
            <w:gridSpan w:val="4"/>
          </w:tcPr>
          <w:p>
            <w:pPr>
              <w:jc w:val="right"/>
              <w:ind w:right="100"/>
              <w:spacing w:after="0" w:line="188" w:lineRule="exact"/>
              <w:rPr>
                <w:rFonts w:ascii="Arial" w:cs="Arial" w:eastAsia="Arial" w:hAnsi="Arial"/>
                <w:sz w:val="18"/>
                <w:szCs w:val="18"/>
                <w:color w:val="0000EE"/>
              </w:rPr>
            </w:pPr>
            <w:hyperlink w:anchor="page163">
              <w:r>
                <w:rPr>
                  <w:rFonts w:ascii="Arial" w:cs="Arial" w:eastAsia="Arial" w:hAnsi="Arial"/>
                  <w:sz w:val="18"/>
                  <w:szCs w:val="18"/>
                  <w:color w:val="0000EE"/>
                </w:rPr>
                <w:t>F-24</w:t>
              </w:r>
            </w:hyperlink>
          </w:p>
        </w:tc>
      </w:tr>
      <w:tr>
        <w:trPr>
          <w:trHeight w:val="34"/>
        </w:trPr>
        <w:tc>
          <w:tcPr>
            <w:tcW w:w="20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2860" w:type="dxa"/>
            <w:vAlign w:val="bottom"/>
            <w:gridSpan w:val="2"/>
            <w:shd w:val="clear" w:color="auto" w:fill="CCEEFF"/>
          </w:tcPr>
          <w:p>
            <w:pPr>
              <w:spacing w:after="0" w:line="188"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Consolidated Statements of Cash Flows</w:t>
              </w:r>
            </w:hyperlink>
          </w:p>
        </w:tc>
        <w:tc>
          <w:tcPr>
            <w:tcW w:w="5980" w:type="dxa"/>
            <w:vAlign w:val="bottom"/>
            <w:gridSpan w:val="10"/>
            <w:shd w:val="clear" w:color="auto" w:fill="CCEEFF"/>
          </w:tcPr>
          <w:p>
            <w:pPr>
              <w:spacing w:after="0"/>
              <w:rPr>
                <w:sz w:val="16"/>
                <w:szCs w:val="16"/>
                <w:color w:val="auto"/>
              </w:rPr>
            </w:pPr>
          </w:p>
        </w:tc>
        <w:tc>
          <w:tcPr>
            <w:tcW w:w="660" w:type="dxa"/>
            <w:vAlign w:val="bottom"/>
            <w:gridSpan w:val="4"/>
            <w:shd w:val="clear" w:color="auto" w:fill="CCEEFF"/>
          </w:tcPr>
          <w:p>
            <w:pPr>
              <w:jc w:val="right"/>
              <w:ind w:right="100"/>
              <w:spacing w:after="0" w:line="188" w:lineRule="exact"/>
              <w:rPr>
                <w:rFonts w:ascii="Arial" w:cs="Arial" w:eastAsia="Arial" w:hAnsi="Arial"/>
                <w:sz w:val="18"/>
                <w:szCs w:val="18"/>
                <w:color w:val="0000EE"/>
              </w:rPr>
            </w:pPr>
            <w:hyperlink w:anchor="page164">
              <w:r>
                <w:rPr>
                  <w:rFonts w:ascii="Arial" w:cs="Arial" w:eastAsia="Arial" w:hAnsi="Arial"/>
                  <w:sz w:val="18"/>
                  <w:szCs w:val="18"/>
                  <w:color w:val="0000EE"/>
                </w:rPr>
                <w:t>F-25</w:t>
              </w:r>
            </w:hyperlink>
          </w:p>
        </w:tc>
      </w:tr>
      <w:tr>
        <w:trPr>
          <w:trHeight w:val="34"/>
        </w:trPr>
        <w:tc>
          <w:tcPr>
            <w:tcW w:w="20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8"/>
        </w:trPr>
        <w:tc>
          <w:tcPr>
            <w:tcW w:w="8840" w:type="dxa"/>
            <w:vAlign w:val="bottom"/>
            <w:gridSpan w:val="12"/>
          </w:tcPr>
          <w:p>
            <w:pPr>
              <w:spacing w:after="0" w:line="188" w:lineRule="exact"/>
              <w:rPr>
                <w:rFonts w:ascii="Arial" w:cs="Arial" w:eastAsia="Arial" w:hAnsi="Arial"/>
                <w:sz w:val="18"/>
                <w:szCs w:val="18"/>
                <w:color w:val="0000EE"/>
              </w:rPr>
            </w:pPr>
            <w:hyperlink w:anchor="page165">
              <w:r>
                <w:rPr>
                  <w:rFonts w:ascii="Arial" w:cs="Arial" w:eastAsia="Arial" w:hAnsi="Arial"/>
                  <w:sz w:val="18"/>
                  <w:szCs w:val="18"/>
                  <w:color w:val="0000EE"/>
                </w:rPr>
                <w:t>Notes to Consolidated Financial Statements</w:t>
              </w:r>
            </w:hyperlink>
          </w:p>
        </w:tc>
        <w:tc>
          <w:tcPr>
            <w:tcW w:w="660" w:type="dxa"/>
            <w:vAlign w:val="bottom"/>
            <w:gridSpan w:val="4"/>
          </w:tcPr>
          <w:p>
            <w:pPr>
              <w:jc w:val="right"/>
              <w:ind w:right="100"/>
              <w:spacing w:after="0" w:line="188" w:lineRule="exact"/>
              <w:rPr>
                <w:rFonts w:ascii="Arial" w:cs="Arial" w:eastAsia="Arial" w:hAnsi="Arial"/>
                <w:sz w:val="18"/>
                <w:szCs w:val="18"/>
                <w:color w:val="0000EE"/>
              </w:rPr>
            </w:pPr>
            <w:hyperlink w:anchor="page165">
              <w:r>
                <w:rPr>
                  <w:rFonts w:ascii="Arial" w:cs="Arial" w:eastAsia="Arial" w:hAnsi="Arial"/>
                  <w:sz w:val="18"/>
                  <w:szCs w:val="18"/>
                  <w:color w:val="0000EE"/>
                </w:rPr>
                <w:t>F-26</w:t>
              </w:r>
            </w:hyperlink>
          </w:p>
        </w:tc>
      </w:tr>
      <w:tr>
        <w:trPr>
          <w:trHeight w:val="463"/>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gridSpan w:val="4"/>
          </w:tcPr>
          <w:p>
            <w:pPr>
              <w:ind w:left="420"/>
              <w:spacing w:after="0"/>
              <w:rPr>
                <w:sz w:val="20"/>
                <w:szCs w:val="20"/>
                <w:color w:val="auto"/>
              </w:rPr>
            </w:pPr>
            <w:r>
              <w:rPr>
                <w:rFonts w:ascii="Arial" w:cs="Arial" w:eastAsia="Arial" w:hAnsi="Arial"/>
                <w:sz w:val="18"/>
                <w:szCs w:val="18"/>
                <w:color w:val="auto"/>
              </w:rPr>
              <w:t>F-1</w:t>
            </w: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
        </w:trPr>
        <w:tc>
          <w:tcPr>
            <w:tcW w:w="20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33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2018 and December 31, 2017</w:t>
      </w: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84"/>
        </w:trPr>
        <w:tc>
          <w:tcPr>
            <w:tcW w:w="6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84,708</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13,623</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19,166</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19,417</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Finance leases, net</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1,178</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19,154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11,152</w:t>
            </w:r>
          </w:p>
        </w:tc>
      </w:tr>
      <w:tr>
        <w:trPr>
          <w:trHeight w:val="241"/>
        </w:trPr>
        <w:tc>
          <w:tcPr>
            <w:tcW w:w="69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24,875</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96,797</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154,953</w:t>
            </w:r>
          </w:p>
        </w:tc>
      </w:tr>
      <w:tr>
        <w:trPr>
          <w:trHeight w:val="241"/>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investment</w:t>
            </w:r>
          </w:p>
        </w:tc>
        <w:tc>
          <w:tcPr>
            <w:tcW w:w="12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16,271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160,043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35,413</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85,526</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69,350</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 net</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93,234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94,077</w:t>
            </w:r>
          </w:p>
        </w:tc>
      </w:tr>
      <w:tr>
        <w:trPr>
          <w:trHeight w:val="241"/>
        </w:trPr>
        <w:tc>
          <w:tcPr>
            <w:tcW w:w="694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485,097</w:t>
            </w: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381,190</w:t>
            </w:r>
          </w:p>
        </w:tc>
      </w:tr>
      <w:tr>
        <w:trPr>
          <w:trHeight w:val="241"/>
        </w:trPr>
        <w:tc>
          <w:tcPr>
            <w:tcW w:w="69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121,970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5,828</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19,073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6,352</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34,501</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17,499</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Due to affiliates</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2,091</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1"/>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177,551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32,099</w:t>
            </w:r>
          </w:p>
        </w:tc>
      </w:tr>
      <w:tr>
        <w:trPr>
          <w:trHeight w:val="246"/>
        </w:trPr>
        <w:tc>
          <w:tcPr>
            <w:tcW w:w="69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69,425</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liability, net.</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41"/>
        </w:trPr>
        <w:tc>
          <w:tcPr>
            <w:tcW w:w="694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102,280</w:t>
            </w:r>
          </w:p>
        </w:tc>
      </w:tr>
      <w:tr>
        <w:trPr>
          <w:trHeight w:val="235"/>
        </w:trPr>
        <w:tc>
          <w:tcPr>
            <w:tcW w:w="69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contingences (Note 16)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4"/>
        </w:trPr>
        <w:tc>
          <w:tcPr>
            <w:tcW w:w="6940" w:type="dxa"/>
            <w:vAlign w:val="bottom"/>
          </w:tcPr>
          <w:p>
            <w:pPr>
              <w:ind w:left="180"/>
              <w:spacing w:after="0"/>
              <w:rPr>
                <w:sz w:val="20"/>
                <w:szCs w:val="20"/>
                <w:color w:val="auto"/>
              </w:rPr>
            </w:pPr>
            <w:r>
              <w:rPr>
                <w:rFonts w:ascii="Arial" w:cs="Arial" w:eastAsia="Arial" w:hAnsi="Arial"/>
                <w:sz w:val="18"/>
                <w:szCs w:val="18"/>
                <w:color w:val="auto"/>
                <w:w w:val="93"/>
              </w:rPr>
              <w:t>Members’ capital, no par value, 500,000,000 shares authorized, 67,983,095 shares issued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40" w:type="dxa"/>
            <w:vAlign w:val="bottom"/>
          </w:tcPr>
          <w:p>
            <w:pPr>
              <w:ind w:left="360"/>
              <w:spacing w:after="0"/>
              <w:rPr>
                <w:sz w:val="20"/>
                <w:szCs w:val="20"/>
                <w:color w:val="auto"/>
              </w:rPr>
            </w:pPr>
            <w:r>
              <w:rPr>
                <w:rFonts w:ascii="Arial" w:cs="Arial" w:eastAsia="Arial" w:hAnsi="Arial"/>
                <w:sz w:val="18"/>
                <w:szCs w:val="18"/>
                <w:color w:val="auto"/>
                <w:w w:val="91"/>
              </w:rPr>
              <w:t>and outstanding as of September 30, 2018; 65,665,037 shares issued and outstanding as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940" w:type="dxa"/>
            <w:vAlign w:val="bottom"/>
          </w:tcPr>
          <w:p>
            <w:pPr>
              <w:ind w:left="360"/>
              <w:spacing w:after="0"/>
              <w:rPr>
                <w:sz w:val="20"/>
                <w:szCs w:val="20"/>
                <w:color w:val="auto"/>
              </w:rPr>
            </w:pPr>
            <w:r>
              <w:rPr>
                <w:rFonts w:ascii="Arial" w:cs="Arial" w:eastAsia="Arial" w:hAnsi="Arial"/>
                <w:sz w:val="18"/>
                <w:szCs w:val="18"/>
                <w:color w:val="auto"/>
              </w:rPr>
              <w:t>of December 31, 2017</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426,741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406,591</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subscription receivable</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(123,694)</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(80,347)</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1"/>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NFE Members’ equity</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306,156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278,910</w:t>
            </w: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Total Members’ equity</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306,084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278,910</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9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liabilities and members’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485,097</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381,190</w:t>
            </w:r>
          </w:p>
        </w:tc>
      </w:tr>
      <w:tr>
        <w:trPr>
          <w:trHeight w:val="27"/>
        </w:trPr>
        <w:tc>
          <w:tcPr>
            <w:tcW w:w="694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2240" w:h="15840" w:orient="portrait"/>
          <w:cols w:equalWidth="0" w:num="1">
            <w:col w:w="9500"/>
          </w:cols>
          <w:pgMar w:left="1360" w:top="138" w:right="1380" w:bottom="1440" w:gutter="0" w:footer="0" w:header="0"/>
        </w:sect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603059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type w:val="continuous"/>
        </w:sectPr>
      </w:pPr>
    </w:p>
    <w:bookmarkStart w:id="141" w:name="page142"/>
    <w:bookmarkEnd w:id="1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right="3660"/>
        <w:spacing w:after="0" w:line="270" w:lineRule="auto"/>
        <w:rPr>
          <w:sz w:val="20"/>
          <w:szCs w:val="20"/>
          <w:color w:val="auto"/>
        </w:rPr>
      </w:pPr>
      <w:r>
        <w:rPr>
          <w:rFonts w:ascii="Arial" w:cs="Arial" w:eastAsia="Arial" w:hAnsi="Arial"/>
          <w:sz w:val="17"/>
          <w:szCs w:val="17"/>
          <w:b w:val="1"/>
          <w:bCs w:val="1"/>
          <w:color w:val="auto"/>
        </w:rPr>
        <w:t>Condensed Consolidated Statements of Operations and Comprehensive Loss For the nine months ended September 30, 2018 and 2017 (Unaudited,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60305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1"/>
        </w:trPr>
        <w:tc>
          <w:tcPr>
            <w:tcW w:w="69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Operating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69,545</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60,653</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11,357</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80,932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72,010</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68,625</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57,854</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Operations and maintenance</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5,750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4,769</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40,827</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21,164</w:t>
            </w:r>
          </w:p>
        </w:tc>
      </w:tr>
      <w:tr>
        <w:trPr>
          <w:trHeight w:val="241"/>
        </w:trPr>
        <w:tc>
          <w:tcPr>
            <w:tcW w:w="6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2,031</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117,460</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85,818</w:t>
            </w:r>
          </w:p>
        </w:tc>
      </w:tr>
      <w:tr>
        <w:trPr>
          <w:trHeight w:val="235"/>
        </w:trPr>
        <w:tc>
          <w:tcPr>
            <w:tcW w:w="69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(loss)</w:t>
            </w: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(36,528)</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(13,808)</w:t>
            </w:r>
          </w:p>
        </w:tc>
      </w:tr>
      <w:tr>
        <w:trPr>
          <w:trHeight w:val="241"/>
        </w:trPr>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6,389</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1"/>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(43,020)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(18,583)</w:t>
            </w: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provision (benefit)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9"/>
        </w:trPr>
        <w:tc>
          <w:tcPr>
            <w:tcW w:w="69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(43,419)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(19,402)</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1"/>
        </w:trPr>
        <w:tc>
          <w:tcPr>
            <w:tcW w:w="6940" w:type="dxa"/>
            <w:vAlign w:val="bottom"/>
          </w:tcPr>
          <w:p>
            <w:pPr>
              <w:ind w:left="180"/>
              <w:spacing w:after="0"/>
              <w:rPr>
                <w:sz w:val="20"/>
                <w:szCs w:val="20"/>
                <w:color w:val="auto"/>
              </w:rPr>
            </w:pPr>
            <w:r>
              <w:rPr>
                <w:rFonts w:ascii="Arial" w:cs="Arial" w:eastAsia="Arial" w:hAnsi="Arial"/>
                <w:sz w:val="18"/>
                <w:szCs w:val="18"/>
                <w:b w:val="1"/>
                <w:bCs w:val="1"/>
                <w:color w:val="auto"/>
              </w:rPr>
              <w:t>Net loss attributable to members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(43,347)</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(19,402)</w:t>
            </w:r>
          </w:p>
        </w:tc>
      </w:tr>
      <w:tr>
        <w:trPr>
          <w:trHeight w:val="27"/>
        </w:trPr>
        <w:tc>
          <w:tcPr>
            <w:tcW w:w="69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67,915,822</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65,000,478</w:t>
            </w:r>
          </w:p>
        </w:tc>
      </w:tr>
      <w:tr>
        <w:trPr>
          <w:trHeight w:val="235"/>
        </w:trPr>
        <w:tc>
          <w:tcPr>
            <w:tcW w:w="69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(43,347)</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(19,402)</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 on available-for-sale investment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(42,904)</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(18,537)</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1"/>
        </w:trPr>
        <w:tc>
          <w:tcPr>
            <w:tcW w:w="69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members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(42,904)</w:t>
            </w:r>
          </w:p>
        </w:tc>
        <w:tc>
          <w:tcPr>
            <w:tcW w:w="220" w:type="dxa"/>
            <w:vAlign w:val="bottom"/>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(18,537)</w:t>
            </w:r>
          </w:p>
        </w:tc>
      </w:tr>
      <w:tr>
        <w:trPr>
          <w:trHeight w:val="27"/>
        </w:trPr>
        <w:tc>
          <w:tcPr>
            <w:tcW w:w="69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Pro forma information (unaudited):</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(43,020)</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Pro forma tax expense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9"/>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(43,419)</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1"/>
        </w:trPr>
        <w:tc>
          <w:tcPr>
            <w:tcW w:w="69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 per share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pro forma number of shares outstanding – basic and diluted</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67,915,822</w:t>
            </w: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423"/>
        </w:trPr>
        <w:tc>
          <w:tcPr>
            <w:tcW w:w="6940" w:type="dxa"/>
            <w:vAlign w:val="bottom"/>
          </w:tcPr>
          <w:p>
            <w:pPr>
              <w:ind w:left="4620"/>
              <w:spacing w:after="0"/>
              <w:rPr>
                <w:sz w:val="20"/>
                <w:szCs w:val="20"/>
                <w:color w:val="auto"/>
              </w:rPr>
            </w:pPr>
            <w:r>
              <w:rPr>
                <w:rFonts w:ascii="Arial" w:cs="Arial" w:eastAsia="Arial" w:hAnsi="Arial"/>
                <w:sz w:val="18"/>
                <w:szCs w:val="18"/>
                <w:color w:val="auto"/>
              </w:rPr>
              <w:t>F-3</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6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
        </w:trPr>
        <w:tc>
          <w:tcPr>
            <w:tcW w:w="694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right="4300"/>
        <w:spacing w:after="0" w:line="259" w:lineRule="auto"/>
        <w:rPr>
          <w:sz w:val="20"/>
          <w:szCs w:val="20"/>
          <w:color w:val="auto"/>
        </w:rPr>
      </w:pPr>
      <w:r>
        <w:rPr>
          <w:rFonts w:ascii="Arial" w:cs="Arial" w:eastAsia="Arial" w:hAnsi="Arial"/>
          <w:sz w:val="17"/>
          <w:szCs w:val="17"/>
          <w:b w:val="1"/>
          <w:bCs w:val="1"/>
          <w:color w:val="auto"/>
        </w:rPr>
        <w:t>Condensed Consolidated Statement of Changes in Members’ Equity For the nine months ended September 30,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56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256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Members’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subscription</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comprehensive</w:t>
            </w:r>
          </w:p>
        </w:tc>
        <w:tc>
          <w:tcPr>
            <w:tcW w:w="1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controlling</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Members’</w:t>
            </w:r>
          </w:p>
        </w:tc>
      </w:tr>
      <w:tr>
        <w:trPr>
          <w:trHeight w:val="184"/>
        </w:trPr>
        <w:tc>
          <w:tcPr>
            <w:tcW w:w="25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receivable</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5"/>
                <w:szCs w:val="15"/>
                <w:color w:val="auto"/>
              </w:rPr>
            </w:pPr>
          </w:p>
        </w:tc>
      </w:tr>
      <w:tr>
        <w:trPr>
          <w:trHeight w:val="181"/>
        </w:trPr>
        <w:tc>
          <w:tcPr>
            <w:tcW w:w="2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January 1, 2018</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65,665,037</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$ 406,591</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(80,347)</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2,666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$ 278,910</w:t>
            </w:r>
          </w:p>
        </w:tc>
      </w:tr>
      <w:tr>
        <w:trPr>
          <w:trHeight w:val="188"/>
        </w:trPr>
        <w:tc>
          <w:tcPr>
            <w:tcW w:w="2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2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(43,347)</w:t>
            </w:r>
          </w:p>
        </w:tc>
        <w:tc>
          <w:tcPr>
            <w:tcW w:w="1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(43,419)</w:t>
            </w:r>
          </w:p>
        </w:tc>
      </w:tr>
      <w:tr>
        <w:trPr>
          <w:trHeight w:val="188"/>
        </w:trPr>
        <w:tc>
          <w:tcPr>
            <w:tcW w:w="256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443</w:t>
            </w:r>
          </w:p>
        </w:tc>
      </w:tr>
      <w:tr>
        <w:trPr>
          <w:trHeight w:val="188"/>
        </w:trPr>
        <w:tc>
          <w:tcPr>
            <w:tcW w:w="2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Capital contributions</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665,843</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20,150</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20,150</w:t>
            </w:r>
          </w:p>
        </w:tc>
      </w:tr>
      <w:tr>
        <w:trPr>
          <w:trHeight w:val="188"/>
        </w:trPr>
        <w:tc>
          <w:tcPr>
            <w:tcW w:w="2560" w:type="dxa"/>
            <w:vAlign w:val="bottom"/>
          </w:tcPr>
          <w:p>
            <w:pPr>
              <w:ind w:left="180"/>
              <w:spacing w:after="0"/>
              <w:rPr>
                <w:sz w:val="20"/>
                <w:szCs w:val="20"/>
                <w:color w:val="auto"/>
              </w:rPr>
            </w:pPr>
            <w:r>
              <w:rPr>
                <w:rFonts w:ascii="Arial" w:cs="Arial" w:eastAsia="Arial" w:hAnsi="Arial"/>
                <w:sz w:val="14"/>
                <w:szCs w:val="14"/>
                <w:color w:val="auto"/>
              </w:rPr>
              <w:t>Stock subscription receivable</w:t>
            </w:r>
          </w:p>
        </w:tc>
        <w:tc>
          <w:tcPr>
            <w:tcW w:w="1020" w:type="dxa"/>
            <w:vAlign w:val="bottom"/>
          </w:tcPr>
          <w:p>
            <w:pPr>
              <w:jc w:val="right"/>
              <w:spacing w:after="0"/>
              <w:rPr>
                <w:sz w:val="20"/>
                <w:szCs w:val="20"/>
                <w:color w:val="auto"/>
              </w:rPr>
            </w:pPr>
            <w:r>
              <w:rPr>
                <w:rFonts w:ascii="Arial" w:cs="Arial" w:eastAsia="Arial" w:hAnsi="Arial"/>
                <w:sz w:val="14"/>
                <w:szCs w:val="14"/>
                <w:color w:val="auto"/>
              </w:rPr>
              <w:t>1,652,215</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50,000</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50,000</w:t>
            </w:r>
          </w:p>
        </w:tc>
      </w:tr>
      <w:tr>
        <w:trPr>
          <w:trHeight w:val="20"/>
        </w:trPr>
        <w:tc>
          <w:tcPr>
            <w:tcW w:w="256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2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September 30, 2018</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67,983,095</w:t>
            </w:r>
          </w:p>
        </w:tc>
        <w:tc>
          <w:tcPr>
            <w:tcW w:w="18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$ 426,741</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(123,694)</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3,109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$ 306,084</w:t>
            </w:r>
          </w:p>
        </w:tc>
      </w:tr>
      <w:tr>
        <w:trPr>
          <w:trHeight w:val="27"/>
        </w:trPr>
        <w:tc>
          <w:tcPr>
            <w:tcW w:w="2560" w:type="dxa"/>
            <w:vAlign w:val="bottom"/>
            <w:tcBorders>
              <w:top w:val="single" w:sz="8" w:color="CCEEFF"/>
              <w:right w:val="single" w:sz="8" w:color="auto"/>
            </w:tcBorders>
            <w:shd w:val="clear" w:color="auto" w:fill="CCEEFF"/>
          </w:tcPr>
          <w:p>
            <w:pPr>
              <w:spacing w:after="0"/>
              <w:rPr>
                <w:sz w:val="2"/>
                <w:szCs w:val="2"/>
                <w:color w:val="auto"/>
              </w:rPr>
            </w:pPr>
          </w:p>
        </w:tc>
        <w:tc>
          <w:tcPr>
            <w:tcW w:w="10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2018 and 2017</w:t>
      </w: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1"/>
        </w:trPr>
        <w:tc>
          <w:tcPr>
            <w:tcW w:w="69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(43,419)</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(19,402)</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for:</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5"/>
        </w:trPr>
        <w:tc>
          <w:tcPr>
            <w:tcW w:w="6940" w:type="dxa"/>
            <w:vAlign w:val="bottom"/>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1,469</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r>
      <w:tr>
        <w:trPr>
          <w:trHeight w:val="248"/>
        </w:trPr>
        <w:tc>
          <w:tcPr>
            <w:tcW w:w="6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2,766</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w:t>
            </w:r>
          </w:p>
        </w:tc>
      </w:tr>
      <w:tr>
        <w:trPr>
          <w:trHeight w:val="235"/>
        </w:trPr>
        <w:tc>
          <w:tcPr>
            <w:tcW w:w="694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taxes.</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r>
      <w:tr>
        <w:trPr>
          <w:trHeight w:val="235"/>
        </w:trPr>
        <w:tc>
          <w:tcPr>
            <w:tcW w:w="6940" w:type="dxa"/>
            <w:vAlign w:val="bottom"/>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receivables.</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(Increase) in inventories.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(8,002)</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other assets</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(5,863)</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(20,527)</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(Decrease) in accounts payable/accrued liabilities.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(1,156)</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amounts due to affiliates.</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r>
      <w:tr>
        <w:trPr>
          <w:trHeight w:val="241"/>
        </w:trPr>
        <w:tc>
          <w:tcPr>
            <w:tcW w:w="6940" w:type="dxa"/>
            <w:vAlign w:val="bottom"/>
          </w:tcPr>
          <w:p>
            <w:pPr>
              <w:ind w:left="180"/>
              <w:spacing w:after="0"/>
              <w:rPr>
                <w:sz w:val="20"/>
                <w:szCs w:val="20"/>
                <w:color w:val="auto"/>
              </w:rPr>
            </w:pPr>
            <w:r>
              <w:rPr>
                <w:rFonts w:ascii="Arial" w:cs="Arial" w:eastAsia="Arial" w:hAnsi="Arial"/>
                <w:sz w:val="18"/>
                <w:szCs w:val="18"/>
                <w:color w:val="auto"/>
              </w:rPr>
              <w:t>Increase (Decrease) in other liabilities.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898</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(692)</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(53,156)</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(35,983)</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available-for-sale investment.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(Increase) Decrease in restricted cash.</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6,983</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(22,268)</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(112,861)</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(12,547)</w:t>
            </w:r>
          </w:p>
        </w:tc>
      </w:tr>
      <w:tr>
        <w:trPr>
          <w:trHeight w:val="241"/>
        </w:trPr>
        <w:tc>
          <w:tcPr>
            <w:tcW w:w="6940" w:type="dxa"/>
            <w:vAlign w:val="bottom"/>
          </w:tcPr>
          <w:p>
            <w:pPr>
              <w:ind w:left="180"/>
              <w:spacing w:after="0"/>
              <w:rPr>
                <w:sz w:val="20"/>
                <w:szCs w:val="20"/>
                <w:color w:val="auto"/>
              </w:rPr>
            </w:pPr>
            <w:r>
              <w:rPr>
                <w:rFonts w:ascii="Arial" w:cs="Arial" w:eastAsia="Arial" w:hAnsi="Arial"/>
                <w:sz w:val="18"/>
                <w:szCs w:val="18"/>
                <w:color w:val="auto"/>
              </w:rPr>
              <w:t>Principal payments received on finance lease</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726</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(105,152)</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(36,109)</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restricted cash.</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10,339</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(2,615)</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Proceeds from borrowings of debt.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130,000</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debt.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(75,920)</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(4,371)</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Payment of deferred financing costs.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(9,438)</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(and repayment of) Affiliate note.</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Capital contributed from Members.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20,150</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Collection of subscription receivable.</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ind w:left="3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125,503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(7,056)</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w:t>
            </w:r>
            <w:r>
              <w:rPr>
                <w:rFonts w:ascii="Arial" w:cs="Arial" w:eastAsia="Arial" w:hAnsi="Arial"/>
                <w:sz w:val="18"/>
                <w:szCs w:val="18"/>
                <w:color w:val="auto"/>
              </w:rPr>
              <w:t>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(32,805)</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(79,148)</w:t>
            </w: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84,708</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180,650</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51,903</w:t>
            </w:r>
          </w:p>
        </w:tc>
        <w:tc>
          <w:tcPr>
            <w:tcW w:w="18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101,502</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accrued construction in progress costs and property, plant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30,879</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r>
      <w:tr>
        <w:trPr>
          <w:trHeight w:val="430"/>
        </w:trPr>
        <w:tc>
          <w:tcPr>
            <w:tcW w:w="6940" w:type="dxa"/>
            <w:vAlign w:val="bottom"/>
          </w:tcPr>
          <w:p>
            <w:pPr>
              <w:ind w:left="4620"/>
              <w:spacing w:after="0"/>
              <w:rPr>
                <w:sz w:val="20"/>
                <w:szCs w:val="20"/>
                <w:color w:val="auto"/>
              </w:rPr>
            </w:pPr>
            <w:r>
              <w:rPr>
                <w:rFonts w:ascii="Arial" w:cs="Arial" w:eastAsia="Arial" w:hAnsi="Arial"/>
                <w:sz w:val="18"/>
                <w:szCs w:val="18"/>
                <w:color w:val="auto"/>
              </w:rPr>
              <w:t>F-5</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6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
        </w:trPr>
        <w:tc>
          <w:tcPr>
            <w:tcW w:w="694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88" w:lineRule="exact"/>
        <w:rPr>
          <w:sz w:val="20"/>
          <w:szCs w:val="20"/>
          <w:color w:val="auto"/>
        </w:rPr>
      </w:pPr>
    </w:p>
    <w:p>
      <w:pPr>
        <w:ind w:left="360" w:hanging="355"/>
        <w:spacing w:after="0"/>
        <w:tabs>
          <w:tab w:leader="none" w:pos="3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18" w:lineRule="exact"/>
        <w:rPr>
          <w:rFonts w:ascii="Arial" w:cs="Arial" w:eastAsia="Arial" w:hAnsi="Arial"/>
          <w:sz w:val="18"/>
          <w:szCs w:val="18"/>
          <w:b w:val="1"/>
          <w:bCs w:val="1"/>
          <w:color w:val="auto"/>
        </w:rPr>
      </w:pPr>
    </w:p>
    <w:p>
      <w:pPr>
        <w:ind w:left="360" w:right="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New Fortress Energy Holdings LLC (“NFE,” together with its subsidiaries, the “Company”) is a Delaware limited liability company formed on September 11, 2015. The Company is an integrated gas-to-power company that seeks to use “stranded” natural gas to satisfy the world’s large and growing power needs. The Company's mission is to provide modern infrastructure solutions to create cleaner, reliable energy while generating a positive economic impact worldwide. The Company's business model is simple, yet unique for the liquefied natural gas (“LNG”) industry. The Company aims to deliver targeted energy solutions to customers around the world, thereby reducing their energy costs and diversifying their energy resources, while also reducing pollution. The Company currently sources LNG from a combination of its own liquefaction facility in Miami, Florida and purchases on the open market. The Company has liquefaction and regasification operations in the United States and Jamaica. The Company is majority-owned by a private equity fund managed by an affiliate of Fortress Investment Group LLC (“Fortress”).</w:t>
      </w:r>
    </w:p>
    <w:p>
      <w:pPr>
        <w:spacing w:after="0" w:line="70" w:lineRule="exact"/>
        <w:rPr>
          <w:rFonts w:ascii="Arial" w:cs="Arial" w:eastAsia="Arial" w:hAnsi="Arial"/>
          <w:sz w:val="18"/>
          <w:szCs w:val="18"/>
          <w:b w:val="1"/>
          <w:bCs w:val="1"/>
          <w:color w:val="auto"/>
        </w:rPr>
      </w:pPr>
    </w:p>
    <w:p>
      <w:pPr>
        <w:ind w:left="360" w:right="22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The Company manages, analyzes and reports on its business and results of operations on the basis of one operating segment. The chief operating decision maker makes resource allocation decisions and assesses performance based on consolidated financial information presented on the delivery of an integrated solution to our customers.</w:t>
      </w:r>
    </w:p>
    <w:p>
      <w:pPr>
        <w:spacing w:after="0" w:line="53" w:lineRule="exact"/>
        <w:rPr>
          <w:rFonts w:ascii="Arial" w:cs="Arial" w:eastAsia="Arial" w:hAnsi="Arial"/>
          <w:sz w:val="18"/>
          <w:szCs w:val="18"/>
          <w:b w:val="1"/>
          <w:bCs w:val="1"/>
          <w:color w:val="auto"/>
        </w:rPr>
      </w:pPr>
    </w:p>
    <w:p>
      <w:pPr>
        <w:ind w:left="360" w:hanging="355"/>
        <w:spacing w:after="0"/>
        <w:tabs>
          <w:tab w:leader="none" w:pos="3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principle accounting policies adopted are set out below.</w:t>
      </w:r>
    </w:p>
    <w:p>
      <w:pPr>
        <w:spacing w:after="0" w:line="110" w:lineRule="exact"/>
        <w:rPr>
          <w:rFonts w:ascii="Arial" w:cs="Arial" w:eastAsia="Arial" w:hAnsi="Arial"/>
          <w:sz w:val="18"/>
          <w:szCs w:val="18"/>
          <w:b w:val="1"/>
          <w:bCs w:val="1"/>
          <w:color w:val="auto"/>
        </w:rPr>
      </w:pPr>
    </w:p>
    <w:p>
      <w:pPr>
        <w:ind w:left="700" w:hanging="346"/>
        <w:spacing w:after="0"/>
        <w:tabs>
          <w:tab w:leader="none" w:pos="700"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18" w:lineRule="exact"/>
        <w:rPr>
          <w:rFonts w:ascii="Arial" w:cs="Arial" w:eastAsia="Arial" w:hAnsi="Arial"/>
          <w:sz w:val="18"/>
          <w:szCs w:val="18"/>
          <w:color w:val="auto"/>
        </w:rPr>
      </w:pPr>
    </w:p>
    <w:p>
      <w:pPr>
        <w:ind w:left="720" w:right="40"/>
        <w:spacing w:after="0" w:line="289" w:lineRule="auto"/>
        <w:rPr>
          <w:rFonts w:ascii="Arial" w:cs="Arial" w:eastAsia="Arial" w:hAnsi="Arial"/>
          <w:sz w:val="18"/>
          <w:szCs w:val="18"/>
          <w:color w:val="auto"/>
        </w:rPr>
      </w:pPr>
      <w:r>
        <w:rPr>
          <w:rFonts w:ascii="Arial" w:cs="Arial" w:eastAsia="Arial" w:hAnsi="Arial"/>
          <w:sz w:val="16"/>
          <w:szCs w:val="16"/>
          <w:color w:val="auto"/>
        </w:rPr>
        <w:t>The condensed consolidated financial statements were prepared in accordance with US generally accepted accounting principles (“GAAP”). The accompanying unaudited interim condensed consolidated financial statements contained herein reflect all normal and recurring adjustments which are, in the opinion of management, necessary to provide a fair statement of the financial position, results of operations, and cash flows of the Company for the interim periods presented. The condensed consolidated financial statements include the accounts of the Company and its wholly-owned and majority-owned consolidated subsidiaries. The ownership interest of other investors in consolidated subsidiaries is recorded as non-controlling interest. All intercompany transactions and balances have been eliminated on consolidation.</w:t>
      </w:r>
    </w:p>
    <w:p>
      <w:pPr>
        <w:spacing w:after="0" w:line="54" w:lineRule="exact"/>
        <w:rPr>
          <w:rFonts w:ascii="Arial" w:cs="Arial" w:eastAsia="Arial" w:hAnsi="Arial"/>
          <w:sz w:val="18"/>
          <w:szCs w:val="18"/>
          <w:color w:val="auto"/>
        </w:rPr>
      </w:pPr>
    </w:p>
    <w:p>
      <w:pPr>
        <w:ind w:left="700" w:hanging="346"/>
        <w:spacing w:after="0"/>
        <w:tabs>
          <w:tab w:leader="none" w:pos="700"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18" w:lineRule="exact"/>
        <w:rPr>
          <w:rFonts w:ascii="Arial" w:cs="Arial" w:eastAsia="Arial" w:hAnsi="Arial"/>
          <w:sz w:val="18"/>
          <w:szCs w:val="18"/>
          <w:color w:val="auto"/>
        </w:rPr>
      </w:pPr>
    </w:p>
    <w:p>
      <w:pPr>
        <w:ind w:left="720" w:right="40"/>
        <w:spacing w:after="0" w:line="254" w:lineRule="auto"/>
        <w:rPr>
          <w:rFonts w:ascii="Arial" w:cs="Arial" w:eastAsia="Arial" w:hAnsi="Arial"/>
          <w:sz w:val="18"/>
          <w:szCs w:val="18"/>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Management evaluates its estimates and related assumptions regularly. Changes in facts and circumstances or additional information may result in revised estimates, and actual results may differ from these estimates.</w:t>
      </w:r>
    </w:p>
    <w:p>
      <w:pPr>
        <w:spacing w:after="0" w:line="76" w:lineRule="exact"/>
        <w:rPr>
          <w:rFonts w:ascii="Arial" w:cs="Arial" w:eastAsia="Arial" w:hAnsi="Arial"/>
          <w:sz w:val="18"/>
          <w:szCs w:val="18"/>
          <w:color w:val="auto"/>
        </w:rPr>
      </w:pPr>
    </w:p>
    <w:p>
      <w:pPr>
        <w:ind w:left="700" w:hanging="346"/>
        <w:spacing w:after="0"/>
        <w:tabs>
          <w:tab w:leader="none" w:pos="700"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Foreign currencies</w:t>
      </w:r>
    </w:p>
    <w:p>
      <w:pPr>
        <w:spacing w:after="0" w:line="118" w:lineRule="exact"/>
        <w:rPr>
          <w:rFonts w:ascii="Arial" w:cs="Arial" w:eastAsia="Arial" w:hAnsi="Arial"/>
          <w:sz w:val="18"/>
          <w:szCs w:val="18"/>
          <w:color w:val="auto"/>
        </w:rPr>
      </w:pPr>
    </w:p>
    <w:p>
      <w:pPr>
        <w:ind w:left="720"/>
        <w:spacing w:after="0" w:line="255" w:lineRule="auto"/>
        <w:rPr>
          <w:rFonts w:ascii="Arial" w:cs="Arial" w:eastAsia="Arial" w:hAnsi="Arial"/>
          <w:sz w:val="18"/>
          <w:szCs w:val="18"/>
          <w:color w:val="auto"/>
        </w:rPr>
      </w:pPr>
      <w:r>
        <w:rPr>
          <w:rFonts w:ascii="Arial" w:cs="Arial" w:eastAsia="Arial" w:hAnsi="Arial"/>
          <w:sz w:val="18"/>
          <w:szCs w:val="18"/>
          <w:color w:val="auto"/>
        </w:rPr>
        <w:t>The Company’s functional and reporting currency is the U.S. dollar. Purchases and sales of assets and income and expense items denominated in foreign currencies are translated into U.S. dollar amounts on the respective dates of such transactions. Net realized foreign currency gains or losses relating to the differences between these recorded amounts and the U.S. dollar equivalent actually received or paid are included within Other (income), net in the condensed consolidated statements of operations and comprehensive loss.</w:t>
      </w:r>
    </w:p>
    <w:p>
      <w:pPr>
        <w:spacing w:after="0" w:line="76" w:lineRule="exact"/>
        <w:rPr>
          <w:rFonts w:ascii="Arial" w:cs="Arial" w:eastAsia="Arial" w:hAnsi="Arial"/>
          <w:sz w:val="18"/>
          <w:szCs w:val="18"/>
          <w:color w:val="auto"/>
        </w:rPr>
      </w:pPr>
    </w:p>
    <w:p>
      <w:pPr>
        <w:ind w:left="700" w:hanging="346"/>
        <w:spacing w:after="0"/>
        <w:tabs>
          <w:tab w:leader="none" w:pos="700"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18" w:lineRule="exact"/>
        <w:rPr>
          <w:rFonts w:ascii="Arial" w:cs="Arial" w:eastAsia="Arial" w:hAnsi="Arial"/>
          <w:sz w:val="18"/>
          <w:szCs w:val="18"/>
          <w:color w:val="auto"/>
        </w:rPr>
      </w:pPr>
    </w:p>
    <w:p>
      <w:pPr>
        <w:ind w:left="720" w:right="460"/>
        <w:spacing w:after="0" w:line="274" w:lineRule="auto"/>
        <w:rPr>
          <w:rFonts w:ascii="Arial" w:cs="Arial" w:eastAsia="Arial" w:hAnsi="Arial"/>
          <w:sz w:val="18"/>
          <w:szCs w:val="18"/>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700" w:hanging="34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18" w:lineRule="exact"/>
        <w:rPr>
          <w:rFonts w:ascii="Arial" w:cs="Arial" w:eastAsia="Arial" w:hAnsi="Arial"/>
          <w:sz w:val="18"/>
          <w:szCs w:val="18"/>
          <w:color w:val="auto"/>
        </w:rPr>
      </w:pPr>
    </w:p>
    <w:p>
      <w:pPr>
        <w:ind w:left="720" w:right="480"/>
        <w:spacing w:after="0" w:line="305" w:lineRule="auto"/>
        <w:rPr>
          <w:rFonts w:ascii="Arial" w:cs="Arial" w:eastAsia="Arial" w:hAnsi="Arial"/>
          <w:sz w:val="18"/>
          <w:szCs w:val="18"/>
          <w:color w:val="auto"/>
        </w:rPr>
      </w:pPr>
      <w:r>
        <w:rPr>
          <w:rFonts w:ascii="Arial" w:cs="Arial" w:eastAsia="Arial" w:hAnsi="Arial"/>
          <w:sz w:val="17"/>
          <w:szCs w:val="17"/>
          <w:color w:val="auto"/>
        </w:rPr>
        <w:t>Restricted cash consists of funds that are contractually restricted as to usage or withdrawal and have been presented separately from cash and cash equivalents on the condensed consolidated balance sheets.</w:t>
      </w:r>
    </w:p>
    <w:p>
      <w:pPr>
        <w:spacing w:after="0" w:line="35" w:lineRule="exact"/>
        <w:rPr>
          <w:rFonts w:ascii="Arial" w:cs="Arial" w:eastAsia="Arial" w:hAnsi="Arial"/>
          <w:sz w:val="18"/>
          <w:szCs w:val="18"/>
          <w:color w:val="auto"/>
        </w:rPr>
      </w:pPr>
    </w:p>
    <w:p>
      <w:pPr>
        <w:ind w:left="700" w:hanging="34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Receivables</w:t>
      </w:r>
    </w:p>
    <w:p>
      <w:pPr>
        <w:spacing w:after="0" w:line="118" w:lineRule="exact"/>
        <w:rPr>
          <w:rFonts w:ascii="Arial" w:cs="Arial" w:eastAsia="Arial" w:hAnsi="Arial"/>
          <w:sz w:val="18"/>
          <w:szCs w:val="18"/>
          <w:color w:val="auto"/>
        </w:rPr>
      </w:pPr>
    </w:p>
    <w:p>
      <w:pPr>
        <w:ind w:left="720"/>
        <w:spacing w:after="0" w:line="254" w:lineRule="auto"/>
        <w:rPr>
          <w:rFonts w:ascii="Arial" w:cs="Arial" w:eastAsia="Arial" w:hAnsi="Arial"/>
          <w:sz w:val="18"/>
          <w:szCs w:val="18"/>
          <w:color w:val="auto"/>
        </w:rPr>
      </w:pPr>
      <w:r>
        <w:rPr>
          <w:rFonts w:ascii="Arial" w:cs="Arial" w:eastAsia="Arial" w:hAnsi="Arial"/>
          <w:sz w:val="18"/>
          <w:szCs w:val="18"/>
          <w:color w:val="auto"/>
        </w:rPr>
        <w:t>Receivables are reported net of allowances for doubtful accounts. Impaired receivables are specifically identified and evaluated for expected losses. The expected loss on impaired receivables is primarily determined based on the debtor’s ability to pay and the estimated value of any collateral, and such losses are recorded as Selling, general and administrative within the condensed consolidated statements of operations and comprehensive loss. For the nine months ended September 30, 2018 and 2017, no bad debt expense was recognized with respect to receivables, and there is no recorded allowance for doubtful accounts.</w:t>
      </w:r>
    </w:p>
    <w:p>
      <w:pPr>
        <w:spacing w:after="0" w:line="76" w:lineRule="exact"/>
        <w:rPr>
          <w:rFonts w:ascii="Arial" w:cs="Arial" w:eastAsia="Arial" w:hAnsi="Arial"/>
          <w:sz w:val="18"/>
          <w:szCs w:val="18"/>
          <w:color w:val="auto"/>
        </w:rPr>
      </w:pPr>
    </w:p>
    <w:p>
      <w:pPr>
        <w:ind w:left="700" w:hanging="34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18" w:lineRule="exact"/>
        <w:rPr>
          <w:rFonts w:ascii="Arial" w:cs="Arial" w:eastAsia="Arial" w:hAnsi="Arial"/>
          <w:sz w:val="18"/>
          <w:szCs w:val="18"/>
          <w:color w:val="auto"/>
        </w:rPr>
      </w:pPr>
    </w:p>
    <w:p>
      <w:pPr>
        <w:ind w:left="720"/>
        <w:spacing w:after="0" w:line="284" w:lineRule="auto"/>
        <w:rPr>
          <w:rFonts w:ascii="Arial" w:cs="Arial" w:eastAsia="Arial" w:hAnsi="Arial"/>
          <w:sz w:val="18"/>
          <w:szCs w:val="18"/>
          <w:color w:val="auto"/>
        </w:rPr>
      </w:pPr>
      <w:r>
        <w:rPr>
          <w:rFonts w:ascii="Arial" w:cs="Arial" w:eastAsia="Arial" w:hAnsi="Arial"/>
          <w:sz w:val="17"/>
          <w:szCs w:val="17"/>
          <w:color w:val="auto"/>
        </w:rPr>
        <w:t>LNG and natural gas inventories are recorded at weighted average cost, and materials and other inventory are recorded at cost. The Company’s cost to convert from natural gas to LNG, which primarily consists of depreciation of the liquefaction facilities, is reflected in Inventory on the condensed consolidated balance sheets.</w:t>
      </w:r>
    </w:p>
    <w:p>
      <w:pPr>
        <w:spacing w:after="0" w:line="57" w:lineRule="exact"/>
        <w:rPr>
          <w:rFonts w:ascii="Arial" w:cs="Arial" w:eastAsia="Arial" w:hAnsi="Arial"/>
          <w:sz w:val="18"/>
          <w:szCs w:val="18"/>
          <w:color w:val="auto"/>
        </w:rPr>
      </w:pPr>
    </w:p>
    <w:p>
      <w:pPr>
        <w:ind w:left="720" w:right="540"/>
        <w:spacing w:after="0" w:line="309" w:lineRule="auto"/>
        <w:rPr>
          <w:rFonts w:ascii="Arial" w:cs="Arial" w:eastAsia="Arial" w:hAnsi="Arial"/>
          <w:sz w:val="18"/>
          <w:szCs w:val="18"/>
          <w:color w:val="auto"/>
        </w:rPr>
      </w:pPr>
      <w:r>
        <w:rPr>
          <w:rFonts w:ascii="Arial" w:cs="Arial" w:eastAsia="Arial" w:hAnsi="Arial"/>
          <w:sz w:val="16"/>
          <w:szCs w:val="16"/>
          <w:color w:val="auto"/>
        </w:rPr>
        <w:t>Inventory is adjusted to the lower of cost or net realizable value each month. Changes in the value of inventory are recorded within Cost of sales in the condensed consolidated statements of operations and comprehensive loss. No adjustments were recorded during the nine-month periods ended September 30, 2018 and 2017.</w:t>
      </w:r>
    </w:p>
    <w:p>
      <w:pPr>
        <w:spacing w:after="0" w:line="40" w:lineRule="exact"/>
        <w:rPr>
          <w:rFonts w:ascii="Arial" w:cs="Arial" w:eastAsia="Arial" w:hAnsi="Arial"/>
          <w:sz w:val="18"/>
          <w:szCs w:val="18"/>
          <w:color w:val="auto"/>
        </w:rPr>
      </w:pPr>
    </w:p>
    <w:p>
      <w:pPr>
        <w:ind w:left="720" w:right="220"/>
        <w:spacing w:after="0" w:line="257" w:lineRule="auto"/>
        <w:rPr>
          <w:rFonts w:ascii="Arial" w:cs="Arial" w:eastAsia="Arial" w:hAnsi="Arial"/>
          <w:sz w:val="18"/>
          <w:szCs w:val="18"/>
          <w:color w:val="auto"/>
        </w:rPr>
      </w:pPr>
      <w:r>
        <w:rPr>
          <w:rFonts w:ascii="Arial" w:cs="Arial" w:eastAsia="Arial" w:hAnsi="Arial"/>
          <w:sz w:val="18"/>
          <w:szCs w:val="18"/>
          <w:color w:val="auto"/>
        </w:rPr>
        <w:t>LNG is subject to “boil-off”, a natural loss of gas volume over time when LNG is exposed to environments with temperatures above its optimum storage state. Boil-off losses are expensed through Cost of sales in the condensed consolidated statements of operations and comprehensive loss in instances where gas cannot be contained and recycled back into the production process in the period in which the loss occurs.</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Construction in progress</w:t>
      </w:r>
    </w:p>
    <w:p>
      <w:pPr>
        <w:spacing w:after="0" w:line="118" w:lineRule="exact"/>
        <w:rPr>
          <w:rFonts w:ascii="Arial" w:cs="Arial" w:eastAsia="Arial" w:hAnsi="Arial"/>
          <w:sz w:val="18"/>
          <w:szCs w:val="18"/>
          <w:color w:val="auto"/>
        </w:rPr>
      </w:pPr>
    </w:p>
    <w:p>
      <w:pPr>
        <w:jc w:val="both"/>
        <w:ind w:left="720" w:right="80"/>
        <w:spacing w:after="0" w:line="309" w:lineRule="auto"/>
        <w:rPr>
          <w:rFonts w:ascii="Arial" w:cs="Arial" w:eastAsia="Arial" w:hAnsi="Arial"/>
          <w:sz w:val="18"/>
          <w:szCs w:val="18"/>
          <w:color w:val="auto"/>
        </w:rPr>
      </w:pPr>
      <w:r>
        <w:rPr>
          <w:rFonts w:ascii="Arial" w:cs="Arial" w:eastAsia="Arial" w:hAnsi="Arial"/>
          <w:sz w:val="16"/>
          <w:szCs w:val="16"/>
          <w:color w:val="auto"/>
        </w:rPr>
        <w:t>Construction in progress is recorded at cost, and at the point at which the constructed asset in progress is put into use, the full cost of the asset is reclassified from Construction in progress to Property, plant and equipment, net or Finance leases, net on the condensed consolidated balance sheets. Depreciation is not recognized during the construction period.</w:t>
      </w:r>
    </w:p>
    <w:p>
      <w:pPr>
        <w:spacing w:after="0" w:line="40" w:lineRule="exact"/>
        <w:rPr>
          <w:rFonts w:ascii="Arial" w:cs="Arial" w:eastAsia="Arial" w:hAnsi="Arial"/>
          <w:sz w:val="18"/>
          <w:szCs w:val="18"/>
          <w:color w:val="auto"/>
        </w:rPr>
      </w:pPr>
    </w:p>
    <w:p>
      <w:pPr>
        <w:ind w:left="720" w:right="140"/>
        <w:spacing w:after="0" w:line="257" w:lineRule="auto"/>
        <w:rPr>
          <w:rFonts w:ascii="Arial" w:cs="Arial" w:eastAsia="Arial" w:hAnsi="Arial"/>
          <w:sz w:val="18"/>
          <w:szCs w:val="18"/>
          <w:color w:val="auto"/>
        </w:rPr>
      </w:pPr>
      <w:r>
        <w:rPr>
          <w:rFonts w:ascii="Arial" w:cs="Arial" w:eastAsia="Arial" w:hAnsi="Arial"/>
          <w:sz w:val="18"/>
          <w:szCs w:val="18"/>
          <w:color w:val="auto"/>
        </w:rPr>
        <w:t>The interest cost associated with major development and construction projects is capitalized during the construction period and included in the cost of the project in Construction in progress. Interest expense of $59 and $0 was capitalized during the nine months ended September 30, 2018 and 2017, respectively, inclusive of amortized debt issuance costs disclosed in Note 2(m).</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Property, plant and equipment, net</w:t>
      </w:r>
    </w:p>
    <w:p>
      <w:pPr>
        <w:spacing w:after="0" w:line="118" w:lineRule="exact"/>
        <w:rPr>
          <w:rFonts w:ascii="Arial" w:cs="Arial" w:eastAsia="Arial" w:hAnsi="Arial"/>
          <w:sz w:val="18"/>
          <w:szCs w:val="18"/>
          <w:color w:val="auto"/>
        </w:rPr>
      </w:pPr>
    </w:p>
    <w:p>
      <w:pPr>
        <w:ind w:left="720" w:right="60"/>
        <w:spacing w:after="0" w:line="255" w:lineRule="auto"/>
        <w:rPr>
          <w:rFonts w:ascii="Arial" w:cs="Arial" w:eastAsia="Arial" w:hAnsi="Arial"/>
          <w:sz w:val="18"/>
          <w:szCs w:val="18"/>
          <w:color w:val="auto"/>
        </w:rPr>
      </w:pPr>
      <w:r>
        <w:rPr>
          <w:rFonts w:ascii="Arial" w:cs="Arial" w:eastAsia="Arial" w:hAnsi="Arial"/>
          <w:sz w:val="18"/>
          <w:szCs w:val="18"/>
          <w:color w:val="auto"/>
        </w:rPr>
        <w:t>Property, plant and equipment is recorded at cost. Expenditures for construction activities and betterments that extend the useful life of the asset are capitalized, while expenditures for maintenance and repairs are charged to expense as incurred within Operations and maintenance in the condensed consolidated statements of operations and comprehensive loss. The Company depreciates property, plant and equipment using the straight-line depreciation method over the estimated economic useful life of the asset.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Useful life (Yrs)</w:t>
            </w:r>
          </w:p>
        </w:tc>
      </w:tr>
      <w:tr>
        <w:trPr>
          <w:trHeight w:val="241"/>
        </w:trPr>
        <w:tc>
          <w:tcPr>
            <w:tcW w:w="2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1380" w:type="dxa"/>
            <w:vAlign w:val="bottom"/>
            <w:tcBorders>
              <w:top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86"/>
              </w:rPr>
              <w:t>20-30</w:t>
            </w:r>
          </w:p>
        </w:tc>
        <w:tc>
          <w:tcPr>
            <w:tcW w:w="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ISO containers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Computer equipment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left="720" w:right="160"/>
        <w:spacing w:after="0" w:line="274" w:lineRule="auto"/>
        <w:rPr>
          <w:sz w:val="20"/>
          <w:szCs w:val="20"/>
          <w:color w:val="auto"/>
        </w:rPr>
      </w:pPr>
      <w:r>
        <w:rPr>
          <w:rFonts w:ascii="Arial" w:cs="Arial" w:eastAsia="Arial" w:hAnsi="Arial"/>
          <w:sz w:val="18"/>
          <w:szCs w:val="18"/>
          <w:color w:val="auto"/>
        </w:rPr>
        <w:t>The Company reviews the remaining useful life of its assets on a regular basis to determine whether changes have taken place that would suggest that a change in its depreciation policies is warranted.</w:t>
      </w:r>
    </w:p>
    <w:p>
      <w:pPr>
        <w:spacing w:after="0" w:line="64" w:lineRule="exact"/>
        <w:rPr>
          <w:sz w:val="20"/>
          <w:szCs w:val="20"/>
          <w:color w:val="auto"/>
        </w:rPr>
      </w:pPr>
    </w:p>
    <w:p>
      <w:pPr>
        <w:ind w:left="720" w:right="80"/>
        <w:spacing w:after="0" w:line="261" w:lineRule="auto"/>
        <w:rPr>
          <w:sz w:val="20"/>
          <w:szCs w:val="20"/>
          <w:color w:val="auto"/>
        </w:rPr>
      </w:pPr>
      <w:r>
        <w:rPr>
          <w:rFonts w:ascii="Arial" w:cs="Arial" w:eastAsia="Arial" w:hAnsi="Arial"/>
          <w:sz w:val="18"/>
          <w:szCs w:val="18"/>
          <w:color w:val="auto"/>
        </w:rPr>
        <w:t>Upon retirement or disposal of property, plant and equipment, the cost and related accumulated depreciation are removed from the account, and the resulting gains or losses, if any, are recorded in the condensed consolidated statements of operations and comprehensive loss.</w:t>
      </w:r>
    </w:p>
    <w:p>
      <w:pPr>
        <w:spacing w:after="0" w:line="72" w:lineRule="exact"/>
        <w:rPr>
          <w:sz w:val="20"/>
          <w:szCs w:val="20"/>
          <w:color w:val="auto"/>
        </w:rPr>
      </w:pPr>
    </w:p>
    <w:p>
      <w:pPr>
        <w:ind w:left="700" w:hanging="34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Asset retirement obligations (“AROs”)</w:t>
      </w:r>
    </w:p>
    <w:p>
      <w:pPr>
        <w:spacing w:after="0" w:line="118" w:lineRule="exact"/>
        <w:rPr>
          <w:rFonts w:ascii="Arial" w:cs="Arial" w:eastAsia="Arial" w:hAnsi="Arial"/>
          <w:sz w:val="18"/>
          <w:szCs w:val="18"/>
          <w:color w:val="auto"/>
        </w:rPr>
      </w:pPr>
    </w:p>
    <w:p>
      <w:pPr>
        <w:ind w:left="720" w:right="80"/>
        <w:spacing w:after="0" w:line="271" w:lineRule="auto"/>
        <w:rPr>
          <w:rFonts w:ascii="Arial" w:cs="Arial" w:eastAsia="Arial" w:hAnsi="Arial"/>
          <w:sz w:val="18"/>
          <w:szCs w:val="18"/>
          <w:color w:val="auto"/>
        </w:rPr>
      </w:pPr>
      <w:r>
        <w:rPr>
          <w:rFonts w:ascii="Arial" w:cs="Arial" w:eastAsia="Arial" w:hAnsi="Arial"/>
          <w:sz w:val="17"/>
          <w:szCs w:val="17"/>
          <w:color w:val="auto"/>
        </w:rPr>
        <w:t>AROs are recognized for legal obligations associated with the retirement of long-lived assets that result from the acquisition, leasing, construction, development and/or normal use of the assets and for conditional AROs in which the timing or method of settlement are conditional on a future event. The fair value of a liability for an ARO is recognized in the period in which it is incurred if a reasonable estimate of fair value can be made and is accreted to its final value over the life of the liability. The initial fair value of the liability is added to the carrying amount of the associated asset. This additional carrying amount is depreciated over the estimated useful life of the asset.</w:t>
      </w:r>
    </w:p>
    <w:p>
      <w:pPr>
        <w:spacing w:after="0" w:line="70" w:lineRule="exact"/>
        <w:rPr>
          <w:rFonts w:ascii="Arial" w:cs="Arial" w:eastAsia="Arial" w:hAnsi="Arial"/>
          <w:sz w:val="18"/>
          <w:szCs w:val="18"/>
          <w:color w:val="auto"/>
        </w:rPr>
      </w:pPr>
    </w:p>
    <w:p>
      <w:pPr>
        <w:ind w:left="720" w:right="80"/>
        <w:spacing w:after="0" w:line="257" w:lineRule="auto"/>
        <w:rPr>
          <w:rFonts w:ascii="Arial" w:cs="Arial" w:eastAsia="Arial" w:hAnsi="Arial"/>
          <w:sz w:val="18"/>
          <w:szCs w:val="18"/>
          <w:color w:val="auto"/>
        </w:rPr>
      </w:pPr>
      <w:r>
        <w:rPr>
          <w:rFonts w:ascii="Arial" w:cs="Arial" w:eastAsia="Arial" w:hAnsi="Arial"/>
          <w:sz w:val="18"/>
          <w:szCs w:val="18"/>
          <w:color w:val="auto"/>
        </w:rPr>
        <w:t>The Company estimates the fair value of the ARO liability based on the present value of expected cash flows using a credit-adjusted risk-free rate. Liabilities for AROs may be incurred over more than one reporting period if the events that create the obligation occur over more than one period or if estimates change. There were no settlements of AROs during the nine-month periods ended September 30, 2018 and 2017.</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w:t>
      </w:r>
    </w:p>
    <w:p>
      <w:pPr>
        <w:spacing w:after="0" w:line="118" w:lineRule="exact"/>
        <w:rPr>
          <w:rFonts w:ascii="Arial" w:cs="Arial" w:eastAsia="Arial" w:hAnsi="Arial"/>
          <w:sz w:val="18"/>
          <w:szCs w:val="18"/>
          <w:color w:val="auto"/>
        </w:rPr>
      </w:pPr>
    </w:p>
    <w:p>
      <w:pPr>
        <w:ind w:left="720"/>
        <w:spacing w:after="0" w:line="255" w:lineRule="auto"/>
        <w:rPr>
          <w:rFonts w:ascii="Arial" w:cs="Arial" w:eastAsia="Arial" w:hAnsi="Arial"/>
          <w:sz w:val="18"/>
          <w:szCs w:val="18"/>
          <w:color w:val="auto"/>
        </w:rPr>
      </w:pPr>
      <w:r>
        <w:rPr>
          <w:rFonts w:ascii="Arial" w:cs="Arial" w:eastAsia="Arial" w:hAnsi="Arial"/>
          <w:sz w:val="18"/>
          <w:szCs w:val="18"/>
          <w:color w:val="auto"/>
        </w:rPr>
        <w:t>The Company performs a recoverability assessment of each of its long-lived assets whenever events or changes in circumstances, or indicators, indicate that the carrying amount of an asset may not be recoverable. Indicators may include, but are not limited to, a significant supply contract restructuring or early termination; significant decrease in LNG and natural gas demand; a decision to discontinue the development of a long-lived asset; or the introduction of newer technology.</w:t>
      </w:r>
    </w:p>
    <w:p>
      <w:pPr>
        <w:spacing w:after="0" w:line="80" w:lineRule="exact"/>
        <w:rPr>
          <w:rFonts w:ascii="Arial" w:cs="Arial" w:eastAsia="Arial" w:hAnsi="Arial"/>
          <w:sz w:val="18"/>
          <w:szCs w:val="18"/>
          <w:color w:val="auto"/>
        </w:rPr>
      </w:pPr>
    </w:p>
    <w:p>
      <w:pPr>
        <w:ind w:left="720"/>
        <w:spacing w:after="0" w:line="309" w:lineRule="auto"/>
        <w:rPr>
          <w:rFonts w:ascii="Arial" w:cs="Arial" w:eastAsia="Arial" w:hAnsi="Arial"/>
          <w:sz w:val="18"/>
          <w:szCs w:val="18"/>
          <w:color w:val="auto"/>
        </w:rPr>
      </w:pPr>
      <w:r>
        <w:rPr>
          <w:rFonts w:ascii="Arial" w:cs="Arial" w:eastAsia="Arial" w:hAnsi="Arial"/>
          <w:sz w:val="16"/>
          <w:szCs w:val="16"/>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40" w:lineRule="exact"/>
        <w:rPr>
          <w:rFonts w:ascii="Arial" w:cs="Arial" w:eastAsia="Arial" w:hAnsi="Arial"/>
          <w:sz w:val="18"/>
          <w:szCs w:val="18"/>
          <w:color w:val="auto"/>
        </w:rPr>
      </w:pPr>
    </w:p>
    <w:p>
      <w:pPr>
        <w:ind w:left="720" w:right="40"/>
        <w:spacing w:after="0" w:line="309" w:lineRule="auto"/>
        <w:rPr>
          <w:rFonts w:ascii="Arial" w:cs="Arial" w:eastAsia="Arial" w:hAnsi="Arial"/>
          <w:sz w:val="18"/>
          <w:szCs w:val="18"/>
          <w:color w:val="auto"/>
        </w:rPr>
      </w:pPr>
      <w:r>
        <w:rPr>
          <w:rFonts w:ascii="Arial" w:cs="Arial" w:eastAsia="Arial" w:hAnsi="Arial"/>
          <w:sz w:val="16"/>
          <w:szCs w:val="16"/>
          <w:color w:val="auto"/>
        </w:rPr>
        <w:t>Management develops the assumptions used in the recoverability assessment based on active contracts, current and future expectations of the demand for LNG and natural gas as well as information received from third party industry sources. The Company did not record an impairment during the nine months ended September 30, 2018 and 2017.</w:t>
      </w:r>
    </w:p>
    <w:p>
      <w:pPr>
        <w:spacing w:after="0" w:line="36" w:lineRule="exact"/>
        <w:rPr>
          <w:rFonts w:ascii="Arial" w:cs="Arial" w:eastAsia="Arial" w:hAnsi="Arial"/>
          <w:sz w:val="18"/>
          <w:szCs w:val="18"/>
          <w:color w:val="auto"/>
        </w:rPr>
      </w:pPr>
    </w:p>
    <w:p>
      <w:pPr>
        <w:ind w:left="700" w:hanging="34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Available-for-sale investment</w:t>
      </w:r>
    </w:p>
    <w:p>
      <w:pPr>
        <w:spacing w:after="0" w:line="118" w:lineRule="exact"/>
        <w:rPr>
          <w:rFonts w:ascii="Arial" w:cs="Arial" w:eastAsia="Arial" w:hAnsi="Arial"/>
          <w:sz w:val="18"/>
          <w:szCs w:val="18"/>
          <w:color w:val="auto"/>
        </w:rPr>
      </w:pPr>
    </w:p>
    <w:p>
      <w:pPr>
        <w:ind w:left="720" w:right="20"/>
        <w:spacing w:after="0" w:line="291" w:lineRule="auto"/>
        <w:rPr>
          <w:rFonts w:ascii="Arial" w:cs="Arial" w:eastAsia="Arial" w:hAnsi="Arial"/>
          <w:sz w:val="18"/>
          <w:szCs w:val="18"/>
          <w:color w:val="auto"/>
        </w:rPr>
      </w:pPr>
      <w:r>
        <w:rPr>
          <w:rFonts w:ascii="Arial" w:cs="Arial" w:eastAsia="Arial" w:hAnsi="Arial"/>
          <w:sz w:val="16"/>
          <w:szCs w:val="16"/>
          <w:color w:val="auto"/>
        </w:rPr>
        <w:t>The Company considers listed equity securities as available-for-sale securities recorded at fair value with unrealized gains or losses recorded in Other comprehensive (loss) and realized gains or losses recorded in earnings in Other (income), net in the condensed consolidated statements of operations and comprehensive loss. The Company’s basis on which the cost of the security sold or the amount reclassified out of other comprehensive income into earnings is determined using specific identification. At each balance sheet date, the Company evaluates its available-for-sale securities with unrealized losses, if any, to determine if an other-than-temporary impairment has occurred (see Note 8).</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700" w:hanging="34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Long-term debt and debt issuance costs</w:t>
      </w:r>
    </w:p>
    <w:p>
      <w:pPr>
        <w:spacing w:after="0" w:line="118" w:lineRule="exact"/>
        <w:rPr>
          <w:rFonts w:ascii="Arial" w:cs="Arial" w:eastAsia="Arial" w:hAnsi="Arial"/>
          <w:sz w:val="18"/>
          <w:szCs w:val="18"/>
          <w:color w:val="auto"/>
        </w:rPr>
      </w:pPr>
    </w:p>
    <w:p>
      <w:pPr>
        <w:ind w:left="720"/>
        <w:spacing w:after="0" w:line="254" w:lineRule="auto"/>
        <w:rPr>
          <w:rFonts w:ascii="Arial" w:cs="Arial" w:eastAsia="Arial" w:hAnsi="Arial"/>
          <w:sz w:val="18"/>
          <w:szCs w:val="18"/>
          <w:color w:val="auto"/>
        </w:rPr>
      </w:pPr>
      <w:r>
        <w:rPr>
          <w:rFonts w:ascii="Arial" w:cs="Arial" w:eastAsia="Arial" w:hAnsi="Arial"/>
          <w:sz w:val="18"/>
          <w:szCs w:val="18"/>
          <w:color w:val="auto"/>
        </w:rPr>
        <w:t>The Company’s debt consists of credit facilities with banks. Costs directly related to the issuance of debt are reported on the condensed consolidated balance sheets as a reduction from the carrying amount of the recognized debt liability and amortized over the term of the debt. Interest and related amortization of debt issuance costs recognized during major development and construction projects are capitalized and included in the cost of the project. Amortization of debt issuance costs were $1,469 and $522 for nine months ended September 30, 2018 and 2017, respectively, of which $30 and $0 were capitalized.</w:t>
      </w:r>
    </w:p>
    <w:p>
      <w:pPr>
        <w:spacing w:after="0" w:line="76" w:lineRule="exact"/>
        <w:rPr>
          <w:rFonts w:ascii="Arial" w:cs="Arial" w:eastAsia="Arial" w:hAnsi="Arial"/>
          <w:sz w:val="18"/>
          <w:szCs w:val="18"/>
          <w:color w:val="auto"/>
        </w:rPr>
      </w:pPr>
    </w:p>
    <w:p>
      <w:pPr>
        <w:ind w:left="700" w:hanging="34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Legal and contingencies</w:t>
      </w:r>
    </w:p>
    <w:p>
      <w:pPr>
        <w:spacing w:after="0" w:line="118" w:lineRule="exact"/>
        <w:rPr>
          <w:rFonts w:ascii="Arial" w:cs="Arial" w:eastAsia="Arial" w:hAnsi="Arial"/>
          <w:sz w:val="18"/>
          <w:szCs w:val="18"/>
          <w:color w:val="auto"/>
        </w:rPr>
      </w:pPr>
    </w:p>
    <w:p>
      <w:pPr>
        <w:ind w:left="720" w:right="160"/>
        <w:spacing w:after="0" w:line="291" w:lineRule="auto"/>
        <w:rPr>
          <w:rFonts w:ascii="Arial" w:cs="Arial" w:eastAsia="Arial" w:hAnsi="Arial"/>
          <w:sz w:val="18"/>
          <w:szCs w:val="18"/>
          <w:color w:val="auto"/>
        </w:rPr>
      </w:pPr>
      <w:r>
        <w:rPr>
          <w:rFonts w:ascii="Arial" w:cs="Arial" w:eastAsia="Arial" w:hAnsi="Arial"/>
          <w:sz w:val="16"/>
          <w:szCs w:val="16"/>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condensed consolidated statements of operations and comprehensive loss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52" w:lineRule="exact"/>
        <w:rPr>
          <w:rFonts w:ascii="Arial" w:cs="Arial" w:eastAsia="Arial" w:hAnsi="Arial"/>
          <w:sz w:val="18"/>
          <w:szCs w:val="18"/>
          <w:color w:val="auto"/>
        </w:rPr>
      </w:pPr>
    </w:p>
    <w:p>
      <w:pPr>
        <w:ind w:left="700" w:hanging="34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18" w:lineRule="exact"/>
        <w:rPr>
          <w:rFonts w:ascii="Arial" w:cs="Arial" w:eastAsia="Arial" w:hAnsi="Arial"/>
          <w:sz w:val="18"/>
          <w:szCs w:val="18"/>
          <w:color w:val="auto"/>
        </w:rPr>
      </w:pPr>
    </w:p>
    <w:p>
      <w:pPr>
        <w:ind w:left="720" w:right="20"/>
        <w:spacing w:after="0" w:line="255" w:lineRule="auto"/>
        <w:rPr>
          <w:rFonts w:ascii="Arial" w:cs="Arial" w:eastAsia="Arial" w:hAnsi="Arial"/>
          <w:sz w:val="18"/>
          <w:szCs w:val="18"/>
          <w:color w:val="auto"/>
        </w:rPr>
      </w:pPr>
      <w:r>
        <w:rPr>
          <w:rFonts w:ascii="Arial" w:cs="Arial" w:eastAsia="Arial" w:hAnsi="Arial"/>
          <w:sz w:val="18"/>
          <w:szCs w:val="18"/>
          <w:color w:val="auto"/>
        </w:rPr>
        <w:t>Operating revenues from the sales of LNG and natural gas are recognized when the LNG or natural gas is delivered to the customer, either when the natural gas arrives at the customer’s flange or at the time that title to the LNG is transferred to the customer. Title typically transfers either when shipped or delivered to the customers’ storage facilities, depending on the terms of the contract. Shipping and handling costs related to the Company’s sales of LNG and natural gas are included in Cost of sales.</w:t>
      </w:r>
    </w:p>
    <w:p>
      <w:pPr>
        <w:spacing w:after="0" w:line="80" w:lineRule="exact"/>
        <w:rPr>
          <w:rFonts w:ascii="Arial" w:cs="Arial" w:eastAsia="Arial" w:hAnsi="Arial"/>
          <w:sz w:val="18"/>
          <w:szCs w:val="18"/>
          <w:color w:val="auto"/>
        </w:rPr>
      </w:pPr>
    </w:p>
    <w:p>
      <w:pPr>
        <w:ind w:left="720" w:right="260"/>
        <w:spacing w:after="0" w:line="284" w:lineRule="auto"/>
        <w:rPr>
          <w:rFonts w:ascii="Arial" w:cs="Arial" w:eastAsia="Arial" w:hAnsi="Arial"/>
          <w:sz w:val="18"/>
          <w:szCs w:val="18"/>
          <w:color w:val="auto"/>
        </w:rPr>
      </w:pPr>
      <w:r>
        <w:rPr>
          <w:rFonts w:ascii="Arial" w:cs="Arial" w:eastAsia="Arial" w:hAnsi="Arial"/>
          <w:sz w:val="17"/>
          <w:szCs w:val="17"/>
          <w:color w:val="auto"/>
        </w:rPr>
        <w:t>The Company collects sales taxes from its customers on sales of taxable products and remits such collections to the appropriate taxing authority. Sales tax collections are presented in the condensed consolidated statements of operations and comprehensive loss on a net basis and, accordingly, are excluded from reported revenues.</w:t>
      </w:r>
    </w:p>
    <w:p>
      <w:pPr>
        <w:spacing w:after="0" w:line="57" w:lineRule="exact"/>
        <w:rPr>
          <w:rFonts w:ascii="Arial" w:cs="Arial" w:eastAsia="Arial" w:hAnsi="Arial"/>
          <w:sz w:val="18"/>
          <w:szCs w:val="18"/>
          <w:color w:val="auto"/>
        </w:rPr>
      </w:pPr>
    </w:p>
    <w:p>
      <w:pPr>
        <w:ind w:left="720" w:right="40"/>
        <w:spacing w:after="0" w:line="271" w:lineRule="auto"/>
        <w:rPr>
          <w:rFonts w:ascii="Arial" w:cs="Arial" w:eastAsia="Arial" w:hAnsi="Arial"/>
          <w:sz w:val="18"/>
          <w:szCs w:val="18"/>
          <w:color w:val="auto"/>
        </w:rPr>
      </w:pPr>
      <w:r>
        <w:rPr>
          <w:rFonts w:ascii="Arial" w:cs="Arial" w:eastAsia="Arial" w:hAnsi="Arial"/>
          <w:sz w:val="17"/>
          <w:szCs w:val="17"/>
          <w:color w:val="auto"/>
        </w:rPr>
        <w:t>The Company leases certain facilities and equipment to its customers which are accounted for as direct financing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Other revenue in the condensed consolidated statements of operations and comprehensive loss is primarily comprised of such interest revenue. The principal components of the lease payment are reflected as a reduction to the net investment in the finance lease.</w:t>
      </w:r>
    </w:p>
    <w:p>
      <w:pPr>
        <w:spacing w:after="0" w:line="70" w:lineRule="exact"/>
        <w:rPr>
          <w:rFonts w:ascii="Arial" w:cs="Arial" w:eastAsia="Arial" w:hAnsi="Arial"/>
          <w:sz w:val="18"/>
          <w:szCs w:val="18"/>
          <w:color w:val="auto"/>
        </w:rPr>
      </w:pPr>
    </w:p>
    <w:p>
      <w:pPr>
        <w:ind w:left="720" w:right="200"/>
        <w:spacing w:after="0" w:line="261" w:lineRule="auto"/>
        <w:rPr>
          <w:rFonts w:ascii="Arial" w:cs="Arial" w:eastAsia="Arial" w:hAnsi="Arial"/>
          <w:sz w:val="18"/>
          <w:szCs w:val="18"/>
          <w:color w:val="auto"/>
        </w:rPr>
      </w:pPr>
      <w:r>
        <w:rPr>
          <w:rFonts w:ascii="Arial" w:cs="Arial" w:eastAsia="Arial" w:hAnsi="Arial"/>
          <w:sz w:val="18"/>
          <w:szCs w:val="18"/>
          <w:color w:val="auto"/>
        </w:rPr>
        <w:t>The Company’s contracts with customers to supply LNG may contain a lease of equipment. The Company allocates consideration received from customers between lease and non-lease components based on the relative fair value of each component.</w:t>
      </w:r>
    </w:p>
    <w:p>
      <w:pPr>
        <w:spacing w:after="0" w:line="71" w:lineRule="exact"/>
        <w:rPr>
          <w:rFonts w:ascii="Arial" w:cs="Arial" w:eastAsia="Arial" w:hAnsi="Arial"/>
          <w:sz w:val="18"/>
          <w:szCs w:val="18"/>
          <w:color w:val="auto"/>
        </w:rPr>
      </w:pPr>
    </w:p>
    <w:p>
      <w:pPr>
        <w:ind w:left="700" w:hanging="34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Leases, as lessee</w:t>
      </w:r>
    </w:p>
    <w:p>
      <w:pPr>
        <w:spacing w:after="0" w:line="118" w:lineRule="exact"/>
        <w:rPr>
          <w:rFonts w:ascii="Arial" w:cs="Arial" w:eastAsia="Arial" w:hAnsi="Arial"/>
          <w:sz w:val="18"/>
          <w:szCs w:val="18"/>
          <w:color w:val="auto"/>
        </w:rPr>
      </w:pPr>
    </w:p>
    <w:p>
      <w:pPr>
        <w:ind w:left="720" w:right="120"/>
        <w:spacing w:after="0" w:line="309" w:lineRule="auto"/>
        <w:rPr>
          <w:rFonts w:ascii="Arial" w:cs="Arial" w:eastAsia="Arial" w:hAnsi="Arial"/>
          <w:sz w:val="18"/>
          <w:szCs w:val="18"/>
          <w:color w:val="auto"/>
        </w:rPr>
      </w:pPr>
      <w:r>
        <w:rPr>
          <w:rFonts w:ascii="Arial" w:cs="Arial" w:eastAsia="Arial" w:hAnsi="Arial"/>
          <w:sz w:val="16"/>
          <w:szCs w:val="16"/>
          <w:color w:val="auto"/>
        </w:rPr>
        <w:t xml:space="preserve">Lease agreements are evaluated to determine whether they are capital or operating leases. When substantially all of the risks and benefits of property ownership have been transferred to the Company, as determined by the test criteria in ASC 840, </w:t>
      </w:r>
      <w:r>
        <w:rPr>
          <w:rFonts w:ascii="Arial" w:cs="Arial" w:eastAsia="Arial" w:hAnsi="Arial"/>
          <w:sz w:val="16"/>
          <w:szCs w:val="16"/>
          <w:i w:val="1"/>
          <w:iCs w:val="1"/>
          <w:color w:val="auto"/>
        </w:rPr>
        <w:t>Leases</w:t>
      </w:r>
      <w:r>
        <w:rPr>
          <w:rFonts w:ascii="Arial" w:cs="Arial" w:eastAsia="Arial" w:hAnsi="Arial"/>
          <w:sz w:val="16"/>
          <w:szCs w:val="16"/>
          <w:color w:val="auto"/>
        </w:rPr>
        <w:t>, the lease is recognized as a capital lease. All other leases are classified as operating leases.</w:t>
      </w:r>
    </w:p>
    <w:p>
      <w:pPr>
        <w:spacing w:after="0" w:line="40" w:lineRule="exact"/>
        <w:rPr>
          <w:rFonts w:ascii="Arial" w:cs="Arial" w:eastAsia="Arial" w:hAnsi="Arial"/>
          <w:sz w:val="18"/>
          <w:szCs w:val="18"/>
          <w:color w:val="auto"/>
        </w:rPr>
      </w:pPr>
    </w:p>
    <w:p>
      <w:pPr>
        <w:ind w:left="720" w:right="960"/>
        <w:spacing w:after="0" w:line="274" w:lineRule="auto"/>
        <w:rPr>
          <w:rFonts w:ascii="Arial" w:cs="Arial" w:eastAsia="Arial" w:hAnsi="Arial"/>
          <w:sz w:val="18"/>
          <w:szCs w:val="18"/>
          <w:color w:val="auto"/>
        </w:rPr>
      </w:pPr>
      <w:r>
        <w:rPr>
          <w:rFonts w:ascii="Arial" w:cs="Arial" w:eastAsia="Arial" w:hAnsi="Arial"/>
          <w:sz w:val="18"/>
          <w:szCs w:val="18"/>
          <w:color w:val="auto"/>
        </w:rPr>
        <w:t>Rents payable under operating leases are charged to the condensed consolidated statements of operations and comprehensive loss on a straight-line basis over the term of the relevant lease.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700" w:hanging="34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118"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 xml:space="preserve">Federal and state income </w:t>
      </w:r>
      <w:r>
        <w:rPr>
          <w:rFonts w:ascii="Arial" w:cs="Arial" w:eastAsia="Arial" w:hAnsi="Arial"/>
          <w:sz w:val="18"/>
          <w:szCs w:val="18"/>
          <w:color w:val="auto"/>
        </w:rPr>
        <w:t>taxes</w:t>
      </w:r>
    </w:p>
    <w:p>
      <w:pPr>
        <w:spacing w:after="0" w:line="114" w:lineRule="exact"/>
        <w:rPr>
          <w:rFonts w:ascii="Arial" w:cs="Arial" w:eastAsia="Arial" w:hAnsi="Arial"/>
          <w:sz w:val="18"/>
          <w:szCs w:val="18"/>
          <w:color w:val="auto"/>
        </w:rPr>
      </w:pPr>
    </w:p>
    <w:p>
      <w:pPr>
        <w:ind w:left="720" w:right="60"/>
        <w:spacing w:after="0" w:line="255" w:lineRule="auto"/>
        <w:rPr>
          <w:rFonts w:ascii="Arial" w:cs="Arial" w:eastAsia="Arial" w:hAnsi="Arial"/>
          <w:sz w:val="18"/>
          <w:szCs w:val="18"/>
          <w:color w:val="auto"/>
        </w:rPr>
      </w:pPr>
      <w:r>
        <w:rPr>
          <w:rFonts w:ascii="Arial" w:cs="Arial" w:eastAsia="Arial" w:hAnsi="Arial"/>
          <w:sz w:val="18"/>
          <w:szCs w:val="18"/>
          <w:color w:val="auto"/>
        </w:rPr>
        <w:t>New Fortress Energy Holdings LLC is a limited liability company, which is considered a pass-through entity for federal income tax purposes, and thus no provision for federal income taxes has been recognized in these condensed consolidated financial statements. The Company files tax returns in the U.S. federal jurisdiction and various state jurisdictions, as applicable. The tax returns filed by the Company since inception are subject to examination by the U.S. federal and state tax authorities.</w:t>
      </w:r>
    </w:p>
    <w:p>
      <w:pPr>
        <w:spacing w:after="0" w:line="80" w:lineRule="exact"/>
        <w:rPr>
          <w:rFonts w:ascii="Arial" w:cs="Arial" w:eastAsia="Arial" w:hAnsi="Arial"/>
          <w:sz w:val="18"/>
          <w:szCs w:val="18"/>
          <w:color w:val="auto"/>
        </w:rPr>
      </w:pPr>
    </w:p>
    <w:p>
      <w:pPr>
        <w:ind w:left="720" w:right="100"/>
        <w:spacing w:after="0" w:line="283" w:lineRule="auto"/>
        <w:rPr>
          <w:rFonts w:ascii="Arial" w:cs="Arial" w:eastAsia="Arial" w:hAnsi="Arial"/>
          <w:sz w:val="18"/>
          <w:szCs w:val="18"/>
          <w:color w:val="auto"/>
        </w:rPr>
      </w:pPr>
      <w:r>
        <w:rPr>
          <w:rFonts w:ascii="Arial" w:cs="Arial" w:eastAsia="Arial" w:hAnsi="Arial"/>
          <w:sz w:val="16"/>
          <w:szCs w:val="16"/>
          <w:color w:val="auto"/>
        </w:rPr>
        <w:t>Upon consummation of the anticipated public offering (“Proposed Offering”), the Company will contribute all of its interests in its subsidiaries and its limited assets to a subsidiary of New Fortress Energy LLC (the “Registrant”). The Registrant has elected to be taxed as a corporation and will become subject to corporate U.S. federal and state income taxes. Accordingly, a pro forma income tax provision has been disclosed as if the Company was a taxable corporation for the nine months ended September 30, 2018. Pro forma tax expense was computed using an estimated effective rate of</w:t>
      </w:r>
    </w:p>
    <w:p>
      <w:pPr>
        <w:spacing w:after="0" w:line="3" w:lineRule="exact"/>
        <w:rPr>
          <w:rFonts w:ascii="Arial" w:cs="Arial" w:eastAsia="Arial" w:hAnsi="Arial"/>
          <w:sz w:val="18"/>
          <w:szCs w:val="18"/>
          <w:color w:val="auto"/>
        </w:rPr>
      </w:pPr>
    </w:p>
    <w:p>
      <w:pPr>
        <w:ind w:left="720" w:right="80"/>
        <w:spacing w:after="0" w:line="251" w:lineRule="auto"/>
        <w:rPr>
          <w:rFonts w:ascii="Arial" w:cs="Arial" w:eastAsia="Arial" w:hAnsi="Arial"/>
          <w:sz w:val="18"/>
          <w:szCs w:val="18"/>
          <w:color w:val="auto"/>
        </w:rPr>
      </w:pPr>
      <w:r>
        <w:rPr>
          <w:rFonts w:ascii="Arial" w:cs="Arial" w:eastAsia="Arial" w:hAnsi="Arial"/>
          <w:sz w:val="18"/>
          <w:szCs w:val="18"/>
          <w:color w:val="auto"/>
        </w:rPr>
        <w:t>(0.93)%, inclusive of applicable U.S. federal, state, and foreign taxes. The Company is in a net operating loss position for the nine months ended September 30, 2018 and has assessed a valuation allowance against all of its U.S. net deferred tax assets. As such, no pro forma tax expense was computed for U.S. federal and state income tax purposes. The Company's subsidiaries incorporated in Jamaica are subject to income tax at a statutory tax rate of 25%. The pro forma tax expense is entirely attributable to Jamaica.</w:t>
      </w:r>
    </w:p>
    <w:p>
      <w:pPr>
        <w:spacing w:after="0" w:line="83" w:lineRule="exact"/>
        <w:rPr>
          <w:rFonts w:ascii="Arial" w:cs="Arial" w:eastAsia="Arial" w:hAnsi="Arial"/>
          <w:sz w:val="18"/>
          <w:szCs w:val="18"/>
          <w:color w:val="auto"/>
        </w:rPr>
      </w:pPr>
    </w:p>
    <w:p>
      <w:pPr>
        <w:ind w:left="720"/>
        <w:spacing w:after="0" w:line="253" w:lineRule="auto"/>
        <w:rPr>
          <w:rFonts w:ascii="Arial" w:cs="Arial" w:eastAsia="Arial" w:hAnsi="Arial"/>
          <w:sz w:val="18"/>
          <w:szCs w:val="18"/>
          <w:color w:val="auto"/>
        </w:rPr>
      </w:pPr>
      <w:r>
        <w:rPr>
          <w:rFonts w:ascii="Arial" w:cs="Arial" w:eastAsia="Arial" w:hAnsi="Arial"/>
          <w:sz w:val="18"/>
          <w:szCs w:val="18"/>
          <w:color w:val="auto"/>
        </w:rPr>
        <w:t>On December 22, 2017, the U.S. government enacted comprehensive tax legislation commonly referred to as the Tax Cuts and Jobs Act (the “Tax Act”), which significantly changed the U.S. tax code. The Tax Act makes broad and complex changes to the U.S. tax code that will impact many areas of taxation. Additionally, there are numerous interpretive issues and ambiguities that are not clearly addressed in current Tax Act guidance. Due to the complex nature of the Tax Act, including whether U.S. states will conform to the Tax Act in full or in part, the Company has not yet completed its accounting for the income tax effects of the Tax Act, and is not able to determine at this time the impact on the Company’s condensed consolidated financial statements.</w:t>
      </w:r>
    </w:p>
    <w:p>
      <w:pPr>
        <w:spacing w:after="0" w:line="18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Foreign taxes</w:t>
      </w:r>
    </w:p>
    <w:p>
      <w:pPr>
        <w:spacing w:after="0" w:line="114" w:lineRule="exact"/>
        <w:rPr>
          <w:rFonts w:ascii="Arial" w:cs="Arial" w:eastAsia="Arial" w:hAnsi="Arial"/>
          <w:sz w:val="18"/>
          <w:szCs w:val="18"/>
          <w:color w:val="auto"/>
        </w:rPr>
      </w:pPr>
    </w:p>
    <w:p>
      <w:pPr>
        <w:ind w:left="720" w:right="380"/>
        <w:spacing w:after="0" w:line="274" w:lineRule="auto"/>
        <w:rPr>
          <w:rFonts w:ascii="Arial" w:cs="Arial" w:eastAsia="Arial" w:hAnsi="Arial"/>
          <w:sz w:val="18"/>
          <w:szCs w:val="18"/>
          <w:color w:val="auto"/>
        </w:rPr>
      </w:pPr>
      <w:r>
        <w:rPr>
          <w:rFonts w:ascii="Arial" w:cs="Arial" w:eastAsia="Arial" w:hAnsi="Arial"/>
          <w:sz w:val="18"/>
          <w:szCs w:val="18"/>
          <w:color w:val="auto"/>
        </w:rPr>
        <w:t>Certain subsidiaries of NFE are subject to income tax in the local jurisdiction in which they operate; foreign taxes are computed based on the taxable income and the local jurisdictional tax rate.</w:t>
      </w:r>
    </w:p>
    <w:p>
      <w:pPr>
        <w:spacing w:after="0" w:line="171"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Other taxes</w:t>
      </w:r>
    </w:p>
    <w:p>
      <w:pPr>
        <w:spacing w:after="0" w:line="114" w:lineRule="exact"/>
        <w:rPr>
          <w:rFonts w:ascii="Arial" w:cs="Arial" w:eastAsia="Arial" w:hAnsi="Arial"/>
          <w:sz w:val="18"/>
          <w:szCs w:val="18"/>
          <w:color w:val="auto"/>
        </w:rPr>
      </w:pPr>
    </w:p>
    <w:p>
      <w:pPr>
        <w:ind w:left="720" w:right="160"/>
        <w:spacing w:after="0" w:line="299" w:lineRule="auto"/>
        <w:rPr>
          <w:rFonts w:ascii="Arial" w:cs="Arial" w:eastAsia="Arial" w:hAnsi="Arial"/>
          <w:sz w:val="18"/>
          <w:szCs w:val="18"/>
          <w:color w:val="auto"/>
        </w:rPr>
      </w:pPr>
      <w:r>
        <w:rPr>
          <w:rFonts w:ascii="Arial" w:cs="Arial" w:eastAsia="Arial" w:hAnsi="Arial"/>
          <w:sz w:val="16"/>
          <w:szCs w:val="16"/>
          <w:color w:val="auto"/>
        </w:rPr>
        <w:t>Certain subsidiaries of New Fortress Energy Holdings LLC may be subject to payroll taxes, excise taxes, property taxes, sales and use taxes, as well as income taxes in foreign countries in which they conduct business. In addition, certain subsidiaries are exposed to local state taxes such as franchise taxes. Local state taxes that are not income taxes are recorded within Other (income), net in the condensed consolidated statements of operations and comprehensive loss.</w:t>
      </w:r>
    </w:p>
    <w:p>
      <w:pPr>
        <w:spacing w:after="0" w:line="44" w:lineRule="exact"/>
        <w:rPr>
          <w:rFonts w:ascii="Arial" w:cs="Arial" w:eastAsia="Arial" w:hAnsi="Arial"/>
          <w:sz w:val="18"/>
          <w:szCs w:val="18"/>
          <w:color w:val="auto"/>
        </w:rPr>
      </w:pPr>
    </w:p>
    <w:p>
      <w:pPr>
        <w:ind w:left="700" w:hanging="34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Net loss per share</w:t>
      </w:r>
    </w:p>
    <w:p>
      <w:pPr>
        <w:spacing w:after="0" w:line="118" w:lineRule="exact"/>
        <w:rPr>
          <w:rFonts w:ascii="Arial" w:cs="Arial" w:eastAsia="Arial" w:hAnsi="Arial"/>
          <w:sz w:val="18"/>
          <w:szCs w:val="18"/>
          <w:color w:val="auto"/>
        </w:rPr>
      </w:pPr>
    </w:p>
    <w:p>
      <w:pPr>
        <w:ind w:left="720"/>
        <w:spacing w:after="0" w:line="271" w:lineRule="auto"/>
        <w:rPr>
          <w:rFonts w:ascii="Arial" w:cs="Arial" w:eastAsia="Arial" w:hAnsi="Arial"/>
          <w:sz w:val="18"/>
          <w:szCs w:val="18"/>
          <w:color w:val="auto"/>
        </w:rPr>
      </w:pPr>
      <w:r>
        <w:rPr>
          <w:rFonts w:ascii="Arial" w:cs="Arial" w:eastAsia="Arial" w:hAnsi="Arial"/>
          <w:sz w:val="17"/>
          <w:szCs w:val="17"/>
          <w:color w:val="auto"/>
        </w:rPr>
        <w:t>Net loss per share (“EPS”) is computed in accordance with GAAP. Basic EPS is computed by dividing net loss attributable to members by the weighted average number of common shares outstanding during the period. Diluted EPS reflects potential dilution and is computed by dividing net loss attributable to members by the weighted average number of common shares outstanding during the period increased by the number of additional common shares that would have been outstanding if all potential common shares had been issued and were dilutive. For the nine months ended September 30, 2018 and 2017 there were no potentially dilutive shares outstanding.</w:t>
      </w:r>
    </w:p>
    <w:p>
      <w:pPr>
        <w:spacing w:after="0" w:line="178"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Unaudited pro forma net loss per share</w:t>
      </w:r>
    </w:p>
    <w:p>
      <w:pPr>
        <w:spacing w:after="0" w:line="114" w:lineRule="exact"/>
        <w:rPr>
          <w:rFonts w:ascii="Arial" w:cs="Arial" w:eastAsia="Arial" w:hAnsi="Arial"/>
          <w:sz w:val="18"/>
          <w:szCs w:val="18"/>
          <w:color w:val="auto"/>
        </w:rPr>
      </w:pPr>
    </w:p>
    <w:p>
      <w:pPr>
        <w:ind w:left="720" w:right="60"/>
        <w:spacing w:after="0" w:line="261" w:lineRule="auto"/>
        <w:rPr>
          <w:rFonts w:ascii="Arial" w:cs="Arial" w:eastAsia="Arial" w:hAnsi="Arial"/>
          <w:sz w:val="18"/>
          <w:szCs w:val="18"/>
          <w:color w:val="auto"/>
        </w:rPr>
      </w:pPr>
      <w:r>
        <w:rPr>
          <w:rFonts w:ascii="Arial" w:cs="Arial" w:eastAsia="Arial" w:hAnsi="Arial"/>
          <w:sz w:val="18"/>
          <w:szCs w:val="18"/>
          <w:color w:val="auto"/>
        </w:rPr>
        <w:t>Pro forma net loss per share has been presented for the most recent period. Pro forma basic and diluted net loss per share was computed by dividing pro forma net loss by the weighted average number of common shares outstanding for the nine months ended September 30, 2018.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7" w:right="1380"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360" w:hanging="355"/>
        <w:spacing w:after="0"/>
        <w:tabs>
          <w:tab w:leader="none" w:pos="3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and revised standards</w:t>
      </w:r>
    </w:p>
    <w:p>
      <w:pPr>
        <w:spacing w:after="0" w:line="118" w:lineRule="exact"/>
        <w:rPr>
          <w:rFonts w:ascii="Arial" w:cs="Arial" w:eastAsia="Arial" w:hAnsi="Arial"/>
          <w:sz w:val="18"/>
          <w:szCs w:val="18"/>
          <w:b w:val="1"/>
          <w:bCs w:val="1"/>
          <w:color w:val="auto"/>
        </w:rPr>
      </w:pPr>
    </w:p>
    <w:p>
      <w:pPr>
        <w:ind w:left="36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75" w:lineRule="exact"/>
        <w:rPr>
          <w:rFonts w:ascii="Arial" w:cs="Arial" w:eastAsia="Arial" w:hAnsi="Arial"/>
          <w:sz w:val="18"/>
          <w:szCs w:val="18"/>
          <w:b w:val="1"/>
          <w:bCs w:val="1"/>
          <w:color w:val="auto"/>
        </w:rPr>
      </w:pPr>
    </w:p>
    <w:p>
      <w:pPr>
        <w:ind w:left="700" w:right="140" w:hanging="346"/>
        <w:spacing w:after="0" w:line="279" w:lineRule="auto"/>
        <w:tabs>
          <w:tab w:leader="none" w:pos="700"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New standards, amendments and interpretations issued but not effective for the financial year beginning January 1, 2018 and not early adopted</w:t>
      </w:r>
    </w:p>
    <w:p>
      <w:pPr>
        <w:spacing w:after="0" w:line="59" w:lineRule="exact"/>
        <w:rPr>
          <w:rFonts w:ascii="Arial" w:cs="Arial" w:eastAsia="Arial" w:hAnsi="Arial"/>
          <w:sz w:val="18"/>
          <w:szCs w:val="18"/>
          <w:color w:val="auto"/>
        </w:rPr>
      </w:pPr>
    </w:p>
    <w:p>
      <w:pPr>
        <w:ind w:left="720" w:right="60"/>
        <w:spacing w:after="0" w:line="291" w:lineRule="auto"/>
        <w:rPr>
          <w:rFonts w:ascii="Arial" w:cs="Arial" w:eastAsia="Arial" w:hAnsi="Arial"/>
          <w:sz w:val="18"/>
          <w:szCs w:val="18"/>
          <w:color w:val="auto"/>
        </w:rPr>
      </w:pPr>
      <w:r>
        <w:rPr>
          <w:rFonts w:ascii="Arial" w:cs="Arial" w:eastAsia="Arial" w:hAnsi="Arial"/>
          <w:sz w:val="16"/>
          <w:szCs w:val="16"/>
          <w:color w:val="auto"/>
        </w:rPr>
        <w:t>In September 2018, the Financial Accounting Standards Board (“FASB”) issued Accounting Standards Update (“ASU”) 2018-07, Compensation - Stock Compensation Improvements to Nonemployee Share-Based Payment Accounting, which simplifies the accounting for share-based payments granted to nonemployees for goods and services. Under ASU 2018-07, most of the guidance on such payments to nonemployees will be aligned with the requirements for share-based payments granted to employees. The Company will adopt ASU 2018-07 during the year beginning January 1, 2020 and is currently evaluating the effect that ASU 2018-07 will have on its consolidated financial statements.</w:t>
      </w:r>
    </w:p>
    <w:p>
      <w:pPr>
        <w:spacing w:after="0" w:line="56" w:lineRule="exact"/>
        <w:rPr>
          <w:rFonts w:ascii="Arial" w:cs="Arial" w:eastAsia="Arial" w:hAnsi="Arial"/>
          <w:sz w:val="18"/>
          <w:szCs w:val="18"/>
          <w:color w:val="auto"/>
        </w:rPr>
      </w:pPr>
    </w:p>
    <w:p>
      <w:pPr>
        <w:ind w:left="720" w:right="40"/>
        <w:spacing w:after="0" w:line="254" w:lineRule="auto"/>
        <w:rPr>
          <w:rFonts w:ascii="Arial" w:cs="Arial" w:eastAsia="Arial" w:hAnsi="Arial"/>
          <w:sz w:val="18"/>
          <w:szCs w:val="18"/>
          <w:color w:val="auto"/>
        </w:rPr>
      </w:pPr>
      <w:r>
        <w:rPr>
          <w:rFonts w:ascii="Arial" w:cs="Arial" w:eastAsia="Arial" w:hAnsi="Arial"/>
          <w:sz w:val="18"/>
          <w:szCs w:val="18"/>
          <w:color w:val="auto"/>
        </w:rPr>
        <w:t>In February 2018, the FASB issued ASU 2018-02, Income Statement: Reporting Comprehensive Income (Topic 220) which allows a reclassification from accumulated other comprehensive income (loss) to retained earnings for stranded tax effects resulting from the Tax Act. The standard is effective for fiscal years beginning after December 15, 2018, including interim periods within those fiscal years. Early adoption is permitted for any interim and annual financial statements that have not yet been issued. The Company is currently evaluating the impact of adopting this new guidance on its consolidated financial statements.</w:t>
      </w:r>
    </w:p>
    <w:p>
      <w:pPr>
        <w:spacing w:after="0" w:line="80" w:lineRule="exact"/>
        <w:rPr>
          <w:rFonts w:ascii="Arial" w:cs="Arial" w:eastAsia="Arial" w:hAnsi="Arial"/>
          <w:sz w:val="18"/>
          <w:szCs w:val="18"/>
          <w:color w:val="auto"/>
        </w:rPr>
      </w:pPr>
    </w:p>
    <w:p>
      <w:pPr>
        <w:ind w:left="720" w:right="100"/>
        <w:spacing w:after="0" w:line="253" w:lineRule="auto"/>
        <w:rPr>
          <w:rFonts w:ascii="Arial" w:cs="Arial" w:eastAsia="Arial" w:hAnsi="Arial"/>
          <w:sz w:val="18"/>
          <w:szCs w:val="18"/>
          <w:color w:val="auto"/>
        </w:rPr>
      </w:pPr>
      <w:r>
        <w:rPr>
          <w:rFonts w:ascii="Arial" w:cs="Arial" w:eastAsia="Arial" w:hAnsi="Arial"/>
          <w:sz w:val="18"/>
          <w:szCs w:val="18"/>
          <w:color w:val="auto"/>
        </w:rPr>
        <w:t>In November 2016, the FASB issued ASU 2016-18, Statement of Cash Flows (Topic 230): Restricted Cash, which requires that a statement of cash flows explain the change during the period in the total of cash, cash equivalents, and amounts generally described as restricted cash and restricted cash equivalents. This is intended to limit the treatment of restricted cash in the statement of cash flows as the FASB acknowledged there is currently diversity in practice regarding the presentation of restricted cash within the statement of cash flows. The Company will adopt ASU 2016-18 during the year beginning January 1, 2019 and is currently evaluating the effect that ASU 2016-18 will have on its consolidated financial statements.</w:t>
      </w:r>
    </w:p>
    <w:p>
      <w:pPr>
        <w:spacing w:after="0" w:line="82" w:lineRule="exact"/>
        <w:rPr>
          <w:rFonts w:ascii="Arial" w:cs="Arial" w:eastAsia="Arial" w:hAnsi="Arial"/>
          <w:sz w:val="18"/>
          <w:szCs w:val="18"/>
          <w:color w:val="auto"/>
        </w:rPr>
      </w:pPr>
    </w:p>
    <w:p>
      <w:pPr>
        <w:ind w:left="720" w:right="60"/>
        <w:spacing w:after="0" w:line="257" w:lineRule="auto"/>
        <w:rPr>
          <w:rFonts w:ascii="Arial" w:cs="Arial" w:eastAsia="Arial" w:hAnsi="Arial"/>
          <w:sz w:val="18"/>
          <w:szCs w:val="18"/>
          <w:color w:val="auto"/>
        </w:rPr>
      </w:pPr>
      <w:r>
        <w:rPr>
          <w:rFonts w:ascii="Arial" w:cs="Arial" w:eastAsia="Arial" w:hAnsi="Arial"/>
          <w:sz w:val="18"/>
          <w:szCs w:val="18"/>
          <w:color w:val="auto"/>
        </w:rPr>
        <w:t>In August 2016, the FASB issued ASU 2016-15, Statement of Cash Flows (Topic 230): Classification of Certain Cash Receipts and Cash Payments, which provides guidance on eight specific cash flow issues with an intention to reduce the existing diversity in practice. The Company will adopt ASU 2016-15 during the year beginning January 1, 2019 and does not expect a material effect on its consolidated financial statements.</w:t>
      </w:r>
    </w:p>
    <w:p>
      <w:pPr>
        <w:spacing w:after="0" w:line="79" w:lineRule="exact"/>
        <w:rPr>
          <w:rFonts w:ascii="Arial" w:cs="Arial" w:eastAsia="Arial" w:hAnsi="Arial"/>
          <w:sz w:val="18"/>
          <w:szCs w:val="18"/>
          <w:color w:val="auto"/>
        </w:rPr>
      </w:pPr>
    </w:p>
    <w:p>
      <w:pPr>
        <w:ind w:left="720"/>
        <w:spacing w:after="0" w:line="294" w:lineRule="auto"/>
        <w:rPr>
          <w:rFonts w:ascii="Arial" w:cs="Arial" w:eastAsia="Arial" w:hAnsi="Arial"/>
          <w:sz w:val="18"/>
          <w:szCs w:val="18"/>
          <w:color w:val="auto"/>
        </w:rPr>
      </w:pPr>
      <w:r>
        <w:rPr>
          <w:rFonts w:ascii="Arial" w:cs="Arial" w:eastAsia="Arial" w:hAnsi="Arial"/>
          <w:sz w:val="16"/>
          <w:szCs w:val="16"/>
          <w:color w:val="auto"/>
        </w:rPr>
        <w:t>In February 2016, the FASB issued ASU No. 2016-02, Leases (“ASU 2016-02”). ASU 2016-02 amends the existing accounting standards for lease accounting, including requiring lessees to recognize most leases on their balance sheets and making targeted changes to lessor accounting. ASU 2016-02 will be effective for annual reporting periods beginning after December 15, 2019, and interim periods beginning after December 15, 2020, with early adoption permitted. The Company is currently evaluating the impact of adopting this new guidance on its consolidated financial statements.</w:t>
      </w:r>
    </w:p>
    <w:p>
      <w:pPr>
        <w:spacing w:after="0" w:line="53" w:lineRule="exact"/>
        <w:rPr>
          <w:rFonts w:ascii="Arial" w:cs="Arial" w:eastAsia="Arial" w:hAnsi="Arial"/>
          <w:sz w:val="18"/>
          <w:szCs w:val="18"/>
          <w:color w:val="auto"/>
        </w:rPr>
      </w:pPr>
    </w:p>
    <w:p>
      <w:pPr>
        <w:ind w:left="720"/>
        <w:spacing w:after="0" w:line="289" w:lineRule="auto"/>
        <w:rPr>
          <w:rFonts w:ascii="Arial" w:cs="Arial" w:eastAsia="Arial" w:hAnsi="Arial"/>
          <w:sz w:val="18"/>
          <w:szCs w:val="18"/>
          <w:color w:val="auto"/>
        </w:rPr>
      </w:pPr>
      <w:r>
        <w:rPr>
          <w:rFonts w:ascii="Arial" w:cs="Arial" w:eastAsia="Arial" w:hAnsi="Arial"/>
          <w:sz w:val="16"/>
          <w:szCs w:val="16"/>
          <w:color w:val="auto"/>
        </w:rPr>
        <w:t>In January 2016, the FASB issued ASU 2016-01, Financial Instruments – Overall (Subtopic 825-10): Recognition and Measurement of Financial Assets and Financial Liabilities, which makes targeted improvements to the accounting for, and presentation and disclosure of, financial instruments. ASU 2016-01 requires that most equity investments be measured at fair value, with subsequent changes in fair value recognized in net income. ASU 2016-01 does not affect the accounting for investments that would otherwise be consolidated or accounted for under the equity method. The new standard also impacts financial liabilities under the fair value option and the presentation and disclosure requirements for financial instruments. Most of the provisions of ASU 2016-01 are effective for the Company for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13" w:lineRule="exact"/>
        <w:rPr>
          <w:sz w:val="20"/>
          <w:szCs w:val="20"/>
          <w:color w:val="auto"/>
        </w:rPr>
      </w:pPr>
    </w:p>
    <w:p>
      <w:pPr>
        <w:ind w:left="720" w:right="80"/>
        <w:spacing w:after="0" w:line="261" w:lineRule="auto"/>
        <w:rPr>
          <w:sz w:val="20"/>
          <w:szCs w:val="20"/>
          <w:color w:val="auto"/>
        </w:rPr>
      </w:pPr>
      <w:r>
        <w:rPr>
          <w:rFonts w:ascii="Arial" w:cs="Arial" w:eastAsia="Arial" w:hAnsi="Arial"/>
          <w:sz w:val="18"/>
          <w:szCs w:val="18"/>
          <w:color w:val="auto"/>
        </w:rPr>
        <w:t>annual periods in fiscal years beginning after December 15, 2018. The Company will adopt ASU 2016-01 during the year beginning January 1, 2019 and is currently evaluating the effect that ASU 2016-01 will have on the Company’s consolidated financial statements.</w:t>
      </w:r>
    </w:p>
    <w:p>
      <w:pPr>
        <w:spacing w:after="0" w:line="76" w:lineRule="exact"/>
        <w:rPr>
          <w:sz w:val="20"/>
          <w:szCs w:val="20"/>
          <w:color w:val="auto"/>
        </w:rPr>
      </w:pPr>
    </w:p>
    <w:p>
      <w:pPr>
        <w:ind w:left="720" w:right="20"/>
        <w:spacing w:after="0" w:line="266" w:lineRule="auto"/>
        <w:rPr>
          <w:sz w:val="20"/>
          <w:szCs w:val="20"/>
          <w:color w:val="auto"/>
        </w:rPr>
      </w:pPr>
      <w:r>
        <w:rPr>
          <w:rFonts w:ascii="Arial" w:cs="Arial" w:eastAsia="Arial" w:hAnsi="Arial"/>
          <w:sz w:val="17"/>
          <w:szCs w:val="17"/>
          <w:color w:val="auto"/>
        </w:rPr>
        <w:t>In May 2014, the FASB issued ASU No. 2014-09, Revenue from Contracts with Customers (Topic 606) (“ASU 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consideration to recognize over each identified performance obligation. Additional disclosures will be required to help users of financial statements understand the nature, amount and timing of revenue and cash flows arising from contracts. In August 2015, the FASB issued ASU 2015-14, Revenue from Contracts with Customers (Topic 606): Deferral of the Effective Date, to defer the effective date of ASU 2014-09 by one year, making it effective for annual reporting periods beginning after December 15, 2018, and interim periods within annual periods beginning after December 15, 2019, while also providing for early adoption but not before the original effective date. The Company is currently evaluating the impact of adopting this new guidance on its consolidated financial statements.</w:t>
      </w:r>
    </w:p>
    <w:p>
      <w:pPr>
        <w:spacing w:after="0" w:line="77" w:lineRule="exact"/>
        <w:rPr>
          <w:sz w:val="20"/>
          <w:szCs w:val="20"/>
          <w:color w:val="auto"/>
        </w:rPr>
      </w:pPr>
    </w:p>
    <w:p>
      <w:pPr>
        <w:ind w:left="700" w:hanging="346"/>
        <w:spacing w:after="0"/>
        <w:tabs>
          <w:tab w:leader="none" w:pos="70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New and amended standards adopted by the Company:</w:t>
      </w:r>
    </w:p>
    <w:p>
      <w:pPr>
        <w:spacing w:after="0" w:line="118" w:lineRule="exact"/>
        <w:rPr>
          <w:rFonts w:ascii="Arial" w:cs="Arial" w:eastAsia="Arial" w:hAnsi="Arial"/>
          <w:sz w:val="18"/>
          <w:szCs w:val="18"/>
          <w:color w:val="auto"/>
        </w:rPr>
      </w:pPr>
    </w:p>
    <w:p>
      <w:pPr>
        <w:ind w:left="720"/>
        <w:spacing w:after="0" w:line="253" w:lineRule="auto"/>
        <w:rPr>
          <w:rFonts w:ascii="Arial" w:cs="Arial" w:eastAsia="Arial" w:hAnsi="Arial"/>
          <w:sz w:val="18"/>
          <w:szCs w:val="18"/>
          <w:color w:val="auto"/>
        </w:rPr>
      </w:pPr>
      <w:r>
        <w:rPr>
          <w:rFonts w:ascii="Arial" w:cs="Arial" w:eastAsia="Arial" w:hAnsi="Arial"/>
          <w:sz w:val="18"/>
          <w:szCs w:val="18"/>
          <w:color w:val="auto"/>
        </w:rPr>
        <w:t>In November 2015, the FASB issued accounting guidance that is designed to improve the way deferred taxes are classified on organizations’ balance sheets. ASU 2015-17, Income Taxes (Topic 740): Balance Sheet Classification of Deferred Taxes, is part of the FASB’s simplification initiative designed to reduce complexity in financial reporting without sacrificing the quality of information provided to users. The new standard requires deferred tax liabilities and assets to be classified as non-current. The standard applies to all organizations that present a balance sheet. The Company adopted this guidance for the year beginning January 1, 2018 and the adoption of this guidance did not have a material impact on the consolidated financial statements.</w:t>
      </w:r>
    </w:p>
    <w:p>
      <w:pPr>
        <w:spacing w:after="0" w:line="78" w:lineRule="exact"/>
        <w:rPr>
          <w:rFonts w:ascii="Arial" w:cs="Arial" w:eastAsia="Arial" w:hAnsi="Arial"/>
          <w:sz w:val="18"/>
          <w:szCs w:val="18"/>
          <w:color w:val="auto"/>
        </w:rPr>
      </w:pPr>
    </w:p>
    <w:p>
      <w:pPr>
        <w:ind w:left="360" w:hanging="355"/>
        <w:spacing w:after="0"/>
        <w:tabs>
          <w:tab w:leader="none" w:pos="3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18" w:lineRule="exact"/>
        <w:rPr>
          <w:rFonts w:ascii="Arial" w:cs="Arial" w:eastAsia="Arial" w:hAnsi="Arial"/>
          <w:sz w:val="18"/>
          <w:szCs w:val="18"/>
          <w:b w:val="1"/>
          <w:bCs w:val="1"/>
          <w:color w:val="auto"/>
        </w:rPr>
      </w:pPr>
    </w:p>
    <w:p>
      <w:pPr>
        <w:ind w:left="360" w:right="40"/>
        <w:spacing w:after="0" w:line="305" w:lineRule="auto"/>
        <w:rPr>
          <w:rFonts w:ascii="Arial" w:cs="Arial" w:eastAsia="Arial" w:hAnsi="Arial"/>
          <w:sz w:val="18"/>
          <w:szCs w:val="18"/>
          <w:b w:val="1"/>
          <w:bCs w:val="1"/>
          <w:color w:val="auto"/>
        </w:rPr>
      </w:pPr>
      <w:r>
        <w:rPr>
          <w:rFonts w:ascii="Arial" w:cs="Arial" w:eastAsia="Arial" w:hAnsi="Arial"/>
          <w:sz w:val="17"/>
          <w:szCs w:val="17"/>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39" w:lineRule="exact"/>
        <w:rPr>
          <w:rFonts w:ascii="Arial" w:cs="Arial" w:eastAsia="Arial" w:hAnsi="Arial"/>
          <w:sz w:val="18"/>
          <w:szCs w:val="18"/>
          <w:b w:val="1"/>
          <w:bCs w:val="1"/>
          <w:color w:val="auto"/>
        </w:rPr>
      </w:pPr>
    </w:p>
    <w:p>
      <w:pPr>
        <w:ind w:left="1060" w:hanging="344"/>
        <w:spacing w:after="0"/>
        <w:tabs>
          <w:tab w:leader="none" w:pos="1060" w:val="left"/>
        </w:tabs>
        <w:numPr>
          <w:ilvl w:val="2"/>
          <w:numId w:val="9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4" w:lineRule="exact"/>
        <w:rPr>
          <w:rFonts w:ascii="Arial" w:cs="Arial" w:eastAsia="Arial" w:hAnsi="Arial"/>
          <w:sz w:val="18"/>
          <w:szCs w:val="18"/>
          <w:color w:val="auto"/>
        </w:rPr>
      </w:pPr>
    </w:p>
    <w:p>
      <w:pPr>
        <w:ind w:left="1060" w:right="320" w:hanging="344"/>
        <w:spacing w:after="0" w:line="274" w:lineRule="auto"/>
        <w:tabs>
          <w:tab w:leader="none" w:pos="1060" w:val="left"/>
        </w:tabs>
        <w:numPr>
          <w:ilvl w:val="2"/>
          <w:numId w:val="9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either directly or indirectly, such as quoted prices for similar assets or liabilities or market corroborated inputs.</w:t>
      </w:r>
    </w:p>
    <w:p>
      <w:pPr>
        <w:spacing w:after="0" w:line="63" w:lineRule="exact"/>
        <w:rPr>
          <w:rFonts w:ascii="Arial" w:cs="Arial" w:eastAsia="Arial" w:hAnsi="Arial"/>
          <w:sz w:val="18"/>
          <w:szCs w:val="18"/>
          <w:color w:val="auto"/>
        </w:rPr>
      </w:pPr>
    </w:p>
    <w:p>
      <w:pPr>
        <w:ind w:left="1060" w:right="180" w:hanging="344"/>
        <w:spacing w:after="0" w:line="274" w:lineRule="auto"/>
        <w:tabs>
          <w:tab w:leader="none" w:pos="1060" w:val="left"/>
        </w:tabs>
        <w:numPr>
          <w:ilvl w:val="2"/>
          <w:numId w:val="93"/>
        </w:numPr>
        <w:rPr>
          <w:rFonts w:ascii="Arial" w:cs="Arial" w:eastAsia="Arial" w:hAnsi="Arial"/>
          <w:sz w:val="18"/>
          <w:szCs w:val="18"/>
          <w:color w:val="auto"/>
        </w:rPr>
      </w:pPr>
      <w:r>
        <w:rPr>
          <w:rFonts w:ascii="Arial" w:cs="Arial" w:eastAsia="Arial" w:hAnsi="Arial"/>
          <w:sz w:val="18"/>
          <w:szCs w:val="18"/>
          <w:color w:val="auto"/>
        </w:rPr>
        <w:t>Level 3 – unobservable inputs for which there is little or no market data and which require the Company to develop its own assumptions about how market participants price the asset or liability.</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5" w:lineRule="exact"/>
        <w:rPr>
          <w:sz w:val="20"/>
          <w:szCs w:val="20"/>
          <w:color w:val="auto"/>
        </w:rPr>
      </w:pPr>
    </w:p>
    <w:p>
      <w:pPr>
        <w:ind w:left="1060" w:right="40" w:hanging="344"/>
        <w:spacing w:after="0" w:line="27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Market approach – uses prices and other relevant information generated by market transactions involving identical or comparable assets or liabilities.</w:t>
      </w:r>
    </w:p>
    <w:p>
      <w:pPr>
        <w:spacing w:after="0" w:line="63" w:lineRule="exact"/>
        <w:rPr>
          <w:rFonts w:ascii="Arial" w:cs="Arial" w:eastAsia="Arial" w:hAnsi="Arial"/>
          <w:sz w:val="18"/>
          <w:szCs w:val="18"/>
          <w:color w:val="auto"/>
        </w:rPr>
      </w:pPr>
    </w:p>
    <w:p>
      <w:pPr>
        <w:ind w:left="1060" w:right="160" w:hanging="344"/>
        <w:spacing w:after="0" w:line="27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Income approach – uses valuation techniques to convert future amounts to a single present amount based on current market expectations about those future amounts.</w:t>
      </w:r>
    </w:p>
    <w:p>
      <w:pPr>
        <w:spacing w:after="0" w:line="63" w:lineRule="exact"/>
        <w:rPr>
          <w:rFonts w:ascii="Arial" w:cs="Arial" w:eastAsia="Arial" w:hAnsi="Arial"/>
          <w:sz w:val="18"/>
          <w:szCs w:val="18"/>
          <w:color w:val="auto"/>
        </w:rPr>
      </w:pPr>
    </w:p>
    <w:p>
      <w:pPr>
        <w:ind w:left="1060" w:right="400" w:hanging="344"/>
        <w:spacing w:after="0" w:line="27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Cost approach – based on the amount that currently would be required to replace the service capacity of an asset (replacement cost).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financial assets that are measured at fair value as of September 30, 2018:</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September 30, 2018</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Valuation</w:t>
            </w:r>
          </w:p>
        </w:tc>
      </w:tr>
      <w:tr>
        <w:trPr>
          <w:trHeight w:val="177"/>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Level 1</w:t>
            </w:r>
          </w:p>
        </w:tc>
        <w:tc>
          <w:tcPr>
            <w:tcW w:w="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technique</w:t>
            </w:r>
          </w:p>
        </w:tc>
      </w:tr>
      <w:tr>
        <w:trPr>
          <w:trHeight w:val="241"/>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4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51,903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7"/>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51,903</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Market</w:t>
            </w:r>
          </w:p>
        </w:tc>
      </w:tr>
      <w:tr>
        <w:trPr>
          <w:trHeight w:val="248"/>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16,301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7"/>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16,301</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Market</w:t>
            </w:r>
          </w:p>
        </w:tc>
      </w:tr>
      <w:tr>
        <w:trPr>
          <w:trHeight w:val="228"/>
        </w:trPr>
        <w:tc>
          <w:tcPr>
            <w:tcW w:w="436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6,776</w:t>
            </w:r>
          </w:p>
        </w:tc>
        <w:tc>
          <w:tcPr>
            <w:tcW w:w="8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6,776</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Market</w:t>
            </w:r>
          </w:p>
        </w:tc>
      </w:tr>
      <w:tr>
        <w:trPr>
          <w:trHeight w:val="27"/>
        </w:trPr>
        <w:tc>
          <w:tcPr>
            <w:tcW w:w="43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4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7"/>
              </w:rPr>
              <w:t>—</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74,980</w:t>
            </w: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7"/>
        </w:trPr>
        <w:tc>
          <w:tcPr>
            <w:tcW w:w="436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financial assets that are measured at fair value as of December 31, 2017:</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December 31, 2017</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Level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Valuation</w:t>
            </w:r>
          </w:p>
        </w:tc>
      </w:tr>
      <w:tr>
        <w:trPr>
          <w:trHeight w:val="177"/>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technique</w:t>
            </w:r>
          </w:p>
        </w:tc>
      </w:tr>
      <w:tr>
        <w:trPr>
          <w:trHeight w:val="241"/>
        </w:trPr>
        <w:tc>
          <w:tcPr>
            <w:tcW w:w="4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4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84,708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84,708</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Market</w:t>
            </w:r>
          </w:p>
        </w:tc>
      </w:tr>
      <w:tr>
        <w:trPr>
          <w:trHeight w:val="248"/>
        </w:trPr>
        <w:tc>
          <w:tcPr>
            <w:tcW w:w="4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33,623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33,623</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Market</w:t>
            </w:r>
          </w:p>
        </w:tc>
      </w:tr>
      <w:tr>
        <w:trPr>
          <w:trHeight w:val="228"/>
        </w:trPr>
        <w:tc>
          <w:tcPr>
            <w:tcW w:w="450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6,333</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Market</w:t>
            </w:r>
          </w:p>
        </w:tc>
      </w:tr>
      <w:tr>
        <w:trPr>
          <w:trHeight w:val="27"/>
        </w:trPr>
        <w:tc>
          <w:tcPr>
            <w:tcW w:w="45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4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124,664</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7"/>
        </w:trPr>
        <w:tc>
          <w:tcPr>
            <w:tcW w:w="45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left="360" w:right="80"/>
        <w:spacing w:after="0" w:line="255" w:lineRule="auto"/>
        <w:rPr>
          <w:sz w:val="20"/>
          <w:szCs w:val="20"/>
          <w:color w:val="auto"/>
        </w:rPr>
      </w:pPr>
      <w:r>
        <w:rPr>
          <w:rFonts w:ascii="Arial" w:cs="Arial" w:eastAsia="Arial" w:hAnsi="Arial"/>
          <w:sz w:val="18"/>
          <w:szCs w:val="18"/>
          <w:color w:val="auto"/>
        </w:rPr>
        <w:t>As of September 30, 2018 and December 31, 2017, the Company had no liabilities that were measured at fair value on a recurring basis. The Company estimates fair value of outstanding debt using a discounted cash flows method based on current market interest rates for debt issuances with similar remaining years to maturity and adjusted for credit risk. The Company has estimated that the carrying value of the Term Loan Facility (defined below) approximates fair value. The fair value estimate is classified as Level 3 in the fair value hierarchy.</w:t>
      </w:r>
    </w:p>
    <w:p>
      <w:pPr>
        <w:spacing w:after="0" w:line="77" w:lineRule="exact"/>
        <w:rPr>
          <w:sz w:val="20"/>
          <w:szCs w:val="20"/>
          <w:color w:val="auto"/>
        </w:rPr>
      </w:pPr>
    </w:p>
    <w:p>
      <w:pPr>
        <w:ind w:left="360" w:hanging="355"/>
        <w:spacing w:after="0"/>
        <w:tabs>
          <w:tab w:leader="none" w:pos="3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2018 and December 31, 2017 restricted cash consisted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41"/>
        </w:trPr>
        <w:tc>
          <w:tcPr>
            <w:tcW w:w="38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2"/>
              </w:rPr>
              <w:t>Collateral for performance under customer agreements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lef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3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Collateral for LNG purchases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8"/>
        </w:trPr>
        <w:tc>
          <w:tcPr>
            <w:tcW w:w="38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Debt service reserve accounts</w:t>
            </w:r>
          </w:p>
        </w:tc>
        <w:tc>
          <w:tcPr>
            <w:tcW w:w="24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00" w:type="dxa"/>
            <w:vAlign w:val="bottom"/>
            <w:tcBorders>
              <w:left w:val="single" w:sz="8" w:color="CCEEFF"/>
            </w:tcBorders>
            <w:shd w:val="clear" w:color="auto" w:fill="CCEEFF"/>
          </w:tcPr>
          <w:p>
            <w:pPr>
              <w:spacing w:after="0"/>
              <w:rPr>
                <w:sz w:val="21"/>
                <w:szCs w:val="21"/>
                <w:color w:val="auto"/>
              </w:rPr>
            </w:pPr>
          </w:p>
        </w:tc>
        <w:tc>
          <w:tcPr>
            <w:tcW w:w="200" w:type="dxa"/>
            <w:vAlign w:val="bottom"/>
          </w:tcPr>
          <w:p>
            <w:pPr>
              <w:spacing w:after="0"/>
              <w:rPr>
                <w:sz w:val="21"/>
                <w:szCs w:val="21"/>
                <w:color w:val="auto"/>
              </w:rPr>
            </w:pPr>
          </w:p>
        </w:tc>
      </w:tr>
      <w:tr>
        <w:trPr>
          <w:trHeight w:val="235"/>
        </w:trPr>
        <w:tc>
          <w:tcPr>
            <w:tcW w:w="3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Customs and performance bonds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4"/>
        </w:trPr>
        <w:tc>
          <w:tcPr>
            <w:tcW w:w="38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restricted cash</w:t>
            </w:r>
          </w:p>
        </w:tc>
        <w:tc>
          <w:tcPr>
            <w:tcW w:w="24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lef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8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4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00" w:type="dxa"/>
            <w:vAlign w:val="bottom"/>
          </w:tcPr>
          <w:p>
            <w:pPr>
              <w:spacing w:after="0"/>
              <w:rPr>
                <w:sz w:val="2"/>
                <w:szCs w:val="2"/>
                <w:color w:val="auto"/>
              </w:rPr>
            </w:pPr>
          </w:p>
        </w:tc>
      </w:tr>
      <w:tr>
        <w:trPr>
          <w:trHeight w:val="228"/>
        </w:trPr>
        <w:tc>
          <w:tcPr>
            <w:tcW w:w="380" w:type="dxa"/>
            <w:vAlign w:val="bottom"/>
          </w:tcPr>
          <w:p>
            <w:pPr>
              <w:spacing w:after="0"/>
              <w:rPr>
                <w:sz w:val="19"/>
                <w:szCs w:val="19"/>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Total restricted cash</w:t>
            </w:r>
          </w:p>
        </w:tc>
        <w:tc>
          <w:tcPr>
            <w:tcW w:w="2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16,301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7"/>
        </w:trPr>
        <w:tc>
          <w:tcPr>
            <w:tcW w:w="3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1"/>
        </w:trPr>
        <w:tc>
          <w:tcPr>
            <w:tcW w:w="380" w:type="dxa"/>
            <w:vAlign w:val="bottom"/>
          </w:tcPr>
          <w:p>
            <w:pPr>
              <w:spacing w:after="0"/>
              <w:rPr>
                <w:sz w:val="20"/>
                <w:szCs w:val="20"/>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restricted cash</w:t>
            </w:r>
          </w:p>
        </w:tc>
        <w:tc>
          <w:tcPr>
            <w:tcW w:w="24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13,623</w:t>
            </w:r>
          </w:p>
        </w:tc>
        <w:tc>
          <w:tcPr>
            <w:tcW w:w="100" w:type="dxa"/>
            <w:vAlign w:val="bottom"/>
            <w:tcBorders>
              <w:lef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29"/>
        </w:trPr>
        <w:tc>
          <w:tcPr>
            <w:tcW w:w="380" w:type="dxa"/>
            <w:vAlign w:val="bottom"/>
          </w:tcPr>
          <w:p>
            <w:pPr>
              <w:spacing w:after="0"/>
              <w:rPr>
                <w:sz w:val="19"/>
                <w:szCs w:val="19"/>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Non-current restricted cash</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16,271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2"/>
        </w:trPr>
        <w:tc>
          <w:tcPr>
            <w:tcW w:w="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60" w:type="dxa"/>
            <w:vAlign w:val="bottom"/>
            <w:gridSpan w:val="2"/>
          </w:tcPr>
          <w:p>
            <w:pPr>
              <w:jc w:val="right"/>
              <w:ind w:right="2007"/>
              <w:spacing w:after="0"/>
              <w:rPr>
                <w:sz w:val="20"/>
                <w:szCs w:val="20"/>
                <w:color w:val="auto"/>
              </w:rPr>
            </w:pPr>
            <w:r>
              <w:rPr>
                <w:rFonts w:ascii="Arial" w:cs="Arial" w:eastAsia="Arial" w:hAnsi="Arial"/>
                <w:sz w:val="18"/>
                <w:szCs w:val="18"/>
                <w:color w:val="auto"/>
              </w:rPr>
              <w:t>F-13</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42"/>
        </w:trPr>
        <w:tc>
          <w:tcPr>
            <w:tcW w:w="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7"/>
        </w:trPr>
        <w:tc>
          <w:tcPr>
            <w:tcW w:w="380" w:type="dxa"/>
            <w:vAlign w:val="bottom"/>
            <w:shd w:val="clear" w:color="auto" w:fill="000000"/>
          </w:tcPr>
          <w:p>
            <w:pPr>
              <w:spacing w:after="0"/>
              <w:rPr>
                <w:sz w:val="5"/>
                <w:szCs w:val="5"/>
                <w:color w:val="auto"/>
              </w:rPr>
            </w:pPr>
          </w:p>
        </w:tc>
        <w:tc>
          <w:tcPr>
            <w:tcW w:w="4060" w:type="dxa"/>
            <w:vAlign w:val="bottom"/>
            <w:shd w:val="clear" w:color="auto" w:fill="000000"/>
          </w:tcPr>
          <w:p>
            <w:pPr>
              <w:spacing w:after="0"/>
              <w:rPr>
                <w:sz w:val="5"/>
                <w:szCs w:val="5"/>
                <w:color w:val="auto"/>
              </w:rPr>
            </w:pPr>
          </w:p>
        </w:tc>
        <w:tc>
          <w:tcPr>
            <w:tcW w:w="246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360" w:hanging="355"/>
        <w:spacing w:after="0"/>
        <w:tabs>
          <w:tab w:leader="none" w:pos="3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2018 and December 31, 2017 inventory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LNG and natural gas 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Materials, supplies and other.</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r>
      <w:tr>
        <w:trPr>
          <w:trHeight w:val="27"/>
        </w:trPr>
        <w:tc>
          <w:tcPr>
            <w:tcW w:w="6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52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89" w:lineRule="exact"/>
        <w:rPr>
          <w:sz w:val="20"/>
          <w:szCs w:val="20"/>
          <w:color w:val="auto"/>
        </w:rPr>
      </w:pPr>
    </w:p>
    <w:p>
      <w:pPr>
        <w:ind w:left="360" w:hanging="355"/>
        <w:spacing w:after="0"/>
        <w:tabs>
          <w:tab w:leader="none" w:pos="3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7"/>
          <w:szCs w:val="17"/>
          <w:color w:val="auto"/>
        </w:rPr>
        <w:t>As of September 30, 2018 and December 31, 2017 prepaid expenses and other current assets consisted of the following:</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LNG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80" w:type="dxa"/>
            <w:vAlign w:val="bottom"/>
            <w:shd w:val="clear" w:color="auto" w:fill="CCEEFF"/>
          </w:tcPr>
          <w:p>
            <w:pPr>
              <w:spacing w:after="0"/>
              <w:rPr>
                <w:sz w:val="20"/>
                <w:szCs w:val="20"/>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Prepaid charter costs</w:t>
            </w: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20"/>
                <w:szCs w:val="20"/>
                <w:color w:val="auto"/>
              </w:rPr>
            </w:pPr>
          </w:p>
        </w:tc>
      </w:tr>
      <w:tr>
        <w:trPr>
          <w:trHeight w:val="248"/>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80" w:type="dxa"/>
            <w:vAlign w:val="bottom"/>
            <w:shd w:val="clear" w:color="auto" w:fill="CCEEFF"/>
          </w:tcPr>
          <w:p>
            <w:pPr>
              <w:spacing w:after="0"/>
              <w:rPr>
                <w:sz w:val="21"/>
                <w:szCs w:val="21"/>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20"/>
                <w:szCs w:val="20"/>
                <w:color w:val="auto"/>
              </w:rPr>
            </w:pPr>
          </w:p>
        </w:tc>
      </w:tr>
      <w:tr>
        <w:trPr>
          <w:trHeight w:val="234"/>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20"/>
                <w:szCs w:val="20"/>
                <w:color w:val="auto"/>
              </w:rPr>
            </w:pPr>
          </w:p>
        </w:tc>
      </w:tr>
      <w:tr>
        <w:trPr>
          <w:trHeight w:val="27"/>
        </w:trPr>
        <w:tc>
          <w:tcPr>
            <w:tcW w:w="65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652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5,352</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24,875</w:t>
            </w:r>
          </w:p>
        </w:tc>
        <w:tc>
          <w:tcPr>
            <w:tcW w:w="8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ind w:left="360" w:right="20"/>
        <w:spacing w:after="0" w:line="274" w:lineRule="auto"/>
        <w:rPr>
          <w:sz w:val="20"/>
          <w:szCs w:val="20"/>
          <w:color w:val="auto"/>
        </w:rPr>
      </w:pPr>
      <w:r>
        <w:rPr>
          <w:rFonts w:ascii="Arial" w:cs="Arial" w:eastAsia="Arial" w:hAnsi="Arial"/>
          <w:sz w:val="18"/>
          <w:szCs w:val="18"/>
          <w:color w:val="auto"/>
        </w:rPr>
        <w:t>Prepaid LNG consists of payments for 2,808,587 MMBtus of LNG that have been prepaid by the Company as of December 31, 2017. The Company took delivery of these volumes in February 2018.</w:t>
      </w:r>
    </w:p>
    <w:p>
      <w:pPr>
        <w:spacing w:after="0" w:line="64" w:lineRule="exact"/>
        <w:rPr>
          <w:sz w:val="20"/>
          <w:szCs w:val="20"/>
          <w:color w:val="auto"/>
        </w:rPr>
      </w:pPr>
    </w:p>
    <w:p>
      <w:pPr>
        <w:ind w:left="360" w:right="180"/>
        <w:spacing w:after="0" w:line="257" w:lineRule="auto"/>
        <w:rPr>
          <w:sz w:val="20"/>
          <w:szCs w:val="20"/>
          <w:color w:val="auto"/>
        </w:rPr>
      </w:pPr>
      <w:r>
        <w:rPr>
          <w:rFonts w:ascii="Arial" w:cs="Arial" w:eastAsia="Arial" w:hAnsi="Arial"/>
          <w:sz w:val="18"/>
          <w:szCs w:val="18"/>
          <w:color w:val="auto"/>
        </w:rPr>
        <w:t>The balances of deposits as of September 30, 2018 and December 31, 2017 primarily consist of $900 attributed to gas supply reservation deposit and $135 attributed to a land lease deposit with a related party. The balance of other current assets as of September 30, 2018 primarily consists of IPO issuance costs incurred which will be netted against issuance proceeds upon completion of the offering.</w:t>
      </w:r>
    </w:p>
    <w:p>
      <w:pPr>
        <w:spacing w:after="0" w:line="75" w:lineRule="exact"/>
        <w:rPr>
          <w:sz w:val="20"/>
          <w:szCs w:val="20"/>
          <w:color w:val="auto"/>
        </w:rPr>
      </w:pPr>
    </w:p>
    <w:p>
      <w:pPr>
        <w:ind w:left="360" w:hanging="355"/>
        <w:spacing w:after="0"/>
        <w:tabs>
          <w:tab w:leader="none" w:pos="3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Available-for-sale-investment</w:t>
      </w:r>
    </w:p>
    <w:p>
      <w:pPr>
        <w:spacing w:after="0" w:line="118" w:lineRule="exact"/>
        <w:rPr>
          <w:rFonts w:ascii="Arial" w:cs="Arial" w:eastAsia="Arial" w:hAnsi="Arial"/>
          <w:sz w:val="18"/>
          <w:szCs w:val="18"/>
          <w:b w:val="1"/>
          <w:bCs w:val="1"/>
          <w:color w:val="auto"/>
        </w:rPr>
      </w:pPr>
    </w:p>
    <w:p>
      <w:pPr>
        <w:ind w:left="360" w:right="8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Through September 30, 2018, the Company invested in equity securities of an international oil and gas drilling contractor. The following tables present the number of shares, cost and fair value of the investment:</w:t>
      </w:r>
    </w:p>
    <w:p>
      <w:pPr>
        <w:sectPr>
          <w:pgSz w:w="12240" w:h="15840" w:orient="portrait"/>
          <w:cols w:equalWidth="0" w:num="1">
            <w:col w:w="9500"/>
          </w:cols>
          <w:pgMar w:left="1360" w:top="138" w:right="1380" w:bottom="1440" w:gutter="0" w:footer="0" w:header="0"/>
        </w:sectPr>
      </w:pPr>
    </w:p>
    <w:p>
      <w:pPr>
        <w:spacing w:after="0" w:line="391"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(in thousands of U.S. dollars except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20320</wp:posOffset>
            </wp:positionV>
            <wp:extent cx="35864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86480" cy="825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 investments</w:t>
      </w: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(in thousands of U.S. dollars except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20320</wp:posOffset>
            </wp:positionV>
            <wp:extent cx="35864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86480" cy="825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 investments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9164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16430" cy="825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1100" w:type="dxa"/>
            <w:vAlign w:val="bottom"/>
            <w:gridSpan w:val="2"/>
          </w:tcPr>
          <w:p>
            <w:pPr>
              <w:ind w:left="300"/>
              <w:spacing w:after="0"/>
              <w:rPr>
                <w:sz w:val="20"/>
                <w:szCs w:val="20"/>
                <w:color w:val="auto"/>
              </w:rPr>
            </w:pPr>
            <w:r>
              <w:rPr>
                <w:rFonts w:ascii="Arial" w:cs="Arial" w:eastAsia="Arial" w:hAnsi="Arial"/>
                <w:sz w:val="18"/>
                <w:szCs w:val="18"/>
                <w:color w:val="auto"/>
                <w:w w:val="97"/>
              </w:rPr>
              <w:t>1,476,280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3,667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6,776</w:t>
            </w:r>
          </w:p>
        </w:tc>
      </w:tr>
      <w:tr>
        <w:trPr>
          <w:trHeight w:val="241"/>
        </w:trPr>
        <w:tc>
          <w:tcPr>
            <w:tcW w:w="2220" w:type="dxa"/>
            <w:vAlign w:val="bottom"/>
            <w:tcBorders>
              <w:bottom w:val="single" w:sz="8" w:color="auto"/>
            </w:tcBorders>
            <w:gridSpan w:val="8"/>
          </w:tcPr>
          <w:p>
            <w:pPr>
              <w:jc w:val="center"/>
              <w:ind w:left="803"/>
              <w:spacing w:after="0"/>
              <w:rPr>
                <w:sz w:val="20"/>
                <w:szCs w:val="20"/>
                <w:color w:val="auto"/>
              </w:rPr>
            </w:pPr>
            <w:r>
              <w:rPr>
                <w:rFonts w:ascii="Arial" w:cs="Arial" w:eastAsia="Arial" w:hAnsi="Arial"/>
                <w:sz w:val="14"/>
                <w:szCs w:val="14"/>
                <w:b w:val="1"/>
                <w:bCs w:val="1"/>
                <w:color w:val="auto"/>
                <w:w w:val="90"/>
              </w:rPr>
              <w:t>December 31, 2017</w:t>
            </w:r>
          </w:p>
        </w:tc>
        <w:tc>
          <w:tcPr>
            <w:tcW w:w="800" w:type="dxa"/>
            <w:vAlign w:val="bottom"/>
            <w:tcBorders>
              <w:bottom w:val="single" w:sz="8" w:color="auto"/>
            </w:tcBorders>
          </w:tcPr>
          <w:p>
            <w:pPr>
              <w:spacing w:after="0"/>
              <w:rPr>
                <w:sz w:val="20"/>
                <w:szCs w:val="20"/>
                <w:color w:val="auto"/>
              </w:rPr>
            </w:pPr>
          </w:p>
        </w:tc>
      </w:tr>
      <w:tr>
        <w:trPr>
          <w:trHeight w:val="172"/>
        </w:trPr>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1100" w:type="dxa"/>
            <w:vAlign w:val="bottom"/>
            <w:gridSpan w:val="2"/>
          </w:tcPr>
          <w:p>
            <w:pPr>
              <w:ind w:left="300"/>
              <w:spacing w:after="0"/>
              <w:rPr>
                <w:sz w:val="20"/>
                <w:szCs w:val="20"/>
                <w:color w:val="auto"/>
              </w:rPr>
            </w:pPr>
            <w:r>
              <w:rPr>
                <w:rFonts w:ascii="Arial" w:cs="Arial" w:eastAsia="Arial" w:hAnsi="Arial"/>
                <w:sz w:val="18"/>
                <w:szCs w:val="18"/>
                <w:color w:val="auto"/>
                <w:w w:val="97"/>
              </w:rPr>
              <w:t>1,476,280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3,667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-689610</wp:posOffset>
            </wp:positionV>
            <wp:extent cx="5664835" cy="153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64835" cy="153035"/>
                    </a:xfrm>
                    <a:prstGeom prst="rect">
                      <a:avLst/>
                    </a:prstGeom>
                    <a:noFill/>
                  </pic:spPr>
                </pic:pic>
              </a:graphicData>
            </a:graphic>
          </wp:anchor>
        </w:drawing>
        <w:drawing>
          <wp:anchor simplePos="0" relativeHeight="251657728" behindDoc="1" locked="0" layoutInCell="0" allowOverlap="1">
            <wp:simplePos x="0" y="0"/>
            <wp:positionH relativeFrom="column">
              <wp:posOffset>-3694430</wp:posOffset>
            </wp:positionH>
            <wp:positionV relativeFrom="paragraph">
              <wp:posOffset>-144145</wp:posOffset>
            </wp:positionV>
            <wp:extent cx="5664835" cy="153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64835" cy="153035"/>
                    </a:xfrm>
                    <a:prstGeom prst="rect">
                      <a:avLst/>
                    </a:prstGeom>
                    <a:noFill/>
                  </pic:spPr>
                </pic:pic>
              </a:graphicData>
            </a:graphic>
          </wp:anchor>
        </w:drawing>
      </w:r>
    </w:p>
    <w:p>
      <w:pPr>
        <w:spacing w:after="0" w:line="106" w:lineRule="exact"/>
        <w:rPr>
          <w:sz w:val="20"/>
          <w:szCs w:val="20"/>
          <w:color w:val="auto"/>
        </w:rPr>
      </w:pPr>
    </w:p>
    <w:p>
      <w:pPr>
        <w:sectPr>
          <w:pgSz w:w="12240" w:h="15840" w:orient="portrait"/>
          <w:cols w:equalWidth="0" w:num="2">
            <w:col w:w="5480" w:space="720"/>
            <w:col w:w="3300"/>
          </w:cols>
          <w:pgMar w:left="1360" w:top="138" w:right="1380" w:bottom="1440" w:gutter="0" w:footer="0" w:header="0"/>
          <w:type w:val="continuous"/>
        </w:sectPr>
      </w:pPr>
    </w:p>
    <w:p>
      <w:pPr>
        <w:ind w:left="360" w:right="260"/>
        <w:spacing w:after="0" w:line="274" w:lineRule="auto"/>
        <w:rPr>
          <w:sz w:val="20"/>
          <w:szCs w:val="20"/>
          <w:color w:val="auto"/>
        </w:rPr>
      </w:pPr>
      <w:r>
        <w:rPr>
          <w:rFonts w:ascii="Arial" w:cs="Arial" w:eastAsia="Arial" w:hAnsi="Arial"/>
          <w:sz w:val="18"/>
          <w:szCs w:val="18"/>
          <w:color w:val="auto"/>
        </w:rPr>
        <w:t>The movement of available-for-sale financial assets during the nine-month period ended September 30, 2018 is summarized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41"/>
        </w:trPr>
        <w:tc>
          <w:tcPr>
            <w:tcW w:w="38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380" w:type="dxa"/>
            <w:vAlign w:val="bottom"/>
          </w:tcPr>
          <w:p>
            <w:pPr>
              <w:spacing w:after="0"/>
              <w:rPr>
                <w:sz w:val="20"/>
                <w:szCs w:val="20"/>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234"/>
        </w:trPr>
        <w:tc>
          <w:tcPr>
            <w:tcW w:w="380" w:type="dxa"/>
            <w:vAlign w:val="bottom"/>
          </w:tcPr>
          <w:p>
            <w:pPr>
              <w:spacing w:after="0"/>
              <w:rPr>
                <w:sz w:val="20"/>
                <w:szCs w:val="20"/>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w:t>
            </w:r>
          </w:p>
        </w:tc>
        <w:tc>
          <w:tcPr>
            <w:tcW w:w="45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80" w:type="dxa"/>
            <w:vAlign w:val="bottom"/>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45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Pr>
          <w:p>
            <w:pPr>
              <w:spacing w:after="0"/>
              <w:rPr>
                <w:sz w:val="2"/>
                <w:szCs w:val="2"/>
                <w:color w:val="auto"/>
              </w:rPr>
            </w:pPr>
          </w:p>
        </w:tc>
      </w:tr>
      <w:tr>
        <w:trPr>
          <w:trHeight w:val="228"/>
        </w:trPr>
        <w:tc>
          <w:tcPr>
            <w:tcW w:w="38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4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36"/>
        </w:trPr>
        <w:tc>
          <w:tcPr>
            <w:tcW w:w="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520" w:type="dxa"/>
            <w:vAlign w:val="bottom"/>
          </w:tcPr>
          <w:p>
            <w:pPr>
              <w:ind w:left="1000"/>
              <w:spacing w:after="0"/>
              <w:rPr>
                <w:sz w:val="20"/>
                <w:szCs w:val="20"/>
                <w:color w:val="auto"/>
              </w:rPr>
            </w:pPr>
            <w:r>
              <w:rPr>
                <w:rFonts w:ascii="Arial" w:cs="Arial" w:eastAsia="Arial" w:hAnsi="Arial"/>
                <w:sz w:val="18"/>
                <w:szCs w:val="18"/>
                <w:color w:val="auto"/>
              </w:rPr>
              <w:t>F-14</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42"/>
        </w:trPr>
        <w:tc>
          <w:tcPr>
            <w:tcW w:w="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7"/>
        </w:trPr>
        <w:tc>
          <w:tcPr>
            <w:tcW w:w="380" w:type="dxa"/>
            <w:vAlign w:val="bottom"/>
            <w:shd w:val="clear" w:color="auto" w:fill="000000"/>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452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type w:val="continuous"/>
        </w:sectPr>
      </w:pPr>
    </w:p>
    <w:bookmarkStart w:id="153" w:name="page154"/>
    <w:bookmarkEnd w:id="1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360" w:hanging="355"/>
        <w:spacing w:after="0"/>
        <w:tabs>
          <w:tab w:leader="none" w:pos="3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in progress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Company’s construction in progress activity during the nine-month period ended September 30, 2018 is detailed below:</w:t>
      </w:r>
    </w:p>
    <w:p>
      <w:pPr>
        <w:spacing w:after="0" w:line="10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September 30,</w:t>
            </w:r>
          </w:p>
        </w:tc>
      </w:tr>
      <w:tr>
        <w:trPr>
          <w:trHeight w:val="177"/>
        </w:trPr>
        <w:tc>
          <w:tcPr>
            <w:tcW w:w="7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41"/>
        </w:trPr>
        <w:tc>
          <w:tcPr>
            <w:tcW w:w="7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35,413</w:t>
            </w:r>
          </w:p>
        </w:tc>
        <w:tc>
          <w:tcPr>
            <w:tcW w:w="100" w:type="dxa"/>
            <w:vAlign w:val="bottom"/>
            <w:tcBorders>
              <w:left w:val="single" w:sz="8" w:color="CCEEFF"/>
            </w:tcBorders>
            <w:shd w:val="clear" w:color="auto" w:fill="CCEEFF"/>
          </w:tcPr>
          <w:p>
            <w:pPr>
              <w:spacing w:after="0"/>
              <w:rPr>
                <w:sz w:val="20"/>
                <w:szCs w:val="20"/>
                <w:color w:val="auto"/>
              </w:rPr>
            </w:pPr>
          </w:p>
        </w:tc>
      </w:tr>
      <w:tr>
        <w:trPr>
          <w:trHeight w:val="235"/>
        </w:trPr>
        <w:tc>
          <w:tcPr>
            <w:tcW w:w="77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125,460</w:t>
            </w:r>
          </w:p>
        </w:tc>
        <w:tc>
          <w:tcPr>
            <w:tcW w:w="100" w:type="dxa"/>
            <w:vAlign w:val="bottom"/>
          </w:tcPr>
          <w:p>
            <w:pPr>
              <w:spacing w:after="0"/>
              <w:rPr>
                <w:sz w:val="20"/>
                <w:szCs w:val="20"/>
                <w:color w:val="auto"/>
              </w:rPr>
            </w:pPr>
          </w:p>
        </w:tc>
      </w:tr>
      <w:tr>
        <w:trPr>
          <w:trHeight w:val="248"/>
        </w:trPr>
        <w:tc>
          <w:tcPr>
            <w:tcW w:w="7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Transferred to finance leases, net (Note 11).</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8"/>
        </w:trPr>
        <w:tc>
          <w:tcPr>
            <w:tcW w:w="7720" w:type="dxa"/>
            <w:vAlign w:val="bottom"/>
          </w:tcPr>
          <w:p>
            <w:pPr>
              <w:ind w:left="180"/>
              <w:spacing w:after="0"/>
              <w:rPr>
                <w:sz w:val="20"/>
                <w:szCs w:val="20"/>
                <w:color w:val="auto"/>
              </w:rPr>
            </w:pPr>
            <w:r>
              <w:rPr>
                <w:rFonts w:ascii="Arial" w:cs="Arial" w:eastAsia="Arial" w:hAnsi="Arial"/>
                <w:sz w:val="18"/>
                <w:szCs w:val="18"/>
                <w:color w:val="auto"/>
              </w:rPr>
              <w:t>Transferred to property, plant and equipment, net (Note 10)</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r>
      <w:tr>
        <w:trPr>
          <w:trHeight w:val="27"/>
        </w:trPr>
        <w:tc>
          <w:tcPr>
            <w:tcW w:w="77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7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160,043</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772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89" w:lineRule="exact"/>
        <w:rPr>
          <w:sz w:val="20"/>
          <w:szCs w:val="20"/>
          <w:color w:val="auto"/>
        </w:rPr>
      </w:pPr>
    </w:p>
    <w:p>
      <w:pPr>
        <w:ind w:left="360" w:hanging="355"/>
        <w:spacing w:after="0"/>
        <w:tabs>
          <w:tab w:leader="none" w:pos="3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At September 30, 2018 and December 31, 2017 the Company’s property, plant and equipment, net consisted of the following:</w:t>
      </w:r>
    </w:p>
    <w:p>
      <w:pPr>
        <w:spacing w:after="0" w:line="10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68,217</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66,203</w:t>
            </w:r>
          </w:p>
        </w:tc>
        <w:tc>
          <w:tcPr>
            <w:tcW w:w="80" w:type="dxa"/>
            <w:vAlign w:val="bottom"/>
            <w:shd w:val="clear" w:color="auto" w:fill="CCEEFF"/>
          </w:tcPr>
          <w:p>
            <w:pPr>
              <w:spacing w:after="0"/>
              <w:rPr>
                <w:sz w:val="20"/>
                <w:szCs w:val="20"/>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9,841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8"/>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ISO containers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7,899</w:t>
            </w:r>
          </w:p>
        </w:tc>
        <w:tc>
          <w:tcPr>
            <w:tcW w:w="80" w:type="dxa"/>
            <w:vAlign w:val="bottom"/>
          </w:tcPr>
          <w:p>
            <w:pPr>
              <w:spacing w:after="0"/>
              <w:rPr>
                <w:sz w:val="20"/>
                <w:szCs w:val="20"/>
                <w:color w:val="auto"/>
              </w:rPr>
            </w:pPr>
          </w:p>
        </w:tc>
      </w:tr>
      <w:tr>
        <w:trPr>
          <w:trHeight w:val="248"/>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21"/>
                <w:szCs w:val="21"/>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20"/>
                <w:szCs w:val="20"/>
                <w:color w:val="auto"/>
              </w:rPr>
            </w:pPr>
          </w:p>
        </w:tc>
      </w:tr>
      <w:tr>
        <w:trPr>
          <w:trHeight w:val="234"/>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(5,592)</w:t>
            </w:r>
          </w:p>
        </w:tc>
      </w:tr>
      <w:tr>
        <w:trPr>
          <w:trHeight w:val="27"/>
        </w:trPr>
        <w:tc>
          <w:tcPr>
            <w:tcW w:w="65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6520" w:type="dxa"/>
            <w:vAlign w:val="bottom"/>
          </w:tcPr>
          <w:p>
            <w:pPr>
              <w:ind w:left="180"/>
              <w:spacing w:after="0"/>
              <w:rPr>
                <w:sz w:val="20"/>
                <w:szCs w:val="20"/>
                <w:color w:val="auto"/>
              </w:rPr>
            </w:pPr>
            <w:r>
              <w:rPr>
                <w:rFonts w:ascii="Arial" w:cs="Arial" w:eastAsia="Arial" w:hAnsi="Arial"/>
                <w:sz w:val="18"/>
                <w:szCs w:val="18"/>
                <w:color w:val="auto"/>
              </w:rPr>
              <w:t>Total property, plant and equipment,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85,526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69,350</w:t>
            </w:r>
          </w:p>
        </w:tc>
        <w:tc>
          <w:tcPr>
            <w:tcW w:w="8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ind w:left="360" w:right="80"/>
        <w:spacing w:after="0" w:line="261" w:lineRule="auto"/>
        <w:rPr>
          <w:sz w:val="20"/>
          <w:szCs w:val="20"/>
          <w:color w:val="auto"/>
        </w:rPr>
      </w:pPr>
      <w:r>
        <w:rPr>
          <w:rFonts w:ascii="Arial" w:cs="Arial" w:eastAsia="Arial" w:hAnsi="Arial"/>
          <w:sz w:val="18"/>
          <w:szCs w:val="18"/>
          <w:color w:val="auto"/>
        </w:rPr>
        <w:t>Depreciation for nine months ended September 30, 2018 and September 30, 2017 totaled $2,776 and $2,334, respectively, of which $518 and $319 is respectively included within Cost of sales in the condensed consolidated statements of operations and comprehensive loss.</w:t>
      </w:r>
    </w:p>
    <w:p>
      <w:pPr>
        <w:spacing w:after="0" w:line="72" w:lineRule="exact"/>
        <w:rPr>
          <w:sz w:val="20"/>
          <w:szCs w:val="20"/>
          <w:color w:val="auto"/>
        </w:rPr>
      </w:pPr>
    </w:p>
    <w:p>
      <w:pPr>
        <w:ind w:left="360" w:hanging="355"/>
        <w:spacing w:after="0"/>
        <w:tabs>
          <w:tab w:leader="none" w:pos="3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leases, net</w:t>
      </w:r>
    </w:p>
    <w:p>
      <w:pPr>
        <w:spacing w:after="0" w:line="118" w:lineRule="exact"/>
        <w:rPr>
          <w:rFonts w:ascii="Arial" w:cs="Arial" w:eastAsia="Arial" w:hAnsi="Arial"/>
          <w:sz w:val="18"/>
          <w:szCs w:val="18"/>
          <w:b w:val="1"/>
          <w:bCs w:val="1"/>
          <w:color w:val="auto"/>
        </w:rPr>
      </w:pPr>
    </w:p>
    <w:p>
      <w:pPr>
        <w:ind w:left="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placed its Montego Bay LNG terminal into service on October 30, 2016, which has been accounted for as a direct finance lease. In addition, the Company also has entered into other arrangements to lease equipment to customers which are accounted for as direct finance leases. The components of the direct finance leases as of September 30, 2018 and December 31, 2017 are as follows:</w:t>
      </w:r>
    </w:p>
    <w:p>
      <w:pPr>
        <w:spacing w:after="0" w:line="4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310,968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323,281</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Unearned income</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(216,542)</w:t>
            </w: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(228,026)</w:t>
            </w:r>
          </w:p>
        </w:tc>
      </w:tr>
      <w:tr>
        <w:trPr>
          <w:trHeight w:val="27"/>
        </w:trPr>
        <w:tc>
          <w:tcPr>
            <w:tcW w:w="6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finance leases,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95,255</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52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r>
        <w:trPr>
          <w:trHeight w:val="235"/>
        </w:trPr>
        <w:tc>
          <w:tcPr>
            <w:tcW w:w="6520" w:type="dxa"/>
            <w:vAlign w:val="bottom"/>
          </w:tcPr>
          <w:p>
            <w:pPr>
              <w:ind w:left="180"/>
              <w:spacing w:after="0"/>
              <w:rPr>
                <w:sz w:val="20"/>
                <w:szCs w:val="20"/>
                <w:color w:val="auto"/>
              </w:rPr>
            </w:pPr>
            <w:r>
              <w:rPr>
                <w:rFonts w:ascii="Arial" w:cs="Arial" w:eastAsia="Arial" w:hAnsi="Arial"/>
                <w:sz w:val="18"/>
                <w:szCs w:val="18"/>
                <w:color w:val="auto"/>
              </w:rPr>
              <w:t>Current portion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r>
      <w:tr>
        <w:trPr>
          <w:trHeight w:val="248"/>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portion</w:t>
            </w:r>
          </w:p>
        </w:tc>
        <w:tc>
          <w:tcPr>
            <w:tcW w:w="1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93,234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94,077</w:t>
            </w:r>
          </w:p>
        </w:tc>
        <w:tc>
          <w:tcPr>
            <w:tcW w:w="100" w:type="dxa"/>
            <w:vAlign w:val="bottom"/>
            <w:tcBorders>
              <w:left w:val="single" w:sz="8" w:color="CCEEFF"/>
            </w:tcBorders>
            <w:shd w:val="clear" w:color="auto" w:fill="CCEEFF"/>
          </w:tcPr>
          <w:p>
            <w:pPr>
              <w:spacing w:after="0"/>
              <w:rPr>
                <w:sz w:val="21"/>
                <w:szCs w:val="21"/>
                <w:color w:val="auto"/>
              </w:rPr>
            </w:pPr>
          </w:p>
        </w:tc>
      </w:tr>
    </w:tbl>
    <w:p>
      <w:pPr>
        <w:spacing w:after="0" w:line="93" w:lineRule="exact"/>
        <w:rPr>
          <w:sz w:val="20"/>
          <w:szCs w:val="20"/>
          <w:color w:val="auto"/>
        </w:rPr>
      </w:pPr>
    </w:p>
    <w:p>
      <w:pPr>
        <w:ind w:left="360" w:right="200"/>
        <w:spacing w:after="0" w:line="261" w:lineRule="auto"/>
        <w:rPr>
          <w:sz w:val="20"/>
          <w:szCs w:val="20"/>
          <w:color w:val="auto"/>
        </w:rPr>
      </w:pPr>
      <w:r>
        <w:rPr>
          <w:rFonts w:ascii="Arial" w:cs="Arial" w:eastAsia="Arial" w:hAnsi="Arial"/>
          <w:sz w:val="18"/>
          <w:szCs w:val="18"/>
          <w:color w:val="auto"/>
        </w:rPr>
        <w:t>Receivables related to the Company’s direct finance leases are primarily with a national utility that generates consistent cash flow. Therefore, the Company does not expect a material impact to the results of operations or financial position due to nonperformance from such counterparty.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09" w:lineRule="exact"/>
        <w:rPr>
          <w:sz w:val="20"/>
          <w:szCs w:val="20"/>
          <w:color w:val="auto"/>
        </w:rPr>
      </w:pPr>
    </w:p>
    <w:p>
      <w:pPr>
        <w:ind w:left="360" w:hanging="355"/>
        <w:spacing w:after="0"/>
        <w:tabs>
          <w:tab w:leader="none" w:pos="3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2018 and December, 31 2017 other non-current assets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Easements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Port access rights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12,671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8"/>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Payments to incumbent tenants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Deposit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4"/>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left w:val="single" w:sz="8" w:color="CCEEFF"/>
            </w:tcBorders>
            <w:shd w:val="clear" w:color="auto" w:fill="CCEEFF"/>
          </w:tcPr>
          <w:p>
            <w:pPr>
              <w:spacing w:after="0"/>
              <w:rPr>
                <w:sz w:val="20"/>
                <w:szCs w:val="20"/>
                <w:color w:val="auto"/>
              </w:rPr>
            </w:pPr>
          </w:p>
        </w:tc>
      </w:tr>
      <w:tr>
        <w:trPr>
          <w:trHeight w:val="27"/>
        </w:trPr>
        <w:tc>
          <w:tcPr>
            <w:tcW w:w="65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Total other non-current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26,450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r>
      <w:tr>
        <w:trPr>
          <w:trHeight w:val="20"/>
        </w:trPr>
        <w:tc>
          <w:tcPr>
            <w:tcW w:w="65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6" w:lineRule="exact"/>
        <w:rPr>
          <w:sz w:val="20"/>
          <w:szCs w:val="20"/>
          <w:color w:val="auto"/>
        </w:rPr>
      </w:pPr>
    </w:p>
    <w:p>
      <w:pPr>
        <w:ind w:left="360" w:right="140"/>
        <w:spacing w:after="0" w:line="299" w:lineRule="auto"/>
        <w:rPr>
          <w:sz w:val="20"/>
          <w:szCs w:val="20"/>
          <w:color w:val="auto"/>
        </w:rPr>
      </w:pPr>
      <w:r>
        <w:rPr>
          <w:rFonts w:ascii="Arial" w:cs="Arial" w:eastAsia="Arial" w:hAnsi="Arial"/>
          <w:sz w:val="16"/>
          <w:szCs w:val="16"/>
          <w:color w:val="auto"/>
        </w:rPr>
        <w:t>Port access rights related to the Company’s port lease in Baja California Sur, Mexico, represent capitalized initial direct costs of entering the lease and are amortized straight-line over the lease term as additional rent expense. Payments to incumbent tenants represent capitalized payments made to previous lessees to secure the Company’s port lease in San Juan, Puerto Rico, and are also amortized straight-line over the lease term as additional rent expense. See footnote 18 for more detail.</w:t>
      </w:r>
    </w:p>
    <w:p>
      <w:pPr>
        <w:spacing w:after="0" w:line="45" w:lineRule="exact"/>
        <w:rPr>
          <w:sz w:val="20"/>
          <w:szCs w:val="20"/>
          <w:color w:val="auto"/>
        </w:rPr>
      </w:pPr>
    </w:p>
    <w:p>
      <w:pPr>
        <w:ind w:left="360" w:hanging="355"/>
        <w:spacing w:after="0"/>
        <w:tabs>
          <w:tab w:leader="none" w:pos="3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2018 and December 31, 2017 accrued liabilities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Accrued bonuses</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10,303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8,620</w:t>
            </w:r>
          </w:p>
        </w:tc>
        <w:tc>
          <w:tcPr>
            <w:tcW w:w="100" w:type="dxa"/>
            <w:vAlign w:val="bottom"/>
          </w:tcPr>
          <w:p>
            <w:pPr>
              <w:spacing w:after="0"/>
              <w:rPr>
                <w:sz w:val="19"/>
                <w:szCs w:val="19"/>
                <w:color w:val="auto"/>
              </w:rPr>
            </w:pPr>
          </w:p>
        </w:tc>
      </w:tr>
      <w:tr>
        <w:trPr>
          <w:trHeight w:val="27"/>
        </w:trPr>
        <w:tc>
          <w:tcPr>
            <w:tcW w:w="6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52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89" w:lineRule="exact"/>
        <w:rPr>
          <w:sz w:val="20"/>
          <w:szCs w:val="20"/>
          <w:color w:val="auto"/>
        </w:rPr>
      </w:pPr>
    </w:p>
    <w:p>
      <w:pPr>
        <w:ind w:left="360" w:hanging="355"/>
        <w:spacing w:after="0"/>
        <w:tabs>
          <w:tab w:leader="none" w:pos="3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2018 and December 31, 2017 long-term debt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6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241"/>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 Facility, due August 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121,970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Montego Bay Loan, due June 2023</w:t>
            </w: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36,504</w:t>
            </w:r>
          </w:p>
        </w:tc>
        <w:tc>
          <w:tcPr>
            <w:tcW w:w="80" w:type="dxa"/>
            <w:vAlign w:val="bottom"/>
          </w:tcPr>
          <w:p>
            <w:pPr>
              <w:spacing w:after="0"/>
              <w:rPr>
                <w:sz w:val="20"/>
                <w:szCs w:val="20"/>
                <w:color w:val="auto"/>
              </w:rPr>
            </w:pPr>
          </w:p>
        </w:tc>
      </w:tr>
      <w:tr>
        <w:trPr>
          <w:trHeight w:val="234"/>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Miami Loan, Due November 2019</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38,749</w:t>
            </w:r>
          </w:p>
        </w:tc>
        <w:tc>
          <w:tcPr>
            <w:tcW w:w="80" w:type="dxa"/>
            <w:vAlign w:val="bottom"/>
            <w:shd w:val="clear" w:color="auto" w:fill="CCEEFF"/>
          </w:tcPr>
          <w:p>
            <w:pPr>
              <w:spacing w:after="0"/>
              <w:rPr>
                <w:sz w:val="20"/>
                <w:szCs w:val="20"/>
                <w:color w:val="auto"/>
              </w:rPr>
            </w:pPr>
          </w:p>
        </w:tc>
      </w:tr>
      <w:tr>
        <w:trPr>
          <w:trHeight w:val="27"/>
        </w:trPr>
        <w:tc>
          <w:tcPr>
            <w:tcW w:w="65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652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121,970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75,253</w:t>
            </w:r>
          </w:p>
        </w:tc>
        <w:tc>
          <w:tcPr>
            <w:tcW w:w="8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1"/>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121,970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80" w:type="dxa"/>
            <w:vAlign w:val="bottom"/>
            <w:shd w:val="clear" w:color="auto" w:fill="CCEEFF"/>
          </w:tcPr>
          <w:p>
            <w:pPr>
              <w:spacing w:after="0"/>
              <w:rPr>
                <w:sz w:val="20"/>
                <w:szCs w:val="20"/>
                <w:color w:val="auto"/>
              </w:rPr>
            </w:pPr>
          </w:p>
        </w:tc>
      </w:tr>
      <w:tr>
        <w:trPr>
          <w:trHeight w:val="229"/>
        </w:trPr>
        <w:tc>
          <w:tcPr>
            <w:tcW w:w="6520" w:type="dxa"/>
            <w:vAlign w:val="bottom"/>
          </w:tcPr>
          <w:p>
            <w:pPr>
              <w:ind w:left="180"/>
              <w:spacing w:after="0"/>
              <w:rPr>
                <w:sz w:val="20"/>
                <w:szCs w:val="20"/>
                <w:color w:val="auto"/>
              </w:rPr>
            </w:pPr>
            <w:r>
              <w:rPr>
                <w:rFonts w:ascii="Arial" w:cs="Arial" w:eastAsia="Arial" w:hAnsi="Arial"/>
                <w:sz w:val="18"/>
                <w:szCs w:val="18"/>
                <w:color w:val="auto"/>
              </w:rPr>
              <w:t>Non-current portion of long-term debt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69,425</w:t>
            </w:r>
          </w:p>
        </w:tc>
        <w:tc>
          <w:tcPr>
            <w:tcW w:w="80" w:type="dxa"/>
            <w:vAlign w:val="bottom"/>
          </w:tcPr>
          <w:p>
            <w:pPr>
              <w:spacing w:after="0"/>
              <w:rPr>
                <w:sz w:val="19"/>
                <w:szCs w:val="19"/>
                <w:color w:val="auto"/>
              </w:rPr>
            </w:pPr>
          </w:p>
        </w:tc>
      </w:tr>
    </w:tbl>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Term Loan Facility</w:t>
      </w:r>
    </w:p>
    <w:p>
      <w:pPr>
        <w:spacing w:after="0" w:line="115" w:lineRule="exact"/>
        <w:rPr>
          <w:sz w:val="20"/>
          <w:szCs w:val="20"/>
          <w:color w:val="auto"/>
        </w:rPr>
      </w:pPr>
    </w:p>
    <w:p>
      <w:pPr>
        <w:ind w:left="360"/>
        <w:spacing w:after="0" w:line="287" w:lineRule="auto"/>
        <w:rPr>
          <w:sz w:val="20"/>
          <w:szCs w:val="20"/>
          <w:color w:val="auto"/>
        </w:rPr>
      </w:pPr>
      <w:r>
        <w:rPr>
          <w:rFonts w:ascii="Arial" w:cs="Arial" w:eastAsia="Arial" w:hAnsi="Arial"/>
          <w:sz w:val="16"/>
          <w:szCs w:val="16"/>
          <w:color w:val="auto"/>
        </w:rPr>
        <w:t>On August 16, 2018, the Company entered into a Term Loan Facility (the “Term Loan Facility”) to borrow up to an aggregate principal amount of $240,000. Borrowings under the Term Loan Facility bear interest at a rate selected by the Company of either (i) a LIBOR based rate, plus a spread of 4.0%, or (ii) subject to a floor of 1%, a Base Rate equal to the higher of (a) the Prime Rate, (b) the Federal Funds Rate plus 1⁄2 of 1% or (c) the 1-month LIBOR rate plus the difference between the applicable LIBOR margin and Base Rate margin, plus a spread of 3.0%. The Term Loan Facility is set to mature on August 14, 2019 and is repayable in quarterly installments of $600, with a balloon payment due on the maturity date. The Company has the option to extend the maturity date for two additional six 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13" w:lineRule="exact"/>
        <w:rPr>
          <w:sz w:val="20"/>
          <w:szCs w:val="20"/>
          <w:color w:val="auto"/>
        </w:rPr>
      </w:pPr>
    </w:p>
    <w:p>
      <w:pPr>
        <w:ind w:left="360"/>
        <w:spacing w:after="0" w:line="299"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in indebtedness, liens, acquisitions and investments, restricted payments and dispositions. The Term Loan Facility also provides for customary events of default, prepayment and cure provisions.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initially borrowed $130,000 under the Term Loan Facility. The Company paid origination and other fees of</w:t>
      </w:r>
    </w:p>
    <w:p>
      <w:pPr>
        <w:spacing w:after="0" w:line="34" w:lineRule="exact"/>
        <w:rPr>
          <w:sz w:val="20"/>
          <w:szCs w:val="20"/>
          <w:color w:val="auto"/>
        </w:rPr>
      </w:pPr>
    </w:p>
    <w:p>
      <w:pPr>
        <w:ind w:left="360" w:right="40"/>
        <w:spacing w:after="0" w:line="275" w:lineRule="auto"/>
        <w:rPr>
          <w:sz w:val="20"/>
          <w:szCs w:val="20"/>
          <w:color w:val="auto"/>
        </w:rPr>
      </w:pPr>
      <w:r>
        <w:rPr>
          <w:rFonts w:ascii="Arial" w:cs="Arial" w:eastAsia="Arial" w:hAnsi="Arial"/>
          <w:sz w:val="17"/>
          <w:szCs w:val="17"/>
          <w:color w:val="auto"/>
        </w:rPr>
        <w:t>$9,050. These costs are capitalized as deferred financing costs and recorded as a reduction in current portion of long-term debt on the condensed consolidated balance sheets, of which $8,030 is unamortized as of September 30, 2018. Interest expense, inclusive of amortized debt fees for the nine months ended September 30, 2018, totaled $2,028.</w:t>
      </w:r>
    </w:p>
    <w:p>
      <w:pPr>
        <w:spacing w:after="0" w:line="65" w:lineRule="exact"/>
        <w:rPr>
          <w:sz w:val="20"/>
          <w:szCs w:val="20"/>
          <w:color w:val="auto"/>
        </w:rPr>
      </w:pPr>
    </w:p>
    <w:p>
      <w:pPr>
        <w:ind w:left="360" w:right="260"/>
        <w:spacing w:after="0" w:line="261" w:lineRule="auto"/>
        <w:rPr>
          <w:sz w:val="20"/>
          <w:szCs w:val="20"/>
          <w:color w:val="auto"/>
        </w:rPr>
      </w:pPr>
      <w:r>
        <w:rPr>
          <w:rFonts w:ascii="Arial" w:cs="Arial" w:eastAsia="Arial" w:hAnsi="Arial"/>
          <w:sz w:val="18"/>
          <w:szCs w:val="18"/>
          <w:color w:val="auto"/>
        </w:rPr>
        <w:t>The Company used the net proceeds of the Term Loan Facility to repay both the Miami Loan and the MoBay Loan, and the remaining proceeds will be used for capital expenditures to complete the Old Harbour Terminal, as well as for additional storage and regasification facilities for small-scale customers.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Montego Bay Loan</w:t>
      </w:r>
    </w:p>
    <w:p>
      <w:pPr>
        <w:spacing w:after="0" w:line="115" w:lineRule="exact"/>
        <w:rPr>
          <w:sz w:val="20"/>
          <w:szCs w:val="20"/>
          <w:color w:val="auto"/>
        </w:rPr>
      </w:pPr>
    </w:p>
    <w:p>
      <w:pPr>
        <w:ind w:left="360" w:right="80"/>
        <w:spacing w:after="0" w:line="254" w:lineRule="auto"/>
        <w:rPr>
          <w:sz w:val="20"/>
          <w:szCs w:val="20"/>
          <w:color w:val="auto"/>
        </w:rPr>
      </w:pPr>
      <w:r>
        <w:rPr>
          <w:rFonts w:ascii="Arial" w:cs="Arial" w:eastAsia="Arial" w:hAnsi="Arial"/>
          <w:sz w:val="18"/>
          <w:szCs w:val="18"/>
          <w:color w:val="auto"/>
        </w:rPr>
        <w:t>In June 2016, NFE North Holdings Limited (“NNHL”), a subsidiary, entered into a Syndicated Loan Agreement (the “MoBay Loan”) with National Commercial Bank Jamaica Limited for an aggregate amount of $44,000, maturing on June 5, 2023, in connection with the construction of the LNG Terminal in Montego Bay, Jamaica.The MoBay Loan was to be repaid in 77 monthly payments of $452 commencing from December 6, 2016, and a final balloon payment of $9,172 due on the maturity date. Borrowings under the loan bore interest at 8.1%. The MoBay loan was secured by the LNG Terminal in Montego Bay, Jamaica.</w:t>
      </w:r>
    </w:p>
    <w:p>
      <w:pPr>
        <w:spacing w:after="0" w:line="81" w:lineRule="exact"/>
        <w:rPr>
          <w:sz w:val="20"/>
          <w:szCs w:val="20"/>
          <w:color w:val="auto"/>
        </w:rPr>
      </w:pPr>
    </w:p>
    <w:p>
      <w:pPr>
        <w:ind w:left="360" w:right="120"/>
        <w:spacing w:after="0" w:line="299" w:lineRule="auto"/>
        <w:rPr>
          <w:sz w:val="20"/>
          <w:szCs w:val="20"/>
          <w:color w:val="auto"/>
        </w:rPr>
      </w:pPr>
      <w:r>
        <w:rPr>
          <w:rFonts w:ascii="Arial" w:cs="Arial" w:eastAsia="Arial" w:hAnsi="Arial"/>
          <w:sz w:val="16"/>
          <w:szCs w:val="16"/>
          <w:color w:val="auto"/>
        </w:rPr>
        <w:t>During the construction period of certain projects in 2016, related interest expense and borrowings costs were capitalized as such costs were directly attributed to the construction. The capitalized interest was amortized as part of the capitalized cost of the asset that is subject to a direct finance lease upon its completion. Interest expense, inclusive of amortized debt fees for the nine months ended September 30, 2018 and 2017 totaled $2,402 and $2,735 respectively.</w:t>
      </w:r>
    </w:p>
    <w:p>
      <w:pPr>
        <w:spacing w:after="0" w:line="49" w:lineRule="exact"/>
        <w:rPr>
          <w:sz w:val="20"/>
          <w:szCs w:val="20"/>
          <w:color w:val="auto"/>
        </w:rPr>
      </w:pPr>
    </w:p>
    <w:p>
      <w:pPr>
        <w:ind w:left="360" w:right="100"/>
        <w:spacing w:after="0" w:line="271" w:lineRule="auto"/>
        <w:rPr>
          <w:sz w:val="20"/>
          <w:szCs w:val="20"/>
          <w:color w:val="auto"/>
        </w:rPr>
      </w:pPr>
      <w:r>
        <w:rPr>
          <w:rFonts w:ascii="Arial" w:cs="Arial" w:eastAsia="Arial" w:hAnsi="Arial"/>
          <w:sz w:val="17"/>
          <w:szCs w:val="17"/>
          <w:color w:val="auto"/>
        </w:rPr>
        <w:t>The Company used the net proceeds of the Term Loan Facility entered into in August 2018 to repay the MoBay Loan. The Company was subject to a prepayment fee of 1% on the MoBay Loan, and paid $345 in September 2018 to lenders in conjunction with the repayment of the MoBay Loan. Unamortized deferred financing costs recorded as a reduction in long-term debt at the time of the repayment were $1,404. These unamortized deferred financing costs were written off in conjunction with the repayment and included within Loss on extinguishment of debt along with the prepayment penalty in the condensed consolidated statements of operations and comprehensive loss.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Miami Loan</w:t>
      </w:r>
    </w:p>
    <w:p>
      <w:pPr>
        <w:spacing w:after="0" w:line="115" w:lineRule="exact"/>
        <w:rPr>
          <w:sz w:val="20"/>
          <w:szCs w:val="20"/>
          <w:color w:val="auto"/>
        </w:rPr>
      </w:pPr>
    </w:p>
    <w:p>
      <w:pPr>
        <w:ind w:left="360" w:right="20"/>
        <w:spacing w:after="0" w:line="268" w:lineRule="auto"/>
        <w:rPr>
          <w:sz w:val="20"/>
          <w:szCs w:val="20"/>
          <w:color w:val="auto"/>
        </w:rPr>
      </w:pPr>
      <w:r>
        <w:rPr>
          <w:rFonts w:ascii="Arial" w:cs="Arial" w:eastAsia="Arial" w:hAnsi="Arial"/>
          <w:sz w:val="17"/>
          <w:szCs w:val="17"/>
          <w:color w:val="auto"/>
        </w:rPr>
        <w:t>In November 2014, LNG Holdings (Florida) LLC (“LHFL”), a controlled subsidiary, entered into a Credit Agreement (the “Miami Loan”) with a bank for an initial aggregate amount of $40,000, maturing on May 24, 2018, in connection with the construction of an LNG facility in Hialeah, Florida. Borrowings under the loan bore interest at a rate selected by LHFL of either (i) a LIBOR based rate, with a floor of 1.00%, plus a spread of 5.00%, or (ii) subject to a floor of 2%, a Base Rate equal to the higher of (a) the Prime Rate, (b) the Federal Funds Rate plus ½ of 1% or (c) the 1-month LIBOR rate plus the difference between the applicable LIBOR margin and Base Rate margin, plus a spread of 4.00%. Subject to certain conditions, the Miami Loan could be extended for an additional term of up to 18 months. If the Miami Loan was extended past the original maturity date, the spread on LIBOR and Base Rate increases to 5.50% and 4.50%, respectively. The Miami Loan also required unused commitment fees of 1.25% per annum on undrawn amounts. The Miami Loan was secured by all of the assets of LHFL, which consists primarily of the Miami Facility.</w:t>
      </w:r>
    </w:p>
    <w:p>
      <w:pPr>
        <w:spacing w:after="0" w:line="71" w:lineRule="exact"/>
        <w:rPr>
          <w:sz w:val="20"/>
          <w:szCs w:val="20"/>
          <w:color w:val="auto"/>
        </w:rPr>
      </w:pPr>
    </w:p>
    <w:p>
      <w:pPr>
        <w:ind w:left="360" w:right="200"/>
        <w:spacing w:after="0" w:line="261" w:lineRule="auto"/>
        <w:rPr>
          <w:sz w:val="20"/>
          <w:szCs w:val="20"/>
          <w:color w:val="auto"/>
        </w:rPr>
      </w:pPr>
      <w:r>
        <w:rPr>
          <w:rFonts w:ascii="Arial" w:cs="Arial" w:eastAsia="Arial" w:hAnsi="Arial"/>
          <w:sz w:val="18"/>
          <w:szCs w:val="18"/>
          <w:color w:val="auto"/>
        </w:rPr>
        <w:t>The Miami Loan required periodic payments of interest on either a monthly, quarterly or semi-annual basis, depending upon the interest rate option selected by LHFL. In addition, with respect to LIBOR based borrowings, LHFL, at its option, could elect to defer up to ten interest periods outstanding at any point in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13" w:lineRule="exact"/>
        <w:rPr>
          <w:sz w:val="20"/>
          <w:szCs w:val="20"/>
          <w:color w:val="auto"/>
        </w:rPr>
      </w:pPr>
    </w:p>
    <w:p>
      <w:pPr>
        <w:ind w:left="360" w:right="180"/>
        <w:spacing w:after="0" w:line="255" w:lineRule="auto"/>
        <w:rPr>
          <w:sz w:val="20"/>
          <w:szCs w:val="20"/>
          <w:color w:val="auto"/>
        </w:rPr>
      </w:pPr>
      <w:r>
        <w:rPr>
          <w:rFonts w:ascii="Arial" w:cs="Arial" w:eastAsia="Arial" w:hAnsi="Arial"/>
          <w:sz w:val="18"/>
          <w:szCs w:val="18"/>
          <w:color w:val="auto"/>
        </w:rPr>
        <w:t>time. The Miami Loan also required annual amortization in an amount equal to 1% of the amount outstanding. The Miami Loan could be prepaid without penalty after the first anniversary of the closing of the Miami Loan. At the time of the extinguishment of the debt in August 2018 and as of December 31, 2017, interest was calculated based on 7.58% and 6.57%, respectively. Interest expense, inclusive of amortized debt fees for the nine months ended September 30, 2018 and 2017, totaled $1,989 and $2,106 respectively.</w:t>
      </w:r>
    </w:p>
    <w:p>
      <w:pPr>
        <w:spacing w:after="0" w:line="81" w:lineRule="exact"/>
        <w:rPr>
          <w:sz w:val="20"/>
          <w:szCs w:val="20"/>
          <w:color w:val="auto"/>
        </w:rPr>
      </w:pPr>
    </w:p>
    <w:p>
      <w:pPr>
        <w:ind w:left="360" w:right="60"/>
        <w:spacing w:after="0" w:line="274"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the time.</w:t>
      </w:r>
    </w:p>
    <w:p>
      <w:pPr>
        <w:spacing w:after="0" w:line="64" w:lineRule="exact"/>
        <w:rPr>
          <w:sz w:val="20"/>
          <w:szCs w:val="20"/>
          <w:color w:val="auto"/>
        </w:rPr>
      </w:pPr>
    </w:p>
    <w:p>
      <w:pPr>
        <w:ind w:left="360" w:right="60"/>
        <w:spacing w:after="0" w:line="273" w:lineRule="auto"/>
        <w:rPr>
          <w:sz w:val="20"/>
          <w:szCs w:val="20"/>
          <w:color w:val="auto"/>
        </w:rPr>
      </w:pPr>
      <w:r>
        <w:rPr>
          <w:rFonts w:ascii="Arial" w:cs="Arial" w:eastAsia="Arial" w:hAnsi="Arial"/>
          <w:sz w:val="17"/>
          <w:szCs w:val="17"/>
          <w:color w:val="auto"/>
        </w:rPr>
        <w:t>The Company used the net proceeds of the Term Loan Facility entered into in August 2018 to repay the Miami Loan. The outstanding principal balance at the time of the repayment was $38,707; the Company agreed to repay lenders $37,255 to extinguish the liability, and as such a gain on extinguishment of $1,452 was recorded within Loss on extinguishment of debt in the condensed consolidated statements of operations and consolidated loss. The gain was partially offset by the write-off of unamortized deferred financing costs recorded as a reduction in long-term debt of $321.</w:t>
      </w:r>
    </w:p>
    <w:p>
      <w:pPr>
        <w:spacing w:after="0" w:line="65" w:lineRule="exact"/>
        <w:rPr>
          <w:sz w:val="20"/>
          <w:szCs w:val="20"/>
          <w:color w:val="auto"/>
        </w:rPr>
      </w:pPr>
    </w:p>
    <w:p>
      <w:pPr>
        <w:ind w:left="360" w:hanging="355"/>
        <w:spacing w:after="0"/>
        <w:tabs>
          <w:tab w:leader="none" w:pos="3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rFonts w:ascii="Arial" w:cs="Arial" w:eastAsia="Arial" w:hAnsi="Arial"/>
          <w:sz w:val="18"/>
          <w:szCs w:val="18"/>
          <w:b w:val="1"/>
          <w:bCs w:val="1"/>
          <w:color w:val="auto"/>
        </w:rPr>
      </w:pPr>
    </w:p>
    <w:p>
      <w:pPr>
        <w:ind w:left="360" w:right="2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the U.S. and multiple foreign jurisdictions. As a pass-through entity for U.S. federal tax purposes, no income tax provision or benefit for U.S. income taxes has been recorded for the periods presented.</w:t>
      </w:r>
    </w:p>
    <w:p>
      <w:pPr>
        <w:spacing w:after="0" w:line="17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Jamaica</w:t>
      </w:r>
    </w:p>
    <w:p>
      <w:pPr>
        <w:spacing w:after="0" w:line="114" w:lineRule="exact"/>
        <w:rPr>
          <w:rFonts w:ascii="Arial" w:cs="Arial" w:eastAsia="Arial" w:hAnsi="Arial"/>
          <w:sz w:val="18"/>
          <w:szCs w:val="18"/>
          <w:b w:val="1"/>
          <w:bCs w:val="1"/>
          <w:color w:val="auto"/>
        </w:rPr>
      </w:pPr>
    </w:p>
    <w:p>
      <w:pPr>
        <w:ind w:left="360" w:right="48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incorporated in Jamaica are subject to income tax which is computed at 25% of the relevant subsidiaries’ results for the year, adjusted for tax purposes.</w:t>
      </w:r>
    </w:p>
    <w:p>
      <w:pPr>
        <w:spacing w:after="0" w:line="63"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provision / (benefit) for the taxes on income consists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r>
      <w:tr>
        <w:trPr>
          <w:trHeight w:val="177"/>
        </w:trPr>
        <w:tc>
          <w:tcPr>
            <w:tcW w:w="6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41"/>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6580" w:type="dxa"/>
            <w:vAlign w:val="bottom"/>
          </w:tcPr>
          <w:p>
            <w:pPr>
              <w:spacing w:after="0"/>
              <w:rPr>
                <w:sz w:val="20"/>
                <w:szCs w:val="20"/>
                <w:color w:val="auto"/>
              </w:rPr>
            </w:pPr>
            <w:r>
              <w:rPr>
                <w:rFonts w:ascii="Arial" w:cs="Arial" w:eastAsia="Arial" w:hAnsi="Arial"/>
                <w:sz w:val="18"/>
                <w:szCs w:val="18"/>
                <w:color w:val="auto"/>
              </w:rPr>
              <w:t>Deferred income tax</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r>
      <w:tr>
        <w:trPr>
          <w:trHeight w:val="27"/>
        </w:trPr>
        <w:tc>
          <w:tcPr>
            <w:tcW w:w="6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5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left="360" w:right="200"/>
        <w:spacing w:after="0" w:line="261" w:lineRule="auto"/>
        <w:rPr>
          <w:sz w:val="20"/>
          <w:szCs w:val="20"/>
          <w:color w:val="auto"/>
        </w:rPr>
      </w:pPr>
      <w:r>
        <w:rPr>
          <w:rFonts w:ascii="Arial" w:cs="Arial" w:eastAsia="Arial" w:hAnsi="Arial"/>
          <w:sz w:val="18"/>
          <w:szCs w:val="18"/>
          <w:color w:val="auto"/>
        </w:rPr>
        <w:t>The effective tax rate for the nine months ended September 30, 2018 and September 30, 2017 was (0.93)% and (4.37)%, respectively. As a pass through entity, the Company’s statutory rate is 0% and the entire difference between the statutory and effective rate is attributable to foreign taxes.</w:t>
      </w:r>
    </w:p>
    <w:p>
      <w:pPr>
        <w:spacing w:after="0" w:line="76" w:lineRule="exact"/>
        <w:rPr>
          <w:sz w:val="20"/>
          <w:szCs w:val="20"/>
          <w:color w:val="auto"/>
        </w:rPr>
      </w:pPr>
    </w:p>
    <w:p>
      <w:pPr>
        <w:ind w:left="360" w:right="20"/>
        <w:spacing w:after="0" w:line="261" w:lineRule="auto"/>
        <w:rPr>
          <w:sz w:val="20"/>
          <w:szCs w:val="20"/>
          <w:color w:val="auto"/>
        </w:rPr>
      </w:pPr>
      <w:r>
        <w:rPr>
          <w:rFonts w:ascii="Arial" w:cs="Arial" w:eastAsia="Arial" w:hAnsi="Arial"/>
          <w:sz w:val="18"/>
          <w:szCs w:val="18"/>
          <w:color w:val="auto"/>
        </w:rPr>
        <w:t>The Company has not recorded a liability for uncertain tax positions as of September 30, 2018 and December 31, 2017. The Company remains subject to periodic audits and reviews by the taxing authority, and the Company’s returns since its formation remain open for examination.</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Bermuda</w:t>
      </w:r>
    </w:p>
    <w:p>
      <w:pPr>
        <w:spacing w:after="0" w:line="115" w:lineRule="exact"/>
        <w:rPr>
          <w:sz w:val="20"/>
          <w:szCs w:val="20"/>
          <w:color w:val="auto"/>
        </w:rPr>
      </w:pPr>
    </w:p>
    <w:p>
      <w:pPr>
        <w:ind w:left="360"/>
        <w:spacing w:after="0" w:line="309" w:lineRule="auto"/>
        <w:rPr>
          <w:sz w:val="20"/>
          <w:szCs w:val="20"/>
          <w:color w:val="auto"/>
        </w:rPr>
      </w:pPr>
      <w:r>
        <w:rPr>
          <w:rFonts w:ascii="Arial" w:cs="Arial" w:eastAsia="Arial" w:hAnsi="Arial"/>
          <w:sz w:val="16"/>
          <w:szCs w:val="16"/>
          <w:color w:val="auto"/>
        </w:rPr>
        <w:t>The Company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the period 2035.</w:t>
      </w:r>
    </w:p>
    <w:p>
      <w:pPr>
        <w:spacing w:after="0" w:line="37" w:lineRule="exact"/>
        <w:rPr>
          <w:sz w:val="20"/>
          <w:szCs w:val="20"/>
          <w:color w:val="auto"/>
        </w:rPr>
      </w:pPr>
    </w:p>
    <w:p>
      <w:pPr>
        <w:ind w:left="360" w:right="6640" w:hanging="355"/>
        <w:spacing w:after="0" w:line="375" w:lineRule="auto"/>
        <w:tabs>
          <w:tab w:leader="none" w:pos="351"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Contingencies</w:t>
      </w:r>
    </w:p>
    <w:p>
      <w:pPr>
        <w:spacing w:after="0" w:line="1" w:lineRule="exact"/>
        <w:rPr>
          <w:rFonts w:ascii="Arial" w:cs="Arial" w:eastAsia="Arial" w:hAnsi="Arial"/>
          <w:sz w:val="18"/>
          <w:szCs w:val="18"/>
          <w:b w:val="1"/>
          <w:bCs w:val="1"/>
          <w:color w:val="auto"/>
        </w:rPr>
      </w:pPr>
    </w:p>
    <w:p>
      <w:pPr>
        <w:ind w:left="36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the Company had accrued for $1,204 of tangible personal property tax levied in the State of Florida in respect of the LNG Plant in Hialeah. During 2017, the Company paid this amount in full and subsequently took legal proceedings to challenge the tax amount for a full or partial rebate.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13" w:lineRule="exact"/>
        <w:rPr>
          <w:sz w:val="20"/>
          <w:szCs w:val="20"/>
          <w:color w:val="auto"/>
        </w:rPr>
      </w:pPr>
    </w:p>
    <w:p>
      <w:pPr>
        <w:ind w:left="360" w:right="40"/>
        <w:spacing w:after="0" w:line="261" w:lineRule="auto"/>
        <w:rPr>
          <w:sz w:val="20"/>
          <w:szCs w:val="20"/>
          <w:color w:val="auto"/>
        </w:rPr>
      </w:pPr>
      <w:r>
        <w:rPr>
          <w:rFonts w:ascii="Arial" w:cs="Arial" w:eastAsia="Arial" w:hAnsi="Arial"/>
          <w:sz w:val="18"/>
          <w:szCs w:val="18"/>
          <w:color w:val="auto"/>
        </w:rPr>
        <w:t>Company successfully challenged the tax amount, including penalties, and received a full rebate. The State of Florida has appealed the determination and the Company repaid the rebate amount in order to avoid penalties and charges while the appeal is under consideration.</w:t>
      </w:r>
    </w:p>
    <w:p>
      <w:pPr>
        <w:spacing w:after="0" w:line="76" w:lineRule="exact"/>
        <w:rPr>
          <w:sz w:val="20"/>
          <w:szCs w:val="20"/>
          <w:color w:val="auto"/>
        </w:rPr>
      </w:pPr>
    </w:p>
    <w:p>
      <w:pPr>
        <w:ind w:left="360" w:right="140"/>
        <w:spacing w:after="0" w:line="261" w:lineRule="auto"/>
        <w:rPr>
          <w:sz w:val="20"/>
          <w:szCs w:val="20"/>
          <w:color w:val="auto"/>
        </w:rPr>
      </w:pPr>
      <w:r>
        <w:rPr>
          <w:rFonts w:ascii="Arial" w:cs="Arial" w:eastAsia="Arial" w:hAnsi="Arial"/>
          <w:sz w:val="18"/>
          <w:szCs w:val="18"/>
          <w:color w:val="auto"/>
        </w:rPr>
        <w:t>As of the date at which these condensed consolidated financial statements were issued, the appeal has not been concluded. Should the State of Florida lose the appeal the Company expects a full refund which will be recognized as a gain contingency recognized in earnings when the cash is received.</w:t>
      </w:r>
    </w:p>
    <w:p>
      <w:pPr>
        <w:spacing w:after="0" w:line="72" w:lineRule="exact"/>
        <w:rPr>
          <w:sz w:val="20"/>
          <w:szCs w:val="20"/>
          <w:color w:val="auto"/>
        </w:rPr>
      </w:pPr>
    </w:p>
    <w:p>
      <w:pPr>
        <w:ind w:left="360" w:hanging="355"/>
        <w:spacing w:after="0"/>
        <w:tabs>
          <w:tab w:leader="none" w:pos="3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18" w:lineRule="exact"/>
        <w:rPr>
          <w:rFonts w:ascii="Arial" w:cs="Arial" w:eastAsia="Arial" w:hAnsi="Arial"/>
          <w:sz w:val="18"/>
          <w:szCs w:val="18"/>
          <w:b w:val="1"/>
          <w:bCs w:val="1"/>
          <w:color w:val="auto"/>
        </w:rPr>
      </w:pPr>
    </w:p>
    <w:p>
      <w:pPr>
        <w:ind w:left="360" w:right="12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On December 29, 2017, 2,314,752 common shares (no par value) were subscribed for consideration of $70,050 and recorded within Members’ capital on the condensed consolidated balance sheets. Of the total amount subscribed, $20,050 was received during 2017 and $50,000 was received after December 31, 2017 which was recorded as Stock subscriptions receivable offsetting Members’ capital on the condensed consolidated balance sheets.</w:t>
      </w:r>
    </w:p>
    <w:p>
      <w:pPr>
        <w:spacing w:after="0" w:line="63"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 January 2018, the Company issued 665,843 common shares (no par value) for $20,150 in proceeds.</w:t>
      </w:r>
    </w:p>
    <w:p>
      <w:pPr>
        <w:spacing w:after="0" w:line="110" w:lineRule="exact"/>
        <w:rPr>
          <w:rFonts w:ascii="Arial" w:cs="Arial" w:eastAsia="Arial" w:hAnsi="Arial"/>
          <w:sz w:val="18"/>
          <w:szCs w:val="18"/>
          <w:b w:val="1"/>
          <w:bCs w:val="1"/>
          <w:color w:val="auto"/>
        </w:rPr>
      </w:pPr>
    </w:p>
    <w:p>
      <w:pPr>
        <w:ind w:left="360" w:hanging="355"/>
        <w:spacing w:after="0"/>
        <w:tabs>
          <w:tab w:leader="none" w:pos="3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Leases, as lessee</w:t>
      </w:r>
    </w:p>
    <w:p>
      <w:pPr>
        <w:spacing w:after="0" w:line="118" w:lineRule="exact"/>
        <w:rPr>
          <w:rFonts w:ascii="Arial" w:cs="Arial" w:eastAsia="Arial" w:hAnsi="Arial"/>
          <w:sz w:val="18"/>
          <w:szCs w:val="18"/>
          <w:b w:val="1"/>
          <w:bCs w:val="1"/>
          <w:color w:val="auto"/>
        </w:rPr>
      </w:pPr>
    </w:p>
    <w:p>
      <w:pPr>
        <w:ind w:left="360" w:right="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During the nine months ended September 30, 2018 and September 30, 2017, the Company recognized rental expense for all operating leases of $16,831 and $13,043, respectively, related primarily to LNG vessel time charters, office space, a land site lease, and marine port berth leases.</w:t>
      </w:r>
    </w:p>
    <w:p>
      <w:pPr>
        <w:spacing w:after="0" w:line="71" w:lineRule="exact"/>
        <w:rPr>
          <w:rFonts w:ascii="Arial" w:cs="Arial" w:eastAsia="Arial" w:hAnsi="Arial"/>
          <w:sz w:val="18"/>
          <w:szCs w:val="18"/>
          <w:b w:val="1"/>
          <w:bCs w:val="1"/>
          <w:color w:val="auto"/>
        </w:rPr>
      </w:pPr>
    </w:p>
    <w:p>
      <w:pPr>
        <w:ind w:left="360" w:right="7100" w:hanging="355"/>
        <w:spacing w:after="0" w:line="422" w:lineRule="auto"/>
        <w:tabs>
          <w:tab w:leader="none" w:pos="351"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i w:val="1"/>
          <w:iCs w:val="1"/>
          <w:color w:val="auto"/>
        </w:rPr>
        <w:t>Management services</w:t>
      </w:r>
    </w:p>
    <w:p>
      <w:pPr>
        <w:ind w:left="3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the ordinary course of business, Fortress, through affiliated entities, charges the Company for administrative and general expenses incurred. The portion of such charges that are attributable to the Company totaled $1,789 and $2,812 for nine months ended September 30, 2018 and 2017, respectively, and are included within Selling, general and administrative in the condensed consolidated statements of operations and comprehensive loss. As of September 30, 2018 and December 31, 2017, $735 and $2,054 were due to Fortress, respectively.</w:t>
      </w:r>
    </w:p>
    <w:p>
      <w:pPr>
        <w:spacing w:after="0" w:line="80" w:lineRule="exact"/>
        <w:rPr>
          <w:rFonts w:ascii="Arial" w:cs="Arial" w:eastAsia="Arial" w:hAnsi="Arial"/>
          <w:sz w:val="16"/>
          <w:szCs w:val="16"/>
          <w:b w:val="1"/>
          <w:bCs w:val="1"/>
          <w:color w:val="auto"/>
        </w:rPr>
      </w:pPr>
    </w:p>
    <w:p>
      <w:pPr>
        <w:ind w:left="360" w:right="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Company is controlled by a Member who owned or leased aircraft that the Company chartered from a third-party aircraft operator for business purposes in the course of operations. The Company paid the aircraft operator market rates for the charters of $1,906 and $1,204 for the nine months ended September 30, 2018 and 2017, respectively, and these amounts are included in the activity and balances disclosed above.</w:t>
      </w:r>
    </w:p>
    <w:p>
      <w:pPr>
        <w:spacing w:after="0" w:line="186" w:lineRule="exact"/>
        <w:rPr>
          <w:rFonts w:ascii="Arial" w:cs="Arial" w:eastAsia="Arial" w:hAnsi="Arial"/>
          <w:sz w:val="16"/>
          <w:szCs w:val="16"/>
          <w:b w:val="1"/>
          <w:bCs w:val="1"/>
          <w:color w:val="auto"/>
        </w:rPr>
      </w:pPr>
    </w:p>
    <w:p>
      <w:pPr>
        <w:ind w:left="3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Land lease</w:t>
      </w:r>
    </w:p>
    <w:p>
      <w:pPr>
        <w:spacing w:after="0" w:line="114" w:lineRule="exact"/>
        <w:rPr>
          <w:rFonts w:ascii="Arial" w:cs="Arial" w:eastAsia="Arial" w:hAnsi="Arial"/>
          <w:sz w:val="16"/>
          <w:szCs w:val="16"/>
          <w:b w:val="1"/>
          <w:bCs w:val="1"/>
          <w:color w:val="auto"/>
        </w:rPr>
      </w:pPr>
    </w:p>
    <w:p>
      <w:pPr>
        <w:ind w:left="360" w:right="60"/>
        <w:spacing w:after="0" w:line="277" w:lineRule="auto"/>
        <w:rPr>
          <w:rFonts w:ascii="Arial" w:cs="Arial" w:eastAsia="Arial" w:hAnsi="Arial"/>
          <w:sz w:val="16"/>
          <w:szCs w:val="16"/>
          <w:b w:val="1"/>
          <w:bCs w:val="1"/>
          <w:color w:val="auto"/>
        </w:rPr>
      </w:pPr>
      <w:r>
        <w:rPr>
          <w:rFonts w:ascii="Arial" w:cs="Arial" w:eastAsia="Arial" w:hAnsi="Arial"/>
          <w:sz w:val="17"/>
          <w:szCs w:val="17"/>
          <w:color w:val="auto"/>
        </w:rPr>
        <w:t>The Company has a land and office lease with Florida East Coast Industries, LLC (“FECI”) an affiliate of the Company. The expense for the nine months ended September 30, 2018 and 2017 totaled $213 and $216, respectively, and is included within Operations and maintenance in the condensed consolidated statements of operations and comprehensive loss. As of September 30, 2018 and December 31, 2017, $26 and $37 were due to FECI, respectively.</w:t>
      </w:r>
    </w:p>
    <w:p>
      <w:pPr>
        <w:spacing w:after="0" w:line="63" w:lineRule="exact"/>
        <w:rPr>
          <w:rFonts w:ascii="Arial" w:cs="Arial" w:eastAsia="Arial" w:hAnsi="Arial"/>
          <w:sz w:val="16"/>
          <w:szCs w:val="16"/>
          <w:b w:val="1"/>
          <w:bCs w:val="1"/>
          <w:color w:val="auto"/>
        </w:rPr>
      </w:pPr>
    </w:p>
    <w:p>
      <w:pPr>
        <w:ind w:left="3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DevTech Investment</w:t>
      </w:r>
    </w:p>
    <w:p>
      <w:pPr>
        <w:spacing w:after="0" w:line="114" w:lineRule="exact"/>
        <w:rPr>
          <w:rFonts w:ascii="Arial" w:cs="Arial" w:eastAsia="Arial" w:hAnsi="Arial"/>
          <w:sz w:val="16"/>
          <w:szCs w:val="16"/>
          <w:b w:val="1"/>
          <w:bCs w:val="1"/>
          <w:color w:val="auto"/>
        </w:rPr>
      </w:pPr>
    </w:p>
    <w:p>
      <w:pPr>
        <w:ind w:left="360"/>
        <w:spacing w:after="0" w:line="270" w:lineRule="auto"/>
        <w:rPr>
          <w:rFonts w:ascii="Arial" w:cs="Arial" w:eastAsia="Arial" w:hAnsi="Arial"/>
          <w:sz w:val="16"/>
          <w:szCs w:val="16"/>
          <w:b w:val="1"/>
          <w:bCs w:val="1"/>
          <w:color w:val="auto"/>
        </w:rPr>
      </w:pPr>
      <w:r>
        <w:rPr>
          <w:rFonts w:ascii="Arial" w:cs="Arial" w:eastAsia="Arial" w:hAnsi="Arial"/>
          <w:sz w:val="17"/>
          <w:szCs w:val="17"/>
          <w:color w:val="auto"/>
        </w:rPr>
        <w:t>In August 2018, the Company entered into a consulting arrangement with DevTech, a third-party consultant,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also purchased 10% of a note payable due to an affiliate of the Company for $372. The outstanding note payable due to DevTech is included in Other long-term liabilities in the condensed consolidated balance sheet as of September 30, 2018. For the nine-month period ended September 30, 2018, interest expense on the note payable due to DevTech was $2.</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0305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Florida East Coast Railway (“FECR”)</w:t>
      </w:r>
    </w:p>
    <w:p>
      <w:pPr>
        <w:spacing w:after="0" w:line="115" w:lineRule="exact"/>
        <w:rPr>
          <w:sz w:val="20"/>
          <w:szCs w:val="20"/>
          <w:color w:val="auto"/>
        </w:rPr>
      </w:pPr>
    </w:p>
    <w:p>
      <w:pPr>
        <w:ind w:left="360" w:right="140"/>
        <w:spacing w:after="0" w:line="299" w:lineRule="auto"/>
        <w:rPr>
          <w:sz w:val="20"/>
          <w:szCs w:val="20"/>
          <w:color w:val="auto"/>
        </w:rPr>
      </w:pPr>
      <w:r>
        <w:rPr>
          <w:rFonts w:ascii="Arial" w:cs="Arial" w:eastAsia="Arial" w:hAnsi="Arial"/>
          <w:sz w:val="16"/>
          <w:szCs w:val="16"/>
          <w:color w:val="auto"/>
        </w:rPr>
        <w:t>The Company was affiliated with FECR, an entity previously majority-owned by an affiliate of Fortress, and sells LNG to FECR under a purchase and sale agreement entered into in December 2016. FECR was sold by Fortress on June 30, 2017, the date from which FECR was no longer considered affiliated with the Company. During the nine months ended September 30, 2017, the Company made sales of LNG to FECR totaling $1,618 for the period FECR was affiliated with the Company.</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Due to/from Affiliates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tables below summarizes the balances outstanding with affiliates at September 30, 2018 and December 31, 2017:</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7"/>
        </w:trPr>
        <w:tc>
          <w:tcPr>
            <w:tcW w:w="4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241"/>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affiliates</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80" w:type="dxa"/>
            <w:vAlign w:val="bottom"/>
            <w:shd w:val="clear" w:color="auto" w:fill="CCEEFF"/>
          </w:tcPr>
          <w:p>
            <w:pPr>
              <w:spacing w:after="0"/>
              <w:rPr>
                <w:sz w:val="20"/>
                <w:szCs w:val="20"/>
                <w:color w:val="auto"/>
              </w:rPr>
            </w:pPr>
          </w:p>
        </w:tc>
      </w:tr>
    </w:tbl>
    <w:p>
      <w:pPr>
        <w:spacing w:after="0" w:line="89" w:lineRule="exact"/>
        <w:rPr>
          <w:sz w:val="20"/>
          <w:szCs w:val="20"/>
          <w:color w:val="auto"/>
        </w:rPr>
      </w:pPr>
    </w:p>
    <w:p>
      <w:pPr>
        <w:ind w:left="360" w:right="7740" w:hanging="355"/>
        <w:spacing w:after="0" w:line="375" w:lineRule="auto"/>
        <w:tabs>
          <w:tab w:leader="none" w:pos="351"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Debt</w:t>
      </w:r>
    </w:p>
    <w:p>
      <w:pPr>
        <w:spacing w:after="0" w:line="1" w:lineRule="exact"/>
        <w:rPr>
          <w:rFonts w:ascii="Arial" w:cs="Arial" w:eastAsia="Arial" w:hAnsi="Arial"/>
          <w:sz w:val="18"/>
          <w:szCs w:val="18"/>
          <w:b w:val="1"/>
          <w:bCs w:val="1"/>
          <w:color w:val="auto"/>
        </w:rPr>
      </w:pPr>
    </w:p>
    <w:p>
      <w:pPr>
        <w:ind w:left="3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In October 2018, the Company drew $110 million on the Term Loan Facility. Total principal amounts outstanding after this draw are $240 million. These proceeds will be used to complete the Old Harbour Terminal, as well as for additional storage and regasification facilities for small-scale customers.</w:t>
      </w:r>
    </w:p>
    <w:p>
      <w:pPr>
        <w:spacing w:after="0" w:line="75" w:lineRule="exact"/>
        <w:rPr>
          <w:rFonts w:ascii="Arial" w:cs="Arial" w:eastAsia="Arial" w:hAnsi="Arial"/>
          <w:sz w:val="18"/>
          <w:szCs w:val="18"/>
          <w:b w:val="1"/>
          <w:bCs w:val="1"/>
          <w:color w:val="auto"/>
        </w:rPr>
      </w:pPr>
    </w:p>
    <w:p>
      <w:pPr>
        <w:ind w:left="360" w:right="24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Management performed an evaluation of subsequent events through November 9, 2018, the date the condensed consolidated financial statements were issued.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right="2480" w:firstLine="2511"/>
        <w:spacing w:after="0" w:line="40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Members of New Fortress Energy Holdings LLC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audited the accompanying consolidated balance sheets of New Fortress Energy Holdings LLC (the “Company”) as of December 31, 2017 and 2016, the related consolidated statements of operations and comprehensive loss, changes in members’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the years then ended in conformity with U.S.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August 16, 2018</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603059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7" w:right="1400"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3" w:lineRule="auto"/>
        <w:rPr>
          <w:sz w:val="20"/>
          <w:szCs w:val="20"/>
          <w:color w:val="auto"/>
        </w:rPr>
      </w:pPr>
      <w:r>
        <w:rPr>
          <w:rFonts w:ascii="Arial" w:cs="Arial" w:eastAsia="Arial" w:hAnsi="Arial"/>
          <w:sz w:val="18"/>
          <w:szCs w:val="18"/>
          <w:b w:val="1"/>
          <w:bCs w:val="1"/>
          <w:color w:val="auto"/>
        </w:rPr>
        <w:t>As of December 31, 2017 and 2016</w:t>
      </w:r>
    </w:p>
    <w:p>
      <w:pP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84"/>
        </w:trPr>
        <w:tc>
          <w:tcPr>
            <w:tcW w:w="6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84,708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180,650</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13,623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19,417</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16,235</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1,178</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7,656</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24,875</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1"/>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154,953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211,880</w:t>
            </w:r>
          </w:p>
        </w:tc>
      </w:tr>
      <w:tr>
        <w:trPr>
          <w:trHeight w:val="246"/>
        </w:trPr>
        <w:tc>
          <w:tcPr>
            <w:tcW w:w="69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6,333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3,363</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35,413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4,668</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69,350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70,633</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Finance leases, net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94,077</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92,320</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389,054</w:t>
            </w:r>
          </w:p>
        </w:tc>
      </w:tr>
      <w:tr>
        <w:trPr>
          <w:trHeight w:val="241"/>
        </w:trPr>
        <w:tc>
          <w:tcPr>
            <w:tcW w:w="69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5,828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5,828</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6,352</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5,283</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17,499</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10,397</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taxes payable</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Due to affiliates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2,091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1"/>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24,479</w:t>
            </w:r>
          </w:p>
        </w:tc>
      </w:tr>
      <w:tr>
        <w:trPr>
          <w:trHeight w:val="246"/>
        </w:trPr>
        <w:tc>
          <w:tcPr>
            <w:tcW w:w="69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69,425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74,557</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99,684</w:t>
            </w:r>
          </w:p>
        </w:tc>
      </w:tr>
      <w:tr>
        <w:trPr>
          <w:trHeight w:val="235"/>
        </w:trPr>
        <w:tc>
          <w:tcPr>
            <w:tcW w:w="69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contingences (Note 16)</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4"/>
        </w:trPr>
        <w:tc>
          <w:tcPr>
            <w:tcW w:w="6940" w:type="dxa"/>
            <w:vAlign w:val="bottom"/>
          </w:tcPr>
          <w:p>
            <w:pPr>
              <w:spacing w:after="0"/>
              <w:rPr>
                <w:sz w:val="20"/>
                <w:szCs w:val="20"/>
                <w:color w:val="auto"/>
              </w:rPr>
            </w:pPr>
            <w:r>
              <w:rPr>
                <w:rFonts w:ascii="Arial" w:cs="Arial" w:eastAsia="Arial" w:hAnsi="Arial"/>
                <w:sz w:val="18"/>
                <w:szCs w:val="18"/>
                <w:color w:val="auto"/>
                <w:w w:val="91"/>
              </w:rPr>
              <w:t>Members’ capital, no par value, 500,000,000 shares authorized, 65,665,037 shares issued and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40" w:type="dxa"/>
            <w:vAlign w:val="bottom"/>
          </w:tcPr>
          <w:p>
            <w:pPr>
              <w:ind w:left="180"/>
              <w:spacing w:after="0"/>
              <w:rPr>
                <w:sz w:val="20"/>
                <w:szCs w:val="20"/>
                <w:color w:val="auto"/>
              </w:rPr>
            </w:pPr>
            <w:r>
              <w:rPr>
                <w:rFonts w:ascii="Arial" w:cs="Arial" w:eastAsia="Arial" w:hAnsi="Arial"/>
                <w:sz w:val="18"/>
                <w:szCs w:val="18"/>
                <w:color w:val="auto"/>
                <w:w w:val="96"/>
              </w:rPr>
              <w:t>outstanding as of December 31, 2017; 65,000,000 shares issued and outstanding as of</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940" w:type="dxa"/>
            <w:vAlign w:val="bottom"/>
          </w:tcPr>
          <w:p>
            <w:pPr>
              <w:ind w:left="180"/>
              <w:spacing w:after="0"/>
              <w:rPr>
                <w:sz w:val="20"/>
                <w:szCs w:val="20"/>
                <w:color w:val="auto"/>
              </w:rPr>
            </w:pPr>
            <w:r>
              <w:rPr>
                <w:rFonts w:ascii="Arial" w:cs="Arial" w:eastAsia="Arial" w:hAnsi="Arial"/>
                <w:sz w:val="18"/>
                <w:szCs w:val="18"/>
                <w:color w:val="auto"/>
              </w:rPr>
              <w:t>December 31, 2016</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406,591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336,683</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subscription receivable</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(80,347)</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(48,676)</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members’ equity</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278,910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289,370</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8"/>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381,190</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389,054</w:t>
            </w:r>
          </w:p>
        </w:tc>
      </w:tr>
      <w:tr>
        <w:trPr>
          <w:trHeight w:val="20"/>
        </w:trPr>
        <w:tc>
          <w:tcPr>
            <w:tcW w:w="6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6"/>
        </w:trPr>
        <w:tc>
          <w:tcPr>
            <w:tcW w:w="8280" w:type="dxa"/>
            <w:vAlign w:val="bottom"/>
            <w:gridSpan w:val="4"/>
          </w:tcPr>
          <w:p>
            <w:pPr>
              <w:ind w:left="1640"/>
              <w:spacing w:after="0"/>
              <w:rPr>
                <w:sz w:val="20"/>
                <w:szCs w:val="20"/>
                <w:color w:val="auto"/>
              </w:rPr>
            </w:pPr>
            <w:r>
              <w:rPr>
                <w:rFonts w:ascii="Arial" w:cs="Arial" w:eastAsia="Arial" w:hAnsi="Arial"/>
                <w:sz w:val="18"/>
                <w:szCs w:val="18"/>
                <w:color w:val="auto"/>
                <w:w w:val="94"/>
              </w:rPr>
              <w:t>The accompanying notes are an integral part of these consolidated financial statements.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6940" w:type="dxa"/>
            <w:vAlign w:val="bottom"/>
          </w:tcPr>
          <w:p>
            <w:pPr>
              <w:ind w:left="4580"/>
              <w:spacing w:after="0"/>
              <w:rPr>
                <w:sz w:val="20"/>
                <w:szCs w:val="20"/>
                <w:color w:val="auto"/>
              </w:rPr>
            </w:pPr>
            <w:r>
              <w:rPr>
                <w:rFonts w:ascii="Arial" w:cs="Arial" w:eastAsia="Arial" w:hAnsi="Arial"/>
                <w:sz w:val="18"/>
                <w:szCs w:val="18"/>
                <w:color w:val="auto"/>
              </w:rPr>
              <w:t>F-22</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6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
        </w:trPr>
        <w:tc>
          <w:tcPr>
            <w:tcW w:w="694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332"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4" w:lineRule="exact"/>
        <w:rPr>
          <w:sz w:val="20"/>
          <w:szCs w:val="20"/>
          <w:color w:val="auto"/>
        </w:rPr>
      </w:pPr>
    </w:p>
    <w:p>
      <w:pPr>
        <w:ind w:right="4560"/>
        <w:spacing w:after="0" w:line="247" w:lineRule="auto"/>
        <w:rPr>
          <w:sz w:val="20"/>
          <w:szCs w:val="20"/>
          <w:color w:val="auto"/>
        </w:rPr>
      </w:pPr>
      <w:r>
        <w:rPr>
          <w:rFonts w:ascii="Arial" w:cs="Arial" w:eastAsia="Arial" w:hAnsi="Arial"/>
          <w:sz w:val="17"/>
          <w:szCs w:val="17"/>
          <w:b w:val="1"/>
          <w:bCs w:val="1"/>
          <w:color w:val="auto"/>
        </w:rPr>
        <w:t>Consolidated Statements of Operations and Comprehensive Loss For the years ended December 31, 2017 and 2016</w:t>
      </w:r>
    </w:p>
    <w:p>
      <w:pP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Operating revenue</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82,104</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18,615</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97,262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21,395</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78,692</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22,747</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Operations and maintenance</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7,456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5,205</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33,343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18,160</w:t>
            </w: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2,341</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122,252</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48,453</w:t>
            </w:r>
          </w:p>
        </w:tc>
      </w:tr>
      <w:tr>
        <w:trPr>
          <w:trHeight w:val="235"/>
        </w:trPr>
        <w:tc>
          <w:tcPr>
            <w:tcW w:w="694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(24,990)</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(27,058)</w:t>
            </w:r>
          </w:p>
        </w:tc>
      </w:tr>
      <w:tr>
        <w:trPr>
          <w:trHeight w:val="241"/>
        </w:trPr>
        <w:tc>
          <w:tcPr>
            <w:tcW w:w="6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5,105</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1"/>
        </w:trPr>
        <w:tc>
          <w:tcPr>
            <w:tcW w:w="694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(31,145)</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(33,287)</w:t>
            </w: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1"/>
        </w:trPr>
        <w:tc>
          <w:tcPr>
            <w:tcW w:w="69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r>
      <w:tr>
        <w:trPr>
          <w:trHeight w:val="27"/>
        </w:trPr>
        <w:tc>
          <w:tcPr>
            <w:tcW w:w="6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8"/>
        </w:trPr>
        <w:tc>
          <w:tcPr>
            <w:tcW w:w="694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r>
      <w:tr>
        <w:trPr>
          <w:trHeight w:val="27"/>
        </w:trPr>
        <w:tc>
          <w:tcPr>
            <w:tcW w:w="6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220" w:type="dxa"/>
            <w:vAlign w:val="bottom"/>
            <w:shd w:val="clear" w:color="auto" w:fill="CCEEFF"/>
          </w:tcPr>
          <w:p>
            <w:pPr>
              <w:spacing w:after="0"/>
              <w:rPr>
                <w:sz w:val="23"/>
                <w:szCs w:val="23"/>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65,006,140</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58,753,425</w:t>
            </w:r>
          </w:p>
        </w:tc>
      </w:tr>
      <w:tr>
        <w:trPr>
          <w:trHeight w:val="241"/>
        </w:trPr>
        <w:tc>
          <w:tcPr>
            <w:tcW w:w="694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 on available-for-sale investment</w:t>
            </w:r>
          </w:p>
        </w:tc>
        <w:tc>
          <w:tcPr>
            <w:tcW w:w="2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1"/>
        </w:trPr>
        <w:tc>
          <w:tcPr>
            <w:tcW w:w="69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(30,368)</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(31,563)</w:t>
            </w:r>
          </w:p>
        </w:tc>
      </w:tr>
      <w:tr>
        <w:trPr>
          <w:trHeight w:val="27"/>
        </w:trPr>
        <w:tc>
          <w:tcPr>
            <w:tcW w:w="6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Pro forma information (unaudited):</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(31,145)</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Pro forma income tax expense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7"/>
        </w:trPr>
        <w:tc>
          <w:tcPr>
            <w:tcW w:w="694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8"/>
        </w:trPr>
        <w:tc>
          <w:tcPr>
            <w:tcW w:w="6940" w:type="dxa"/>
            <w:vAlign w:val="bottom"/>
          </w:tcPr>
          <w:p>
            <w:pPr>
              <w:spacing w:after="0"/>
              <w:rPr>
                <w:sz w:val="20"/>
                <w:szCs w:val="20"/>
                <w:color w:val="auto"/>
              </w:rPr>
            </w:pPr>
            <w:r>
              <w:rPr>
                <w:rFonts w:ascii="Arial" w:cs="Arial" w:eastAsia="Arial" w:hAnsi="Arial"/>
                <w:sz w:val="18"/>
                <w:szCs w:val="18"/>
                <w:color w:val="auto"/>
              </w:rPr>
              <w:t>Pro forma net loss per share – basic and diluted</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6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69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pro forma number of shares outstanding – basic and diluted</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33" w:lineRule="auto"/>
        <w:rPr>
          <w:sz w:val="20"/>
          <w:szCs w:val="20"/>
          <w:color w:val="auto"/>
        </w:rPr>
      </w:pPr>
      <w:r>
        <w:rPr>
          <w:rFonts w:ascii="Arial" w:cs="Arial" w:eastAsia="Arial" w:hAnsi="Arial"/>
          <w:sz w:val="18"/>
          <w:szCs w:val="18"/>
          <w:b w:val="1"/>
          <w:bCs w:val="1"/>
          <w:color w:val="auto"/>
        </w:rPr>
        <w:t>For the years ended December 31, 2017 and 2016</w:t>
      </w: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common</w:t>
            </w:r>
          </w:p>
        </w:tc>
        <w:tc>
          <w:tcPr>
            <w:tcW w:w="940" w:type="dxa"/>
            <w:vAlign w:val="bottom"/>
            <w:gridSpan w:val="4"/>
          </w:tcPr>
          <w:p>
            <w:pPr>
              <w:ind w:left="60"/>
              <w:spacing w:after="0"/>
              <w:rPr>
                <w:sz w:val="20"/>
                <w:szCs w:val="20"/>
                <w:color w:val="auto"/>
              </w:rPr>
            </w:pPr>
            <w:r>
              <w:rPr>
                <w:rFonts w:ascii="Arial" w:cs="Arial" w:eastAsia="Arial" w:hAnsi="Arial"/>
                <w:sz w:val="14"/>
                <w:szCs w:val="14"/>
                <w:b w:val="1"/>
                <w:bCs w:val="1"/>
                <w:color w:val="auto"/>
              </w:rPr>
              <w:t>Members’</w:t>
            </w:r>
          </w:p>
        </w:tc>
        <w:tc>
          <w:tcPr>
            <w:tcW w:w="1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subscription</w:t>
            </w: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comprehensive</w:t>
            </w:r>
          </w:p>
        </w:tc>
        <w:tc>
          <w:tcPr>
            <w:tcW w:w="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Members’</w:t>
            </w:r>
          </w:p>
        </w:tc>
      </w:tr>
      <w:tr>
        <w:trPr>
          <w:trHeight w:val="184"/>
        </w:trPr>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200" w:type="dxa"/>
            <w:vAlign w:val="bottom"/>
            <w:gridSpan w:val="3"/>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9"/>
              </w:rPr>
              <w:t>capital</w:t>
            </w:r>
          </w:p>
        </w:tc>
        <w:tc>
          <w:tcPr>
            <w:tcW w:w="20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receivable</w:t>
            </w:r>
          </w:p>
        </w:tc>
        <w:tc>
          <w:tcPr>
            <w:tcW w:w="18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deficit</w:t>
            </w:r>
          </w:p>
        </w:tc>
        <w:tc>
          <w:tcPr>
            <w:tcW w:w="20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gridSpan w:val="2"/>
          </w:tcPr>
          <w:p>
            <w:pPr>
              <w:spacing w:after="0"/>
              <w:rPr>
                <w:sz w:val="15"/>
                <w:szCs w:val="15"/>
                <w:color w:val="auto"/>
              </w:rPr>
            </w:pPr>
          </w:p>
        </w:tc>
      </w:tr>
      <w:tr>
        <w:trPr>
          <w:trHeight w:val="235"/>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50,000,000</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36,983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21,233</w:t>
            </w:r>
          </w:p>
        </w:tc>
      </w:tr>
      <w:tr>
        <w:trPr>
          <w:trHeight w:val="241"/>
        </w:trPr>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(32,926)</w:t>
            </w:r>
          </w:p>
        </w:tc>
      </w:tr>
      <w:tr>
        <w:trPr>
          <w:trHeight w:val="235"/>
        </w:trPr>
        <w:tc>
          <w:tcPr>
            <w:tcW w:w="34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1,363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1,363</w:t>
            </w:r>
          </w:p>
        </w:tc>
      </w:tr>
      <w:tr>
        <w:trPr>
          <w:trHeight w:val="24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15,000,000</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300,776</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300,776</w:t>
            </w:r>
          </w:p>
        </w:tc>
      </w:tr>
      <w:tr>
        <w:trPr>
          <w:trHeight w:val="241"/>
        </w:trPr>
        <w:tc>
          <w:tcPr>
            <w:tcW w:w="3420" w:type="dxa"/>
            <w:vAlign w:val="bottom"/>
            <w:gridSpan w:val="2"/>
          </w:tcPr>
          <w:p>
            <w:pPr>
              <w:spacing w:after="0"/>
              <w:rPr>
                <w:sz w:val="20"/>
                <w:szCs w:val="20"/>
                <w:color w:val="auto"/>
              </w:rPr>
            </w:pPr>
            <w:r>
              <w:rPr>
                <w:rFonts w:ascii="Arial" w:cs="Arial" w:eastAsia="Arial" w:hAnsi="Arial"/>
                <w:sz w:val="18"/>
                <w:szCs w:val="18"/>
                <w:color w:val="auto"/>
              </w:rPr>
              <w:t>Costs of issuing capital</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(1,076)</w:t>
            </w:r>
          </w:p>
        </w:tc>
      </w:tr>
      <w:tr>
        <w:trPr>
          <w:trHeight w:val="235"/>
        </w:trPr>
        <w:tc>
          <w:tcPr>
            <w:tcW w:w="340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7"/>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65,000,000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336,683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(48,676)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1,363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289,370</w:t>
            </w:r>
          </w:p>
        </w:tc>
      </w:tr>
      <w:tr>
        <w:trPr>
          <w:trHeight w:val="246"/>
        </w:trPr>
        <w:tc>
          <w:tcPr>
            <w:tcW w:w="3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5"/>
        </w:trPr>
        <w:tc>
          <w:tcPr>
            <w:tcW w:w="3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(31,671)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(31,671)</w:t>
            </w:r>
          </w:p>
        </w:tc>
      </w:tr>
      <w:tr>
        <w:trPr>
          <w:trHeight w:val="24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1,303</w:t>
            </w:r>
          </w:p>
        </w:tc>
      </w:tr>
      <w:tr>
        <w:trPr>
          <w:trHeight w:val="235"/>
        </w:trPr>
        <w:tc>
          <w:tcPr>
            <w:tcW w:w="3420" w:type="dxa"/>
            <w:vAlign w:val="bottom"/>
            <w:gridSpan w:val="2"/>
          </w:tcPr>
          <w:p>
            <w:pPr>
              <w:spacing w:after="0"/>
              <w:rPr>
                <w:sz w:val="20"/>
                <w:szCs w:val="20"/>
                <w:color w:val="auto"/>
              </w:rPr>
            </w:pPr>
            <w:r>
              <w:rPr>
                <w:rFonts w:ascii="Arial" w:cs="Arial" w:eastAsia="Arial" w:hAnsi="Arial"/>
                <w:sz w:val="18"/>
                <w:szCs w:val="18"/>
                <w:color w:val="auto"/>
              </w:rPr>
              <w:t>Capital contributions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2,317,252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70,100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70,100</w:t>
            </w:r>
          </w:p>
        </w:tc>
      </w:tr>
      <w:tr>
        <w:trPr>
          <w:trHeight w:val="24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issuing capital</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r>
      <w:tr>
        <w:trPr>
          <w:trHeight w:val="241"/>
        </w:trPr>
        <w:tc>
          <w:tcPr>
            <w:tcW w:w="3420" w:type="dxa"/>
            <w:vAlign w:val="bottom"/>
            <w:gridSpan w:val="2"/>
          </w:tcPr>
          <w:p>
            <w:pPr>
              <w:spacing w:after="0"/>
              <w:rPr>
                <w:sz w:val="20"/>
                <w:szCs w:val="20"/>
                <w:color w:val="auto"/>
              </w:rPr>
            </w:pPr>
            <w:r>
              <w:rPr>
                <w:rFonts w:ascii="Arial" w:cs="Arial" w:eastAsia="Arial" w:hAnsi="Arial"/>
                <w:sz w:val="18"/>
                <w:szCs w:val="18"/>
                <w:color w:val="auto"/>
              </w:rPr>
              <w:t>Stock subscription receivable</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(1,652,215)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(50,000)</w:t>
            </w:r>
          </w:p>
        </w:tc>
      </w:tr>
      <w:tr>
        <w:trPr>
          <w:trHeight w:val="235"/>
        </w:trPr>
        <w:tc>
          <w:tcPr>
            <w:tcW w:w="340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340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65,665,037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406,591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(80,347)</w:t>
            </w:r>
          </w:p>
        </w:tc>
        <w:tc>
          <w:tcPr>
            <w:tcW w:w="4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2,666</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278,910</w:t>
            </w:r>
          </w:p>
        </w:tc>
      </w:tr>
      <w:tr>
        <w:trPr>
          <w:trHeight w:val="20"/>
        </w:trPr>
        <w:tc>
          <w:tcPr>
            <w:tcW w:w="3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6"/>
        </w:trPr>
        <w:tc>
          <w:tcPr>
            <w:tcW w:w="8680" w:type="dxa"/>
            <w:vAlign w:val="bottom"/>
            <w:gridSpan w:val="22"/>
          </w:tcPr>
          <w:p>
            <w:pPr>
              <w:ind w:left="1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9"/>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6"/>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
        </w:trPr>
        <w:tc>
          <w:tcPr>
            <w:tcW w:w="34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3" w:lineRule="auto"/>
        <w:rPr>
          <w:sz w:val="20"/>
          <w:szCs w:val="20"/>
          <w:color w:val="auto"/>
        </w:rPr>
      </w:pPr>
      <w:r>
        <w:rPr>
          <w:rFonts w:ascii="Arial" w:cs="Arial" w:eastAsia="Arial" w:hAnsi="Arial"/>
          <w:sz w:val="18"/>
          <w:szCs w:val="18"/>
          <w:b w:val="1"/>
          <w:bCs w:val="1"/>
          <w:color w:val="auto"/>
        </w:rPr>
        <w:t>For the years ended December 31, 2017 and 2016</w:t>
      </w: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3,214</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Accretion on asset retirement obligations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r>
      <w:tr>
        <w:trPr>
          <w:trHeight w:val="235"/>
        </w:trPr>
        <w:tc>
          <w:tcPr>
            <w:tcW w:w="694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48"/>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Abandoned project cost</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1,289</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(Increase) in receivables</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(3,114)</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(16,149)</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(3,496)</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(7,656)</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(Increase) in other assets</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(21,738)</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(2,883)</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increase in accounts payable/accrued liabilities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9,824</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(Decrease) increase in property taxes payable</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(1,204)</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amounts due to/from affiliates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41"/>
        </w:trPr>
        <w:tc>
          <w:tcPr>
            <w:tcW w:w="6940" w:type="dxa"/>
            <w:vAlign w:val="bottom"/>
          </w:tcPr>
          <w:p>
            <w:pPr>
              <w:spacing w:after="0"/>
              <w:rPr>
                <w:sz w:val="20"/>
                <w:szCs w:val="20"/>
                <w:color w:val="auto"/>
              </w:rPr>
            </w:pPr>
            <w:r>
              <w:rPr>
                <w:rFonts w:ascii="Arial" w:cs="Arial" w:eastAsia="Arial" w:hAnsi="Arial"/>
                <w:sz w:val="18"/>
                <w:szCs w:val="18"/>
                <w:color w:val="auto"/>
              </w:rPr>
              <w:t>(Decrease) increase in other liabilities</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8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(43,493)</w:t>
            </w:r>
          </w:p>
        </w:tc>
      </w:tr>
      <w:tr>
        <w:trPr>
          <w:trHeight w:val="235"/>
        </w:trPr>
        <w:tc>
          <w:tcPr>
            <w:tcW w:w="694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Purchase of available-for-sale investment</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(1,667)</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(22,538)</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(5,715)</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Principal receivable for finance lease, net</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536</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(28,727)</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(96,325)</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(104,040)</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(2,614)</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Proceeds from borrowings of debt</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44,000</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(5,828)</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(65,853)</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Payment of deferred financing costs</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(2,031)</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and (repayment of) Member’s note</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Capital contributed from Members</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20,100</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300,776</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of stock issuance costs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5"/>
        </w:trPr>
        <w:tc>
          <w:tcPr>
            <w:tcW w:w="694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277,699</w:t>
            </w:r>
          </w:p>
        </w:tc>
      </w:tr>
      <w:tr>
        <w:trPr>
          <w:trHeight w:val="235"/>
        </w:trPr>
        <w:tc>
          <w:tcPr>
            <w:tcW w:w="694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(95,942)</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130,166</w:t>
            </w: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180,650</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50,484</w:t>
            </w:r>
          </w:p>
        </w:tc>
      </w:tr>
      <w:tr>
        <w:trPr>
          <w:trHeight w:val="20"/>
        </w:trPr>
        <w:tc>
          <w:tcPr>
            <w:tcW w:w="69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1"/>
        </w:trPr>
        <w:tc>
          <w:tcPr>
            <w:tcW w:w="694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84,708</w:t>
            </w:r>
          </w:p>
        </w:tc>
        <w:tc>
          <w:tcPr>
            <w:tcW w:w="18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180,650</w:t>
            </w:r>
          </w:p>
        </w:tc>
      </w:tr>
      <w:tr>
        <w:trPr>
          <w:trHeight w:val="27"/>
        </w:trPr>
        <w:tc>
          <w:tcPr>
            <w:tcW w:w="69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694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accrued construction in progress costs and property, plant and equipment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7,997</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(4,368)</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Changes in accrued costs for assets subject to finance lease</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Amortized debt issuance cost capitalized</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Principal receivable for finance lease, net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r>
      <w:tr>
        <w:trPr>
          <w:trHeight w:val="235"/>
        </w:trPr>
        <w:tc>
          <w:tcPr>
            <w:tcW w:w="6940" w:type="dxa"/>
            <w:vAlign w:val="bottom"/>
          </w:tcPr>
          <w:p>
            <w:pPr>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5,725</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4,329</w:t>
            </w:r>
          </w:p>
        </w:tc>
      </w:tr>
      <w:tr>
        <w:trPr>
          <w:trHeight w:val="248"/>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gridSpan w:val="4"/>
          </w:tcPr>
          <w:p>
            <w:pPr>
              <w:ind w:left="1640"/>
              <w:spacing w:after="0"/>
              <w:rPr>
                <w:sz w:val="20"/>
                <w:szCs w:val="20"/>
                <w:color w:val="auto"/>
              </w:rPr>
            </w:pPr>
            <w:r>
              <w:rPr>
                <w:rFonts w:ascii="Arial" w:cs="Arial" w:eastAsia="Arial" w:hAnsi="Arial"/>
                <w:sz w:val="18"/>
                <w:szCs w:val="18"/>
                <w:color w:val="auto"/>
                <w:w w:val="94"/>
              </w:rPr>
              <w:t>The accompanying notes are an integral part of these consolidated financial statements.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5"/>
        </w:trPr>
        <w:tc>
          <w:tcPr>
            <w:tcW w:w="6940" w:type="dxa"/>
            <w:vAlign w:val="bottom"/>
          </w:tcPr>
          <w:p>
            <w:pPr>
              <w:ind w:left="4580"/>
              <w:spacing w:after="0"/>
              <w:rPr>
                <w:sz w:val="20"/>
                <w:szCs w:val="20"/>
                <w:color w:val="auto"/>
              </w:rPr>
            </w:pPr>
            <w:r>
              <w:rPr>
                <w:rFonts w:ascii="Arial" w:cs="Arial" w:eastAsia="Arial" w:hAnsi="Arial"/>
                <w:sz w:val="18"/>
                <w:szCs w:val="18"/>
                <w:color w:val="auto"/>
              </w:rPr>
              <w:t>F-25</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6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
        </w:trPr>
        <w:tc>
          <w:tcPr>
            <w:tcW w:w="6940" w:type="dxa"/>
            <w:vAlign w:val="bottom"/>
            <w:tcBorders>
              <w:right w:val="single" w:sz="8" w:color="auto"/>
            </w:tcBorders>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949"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218"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218" w:lineRule="auto"/>
        <w:rPr>
          <w:sz w:val="20"/>
          <w:szCs w:val="20"/>
          <w:color w:val="auto"/>
        </w:rPr>
      </w:pPr>
      <w:r>
        <w:rPr>
          <w:rFonts w:ascii="Arial" w:cs="Arial" w:eastAsia="Arial" w:hAnsi="Arial"/>
          <w:sz w:val="18"/>
          <w:szCs w:val="18"/>
          <w:b w:val="1"/>
          <w:bCs w:val="1"/>
          <w:color w:val="auto"/>
        </w:rPr>
        <w:t>December 31, 2017</w:t>
      </w: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305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0595" cy="8255"/>
                    </a:xfrm>
                    <a:prstGeom prst="rect">
                      <a:avLst/>
                    </a:prstGeom>
                    <a:noFill/>
                  </pic:spPr>
                </pic:pic>
              </a:graphicData>
            </a:graphic>
          </wp:anchor>
        </w:drawing>
      </w:r>
    </w:p>
    <w:p>
      <w:pPr>
        <w:spacing w:after="0" w:line="88" w:lineRule="exact"/>
        <w:rPr>
          <w:sz w:val="20"/>
          <w:szCs w:val="20"/>
          <w:color w:val="auto"/>
        </w:rPr>
      </w:pPr>
    </w:p>
    <w:p>
      <w:pPr>
        <w:ind w:left="360" w:hanging="355"/>
        <w:spacing w:after="0"/>
        <w:tabs>
          <w:tab w:leader="none" w:pos="3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18" w:lineRule="exact"/>
        <w:rPr>
          <w:rFonts w:ascii="Arial" w:cs="Arial" w:eastAsia="Arial" w:hAnsi="Arial"/>
          <w:sz w:val="18"/>
          <w:szCs w:val="18"/>
          <w:b w:val="1"/>
          <w:bCs w:val="1"/>
          <w:color w:val="auto"/>
        </w:rPr>
      </w:pPr>
    </w:p>
    <w:p>
      <w:pPr>
        <w:ind w:left="360" w:right="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New Fortress Energy Holdings LLC (“NFE,” together with its subsidiaries, the “Company”) is a Delaware limited liability company formed on September 11, 2015. The Company is an integrated gas-to-power company that seeks to use “stranded” natural gas to satisfy the world’s large and growing power needs. The Company's mission is to provide modern infrastructure solutions to create cleaner, reliable energy while generating a positive economic impact worldwide. The Company's business model is simple, yet unique for the liquefied natural gas (“LNG”) industry. The Company aims to deliver targeted energy solutions to customers around the world, thereby reducing their energy costs and diversifying their energy resources, while also reducing pollution. The Company currently sources LNG from a combination of its own liquefaction facility in Miami, Florida and purchases on the open market. The Company has liquefaction and regasification operations in the United States and Jamaica. The Company is majority-owned by a private equity fund managed by an affiliate of Fortress Investment Group LLC (“Fortress”).</w:t>
      </w:r>
    </w:p>
    <w:p>
      <w:pPr>
        <w:spacing w:after="0" w:line="70" w:lineRule="exact"/>
        <w:rPr>
          <w:rFonts w:ascii="Arial" w:cs="Arial" w:eastAsia="Arial" w:hAnsi="Arial"/>
          <w:sz w:val="18"/>
          <w:szCs w:val="18"/>
          <w:b w:val="1"/>
          <w:bCs w:val="1"/>
          <w:color w:val="auto"/>
        </w:rPr>
      </w:pPr>
    </w:p>
    <w:p>
      <w:pPr>
        <w:ind w:left="360" w:right="22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The Company manages, analyzes and reports on its business and results of operations on the basis of one operating segment. The chief operating decision maker makes resource allocation decisions and assesses performance based on consolidated financial information presented on the delivery of an integrated solution to our customers.</w:t>
      </w:r>
    </w:p>
    <w:p>
      <w:pPr>
        <w:spacing w:after="0" w:line="53" w:lineRule="exact"/>
        <w:rPr>
          <w:rFonts w:ascii="Arial" w:cs="Arial" w:eastAsia="Arial" w:hAnsi="Arial"/>
          <w:sz w:val="18"/>
          <w:szCs w:val="18"/>
          <w:b w:val="1"/>
          <w:bCs w:val="1"/>
          <w:color w:val="auto"/>
        </w:rPr>
      </w:pPr>
    </w:p>
    <w:p>
      <w:pPr>
        <w:ind w:left="360" w:hanging="355"/>
        <w:spacing w:after="0"/>
        <w:tabs>
          <w:tab w:leader="none" w:pos="3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principal accounting policies adopted are set out below.</w:t>
      </w:r>
    </w:p>
    <w:p>
      <w:pPr>
        <w:spacing w:after="0" w:line="110" w:lineRule="exact"/>
        <w:rPr>
          <w:rFonts w:ascii="Arial" w:cs="Arial" w:eastAsia="Arial" w:hAnsi="Arial"/>
          <w:sz w:val="18"/>
          <w:szCs w:val="18"/>
          <w:b w:val="1"/>
          <w:bCs w:val="1"/>
          <w:color w:val="auto"/>
        </w:rPr>
      </w:pPr>
    </w:p>
    <w:p>
      <w:pPr>
        <w:ind w:left="700" w:hanging="34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18" w:lineRule="exact"/>
        <w:rPr>
          <w:rFonts w:ascii="Arial" w:cs="Arial" w:eastAsia="Arial" w:hAnsi="Arial"/>
          <w:sz w:val="18"/>
          <w:szCs w:val="18"/>
          <w:color w:val="auto"/>
        </w:rPr>
      </w:pPr>
    </w:p>
    <w:p>
      <w:pPr>
        <w:ind w:left="720" w:right="140"/>
        <w:spacing w:after="0" w:line="257" w:lineRule="auto"/>
        <w:rPr>
          <w:rFonts w:ascii="Arial" w:cs="Arial" w:eastAsia="Arial" w:hAnsi="Arial"/>
          <w:sz w:val="18"/>
          <w:szCs w:val="18"/>
          <w:color w:val="auto"/>
        </w:rPr>
      </w:pPr>
      <w:r>
        <w:rPr>
          <w:rFonts w:ascii="Arial" w:cs="Arial" w:eastAsia="Arial" w:hAnsi="Arial"/>
          <w:sz w:val="18"/>
          <w:szCs w:val="18"/>
          <w:color w:val="auto"/>
        </w:rPr>
        <w:t>The consolidated financial statements were prepared in accordance with US generally accepted accounting principles (“GAAP”). The consolidated financial statements include the accounts of the Company and its consolidated subsidiaries. All consolidated subsidiary entities are wholly-owned. All significant intercompany transactions and balances have been eliminated on consolidation.</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18" w:lineRule="exact"/>
        <w:rPr>
          <w:rFonts w:ascii="Arial" w:cs="Arial" w:eastAsia="Arial" w:hAnsi="Arial"/>
          <w:sz w:val="18"/>
          <w:szCs w:val="18"/>
          <w:color w:val="auto"/>
        </w:rPr>
      </w:pPr>
    </w:p>
    <w:p>
      <w:pPr>
        <w:ind w:left="720" w:right="140"/>
        <w:spacing w:after="0" w:line="318" w:lineRule="auto"/>
        <w:rPr>
          <w:rFonts w:ascii="Arial" w:cs="Arial" w:eastAsia="Arial" w:hAnsi="Arial"/>
          <w:sz w:val="18"/>
          <w:szCs w:val="18"/>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Management evaluates its estimates and related assumptions regularly. Changes in facts and circumstances or additional information may result in revised estimates, and actual results may differ from these estimates.</w:t>
      </w:r>
    </w:p>
    <w:p>
      <w:pPr>
        <w:spacing w:after="0" w:line="33" w:lineRule="exact"/>
        <w:rPr>
          <w:rFonts w:ascii="Arial" w:cs="Arial" w:eastAsia="Arial" w:hAnsi="Arial"/>
          <w:sz w:val="18"/>
          <w:szCs w:val="18"/>
          <w:color w:val="auto"/>
        </w:rPr>
      </w:pPr>
    </w:p>
    <w:p>
      <w:pPr>
        <w:ind w:left="700" w:hanging="34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Foreign currencies</w:t>
      </w:r>
    </w:p>
    <w:p>
      <w:pPr>
        <w:spacing w:after="0" w:line="118" w:lineRule="exact"/>
        <w:rPr>
          <w:rFonts w:ascii="Arial" w:cs="Arial" w:eastAsia="Arial" w:hAnsi="Arial"/>
          <w:sz w:val="18"/>
          <w:szCs w:val="18"/>
          <w:color w:val="auto"/>
        </w:rPr>
      </w:pPr>
    </w:p>
    <w:p>
      <w:pPr>
        <w:ind w:left="720"/>
        <w:spacing w:after="0" w:line="255" w:lineRule="auto"/>
        <w:rPr>
          <w:rFonts w:ascii="Arial" w:cs="Arial" w:eastAsia="Arial" w:hAnsi="Arial"/>
          <w:sz w:val="18"/>
          <w:szCs w:val="18"/>
          <w:color w:val="auto"/>
        </w:rPr>
      </w:pPr>
      <w:r>
        <w:rPr>
          <w:rFonts w:ascii="Arial" w:cs="Arial" w:eastAsia="Arial" w:hAnsi="Arial"/>
          <w:sz w:val="18"/>
          <w:szCs w:val="18"/>
          <w:color w:val="auto"/>
        </w:rPr>
        <w:t>The Company’s functional and reporting currency is the U.S. dollar. Purchases and sales of assets and income and expense items denominated in foreign currencies are translated into U.S. dollar amounts on the respective dates of such transactions. Net realized foreign currency gains or losses relating to the differences between these recorded amounts and the U.S. dollar equivalent actually received or paid are included within Other (income), net in the consolidated statements of operations and comprehensive loss.</w:t>
      </w:r>
    </w:p>
    <w:p>
      <w:pPr>
        <w:spacing w:after="0" w:line="76" w:lineRule="exact"/>
        <w:rPr>
          <w:rFonts w:ascii="Arial" w:cs="Arial" w:eastAsia="Arial" w:hAnsi="Arial"/>
          <w:sz w:val="18"/>
          <w:szCs w:val="18"/>
          <w:color w:val="auto"/>
        </w:rPr>
      </w:pPr>
    </w:p>
    <w:p>
      <w:pPr>
        <w:ind w:left="700" w:hanging="34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18" w:lineRule="exact"/>
        <w:rPr>
          <w:rFonts w:ascii="Arial" w:cs="Arial" w:eastAsia="Arial" w:hAnsi="Arial"/>
          <w:sz w:val="18"/>
          <w:szCs w:val="18"/>
          <w:color w:val="auto"/>
        </w:rPr>
      </w:pPr>
    </w:p>
    <w:p>
      <w:pPr>
        <w:ind w:left="720" w:right="460"/>
        <w:spacing w:after="0" w:line="274" w:lineRule="auto"/>
        <w:rPr>
          <w:rFonts w:ascii="Arial" w:cs="Arial" w:eastAsia="Arial" w:hAnsi="Arial"/>
          <w:sz w:val="18"/>
          <w:szCs w:val="18"/>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w:t>
      </w:r>
    </w:p>
    <w:p>
      <w:pPr>
        <w:spacing w:after="0" w:line="59" w:lineRule="exact"/>
        <w:rPr>
          <w:rFonts w:ascii="Arial" w:cs="Arial" w:eastAsia="Arial" w:hAnsi="Arial"/>
          <w:sz w:val="18"/>
          <w:szCs w:val="18"/>
          <w:color w:val="auto"/>
        </w:rPr>
      </w:pPr>
    </w:p>
    <w:p>
      <w:pPr>
        <w:ind w:left="700" w:hanging="346"/>
        <w:spacing w:after="0"/>
        <w:tabs>
          <w:tab w:leader="none" w:pos="70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18" w:lineRule="exact"/>
        <w:rPr>
          <w:rFonts w:ascii="Arial" w:cs="Arial" w:eastAsia="Arial" w:hAnsi="Arial"/>
          <w:sz w:val="18"/>
          <w:szCs w:val="18"/>
          <w:color w:val="auto"/>
        </w:rPr>
      </w:pPr>
    </w:p>
    <w:p>
      <w:pPr>
        <w:ind w:left="720" w:right="520"/>
        <w:spacing w:after="0" w:line="274" w:lineRule="auto"/>
        <w:rPr>
          <w:rFonts w:ascii="Arial" w:cs="Arial" w:eastAsia="Arial" w:hAnsi="Arial"/>
          <w:sz w:val="18"/>
          <w:szCs w:val="18"/>
          <w:color w:val="auto"/>
        </w:rPr>
      </w:pPr>
      <w:r>
        <w:rPr>
          <w:rFonts w:ascii="Arial" w:cs="Arial" w:eastAsia="Arial" w:hAnsi="Arial"/>
          <w:sz w:val="18"/>
          <w:szCs w:val="18"/>
          <w:color w:val="auto"/>
        </w:rPr>
        <w:t>Restricted cash consists of funds that are contractually restricted as to usage or withdrawal and have been presented separately from cash and cash equivalents on the consolidated balance sheets.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left="700" w:hanging="34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Receivables</w:t>
      </w:r>
    </w:p>
    <w:p>
      <w:pPr>
        <w:spacing w:after="0" w:line="118" w:lineRule="exact"/>
        <w:rPr>
          <w:rFonts w:ascii="Arial" w:cs="Arial" w:eastAsia="Arial" w:hAnsi="Arial"/>
          <w:sz w:val="18"/>
          <w:szCs w:val="18"/>
          <w:color w:val="auto"/>
        </w:rPr>
      </w:pPr>
    </w:p>
    <w:p>
      <w:pPr>
        <w:ind w:left="720" w:right="40"/>
        <w:spacing w:after="0" w:line="254" w:lineRule="auto"/>
        <w:rPr>
          <w:rFonts w:ascii="Arial" w:cs="Arial" w:eastAsia="Arial" w:hAnsi="Arial"/>
          <w:sz w:val="18"/>
          <w:szCs w:val="18"/>
          <w:color w:val="auto"/>
        </w:rPr>
      </w:pPr>
      <w:r>
        <w:rPr>
          <w:rFonts w:ascii="Arial" w:cs="Arial" w:eastAsia="Arial" w:hAnsi="Arial"/>
          <w:sz w:val="18"/>
          <w:szCs w:val="18"/>
          <w:color w:val="auto"/>
        </w:rPr>
        <w:t>Receivables are reported net of allowances for doubtful accounts. Impaired receivables are specifically identified and evaluated for expected losses. The expected loss on impaired receivables is primarily determined based on the debtor’s ability to pay and the estimated value of any collateral, and such losses are recorded as Selling, general and administrative within the consolidated statements of operations and comprehensive loss. For the years ended December 31, 2017 and 2016, no bad debt expense was recognized with respect to receivables, and there is no recorded allowance for doubtful accounts.</w:t>
      </w:r>
    </w:p>
    <w:p>
      <w:pPr>
        <w:spacing w:after="0" w:line="76" w:lineRule="exact"/>
        <w:rPr>
          <w:rFonts w:ascii="Arial" w:cs="Arial" w:eastAsia="Arial" w:hAnsi="Arial"/>
          <w:sz w:val="18"/>
          <w:szCs w:val="18"/>
          <w:color w:val="auto"/>
        </w:rPr>
      </w:pPr>
    </w:p>
    <w:p>
      <w:pPr>
        <w:ind w:left="700" w:hanging="34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18" w:lineRule="exact"/>
        <w:rPr>
          <w:rFonts w:ascii="Arial" w:cs="Arial" w:eastAsia="Arial" w:hAnsi="Arial"/>
          <w:sz w:val="18"/>
          <w:szCs w:val="18"/>
          <w:color w:val="auto"/>
        </w:rPr>
      </w:pPr>
    </w:p>
    <w:p>
      <w:pPr>
        <w:ind w:left="720" w:right="40"/>
        <w:spacing w:after="0" w:line="261" w:lineRule="auto"/>
        <w:rPr>
          <w:rFonts w:ascii="Arial" w:cs="Arial" w:eastAsia="Arial" w:hAnsi="Arial"/>
          <w:sz w:val="18"/>
          <w:szCs w:val="18"/>
          <w:color w:val="auto"/>
        </w:rPr>
      </w:pPr>
      <w:r>
        <w:rPr>
          <w:rFonts w:ascii="Arial" w:cs="Arial" w:eastAsia="Arial" w:hAnsi="Arial"/>
          <w:sz w:val="18"/>
          <w:szCs w:val="18"/>
          <w:color w:val="auto"/>
        </w:rPr>
        <w:t>LNG and natural gas inventories are recorded at weighted average cost, and materials and other inventory are recorded at cost. The Company’s cost to convert from natural gas to LNG, which primarily consists of depreciation of the liquefaction facilities, is reflected in Inventory on the consolidated balance sheets.</w:t>
      </w:r>
    </w:p>
    <w:p>
      <w:pPr>
        <w:spacing w:after="0" w:line="75" w:lineRule="exact"/>
        <w:rPr>
          <w:rFonts w:ascii="Arial" w:cs="Arial" w:eastAsia="Arial" w:hAnsi="Arial"/>
          <w:sz w:val="18"/>
          <w:szCs w:val="18"/>
          <w:color w:val="auto"/>
        </w:rPr>
      </w:pPr>
    </w:p>
    <w:p>
      <w:pPr>
        <w:ind w:left="720"/>
        <w:spacing w:after="0" w:line="274" w:lineRule="auto"/>
        <w:rPr>
          <w:rFonts w:ascii="Arial" w:cs="Arial" w:eastAsia="Arial" w:hAnsi="Arial"/>
          <w:sz w:val="18"/>
          <w:szCs w:val="18"/>
          <w:color w:val="auto"/>
        </w:rPr>
      </w:pPr>
      <w:r>
        <w:rPr>
          <w:rFonts w:ascii="Arial" w:cs="Arial" w:eastAsia="Arial" w:hAnsi="Arial"/>
          <w:sz w:val="18"/>
          <w:szCs w:val="18"/>
          <w:color w:val="auto"/>
        </w:rPr>
        <w:t>Inventory is subject to the lower of cost or net realizable value each month. Changes in the value of inventory are recorded within Cost of sales in the consolidated statements of operations and comprehensive loss.</w:t>
      </w:r>
    </w:p>
    <w:p>
      <w:pPr>
        <w:spacing w:after="0" w:line="63" w:lineRule="exact"/>
        <w:rPr>
          <w:rFonts w:ascii="Arial" w:cs="Arial" w:eastAsia="Arial" w:hAnsi="Arial"/>
          <w:sz w:val="18"/>
          <w:szCs w:val="18"/>
          <w:color w:val="auto"/>
        </w:rPr>
      </w:pPr>
    </w:p>
    <w:p>
      <w:pPr>
        <w:ind w:left="720" w:right="240"/>
        <w:spacing w:after="0" w:line="257" w:lineRule="auto"/>
        <w:rPr>
          <w:rFonts w:ascii="Arial" w:cs="Arial" w:eastAsia="Arial" w:hAnsi="Arial"/>
          <w:sz w:val="18"/>
          <w:szCs w:val="18"/>
          <w:color w:val="auto"/>
        </w:rPr>
      </w:pPr>
      <w:r>
        <w:rPr>
          <w:rFonts w:ascii="Arial" w:cs="Arial" w:eastAsia="Arial" w:hAnsi="Arial"/>
          <w:sz w:val="18"/>
          <w:szCs w:val="18"/>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loss in instances where gas cannot be contained and recycled back into the production process in the period in which the loss occurs.</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Construction in progress</w:t>
      </w:r>
    </w:p>
    <w:p>
      <w:pPr>
        <w:spacing w:after="0" w:line="118" w:lineRule="exact"/>
        <w:rPr>
          <w:rFonts w:ascii="Arial" w:cs="Arial" w:eastAsia="Arial" w:hAnsi="Arial"/>
          <w:sz w:val="18"/>
          <w:szCs w:val="18"/>
          <w:color w:val="auto"/>
        </w:rPr>
      </w:pPr>
    </w:p>
    <w:p>
      <w:pPr>
        <w:jc w:val="both"/>
        <w:ind w:left="720" w:right="120"/>
        <w:spacing w:after="0" w:line="309" w:lineRule="auto"/>
        <w:rPr>
          <w:rFonts w:ascii="Arial" w:cs="Arial" w:eastAsia="Arial" w:hAnsi="Arial"/>
          <w:sz w:val="18"/>
          <w:szCs w:val="18"/>
          <w:color w:val="auto"/>
        </w:rPr>
      </w:pPr>
      <w:r>
        <w:rPr>
          <w:rFonts w:ascii="Arial" w:cs="Arial" w:eastAsia="Arial" w:hAnsi="Arial"/>
          <w:sz w:val="16"/>
          <w:szCs w:val="16"/>
          <w:color w:val="auto"/>
        </w:rPr>
        <w:t>Construction in progress is recorded at cost, and at the point at which the constructed asset in progress is put into use, the full cost of the asset is reclassified from Construction in progress to Property, plant and equipment, net or Finance leases, net on the face of the consolidated balance sheets. Depreciation is not recognized during the construction period.</w:t>
      </w:r>
    </w:p>
    <w:p>
      <w:pPr>
        <w:spacing w:after="0" w:line="40" w:lineRule="exact"/>
        <w:rPr>
          <w:rFonts w:ascii="Arial" w:cs="Arial" w:eastAsia="Arial" w:hAnsi="Arial"/>
          <w:sz w:val="18"/>
          <w:szCs w:val="18"/>
          <w:color w:val="auto"/>
        </w:rPr>
      </w:pPr>
    </w:p>
    <w:p>
      <w:pPr>
        <w:ind w:left="720" w:right="40"/>
        <w:spacing w:after="0" w:line="257" w:lineRule="auto"/>
        <w:rPr>
          <w:rFonts w:ascii="Arial" w:cs="Arial" w:eastAsia="Arial" w:hAnsi="Arial"/>
          <w:sz w:val="18"/>
          <w:szCs w:val="18"/>
          <w:color w:val="auto"/>
        </w:rPr>
      </w:pPr>
      <w:r>
        <w:rPr>
          <w:rFonts w:ascii="Arial" w:cs="Arial" w:eastAsia="Arial" w:hAnsi="Arial"/>
          <w:sz w:val="18"/>
          <w:szCs w:val="18"/>
          <w:color w:val="auto"/>
        </w:rPr>
        <w:t>The interest cost associated with major development and construction projects is capitalized during the construction period and included in the cost of the project in Construction in progress. Interest expense of $0 and $3,517 was capitalized during the years ended December 31, 2017 and 2016, respectively, in addition to amortized debt issuance costs disclosed in Note 2(m).</w:t>
      </w:r>
    </w:p>
    <w:p>
      <w:pPr>
        <w:spacing w:after="0" w:line="75" w:lineRule="exact"/>
        <w:rPr>
          <w:rFonts w:ascii="Arial" w:cs="Arial" w:eastAsia="Arial" w:hAnsi="Arial"/>
          <w:sz w:val="18"/>
          <w:szCs w:val="18"/>
          <w:color w:val="auto"/>
        </w:rPr>
      </w:pPr>
    </w:p>
    <w:p>
      <w:pPr>
        <w:ind w:left="700" w:hanging="34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Property, plant and equipment, net</w:t>
      </w:r>
    </w:p>
    <w:p>
      <w:pPr>
        <w:spacing w:after="0" w:line="118" w:lineRule="exact"/>
        <w:rPr>
          <w:rFonts w:ascii="Arial" w:cs="Arial" w:eastAsia="Arial" w:hAnsi="Arial"/>
          <w:sz w:val="18"/>
          <w:szCs w:val="18"/>
          <w:color w:val="auto"/>
        </w:rPr>
      </w:pPr>
    </w:p>
    <w:p>
      <w:pPr>
        <w:ind w:left="720" w:right="100"/>
        <w:spacing w:after="0" w:line="255" w:lineRule="auto"/>
        <w:rPr>
          <w:rFonts w:ascii="Arial" w:cs="Arial" w:eastAsia="Arial" w:hAnsi="Arial"/>
          <w:sz w:val="18"/>
          <w:szCs w:val="18"/>
          <w:color w:val="auto"/>
        </w:rPr>
      </w:pPr>
      <w:r>
        <w:rPr>
          <w:rFonts w:ascii="Arial" w:cs="Arial" w:eastAsia="Arial" w:hAnsi="Arial"/>
          <w:sz w:val="18"/>
          <w:szCs w:val="18"/>
          <w:color w:val="auto"/>
        </w:rPr>
        <w:t>Property, plant and equipment is recorded at cost. Expenditures for construction activities and betterments that extend the useful life of the asset are capitalized, while expenditures for maintenance and repairs are charged to expense as incurred within Operations and maintenance in the consolidated statements of operations and comprehensive loss. The Company depreciates property, plant and equipment using the straight-line depreciation method over the estimated economic useful life of the asset.</w:t>
      </w:r>
    </w:p>
    <w:p>
      <w:pPr>
        <w:spacing w:after="0" w:line="46"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6900" w:type="dxa"/>
            <w:vAlign w:val="bottom"/>
          </w:tcPr>
          <w:p>
            <w:pPr>
              <w:spacing w:after="0"/>
              <w:rPr>
                <w:sz w:val="15"/>
                <w:szCs w:val="15"/>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Useful life (Yrs)</w:t>
            </w:r>
          </w:p>
        </w:tc>
      </w:tr>
      <w:tr>
        <w:trPr>
          <w:trHeight w:val="235"/>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1380" w:type="dxa"/>
            <w:vAlign w:val="bottom"/>
            <w:tcBorders>
              <w:top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86"/>
              </w:rPr>
              <w:t>20-30</w:t>
            </w:r>
          </w:p>
        </w:tc>
        <w:tc>
          <w:tcPr>
            <w:tcW w:w="80" w:type="dxa"/>
            <w:vAlign w:val="bottom"/>
            <w:shd w:val="clear" w:color="auto" w:fill="CCEEFF"/>
          </w:tcPr>
          <w:p>
            <w:pPr>
              <w:spacing w:after="0"/>
              <w:rPr>
                <w:sz w:val="20"/>
                <w:szCs w:val="20"/>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ISO containers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80" w:type="dxa"/>
            <w:vAlign w:val="bottom"/>
          </w:tcPr>
          <w:p>
            <w:pPr>
              <w:spacing w:after="0"/>
              <w:rPr>
                <w:sz w:val="19"/>
                <w:szCs w:val="19"/>
                <w:color w:val="auto"/>
              </w:rPr>
            </w:pPr>
          </w:p>
        </w:tc>
      </w:tr>
      <w:tr>
        <w:trPr>
          <w:trHeight w:val="254"/>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CEEFF"/>
          </w:tcPr>
          <w:p>
            <w:pPr>
              <w:spacing w:after="0"/>
              <w:rPr>
                <w:sz w:val="22"/>
                <w:szCs w:val="22"/>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Computer equipment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left="720" w:right="200"/>
        <w:spacing w:after="0" w:line="274" w:lineRule="auto"/>
        <w:rPr>
          <w:sz w:val="20"/>
          <w:szCs w:val="20"/>
          <w:color w:val="auto"/>
        </w:rPr>
      </w:pPr>
      <w:r>
        <w:rPr>
          <w:rFonts w:ascii="Arial" w:cs="Arial" w:eastAsia="Arial" w:hAnsi="Arial"/>
          <w:sz w:val="18"/>
          <w:szCs w:val="18"/>
          <w:color w:val="auto"/>
        </w:rPr>
        <w:t>The Company reviews the remaining useful life of its assets on a regular basis to determine whether changes have taken place that would suggest that a change in its depreciation policies is warranted.</w:t>
      </w:r>
    </w:p>
    <w:p>
      <w:pPr>
        <w:spacing w:after="0" w:line="64" w:lineRule="exact"/>
        <w:rPr>
          <w:sz w:val="20"/>
          <w:szCs w:val="20"/>
          <w:color w:val="auto"/>
        </w:rPr>
      </w:pPr>
    </w:p>
    <w:p>
      <w:pPr>
        <w:ind w:left="720" w:right="120"/>
        <w:spacing w:after="0" w:line="261" w:lineRule="auto"/>
        <w:rPr>
          <w:sz w:val="20"/>
          <w:szCs w:val="20"/>
          <w:color w:val="auto"/>
        </w:rPr>
      </w:pPr>
      <w:r>
        <w:rPr>
          <w:rFonts w:ascii="Arial" w:cs="Arial" w:eastAsia="Arial" w:hAnsi="Arial"/>
          <w:sz w:val="18"/>
          <w:szCs w:val="18"/>
          <w:color w:val="auto"/>
        </w:rPr>
        <w:t>Upon retirement or disposal of property, plant and equipment, the cost and related accumulated depreciation are removed from the account, and the resulting gains or losses, if any, are recorded in the consolidated statements of operations and comprehensive loss.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left="700" w:hanging="34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Asset retirement obligations (“AROs”)</w:t>
      </w:r>
    </w:p>
    <w:p>
      <w:pPr>
        <w:spacing w:after="0" w:line="118" w:lineRule="exact"/>
        <w:rPr>
          <w:rFonts w:ascii="Arial" w:cs="Arial" w:eastAsia="Arial" w:hAnsi="Arial"/>
          <w:sz w:val="18"/>
          <w:szCs w:val="18"/>
          <w:color w:val="auto"/>
        </w:rPr>
      </w:pPr>
    </w:p>
    <w:p>
      <w:pPr>
        <w:ind w:left="720" w:right="80"/>
        <w:spacing w:after="0" w:line="271" w:lineRule="auto"/>
        <w:rPr>
          <w:rFonts w:ascii="Arial" w:cs="Arial" w:eastAsia="Arial" w:hAnsi="Arial"/>
          <w:sz w:val="18"/>
          <w:szCs w:val="18"/>
          <w:color w:val="auto"/>
        </w:rPr>
      </w:pPr>
      <w:r>
        <w:rPr>
          <w:rFonts w:ascii="Arial" w:cs="Arial" w:eastAsia="Arial" w:hAnsi="Arial"/>
          <w:sz w:val="17"/>
          <w:szCs w:val="17"/>
          <w:color w:val="auto"/>
        </w:rPr>
        <w:t>AROs are recognized for legal obligations associated with the retirement of long-lived assets that result from the acquisition, leasing, construction, development and/or normal use of the assets and for conditional AROs in which the timing or method of settlement are conditional on a future event. The fair value of a liability for an ARO is recognized in the period in which it is incurred if a reasonable estimate of fair value can be made and is accreted to its final value over the life of the liability. The initial fair value of the liability is added to the carrying amount of the associated asset. This additional carrying amount is depreciated over the estimated useful life of the asset.</w:t>
      </w:r>
    </w:p>
    <w:p>
      <w:pPr>
        <w:spacing w:after="0" w:line="70" w:lineRule="exact"/>
        <w:rPr>
          <w:rFonts w:ascii="Arial" w:cs="Arial" w:eastAsia="Arial" w:hAnsi="Arial"/>
          <w:sz w:val="18"/>
          <w:szCs w:val="18"/>
          <w:color w:val="auto"/>
        </w:rPr>
      </w:pPr>
    </w:p>
    <w:p>
      <w:pPr>
        <w:ind w:left="720" w:right="80"/>
        <w:spacing w:after="0" w:line="261" w:lineRule="auto"/>
        <w:rPr>
          <w:rFonts w:ascii="Arial" w:cs="Arial" w:eastAsia="Arial" w:hAnsi="Arial"/>
          <w:sz w:val="18"/>
          <w:szCs w:val="18"/>
          <w:color w:val="auto"/>
        </w:rPr>
      </w:pPr>
      <w:r>
        <w:rPr>
          <w:rFonts w:ascii="Arial" w:cs="Arial" w:eastAsia="Arial" w:hAnsi="Arial"/>
          <w:sz w:val="18"/>
          <w:szCs w:val="18"/>
          <w:color w:val="auto"/>
        </w:rPr>
        <w:t>The Company estimates the fair value of the ARO liability based on the present value of expected cash flows using a credit-adjusted risk-free rate. Liabilities for AROs may be incurred over more than one reporting period if the events that create the obligation occur over more than one period or if estimates change.</w:t>
      </w:r>
    </w:p>
    <w:p>
      <w:pPr>
        <w:spacing w:after="0" w:line="71" w:lineRule="exact"/>
        <w:rPr>
          <w:rFonts w:ascii="Arial" w:cs="Arial" w:eastAsia="Arial" w:hAnsi="Arial"/>
          <w:sz w:val="18"/>
          <w:szCs w:val="18"/>
          <w:color w:val="auto"/>
        </w:rPr>
      </w:pPr>
    </w:p>
    <w:p>
      <w:pPr>
        <w:ind w:left="700" w:hanging="34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w:t>
      </w:r>
    </w:p>
    <w:p>
      <w:pPr>
        <w:spacing w:after="0" w:line="118" w:lineRule="exact"/>
        <w:rPr>
          <w:rFonts w:ascii="Arial" w:cs="Arial" w:eastAsia="Arial" w:hAnsi="Arial"/>
          <w:sz w:val="18"/>
          <w:szCs w:val="18"/>
          <w:color w:val="auto"/>
        </w:rPr>
      </w:pPr>
    </w:p>
    <w:p>
      <w:pPr>
        <w:ind w:left="720"/>
        <w:spacing w:after="0" w:line="255" w:lineRule="auto"/>
        <w:rPr>
          <w:rFonts w:ascii="Arial" w:cs="Arial" w:eastAsia="Arial" w:hAnsi="Arial"/>
          <w:sz w:val="18"/>
          <w:szCs w:val="18"/>
          <w:color w:val="auto"/>
        </w:rPr>
      </w:pPr>
      <w:r>
        <w:rPr>
          <w:rFonts w:ascii="Arial" w:cs="Arial" w:eastAsia="Arial" w:hAnsi="Arial"/>
          <w:sz w:val="18"/>
          <w:szCs w:val="18"/>
          <w:color w:val="auto"/>
        </w:rPr>
        <w:t>The Company performs a recoverability assessment of each of its long-lived assets whenever events or changes in circumstances, or indicators, indicate that the carrying amount of an asset may not be recoverable. Indicators may include, but are not limited to, a significant supply contract restructuring or early termination; significant decrease in LNG and natural gas demand; a decision to discontinue the development of a long-lived asset; or the introduction of newer technology.</w:t>
      </w:r>
    </w:p>
    <w:p>
      <w:pPr>
        <w:spacing w:after="0" w:line="80" w:lineRule="exact"/>
        <w:rPr>
          <w:rFonts w:ascii="Arial" w:cs="Arial" w:eastAsia="Arial" w:hAnsi="Arial"/>
          <w:sz w:val="18"/>
          <w:szCs w:val="18"/>
          <w:color w:val="auto"/>
        </w:rPr>
      </w:pPr>
    </w:p>
    <w:p>
      <w:pPr>
        <w:ind w:left="720"/>
        <w:spacing w:after="0" w:line="309" w:lineRule="auto"/>
        <w:rPr>
          <w:rFonts w:ascii="Arial" w:cs="Arial" w:eastAsia="Arial" w:hAnsi="Arial"/>
          <w:sz w:val="18"/>
          <w:szCs w:val="18"/>
          <w:color w:val="auto"/>
        </w:rPr>
      </w:pPr>
      <w:r>
        <w:rPr>
          <w:rFonts w:ascii="Arial" w:cs="Arial" w:eastAsia="Arial" w:hAnsi="Arial"/>
          <w:sz w:val="16"/>
          <w:szCs w:val="16"/>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40" w:lineRule="exact"/>
        <w:rPr>
          <w:rFonts w:ascii="Arial" w:cs="Arial" w:eastAsia="Arial" w:hAnsi="Arial"/>
          <w:sz w:val="18"/>
          <w:szCs w:val="18"/>
          <w:color w:val="auto"/>
        </w:rPr>
      </w:pPr>
    </w:p>
    <w:p>
      <w:pPr>
        <w:ind w:left="720" w:right="40"/>
        <w:spacing w:after="0" w:line="309" w:lineRule="auto"/>
        <w:rPr>
          <w:rFonts w:ascii="Arial" w:cs="Arial" w:eastAsia="Arial" w:hAnsi="Arial"/>
          <w:sz w:val="18"/>
          <w:szCs w:val="18"/>
          <w:color w:val="auto"/>
        </w:rPr>
      </w:pPr>
      <w:r>
        <w:rPr>
          <w:rFonts w:ascii="Arial" w:cs="Arial" w:eastAsia="Arial" w:hAnsi="Arial"/>
          <w:sz w:val="16"/>
          <w:szCs w:val="16"/>
          <w:color w:val="auto"/>
        </w:rPr>
        <w:t>Management develops the assumptions used in the recoverability assessment based on active contracts, current and future expectations of the demand for LNG and natural gas as well as information received from third party industry sources. The Company did not record an impairment during the years ended December 31, 2017 and 2016.</w:t>
      </w:r>
    </w:p>
    <w:p>
      <w:pPr>
        <w:spacing w:after="0" w:line="36" w:lineRule="exact"/>
        <w:rPr>
          <w:rFonts w:ascii="Arial" w:cs="Arial" w:eastAsia="Arial" w:hAnsi="Arial"/>
          <w:sz w:val="18"/>
          <w:szCs w:val="18"/>
          <w:color w:val="auto"/>
        </w:rPr>
      </w:pPr>
    </w:p>
    <w:p>
      <w:pPr>
        <w:ind w:left="700" w:hanging="34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Available-for-sale investment</w:t>
      </w:r>
    </w:p>
    <w:p>
      <w:pPr>
        <w:spacing w:after="0" w:line="118" w:lineRule="exact"/>
        <w:rPr>
          <w:rFonts w:ascii="Arial" w:cs="Arial" w:eastAsia="Arial" w:hAnsi="Arial"/>
          <w:sz w:val="18"/>
          <w:szCs w:val="18"/>
          <w:color w:val="auto"/>
        </w:rPr>
      </w:pPr>
    </w:p>
    <w:p>
      <w:pPr>
        <w:ind w:left="720"/>
        <w:spacing w:after="0" w:line="271" w:lineRule="auto"/>
        <w:rPr>
          <w:rFonts w:ascii="Arial" w:cs="Arial" w:eastAsia="Arial" w:hAnsi="Arial"/>
          <w:sz w:val="18"/>
          <w:szCs w:val="18"/>
          <w:color w:val="auto"/>
        </w:rPr>
      </w:pPr>
      <w:r>
        <w:rPr>
          <w:rFonts w:ascii="Arial" w:cs="Arial" w:eastAsia="Arial" w:hAnsi="Arial"/>
          <w:sz w:val="17"/>
          <w:szCs w:val="17"/>
          <w:color w:val="auto"/>
        </w:rPr>
        <w:t>The Company considers listed equity securities as available-for-sale securities recorded at fair value with unrealized gains or losses recorded in Other comprehensive (loss) and realized gains or losses recorded in earnings in Other (income), net in the statements of operations and comprehensive loss. The Company’s basis on which the cost of the security sold or the amount reclassified out of other comprehensive income into earnings is determined using specific identification. At each balance sheet date, the Company evaluates its available-for-sale securities with unrealized losses to determine if an other-than-temporary impairment has occurred (see Note 9).</w:t>
      </w:r>
    </w:p>
    <w:p>
      <w:pPr>
        <w:spacing w:after="0" w:line="66" w:lineRule="exact"/>
        <w:rPr>
          <w:rFonts w:ascii="Arial" w:cs="Arial" w:eastAsia="Arial" w:hAnsi="Arial"/>
          <w:sz w:val="18"/>
          <w:szCs w:val="18"/>
          <w:color w:val="auto"/>
        </w:rPr>
      </w:pPr>
    </w:p>
    <w:p>
      <w:pPr>
        <w:ind w:left="700" w:hanging="34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Long-term debt and debt issuance costs</w:t>
      </w:r>
    </w:p>
    <w:p>
      <w:pPr>
        <w:spacing w:after="0" w:line="118" w:lineRule="exact"/>
        <w:rPr>
          <w:rFonts w:ascii="Arial" w:cs="Arial" w:eastAsia="Arial" w:hAnsi="Arial"/>
          <w:sz w:val="18"/>
          <w:szCs w:val="18"/>
          <w:color w:val="auto"/>
        </w:rPr>
      </w:pPr>
    </w:p>
    <w:p>
      <w:pPr>
        <w:ind w:left="720" w:right="80"/>
        <w:spacing w:after="0" w:line="294" w:lineRule="auto"/>
        <w:rPr>
          <w:rFonts w:ascii="Arial" w:cs="Arial" w:eastAsia="Arial" w:hAnsi="Arial"/>
          <w:sz w:val="18"/>
          <w:szCs w:val="18"/>
          <w:color w:val="auto"/>
        </w:rPr>
      </w:pPr>
      <w:r>
        <w:rPr>
          <w:rFonts w:ascii="Arial" w:cs="Arial" w:eastAsia="Arial" w:hAnsi="Arial"/>
          <w:sz w:val="16"/>
          <w:szCs w:val="16"/>
          <w:color w:val="auto"/>
        </w:rPr>
        <w:t>The Company’s debt consists of credit facilities with banks. Costs directly related to the issuance of debt are reported in the consolidated balance sheets as a reduction from the carrying amount of the recognized debt liability and amortized over the term of the debt. Interest and related amortization of debt issuance costs recognized during major development and construction projects are capitalized and included in the cost of the project. Amortization of debt issuance costs were $696 and $1,464 for the years ended December 31, 2017 and 2016, respectively, of which $0 and $689 were capitalized.</w:t>
      </w:r>
    </w:p>
    <w:p>
      <w:pPr>
        <w:spacing w:after="0" w:line="49" w:lineRule="exact"/>
        <w:rPr>
          <w:rFonts w:ascii="Arial" w:cs="Arial" w:eastAsia="Arial" w:hAnsi="Arial"/>
          <w:sz w:val="18"/>
          <w:szCs w:val="18"/>
          <w:color w:val="auto"/>
        </w:rPr>
      </w:pPr>
    </w:p>
    <w:p>
      <w:pPr>
        <w:ind w:left="700" w:hanging="34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Legal and other contingencies</w:t>
      </w:r>
    </w:p>
    <w:p>
      <w:pPr>
        <w:spacing w:after="0" w:line="118" w:lineRule="exact"/>
        <w:rPr>
          <w:rFonts w:ascii="Arial" w:cs="Arial" w:eastAsia="Arial" w:hAnsi="Arial"/>
          <w:sz w:val="18"/>
          <w:szCs w:val="18"/>
          <w:color w:val="auto"/>
        </w:rPr>
      </w:pPr>
    </w:p>
    <w:p>
      <w:pPr>
        <w:ind w:left="720" w:right="60"/>
        <w:spacing w:after="0" w:line="271" w:lineRule="auto"/>
        <w:rPr>
          <w:rFonts w:ascii="Arial" w:cs="Arial" w:eastAsia="Arial" w:hAnsi="Arial"/>
          <w:sz w:val="18"/>
          <w:szCs w:val="18"/>
          <w:color w:val="auto"/>
        </w:rPr>
      </w:pPr>
      <w:r>
        <w:rPr>
          <w:rFonts w:ascii="Arial" w:cs="Arial" w:eastAsia="Arial" w:hAnsi="Arial"/>
          <w:sz w:val="17"/>
          <w:szCs w:val="17"/>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statements of operations and comprehensive loss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7" w:right="1420"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left="700" w:hanging="34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18" w:lineRule="exact"/>
        <w:rPr>
          <w:rFonts w:ascii="Arial" w:cs="Arial" w:eastAsia="Arial" w:hAnsi="Arial"/>
          <w:sz w:val="18"/>
          <w:szCs w:val="18"/>
          <w:color w:val="auto"/>
        </w:rPr>
      </w:pPr>
    </w:p>
    <w:p>
      <w:pPr>
        <w:ind w:left="720" w:right="20"/>
        <w:spacing w:after="0" w:line="255" w:lineRule="auto"/>
        <w:rPr>
          <w:rFonts w:ascii="Arial" w:cs="Arial" w:eastAsia="Arial" w:hAnsi="Arial"/>
          <w:sz w:val="18"/>
          <w:szCs w:val="18"/>
          <w:color w:val="auto"/>
        </w:rPr>
      </w:pPr>
      <w:r>
        <w:rPr>
          <w:rFonts w:ascii="Arial" w:cs="Arial" w:eastAsia="Arial" w:hAnsi="Arial"/>
          <w:sz w:val="18"/>
          <w:szCs w:val="18"/>
          <w:color w:val="auto"/>
        </w:rPr>
        <w:t>Operating revenues from the sales of LNG and natural gas are recognized when the LNG or natural gas is delivered to the customer, either when the natural gas arrives at the customer’s flange or at the time that title to the LNG is transferred to the customer. Title typically transfers either when shipped or delivered to the customers’ storage facilities, depending on the terms of the contract. Shipping and handling costs related to the Company’s sales of LNG and natural gas are included in Cost of sales.</w:t>
      </w:r>
    </w:p>
    <w:p>
      <w:pPr>
        <w:spacing w:after="0" w:line="80" w:lineRule="exact"/>
        <w:rPr>
          <w:rFonts w:ascii="Arial" w:cs="Arial" w:eastAsia="Arial" w:hAnsi="Arial"/>
          <w:sz w:val="18"/>
          <w:szCs w:val="18"/>
          <w:color w:val="auto"/>
        </w:rPr>
      </w:pPr>
    </w:p>
    <w:p>
      <w:pPr>
        <w:ind w:left="720" w:right="500"/>
        <w:spacing w:after="0" w:line="309" w:lineRule="auto"/>
        <w:rPr>
          <w:rFonts w:ascii="Arial" w:cs="Arial" w:eastAsia="Arial" w:hAnsi="Arial"/>
          <w:sz w:val="18"/>
          <w:szCs w:val="18"/>
          <w:color w:val="auto"/>
        </w:rPr>
      </w:pPr>
      <w:r>
        <w:rPr>
          <w:rFonts w:ascii="Arial" w:cs="Arial" w:eastAsia="Arial" w:hAnsi="Arial"/>
          <w:sz w:val="16"/>
          <w:szCs w:val="16"/>
          <w:color w:val="auto"/>
        </w:rPr>
        <w:t>The Company collects sales taxes from its customers on sales of taxable products and remits such collections to the appropriate taxing authority. Sales tax collections are presented in the consolidated statements of operations and comprehensive loss on a net basis and, accordingly, are excluded from reported revenues.</w:t>
      </w:r>
    </w:p>
    <w:p>
      <w:pPr>
        <w:spacing w:after="0" w:line="40" w:lineRule="exact"/>
        <w:rPr>
          <w:rFonts w:ascii="Arial" w:cs="Arial" w:eastAsia="Arial" w:hAnsi="Arial"/>
          <w:sz w:val="18"/>
          <w:szCs w:val="18"/>
          <w:color w:val="auto"/>
        </w:rPr>
      </w:pPr>
    </w:p>
    <w:p>
      <w:pPr>
        <w:ind w:left="720" w:right="40"/>
        <w:spacing w:after="0" w:line="271" w:lineRule="auto"/>
        <w:rPr>
          <w:rFonts w:ascii="Arial" w:cs="Arial" w:eastAsia="Arial" w:hAnsi="Arial"/>
          <w:sz w:val="18"/>
          <w:szCs w:val="18"/>
          <w:color w:val="auto"/>
        </w:rPr>
      </w:pPr>
      <w:r>
        <w:rPr>
          <w:rFonts w:ascii="Arial" w:cs="Arial" w:eastAsia="Arial" w:hAnsi="Arial"/>
          <w:sz w:val="17"/>
          <w:szCs w:val="17"/>
          <w:color w:val="auto"/>
        </w:rPr>
        <w:t>The Company leases certain facilities and equipment to its customers which are accounted for as direct financing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Other revenue in the consolidated statements of operations and comprehensive loss is primarily comprised of such interest revenue. The principal components of the lease payment are reflected as a reduction to the net investment in the finance lease.</w:t>
      </w:r>
    </w:p>
    <w:p>
      <w:pPr>
        <w:spacing w:after="0" w:line="70" w:lineRule="exact"/>
        <w:rPr>
          <w:rFonts w:ascii="Arial" w:cs="Arial" w:eastAsia="Arial" w:hAnsi="Arial"/>
          <w:sz w:val="18"/>
          <w:szCs w:val="18"/>
          <w:color w:val="auto"/>
        </w:rPr>
      </w:pPr>
    </w:p>
    <w:p>
      <w:pPr>
        <w:ind w:left="720" w:right="200"/>
        <w:spacing w:after="0" w:line="261" w:lineRule="auto"/>
        <w:rPr>
          <w:rFonts w:ascii="Arial" w:cs="Arial" w:eastAsia="Arial" w:hAnsi="Arial"/>
          <w:sz w:val="18"/>
          <w:szCs w:val="18"/>
          <w:color w:val="auto"/>
        </w:rPr>
      </w:pPr>
      <w:r>
        <w:rPr>
          <w:rFonts w:ascii="Arial" w:cs="Arial" w:eastAsia="Arial" w:hAnsi="Arial"/>
          <w:sz w:val="18"/>
          <w:szCs w:val="18"/>
          <w:color w:val="auto"/>
        </w:rPr>
        <w:t>The Company’s contracts with customers to supply LNG may contain a lease of equipment. The Company allocates consideration received from customers between lease and non-lease components based on the relative fair value of each component.</w:t>
      </w:r>
    </w:p>
    <w:p>
      <w:pPr>
        <w:spacing w:after="0" w:line="71" w:lineRule="exact"/>
        <w:rPr>
          <w:rFonts w:ascii="Arial" w:cs="Arial" w:eastAsia="Arial" w:hAnsi="Arial"/>
          <w:sz w:val="18"/>
          <w:szCs w:val="18"/>
          <w:color w:val="auto"/>
        </w:rPr>
      </w:pPr>
    </w:p>
    <w:p>
      <w:pPr>
        <w:ind w:left="700" w:hanging="34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Leases, as lessee</w:t>
      </w:r>
    </w:p>
    <w:p>
      <w:pPr>
        <w:spacing w:after="0" w:line="118" w:lineRule="exact"/>
        <w:rPr>
          <w:rFonts w:ascii="Arial" w:cs="Arial" w:eastAsia="Arial" w:hAnsi="Arial"/>
          <w:sz w:val="18"/>
          <w:szCs w:val="18"/>
          <w:color w:val="auto"/>
        </w:rPr>
      </w:pPr>
    </w:p>
    <w:p>
      <w:pPr>
        <w:ind w:left="720" w:right="120"/>
        <w:spacing w:after="0" w:line="309" w:lineRule="auto"/>
        <w:rPr>
          <w:rFonts w:ascii="Arial" w:cs="Arial" w:eastAsia="Arial" w:hAnsi="Arial"/>
          <w:sz w:val="18"/>
          <w:szCs w:val="18"/>
          <w:color w:val="auto"/>
        </w:rPr>
      </w:pPr>
      <w:r>
        <w:rPr>
          <w:rFonts w:ascii="Arial" w:cs="Arial" w:eastAsia="Arial" w:hAnsi="Arial"/>
          <w:sz w:val="16"/>
          <w:szCs w:val="16"/>
          <w:color w:val="auto"/>
        </w:rPr>
        <w:t xml:space="preserve">Lease agreements are evaluated to determine whether they are capital or operating leases. When substantially all of the risks and benefits of property ownership have been transferred to the Company, as determined by the test criteria in ASC 840, </w:t>
      </w:r>
      <w:r>
        <w:rPr>
          <w:rFonts w:ascii="Arial" w:cs="Arial" w:eastAsia="Arial" w:hAnsi="Arial"/>
          <w:sz w:val="16"/>
          <w:szCs w:val="16"/>
          <w:i w:val="1"/>
          <w:iCs w:val="1"/>
          <w:color w:val="auto"/>
        </w:rPr>
        <w:t>Leases</w:t>
      </w:r>
      <w:r>
        <w:rPr>
          <w:rFonts w:ascii="Arial" w:cs="Arial" w:eastAsia="Arial" w:hAnsi="Arial"/>
          <w:sz w:val="16"/>
          <w:szCs w:val="16"/>
          <w:color w:val="auto"/>
        </w:rPr>
        <w:t>, the lease is recognized as a capital lease. All other leases are classified as operating leases.</w:t>
      </w:r>
    </w:p>
    <w:p>
      <w:pPr>
        <w:spacing w:after="0" w:line="40" w:lineRule="exact"/>
        <w:rPr>
          <w:rFonts w:ascii="Arial" w:cs="Arial" w:eastAsia="Arial" w:hAnsi="Arial"/>
          <w:sz w:val="18"/>
          <w:szCs w:val="18"/>
          <w:color w:val="auto"/>
        </w:rPr>
      </w:pPr>
    </w:p>
    <w:p>
      <w:pPr>
        <w:ind w:left="720" w:right="80"/>
        <w:spacing w:after="0" w:line="274" w:lineRule="auto"/>
        <w:rPr>
          <w:rFonts w:ascii="Arial" w:cs="Arial" w:eastAsia="Arial" w:hAnsi="Arial"/>
          <w:sz w:val="18"/>
          <w:szCs w:val="18"/>
          <w:color w:val="auto"/>
        </w:rPr>
      </w:pPr>
      <w:r>
        <w:rPr>
          <w:rFonts w:ascii="Arial" w:cs="Arial" w:eastAsia="Arial" w:hAnsi="Arial"/>
          <w:sz w:val="18"/>
          <w:szCs w:val="18"/>
          <w:color w:val="auto"/>
        </w:rPr>
        <w:t>Rents payable under operating leases are charged to the consolidated statements of operations and comprehensive loss on a straight-line basis over the term of the relevant lease.</w:t>
      </w:r>
    </w:p>
    <w:p>
      <w:pPr>
        <w:spacing w:after="0" w:line="59" w:lineRule="exact"/>
        <w:rPr>
          <w:rFonts w:ascii="Arial" w:cs="Arial" w:eastAsia="Arial" w:hAnsi="Arial"/>
          <w:sz w:val="18"/>
          <w:szCs w:val="18"/>
          <w:color w:val="auto"/>
        </w:rPr>
      </w:pPr>
    </w:p>
    <w:p>
      <w:pPr>
        <w:ind w:left="700" w:hanging="34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226"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Federal and state income taxes</w:t>
      </w:r>
    </w:p>
    <w:p>
      <w:pPr>
        <w:spacing w:after="0" w:line="114" w:lineRule="exact"/>
        <w:rPr>
          <w:rFonts w:ascii="Arial" w:cs="Arial" w:eastAsia="Arial" w:hAnsi="Arial"/>
          <w:sz w:val="18"/>
          <w:szCs w:val="18"/>
          <w:color w:val="auto"/>
        </w:rPr>
      </w:pPr>
    </w:p>
    <w:p>
      <w:pPr>
        <w:jc w:val="both"/>
        <w:ind w:left="720" w:right="180"/>
        <w:spacing w:after="0" w:line="286" w:lineRule="auto"/>
        <w:rPr>
          <w:rFonts w:ascii="Arial" w:cs="Arial" w:eastAsia="Arial" w:hAnsi="Arial"/>
          <w:sz w:val="18"/>
          <w:szCs w:val="18"/>
          <w:color w:val="auto"/>
        </w:rPr>
      </w:pPr>
      <w:r>
        <w:rPr>
          <w:rFonts w:ascii="Arial" w:cs="Arial" w:eastAsia="Arial" w:hAnsi="Arial"/>
          <w:sz w:val="16"/>
          <w:szCs w:val="16"/>
          <w:color w:val="auto"/>
        </w:rPr>
        <w:t>New Fortress Energy Holdings LLC is a limited liability company, which is considered a pass-through entity for federal income tax purposes, and thus no provision for federal income taxes has been recognized in these consolidated financial statements. The Company files tax returns in the U.S. federal jurisdiction and various state jurisdictions, as applicable.</w:t>
      </w:r>
    </w:p>
    <w:p>
      <w:pPr>
        <w:ind w:left="720" w:right="700"/>
        <w:spacing w:after="0" w:line="257" w:lineRule="auto"/>
        <w:rPr>
          <w:rFonts w:ascii="Arial" w:cs="Arial" w:eastAsia="Arial" w:hAnsi="Arial"/>
          <w:sz w:val="18"/>
          <w:szCs w:val="18"/>
          <w:color w:val="auto"/>
        </w:rPr>
      </w:pPr>
      <w:r>
        <w:rPr>
          <w:rFonts w:ascii="Arial" w:cs="Arial" w:eastAsia="Arial" w:hAnsi="Arial"/>
          <w:sz w:val="18"/>
          <w:szCs w:val="18"/>
          <w:color w:val="auto"/>
        </w:rPr>
        <w:t>The tax returns filed by the Company since inception are subject to examination by the U.S. federal and state tax authorities.</w:t>
      </w:r>
    </w:p>
    <w:p>
      <w:pPr>
        <w:spacing w:after="0" w:line="78" w:lineRule="exact"/>
        <w:rPr>
          <w:rFonts w:ascii="Arial" w:cs="Arial" w:eastAsia="Arial" w:hAnsi="Arial"/>
          <w:sz w:val="18"/>
          <w:szCs w:val="18"/>
          <w:color w:val="auto"/>
        </w:rPr>
      </w:pPr>
    </w:p>
    <w:p>
      <w:pPr>
        <w:ind w:left="720" w:right="80"/>
        <w:spacing w:after="0" w:line="268" w:lineRule="auto"/>
        <w:rPr>
          <w:rFonts w:ascii="Arial" w:cs="Arial" w:eastAsia="Arial" w:hAnsi="Arial"/>
          <w:sz w:val="18"/>
          <w:szCs w:val="18"/>
          <w:color w:val="auto"/>
        </w:rPr>
      </w:pPr>
      <w:r>
        <w:rPr>
          <w:rFonts w:ascii="Arial" w:cs="Arial" w:eastAsia="Arial" w:hAnsi="Arial"/>
          <w:sz w:val="17"/>
          <w:szCs w:val="17"/>
          <w:color w:val="auto"/>
        </w:rPr>
        <w:t>Upon consummation of the anticipated public offering (“Proposed Offering”), the Company will contribute all of its interests in its subsidiaries and its limited assets to a subsidiary of New Fortress Energy LLC (the “Registrant”). The Registrant has elected to be taxed as a corporation and will become subject to corporate U.S. federal and state income taxes. Accordingly, a pro forma income tax provision has been disclosed as if the Company was a taxable corporation for the year ended December 31, 2017. Pro forma tax expense was computed using an estimated effective rate of (1.7%), inclusive of applicable U.S. federal, state, and foreign taxes. The Company is in a net operating loss position for the year ended December 31, 2017 and has assessed a valuation allowance against all of its U.S. net deferred tax assets. As such, no pro forma tax expense was computed for U.S. federal and state income tax purposes. The Company’s subsidiaries incorporated in Jamaica are subject to income tax at a statutory tax rate of 25%. The pro forma tax expense is entirely attributable to Jamaica.</w:t>
      </w:r>
    </w:p>
    <w:p>
      <w:pPr>
        <w:spacing w:after="0" w:line="70" w:lineRule="exact"/>
        <w:rPr>
          <w:rFonts w:ascii="Arial" w:cs="Arial" w:eastAsia="Arial" w:hAnsi="Arial"/>
          <w:sz w:val="18"/>
          <w:szCs w:val="18"/>
          <w:color w:val="auto"/>
        </w:rPr>
      </w:pPr>
    </w:p>
    <w:p>
      <w:pPr>
        <w:ind w:left="720"/>
        <w:spacing w:after="0" w:line="257" w:lineRule="auto"/>
        <w:rPr>
          <w:rFonts w:ascii="Arial" w:cs="Arial" w:eastAsia="Arial" w:hAnsi="Arial"/>
          <w:sz w:val="18"/>
          <w:szCs w:val="18"/>
          <w:color w:val="auto"/>
        </w:rPr>
      </w:pPr>
      <w:r>
        <w:rPr>
          <w:rFonts w:ascii="Arial" w:cs="Arial" w:eastAsia="Arial" w:hAnsi="Arial"/>
          <w:sz w:val="18"/>
          <w:szCs w:val="18"/>
          <w:color w:val="auto"/>
        </w:rPr>
        <w:t>On December 22, 2017, the U.S. government enacted comprehensive tax legislation commonly referred to as the Tax Cuts and Jobs Act (the “Tax Act”), which significantly changed the U.S. tax code. The Tax Act makes broad and complex changes to the U.S. tax code that will impact many areas of taxation. Additionally, there are numerous interpretive issues and ambiguities that are not clearly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20" w:right="180"/>
        <w:spacing w:after="0" w:line="309" w:lineRule="auto"/>
        <w:rPr>
          <w:sz w:val="20"/>
          <w:szCs w:val="20"/>
          <w:color w:val="auto"/>
        </w:rPr>
      </w:pPr>
      <w:r>
        <w:rPr>
          <w:rFonts w:ascii="Arial" w:cs="Arial" w:eastAsia="Arial" w:hAnsi="Arial"/>
          <w:sz w:val="16"/>
          <w:szCs w:val="16"/>
          <w:color w:val="auto"/>
        </w:rPr>
        <w:t>addressed in current Tax Act guidance. Due to the complex nature of the Tax Act, including whether U.S. states will conform to the Tax Act in full or in part, the Company has not yet completed its accounting for the income tax effects of the Tax Act, and is not able to determine at this time the impact on the Company’s consolidated financial statements.</w:t>
      </w:r>
    </w:p>
    <w:p>
      <w:pPr>
        <w:spacing w:after="0" w:line="14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Foreign taxes</w:t>
      </w:r>
    </w:p>
    <w:p>
      <w:pPr>
        <w:spacing w:after="0" w:line="115" w:lineRule="exact"/>
        <w:rPr>
          <w:sz w:val="20"/>
          <w:szCs w:val="20"/>
          <w:color w:val="auto"/>
        </w:rPr>
      </w:pPr>
    </w:p>
    <w:p>
      <w:pPr>
        <w:ind w:left="720" w:right="380"/>
        <w:spacing w:after="0" w:line="274" w:lineRule="auto"/>
        <w:rPr>
          <w:sz w:val="20"/>
          <w:szCs w:val="20"/>
          <w:color w:val="auto"/>
        </w:rPr>
      </w:pPr>
      <w:r>
        <w:rPr>
          <w:rFonts w:ascii="Arial" w:cs="Arial" w:eastAsia="Arial" w:hAnsi="Arial"/>
          <w:sz w:val="18"/>
          <w:szCs w:val="18"/>
          <w:color w:val="auto"/>
        </w:rPr>
        <w:t>Certain subsidiaries of NFE are subject to income tax in the local jurisdiction in which they operate; foreign taxes are computed based on the taxable income computed at the local jurisdictional tax rate.</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Other taxes</w:t>
      </w:r>
    </w:p>
    <w:p>
      <w:pPr>
        <w:spacing w:after="0" w:line="115" w:lineRule="exact"/>
        <w:rPr>
          <w:sz w:val="20"/>
          <w:szCs w:val="20"/>
          <w:color w:val="auto"/>
        </w:rPr>
      </w:pPr>
    </w:p>
    <w:p>
      <w:pPr>
        <w:ind w:left="720" w:right="160"/>
        <w:spacing w:after="0" w:line="299" w:lineRule="auto"/>
        <w:rPr>
          <w:sz w:val="20"/>
          <w:szCs w:val="20"/>
          <w:color w:val="auto"/>
        </w:rPr>
      </w:pPr>
      <w:r>
        <w:rPr>
          <w:rFonts w:ascii="Arial" w:cs="Arial" w:eastAsia="Arial" w:hAnsi="Arial"/>
          <w:sz w:val="16"/>
          <w:szCs w:val="16"/>
          <w:color w:val="auto"/>
        </w:rPr>
        <w:t>Certain subsidiaries of New Fortress Energy Holdings LLC may be subject to payroll taxes, excise taxes, property taxes, sales and use taxes, as well as income taxes in foreign countries in which they conduct business. In addition, certain subsidiaries are exposed to local state taxes such as franchise taxes. Local state taxes that are not income taxes are recorded within Other (income), net in the consolidated statements of operations and comprehensive loss.</w:t>
      </w:r>
    </w:p>
    <w:p>
      <w:pPr>
        <w:spacing w:after="0" w:line="45" w:lineRule="exact"/>
        <w:rPr>
          <w:sz w:val="20"/>
          <w:szCs w:val="20"/>
          <w:color w:val="auto"/>
        </w:rPr>
      </w:pPr>
    </w:p>
    <w:p>
      <w:pPr>
        <w:ind w:left="700" w:hanging="346"/>
        <w:spacing w:after="0"/>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Net loss per share</w:t>
      </w:r>
    </w:p>
    <w:p>
      <w:pPr>
        <w:spacing w:after="0" w:line="118" w:lineRule="exact"/>
        <w:rPr>
          <w:rFonts w:ascii="Arial" w:cs="Arial" w:eastAsia="Arial" w:hAnsi="Arial"/>
          <w:sz w:val="18"/>
          <w:szCs w:val="18"/>
          <w:color w:val="auto"/>
        </w:rPr>
      </w:pPr>
    </w:p>
    <w:p>
      <w:pPr>
        <w:ind w:left="720"/>
        <w:spacing w:after="0" w:line="271" w:lineRule="auto"/>
        <w:rPr>
          <w:rFonts w:ascii="Arial" w:cs="Arial" w:eastAsia="Arial" w:hAnsi="Arial"/>
          <w:sz w:val="18"/>
          <w:szCs w:val="18"/>
          <w:color w:val="auto"/>
        </w:rPr>
      </w:pPr>
      <w:r>
        <w:rPr>
          <w:rFonts w:ascii="Arial" w:cs="Arial" w:eastAsia="Arial" w:hAnsi="Arial"/>
          <w:sz w:val="17"/>
          <w:szCs w:val="17"/>
          <w:color w:val="auto"/>
        </w:rPr>
        <w:t>Net loss per share (“EPS”) is computed in accordance with GAAP. Basic EPS is computed by dividing net loss attributable to members by the weighted average number of common shares outstanding during the period. Diluted EPS reflects potential dilution and is computed by dividing net loss attributable to members by the weighted average number of common shares outstanding during the period increased by the number of additional common shares that would have been outstanding if all potential common shares had been issued and were dilutive. For the year ended ended December 31, 2017 and 2016 there were no potentially dilutive shares outstanding.</w:t>
      </w:r>
    </w:p>
    <w:p>
      <w:pPr>
        <w:spacing w:after="0" w:line="178"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Unaudited pro forma net loss per share</w:t>
      </w:r>
    </w:p>
    <w:p>
      <w:pPr>
        <w:spacing w:after="0" w:line="114" w:lineRule="exact"/>
        <w:rPr>
          <w:rFonts w:ascii="Arial" w:cs="Arial" w:eastAsia="Arial" w:hAnsi="Arial"/>
          <w:sz w:val="18"/>
          <w:szCs w:val="18"/>
          <w:color w:val="auto"/>
        </w:rPr>
      </w:pPr>
    </w:p>
    <w:p>
      <w:pPr>
        <w:ind w:left="720" w:right="60"/>
        <w:spacing w:after="0" w:line="261" w:lineRule="auto"/>
        <w:rPr>
          <w:rFonts w:ascii="Arial" w:cs="Arial" w:eastAsia="Arial" w:hAnsi="Arial"/>
          <w:sz w:val="18"/>
          <w:szCs w:val="18"/>
          <w:color w:val="auto"/>
        </w:rPr>
      </w:pPr>
      <w:r>
        <w:rPr>
          <w:rFonts w:ascii="Arial" w:cs="Arial" w:eastAsia="Arial" w:hAnsi="Arial"/>
          <w:sz w:val="18"/>
          <w:szCs w:val="18"/>
          <w:color w:val="auto"/>
        </w:rPr>
        <w:t>Pro forma net loss per share has been presented for the most recent period. Pro forma basic and diluted net loss per share was computed by dividing pro forma net loss by the weighted average number of common shares outstanding for the year ended December 31, 2017.</w:t>
      </w:r>
    </w:p>
    <w:p>
      <w:pPr>
        <w:spacing w:after="0" w:line="71" w:lineRule="exact"/>
        <w:rPr>
          <w:rFonts w:ascii="Arial" w:cs="Arial" w:eastAsia="Arial" w:hAnsi="Arial"/>
          <w:sz w:val="18"/>
          <w:szCs w:val="18"/>
          <w:color w:val="auto"/>
        </w:rPr>
      </w:pPr>
    </w:p>
    <w:p>
      <w:pPr>
        <w:ind w:left="360" w:hanging="355"/>
        <w:spacing w:after="0"/>
        <w:tabs>
          <w:tab w:leader="none" w:pos="3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and revised standards</w:t>
      </w:r>
    </w:p>
    <w:p>
      <w:pPr>
        <w:spacing w:after="0" w:line="118" w:lineRule="exact"/>
        <w:rPr>
          <w:rFonts w:ascii="Arial" w:cs="Arial" w:eastAsia="Arial" w:hAnsi="Arial"/>
          <w:sz w:val="18"/>
          <w:szCs w:val="18"/>
          <w:b w:val="1"/>
          <w:bCs w:val="1"/>
          <w:color w:val="auto"/>
        </w:rPr>
      </w:pPr>
    </w:p>
    <w:p>
      <w:pPr>
        <w:ind w:left="360" w:right="2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79" w:lineRule="exact"/>
        <w:rPr>
          <w:sz w:val="20"/>
          <w:szCs w:val="20"/>
          <w:color w:val="auto"/>
        </w:rPr>
      </w:pPr>
    </w:p>
    <w:p>
      <w:pPr>
        <w:ind w:left="720" w:right="140"/>
        <w:spacing w:after="0" w:line="254" w:lineRule="auto"/>
        <w:rPr>
          <w:sz w:val="20"/>
          <w:szCs w:val="20"/>
          <w:color w:val="auto"/>
        </w:rPr>
      </w:pPr>
      <w:r>
        <w:rPr>
          <w:rFonts w:ascii="Arial" w:cs="Arial" w:eastAsia="Arial" w:hAnsi="Arial"/>
          <w:sz w:val="18"/>
          <w:szCs w:val="18"/>
          <w:color w:val="auto"/>
        </w:rPr>
        <w:t xml:space="preserve">In July 2015, the Financial Accounting Standrards Board (“FASB”) issued Accounting Standard Update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changes the measurement principle for inventory from the lower of cost or market to the lower of cost and net realizable value. ASU 2015-11 is effective for the Company for annual periods in fiscal years beginning after December 15, 2016, and the Company adopted the new standard beginning January 1, 2017. Adoption of this guidance did not have a material effect on the Company’s consolidated financial statements.</w:t>
      </w:r>
    </w:p>
    <w:p>
      <w:pPr>
        <w:spacing w:after="0" w:line="81" w:lineRule="exact"/>
        <w:rPr>
          <w:sz w:val="20"/>
          <w:szCs w:val="20"/>
          <w:color w:val="auto"/>
        </w:rPr>
      </w:pPr>
    </w:p>
    <w:p>
      <w:pPr>
        <w:ind w:left="720" w:right="180"/>
        <w:spacing w:after="0" w:line="294"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which requires management of an entity to evaluate whether there are conditions or events, considered in the aggregate, that raise substantial doubt about the entity’s ability to continue as a going concern within one year after the date that the financial statements are issued or available to be issued. This update is effective for annual periods ending after December 15, 2016. Adoption of this guidance did not have a material impact on the Company’s consolidated financial statements.</w:t>
      </w:r>
    </w:p>
    <w:p>
      <w:pPr>
        <w:spacing w:after="0" w:line="50" w:lineRule="exact"/>
        <w:rPr>
          <w:sz w:val="20"/>
          <w:szCs w:val="20"/>
          <w:color w:val="auto"/>
        </w:rPr>
      </w:pPr>
    </w:p>
    <w:p>
      <w:pPr>
        <w:ind w:left="700" w:right="160" w:hanging="346"/>
        <w:spacing w:after="0" w:line="279" w:lineRule="auto"/>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New standards, amendments and interpretations issued but not effective for the financial year beginning January 1, 2017 and not early adopted:</w:t>
      </w:r>
    </w:p>
    <w:p>
      <w:pPr>
        <w:spacing w:after="0" w:line="59" w:lineRule="exact"/>
        <w:rPr>
          <w:rFonts w:ascii="Arial" w:cs="Arial" w:eastAsia="Arial" w:hAnsi="Arial"/>
          <w:sz w:val="18"/>
          <w:szCs w:val="18"/>
          <w:color w:val="auto"/>
        </w:rPr>
      </w:pPr>
    </w:p>
    <w:p>
      <w:pPr>
        <w:ind w:left="720" w:right="600"/>
        <w:spacing w:after="0" w:line="274" w:lineRule="auto"/>
        <w:rPr>
          <w:rFonts w:ascii="Arial" w:cs="Arial" w:eastAsia="Arial" w:hAnsi="Arial"/>
          <w:sz w:val="18"/>
          <w:szCs w:val="18"/>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a statement of cash flows explain the change during the period in the total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20" w:right="20"/>
        <w:spacing w:after="0" w:line="255" w:lineRule="auto"/>
        <w:rPr>
          <w:sz w:val="20"/>
          <w:szCs w:val="20"/>
          <w:color w:val="auto"/>
        </w:rPr>
      </w:pPr>
      <w:r>
        <w:rPr>
          <w:rFonts w:ascii="Arial" w:cs="Arial" w:eastAsia="Arial" w:hAnsi="Arial"/>
          <w:sz w:val="18"/>
          <w:szCs w:val="18"/>
          <w:color w:val="auto"/>
        </w:rPr>
        <w:t>cash, cash equivalents, and amounts generally described as restricted cash and restricted cash equivalents. This is intended to limit the treatment of restricted cash in the statement of cash flows as the FASB acknowledged there is currently diversity in practice regarding the presentation of restricted cash within the statement of cash flows. The Company will adopt ASU 2016-18 during the year beginning January 1, 2019 and is currently evaluating the effect that ASU 2016-18 will have on its consolidated financial statements.</w:t>
      </w:r>
    </w:p>
    <w:p>
      <w:pPr>
        <w:spacing w:after="0" w:line="81" w:lineRule="exact"/>
        <w:rPr>
          <w:sz w:val="20"/>
          <w:szCs w:val="20"/>
          <w:color w:val="auto"/>
        </w:rPr>
      </w:pPr>
    </w:p>
    <w:p>
      <w:pPr>
        <w:ind w:left="720" w:right="80"/>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w:t>
      </w:r>
      <w:r>
        <w:rPr>
          <w:rFonts w:ascii="Arial" w:cs="Arial" w:eastAsia="Arial" w:hAnsi="Arial"/>
          <w:sz w:val="18"/>
          <w:szCs w:val="18"/>
          <w:color w:val="auto"/>
        </w:rPr>
        <w:t xml:space="preserve"> </w:t>
      </w:r>
      <w:r>
        <w:rPr>
          <w:rFonts w:ascii="Arial" w:cs="Arial" w:eastAsia="Arial" w:hAnsi="Arial"/>
          <w:sz w:val="18"/>
          <w:szCs w:val="18"/>
          <w:i w:val="1"/>
          <w:iCs w:val="1"/>
          <w:color w:val="auto"/>
        </w:rPr>
        <w:t>Receipts and Cash Payments</w:t>
      </w:r>
      <w:r>
        <w:rPr>
          <w:rFonts w:ascii="Arial" w:cs="Arial" w:eastAsia="Arial" w:hAnsi="Arial"/>
          <w:sz w:val="18"/>
          <w:szCs w:val="18"/>
          <w:color w:val="auto"/>
        </w:rPr>
        <w:t>, which provides guidance on eight specific cash flow issues with an intention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diversity in practice. The Company will adopt ASU 2016-15 during the year beginning January 1, 2019 and does not expect a material effect on its consolidated financial statements.</w:t>
      </w:r>
    </w:p>
    <w:p>
      <w:pPr>
        <w:spacing w:after="0" w:line="79" w:lineRule="exact"/>
        <w:rPr>
          <w:sz w:val="20"/>
          <w:szCs w:val="20"/>
          <w:color w:val="auto"/>
        </w:rPr>
      </w:pPr>
    </w:p>
    <w:p>
      <w:pPr>
        <w:ind w:left="720" w:right="20"/>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for annual reporting periods beginning after December 15, 2019, and interim periods beginning after December 15, 2020, with early adoption permitted. ASU 2016-02 requires a modified 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66" w:lineRule="exact"/>
        <w:rPr>
          <w:sz w:val="20"/>
          <w:szCs w:val="20"/>
          <w:color w:val="auto"/>
        </w:rPr>
      </w:pPr>
    </w:p>
    <w:p>
      <w:pPr>
        <w:ind w:left="700" w:hanging="346"/>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New and amended standards adopted by the Company:</w:t>
      </w:r>
    </w:p>
    <w:p>
      <w:pPr>
        <w:spacing w:after="0" w:line="118" w:lineRule="exact"/>
        <w:rPr>
          <w:rFonts w:ascii="Arial" w:cs="Arial" w:eastAsia="Arial" w:hAnsi="Arial"/>
          <w:sz w:val="18"/>
          <w:szCs w:val="18"/>
          <w:color w:val="auto"/>
        </w:rPr>
      </w:pPr>
    </w:p>
    <w:p>
      <w:pPr>
        <w:ind w:left="720" w:right="12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Financial Assets and Financial Liabilities</w:t>
      </w:r>
      <w:r>
        <w:rPr>
          <w:rFonts w:ascii="Arial" w:cs="Arial" w:eastAsia="Arial" w:hAnsi="Arial"/>
          <w:sz w:val="17"/>
          <w:szCs w:val="17"/>
          <w:color w:val="auto"/>
        </w:rPr>
        <w:t>, which makes targeted improvements to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and presentation and disclosure of, financial instruments. ASU 2016-01 requires that most equity investments be measured at fair value, with subsequent changes in fair value recognized in net income. ASU 2016-01 does not affect the accounting for investments that would otherwise be consolidated or accounted for under the equity method. The new standard also impacts financial liabilities under the fair value option and the presentation and disclosure requirements for financial instruments. Most of the provisions of ASU 2016-01 are effective for the Company for annual periods in fiscal years beginning after December 15, 2018. The Company will adopt ASU 2016-01 during the year beginning January 1, 2019 and is currently evaluating the effect that ASU 2016-01 will have on the Company’s consolidated financial statements.</w:t>
      </w:r>
    </w:p>
    <w:p>
      <w:pPr>
        <w:spacing w:after="0" w:line="70" w:lineRule="exact"/>
        <w:rPr>
          <w:rFonts w:ascii="Arial" w:cs="Arial" w:eastAsia="Arial" w:hAnsi="Arial"/>
          <w:sz w:val="18"/>
          <w:szCs w:val="18"/>
          <w:color w:val="auto"/>
        </w:rPr>
      </w:pPr>
    </w:p>
    <w:p>
      <w:pPr>
        <w:ind w:left="72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In November 2015, the FASB issued accounting guidance that is designed to improve the way deferred taxes are classified on organizations’ balance sheets. ASU 2015-17, </w:t>
      </w:r>
      <w:r>
        <w:rPr>
          <w:rFonts w:ascii="Arial" w:cs="Arial" w:eastAsia="Arial" w:hAnsi="Arial"/>
          <w:sz w:val="18"/>
          <w:szCs w:val="18"/>
          <w:i w:val="1"/>
          <w:iCs w:val="1"/>
          <w:color w:val="auto"/>
        </w:rPr>
        <w:t>Income Taxes (Topic 740): Balance Sheet Classification of 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is part of the FASB’s simplification initiative designed to reduce complexity in financial reporting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sacrificing the quality of information provided to users. The new standard requires deferred tax liabilities and assets to be classified as non-current. The standard applies to all organizations that present a balance sheet. The Company adopted this guidance for the year beginning January 1, 2018 and the adoption of this guidance will not have a material impact on the consolidated financial statements.</w:t>
      </w:r>
    </w:p>
    <w:p>
      <w:pPr>
        <w:spacing w:after="0" w:line="82" w:lineRule="exact"/>
        <w:rPr>
          <w:rFonts w:ascii="Arial" w:cs="Arial" w:eastAsia="Arial" w:hAnsi="Arial"/>
          <w:sz w:val="18"/>
          <w:szCs w:val="18"/>
          <w:color w:val="auto"/>
        </w:rPr>
      </w:pPr>
    </w:p>
    <w:p>
      <w:pPr>
        <w:ind w:left="720" w:right="2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consideration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to defer the effective date of ASU 2014-09 by one year, making 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720" w:right="60"/>
        <w:spacing w:after="0" w:line="309" w:lineRule="auto"/>
        <w:rPr>
          <w:sz w:val="20"/>
          <w:szCs w:val="20"/>
          <w:color w:val="auto"/>
        </w:rPr>
      </w:pPr>
      <w:r>
        <w:rPr>
          <w:rFonts w:ascii="Arial" w:cs="Arial" w:eastAsia="Arial" w:hAnsi="Arial"/>
          <w:sz w:val="16"/>
          <w:szCs w:val="16"/>
          <w:color w:val="auto"/>
        </w:rPr>
        <w:t>effective for annual reporting periods beginning after December 15, 2018, and interim periods within annual periods beginning after December 15, 2019, while also providing for early adoption but not before the original effective date. The Company is currently evaluating the impact of adopting this new guidance on its consolidated financial statements.</w:t>
      </w:r>
    </w:p>
    <w:p>
      <w:pPr>
        <w:spacing w:after="0" w:line="37" w:lineRule="exact"/>
        <w:rPr>
          <w:sz w:val="20"/>
          <w:szCs w:val="20"/>
          <w:color w:val="auto"/>
        </w:rPr>
      </w:pPr>
    </w:p>
    <w:p>
      <w:pPr>
        <w:ind w:left="360" w:hanging="355"/>
        <w:spacing w:after="0"/>
        <w:tabs>
          <w:tab w:leader="none" w:pos="3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18" w:lineRule="exact"/>
        <w:rPr>
          <w:rFonts w:ascii="Arial" w:cs="Arial" w:eastAsia="Arial" w:hAnsi="Arial"/>
          <w:sz w:val="18"/>
          <w:szCs w:val="18"/>
          <w:b w:val="1"/>
          <w:bCs w:val="1"/>
          <w:color w:val="auto"/>
        </w:rPr>
      </w:pPr>
    </w:p>
    <w:p>
      <w:pPr>
        <w:ind w:left="360" w:right="100"/>
        <w:spacing w:after="0" w:line="309" w:lineRule="auto"/>
        <w:rPr>
          <w:rFonts w:ascii="Arial" w:cs="Arial" w:eastAsia="Arial" w:hAnsi="Arial"/>
          <w:sz w:val="18"/>
          <w:szCs w:val="18"/>
          <w:b w:val="1"/>
          <w:bCs w:val="1"/>
          <w:color w:val="auto"/>
        </w:rPr>
      </w:pPr>
      <w:r>
        <w:rPr>
          <w:rFonts w:ascii="Arial" w:cs="Arial" w:eastAsia="Arial" w:hAnsi="Arial"/>
          <w:sz w:val="16"/>
          <w:szCs w:val="16"/>
          <w:color w:val="auto"/>
        </w:rPr>
        <w:t>In the normal course of business, the Company encounters several significant types of economic risks including credit, market and capital market risks. Credit risk arises from cash and cash equivalents and restricted cash held with banks and financial institutions, as well as credit exposures to customers, including outstanding receivables and committed transactions.</w:t>
      </w:r>
    </w:p>
    <w:p>
      <w:pPr>
        <w:spacing w:after="0" w:line="40" w:lineRule="exact"/>
        <w:rPr>
          <w:rFonts w:ascii="Arial" w:cs="Arial" w:eastAsia="Arial" w:hAnsi="Arial"/>
          <w:sz w:val="18"/>
          <w:szCs w:val="18"/>
          <w:b w:val="1"/>
          <w:bCs w:val="1"/>
          <w:color w:val="auto"/>
        </w:rPr>
      </w:pPr>
    </w:p>
    <w:p>
      <w:pPr>
        <w:ind w:left="3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of the Company’s cash and cash equivalents and restricted cash is held with banks and financial institutions with high credit ratings assigned by international credit-rating agencies. For customers and other counterparties, the credit quality is assessed by taking into account its external ratings published by international credit-rating agencies, if any, or its financial position, past experience and other factors. Transactions are entered into with customers and counterparties that are deemed to be of adequate credit quality by management.</w:t>
      </w:r>
    </w:p>
    <w:p>
      <w:pPr>
        <w:spacing w:after="0" w:line="80" w:lineRule="exact"/>
        <w:rPr>
          <w:rFonts w:ascii="Arial" w:cs="Arial" w:eastAsia="Arial" w:hAnsi="Arial"/>
          <w:sz w:val="18"/>
          <w:szCs w:val="18"/>
          <w:b w:val="1"/>
          <w:bCs w:val="1"/>
          <w:color w:val="auto"/>
        </w:rPr>
      </w:pPr>
    </w:p>
    <w:p>
      <w:pPr>
        <w:ind w:left="360" w:right="6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Company has a concentration of credit with a key customer, a company incorporated in Jamaica, West Indies. See Note 21 for additional details about the Company’s customer concentrations.</w:t>
      </w:r>
    </w:p>
    <w:p>
      <w:pPr>
        <w:spacing w:after="0" w:line="63" w:lineRule="exact"/>
        <w:rPr>
          <w:rFonts w:ascii="Arial" w:cs="Arial" w:eastAsia="Arial" w:hAnsi="Arial"/>
          <w:sz w:val="18"/>
          <w:szCs w:val="18"/>
          <w:b w:val="1"/>
          <w:bCs w:val="1"/>
          <w:color w:val="auto"/>
        </w:rPr>
      </w:pPr>
    </w:p>
    <w:p>
      <w:pPr>
        <w:ind w:left="36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is also exposed to foreign currency risk attributable to cash flows received or paid in currencies other than the US dollar.</w:t>
      </w:r>
    </w:p>
    <w:p>
      <w:pPr>
        <w:spacing w:after="0" w:line="68" w:lineRule="exact"/>
        <w:rPr>
          <w:rFonts w:ascii="Arial" w:cs="Arial" w:eastAsia="Arial" w:hAnsi="Arial"/>
          <w:sz w:val="18"/>
          <w:szCs w:val="18"/>
          <w:b w:val="1"/>
          <w:bCs w:val="1"/>
          <w:color w:val="auto"/>
        </w:rPr>
      </w:pPr>
    </w:p>
    <w:p>
      <w:pPr>
        <w:ind w:left="360" w:right="20"/>
        <w:spacing w:after="0" w:line="339" w:lineRule="auto"/>
        <w:rPr>
          <w:rFonts w:ascii="Arial" w:cs="Arial" w:eastAsia="Arial" w:hAnsi="Arial"/>
          <w:sz w:val="18"/>
          <w:szCs w:val="18"/>
          <w:b w:val="1"/>
          <w:bCs w:val="1"/>
          <w:color w:val="auto"/>
        </w:rPr>
      </w:pPr>
      <w:r>
        <w:rPr>
          <w:rFonts w:ascii="Arial" w:cs="Arial" w:eastAsia="Arial" w:hAnsi="Arial"/>
          <w:sz w:val="16"/>
          <w:szCs w:val="16"/>
          <w:color w:val="auto"/>
        </w:rPr>
        <w:t>The Company is also exposed to interest rate risk on its variable rate borrowings, primarily the Miami Loan (defined in Note 14). Increases in the market rate of interest could impact the Company’s results of operations and that impact could be material.</w:t>
      </w:r>
    </w:p>
    <w:p>
      <w:pPr>
        <w:spacing w:after="0" w:line="12" w:lineRule="exact"/>
        <w:rPr>
          <w:rFonts w:ascii="Arial" w:cs="Arial" w:eastAsia="Arial" w:hAnsi="Arial"/>
          <w:sz w:val="18"/>
          <w:szCs w:val="18"/>
          <w:b w:val="1"/>
          <w:bCs w:val="1"/>
          <w:color w:val="auto"/>
        </w:rPr>
      </w:pPr>
    </w:p>
    <w:p>
      <w:pPr>
        <w:ind w:left="360" w:hanging="355"/>
        <w:spacing w:after="0"/>
        <w:tabs>
          <w:tab w:leader="none" w:pos="3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18" w:lineRule="exact"/>
        <w:rPr>
          <w:rFonts w:ascii="Arial" w:cs="Arial" w:eastAsia="Arial" w:hAnsi="Arial"/>
          <w:sz w:val="18"/>
          <w:szCs w:val="18"/>
          <w:b w:val="1"/>
          <w:bCs w:val="1"/>
          <w:color w:val="auto"/>
        </w:rPr>
      </w:pPr>
    </w:p>
    <w:p>
      <w:pPr>
        <w:ind w:left="360" w:right="40"/>
        <w:spacing w:after="0" w:line="305" w:lineRule="auto"/>
        <w:rPr>
          <w:rFonts w:ascii="Arial" w:cs="Arial" w:eastAsia="Arial" w:hAnsi="Arial"/>
          <w:sz w:val="18"/>
          <w:szCs w:val="18"/>
          <w:b w:val="1"/>
          <w:bCs w:val="1"/>
          <w:color w:val="auto"/>
        </w:rPr>
      </w:pPr>
      <w:r>
        <w:rPr>
          <w:rFonts w:ascii="Arial" w:cs="Arial" w:eastAsia="Arial" w:hAnsi="Arial"/>
          <w:sz w:val="17"/>
          <w:szCs w:val="17"/>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39" w:lineRule="exact"/>
        <w:rPr>
          <w:rFonts w:ascii="Arial" w:cs="Arial" w:eastAsia="Arial" w:hAnsi="Arial"/>
          <w:sz w:val="18"/>
          <w:szCs w:val="18"/>
          <w:b w:val="1"/>
          <w:bCs w:val="1"/>
          <w:color w:val="auto"/>
        </w:rPr>
      </w:pPr>
    </w:p>
    <w:p>
      <w:pPr>
        <w:ind w:left="1060" w:hanging="344"/>
        <w:spacing w:after="0"/>
        <w:tabs>
          <w:tab w:leader="none" w:pos="1060"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observable inputs such as quoted prices in active markets for identical assets or liabilities.</w:t>
      </w:r>
    </w:p>
    <w:p>
      <w:pPr>
        <w:spacing w:after="0" w:line="114" w:lineRule="exact"/>
        <w:rPr>
          <w:rFonts w:ascii="Arial" w:cs="Arial" w:eastAsia="Arial" w:hAnsi="Arial"/>
          <w:sz w:val="18"/>
          <w:szCs w:val="18"/>
          <w:color w:val="auto"/>
        </w:rPr>
      </w:pPr>
    </w:p>
    <w:p>
      <w:pPr>
        <w:ind w:left="1060" w:hanging="344"/>
        <w:spacing w:after="0" w:line="274" w:lineRule="auto"/>
        <w:tabs>
          <w:tab w:leader="none" w:pos="1060"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included within Level 1 that are observable, either directly or indirectly,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quoted prices for similar assets or liabilities or market corroborated inputs.</w:t>
      </w:r>
    </w:p>
    <w:p>
      <w:pPr>
        <w:spacing w:after="0" w:line="63" w:lineRule="exact"/>
        <w:rPr>
          <w:rFonts w:ascii="Arial" w:cs="Arial" w:eastAsia="Arial" w:hAnsi="Arial"/>
          <w:sz w:val="18"/>
          <w:szCs w:val="18"/>
          <w:color w:val="auto"/>
        </w:rPr>
      </w:pPr>
    </w:p>
    <w:p>
      <w:pPr>
        <w:ind w:left="1060" w:hanging="344"/>
        <w:spacing w:after="0" w:line="274" w:lineRule="auto"/>
        <w:tabs>
          <w:tab w:leader="none" w:pos="1060"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for which there is little or no market data and which require the Company to develop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assumptions about how market participants price the asset or liability.</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5" w:lineRule="exact"/>
        <w:rPr>
          <w:sz w:val="20"/>
          <w:szCs w:val="20"/>
          <w:color w:val="auto"/>
        </w:rPr>
      </w:pPr>
    </w:p>
    <w:p>
      <w:pPr>
        <w:ind w:left="1060" w:right="20" w:hanging="344"/>
        <w:spacing w:after="0" w:line="274"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uses prices and other relevant information generated by market transactions involving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assets or liabilities.</w:t>
      </w:r>
    </w:p>
    <w:p>
      <w:pPr>
        <w:spacing w:after="0" w:line="63" w:lineRule="exact"/>
        <w:rPr>
          <w:rFonts w:ascii="Arial" w:cs="Arial" w:eastAsia="Arial" w:hAnsi="Arial"/>
          <w:sz w:val="18"/>
          <w:szCs w:val="18"/>
          <w:color w:val="auto"/>
        </w:rPr>
      </w:pPr>
    </w:p>
    <w:p>
      <w:pPr>
        <w:ind w:left="1060" w:right="140" w:hanging="344"/>
        <w:spacing w:after="0" w:line="274"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uses valuation techniques to convert future amounts to a single present amount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expectations about those future amounts.</w:t>
      </w:r>
    </w:p>
    <w:p>
      <w:pPr>
        <w:spacing w:after="0" w:line="63" w:lineRule="exact"/>
        <w:rPr>
          <w:rFonts w:ascii="Arial" w:cs="Arial" w:eastAsia="Arial" w:hAnsi="Arial"/>
          <w:sz w:val="18"/>
          <w:szCs w:val="18"/>
          <w:color w:val="auto"/>
        </w:rPr>
      </w:pPr>
    </w:p>
    <w:p>
      <w:pPr>
        <w:ind w:left="1060" w:right="380" w:hanging="344"/>
        <w:spacing w:after="0" w:line="274"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Cost approach </w:t>
      </w:r>
      <w:r>
        <w:rPr>
          <w:rFonts w:ascii="Arial" w:cs="Arial" w:eastAsia="Arial" w:hAnsi="Arial"/>
          <w:sz w:val="18"/>
          <w:szCs w:val="18"/>
          <w:color w:val="auto"/>
        </w:rPr>
        <w:t>– based on the amount that currently would be required to replace the service capacity of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cost).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7" w:right="1380"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financial assets that are measured at fair value at December 31, 2017:</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3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December 31, 2017</w:t>
            </w: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8"/>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1"/>
              </w:rPr>
              <w:t>Valuation</w:t>
            </w:r>
          </w:p>
        </w:tc>
      </w:tr>
      <w:tr>
        <w:trPr>
          <w:trHeight w:val="184"/>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technique</w:t>
            </w:r>
          </w:p>
        </w:tc>
      </w:tr>
      <w:tr>
        <w:trPr>
          <w:trHeight w:val="235"/>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84,708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84,708</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4"/>
              </w:rPr>
              <w:t>Market</w:t>
            </w:r>
          </w:p>
        </w:tc>
      </w:tr>
      <w:tr>
        <w:trPr>
          <w:trHeight w:val="248"/>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33,623</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33,623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Market</w:t>
            </w:r>
          </w:p>
        </w:tc>
      </w:tr>
      <w:tr>
        <w:trPr>
          <w:trHeight w:val="241"/>
        </w:trPr>
        <w:tc>
          <w:tcPr>
            <w:tcW w:w="394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6,333</w:t>
            </w:r>
          </w:p>
        </w:tc>
        <w:tc>
          <w:tcPr>
            <w:tcW w:w="100" w:type="dxa"/>
            <w:vAlign w:val="bottom"/>
          </w:tcPr>
          <w:p>
            <w:pPr>
              <w:spacing w:after="0"/>
              <w:rPr>
                <w:sz w:val="20"/>
                <w:szCs w:val="20"/>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6,333</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4"/>
              </w:rPr>
              <w:t>Market</w:t>
            </w: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124,664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30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124,664</w:t>
            </w: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7"/>
        </w:trPr>
        <w:tc>
          <w:tcPr>
            <w:tcW w:w="394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financial assets that are measured at fair value at December 31, 2016:</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3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December 31, 2016</w:t>
            </w: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8"/>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1"/>
              </w:rPr>
              <w:t>Valuation</w:t>
            </w:r>
          </w:p>
        </w:tc>
      </w:tr>
      <w:tr>
        <w:trPr>
          <w:trHeight w:val="184"/>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technique</w:t>
            </w:r>
          </w:p>
        </w:tc>
      </w:tr>
      <w:tr>
        <w:trPr>
          <w:trHeight w:val="235"/>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180,650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180,650</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4"/>
              </w:rPr>
              <w:t>Market</w:t>
            </w:r>
          </w:p>
        </w:tc>
      </w:tr>
      <w:tr>
        <w:trPr>
          <w:trHeight w:val="248"/>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8,471</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8,471</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Market</w:t>
            </w:r>
          </w:p>
        </w:tc>
      </w:tr>
      <w:tr>
        <w:trPr>
          <w:trHeight w:val="241"/>
        </w:trPr>
        <w:tc>
          <w:tcPr>
            <w:tcW w:w="394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20"/>
                <w:szCs w:val="20"/>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3,363</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4"/>
              </w:rPr>
              <w:t>Market</w:t>
            </w: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192,484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30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192,484</w:t>
            </w: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7"/>
        </w:trPr>
        <w:tc>
          <w:tcPr>
            <w:tcW w:w="394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left="360" w:right="100"/>
        <w:spacing w:after="0" w:line="273" w:lineRule="auto"/>
        <w:rPr>
          <w:sz w:val="20"/>
          <w:szCs w:val="20"/>
          <w:color w:val="auto"/>
        </w:rPr>
      </w:pPr>
      <w:r>
        <w:rPr>
          <w:rFonts w:ascii="Arial" w:cs="Arial" w:eastAsia="Arial" w:hAnsi="Arial"/>
          <w:sz w:val="17"/>
          <w:szCs w:val="17"/>
          <w:color w:val="auto"/>
        </w:rPr>
        <w:t>At December 31, 2017 and 2016, the Company had no liabilities that were measured at fair value on a recurring basis. The Company estimates fair value of outstanding debt using a discounted cash flows method based on current market interest rates for debt issuances with similar remaining years to maturity and adjusted for credit risk. The Company has estimated that the carrying value of the outstanding Miami Loan (defined in Note 14) and the outstanding MoBay Loan (defined in Note 14) approximates fair value. The fair value estimate is classified as Level 3 in the fair value hierarchy.</w:t>
      </w:r>
    </w:p>
    <w:p>
      <w:pPr>
        <w:spacing w:after="0" w:line="65" w:lineRule="exact"/>
        <w:rPr>
          <w:sz w:val="20"/>
          <w:szCs w:val="20"/>
          <w:color w:val="auto"/>
        </w:rPr>
      </w:pPr>
    </w:p>
    <w:p>
      <w:pPr>
        <w:ind w:left="360" w:hanging="355"/>
        <w:spacing w:after="0"/>
        <w:tabs>
          <w:tab w:leader="none" w:pos="3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restricted cash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35"/>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for performance under customer agreements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20"/>
                <w:szCs w:val="20"/>
                <w:color w:val="auto"/>
              </w:rPr>
            </w:pPr>
          </w:p>
        </w:tc>
      </w:tr>
      <w:tr>
        <w:trPr>
          <w:trHeight w:val="235"/>
        </w:trPr>
        <w:tc>
          <w:tcPr>
            <w:tcW w:w="6800" w:type="dxa"/>
            <w:vAlign w:val="bottom"/>
          </w:tcPr>
          <w:p>
            <w:pPr>
              <w:spacing w:after="0"/>
              <w:rPr>
                <w:sz w:val="20"/>
                <w:szCs w:val="20"/>
                <w:color w:val="auto"/>
              </w:rPr>
            </w:pPr>
            <w:r>
              <w:rPr>
                <w:rFonts w:ascii="Arial" w:cs="Arial" w:eastAsia="Arial" w:hAnsi="Arial"/>
                <w:sz w:val="18"/>
                <w:szCs w:val="18"/>
                <w:color w:val="auto"/>
              </w:rPr>
              <w:t>Collateral for LNG purchases</w:t>
            </w: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8"/>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service reserve accounts (Note 14)</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5,339</w:t>
            </w:r>
          </w:p>
        </w:tc>
        <w:tc>
          <w:tcPr>
            <w:tcW w:w="2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80" w:type="dxa"/>
            <w:vAlign w:val="bottom"/>
            <w:shd w:val="clear" w:color="auto" w:fill="CCEEFF"/>
          </w:tcPr>
          <w:p>
            <w:pPr>
              <w:spacing w:after="0"/>
              <w:rPr>
                <w:sz w:val="21"/>
                <w:szCs w:val="21"/>
                <w:color w:val="auto"/>
              </w:rPr>
            </w:pPr>
          </w:p>
        </w:tc>
      </w:tr>
      <w:tr>
        <w:trPr>
          <w:trHeight w:val="235"/>
        </w:trPr>
        <w:tc>
          <w:tcPr>
            <w:tcW w:w="6800" w:type="dxa"/>
            <w:vAlign w:val="bottom"/>
          </w:tcPr>
          <w:p>
            <w:pPr>
              <w:spacing w:after="0"/>
              <w:rPr>
                <w:sz w:val="20"/>
                <w:szCs w:val="20"/>
                <w:color w:val="auto"/>
              </w:rPr>
            </w:pPr>
            <w:r>
              <w:rPr>
                <w:rFonts w:ascii="Arial" w:cs="Arial" w:eastAsia="Arial" w:hAnsi="Arial"/>
                <w:sz w:val="18"/>
                <w:szCs w:val="18"/>
                <w:color w:val="auto"/>
              </w:rPr>
              <w:t>Customs and performance bonds</w:t>
            </w: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914</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20"/>
                <w:szCs w:val="20"/>
                <w:color w:val="auto"/>
              </w:rPr>
            </w:pPr>
          </w:p>
        </w:tc>
      </w:tr>
      <w:tr>
        <w:trPr>
          <w:trHeight w:val="248"/>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restricted cash</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21"/>
                <w:szCs w:val="21"/>
                <w:color w:val="auto"/>
              </w:rPr>
            </w:pPr>
          </w:p>
        </w:tc>
      </w:tr>
      <w:tr>
        <w:trPr>
          <w:trHeight w:val="20"/>
        </w:trPr>
        <w:tc>
          <w:tcPr>
            <w:tcW w:w="68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6800" w:type="dxa"/>
            <w:vAlign w:val="bottom"/>
          </w:tcPr>
          <w:p>
            <w:pPr>
              <w:spacing w:after="0"/>
              <w:rPr>
                <w:sz w:val="20"/>
                <w:szCs w:val="20"/>
                <w:color w:val="auto"/>
              </w:rPr>
            </w:pPr>
            <w:r>
              <w:rPr>
                <w:rFonts w:ascii="Arial" w:cs="Arial" w:eastAsia="Arial" w:hAnsi="Arial"/>
                <w:sz w:val="18"/>
                <w:szCs w:val="18"/>
                <w:color w:val="auto"/>
              </w:rPr>
              <w:t>Total restricted cash</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33,623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8,471</w:t>
            </w:r>
          </w:p>
        </w:tc>
        <w:tc>
          <w:tcPr>
            <w:tcW w:w="80" w:type="dxa"/>
            <w:vAlign w:val="bottom"/>
          </w:tcPr>
          <w:p>
            <w:pPr>
              <w:spacing w:after="0"/>
              <w:rPr>
                <w:sz w:val="19"/>
                <w:szCs w:val="19"/>
                <w:color w:val="auto"/>
              </w:rPr>
            </w:pPr>
          </w:p>
        </w:tc>
      </w:tr>
      <w:tr>
        <w:trPr>
          <w:trHeight w:val="27"/>
        </w:trPr>
        <w:tc>
          <w:tcPr>
            <w:tcW w:w="68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1"/>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restricted cash</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13,623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80" w:type="dxa"/>
            <w:vAlign w:val="bottom"/>
            <w:shd w:val="clear" w:color="auto" w:fill="CCEEFF"/>
          </w:tcPr>
          <w:p>
            <w:pPr>
              <w:spacing w:after="0"/>
              <w:rPr>
                <w:sz w:val="20"/>
                <w:szCs w:val="20"/>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Non-current restricted cash</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9"/>
                <w:szCs w:val="19"/>
                <w:color w:val="auto"/>
              </w:rPr>
            </w:pPr>
          </w:p>
        </w:tc>
      </w:tr>
    </w:tbl>
    <w:p>
      <w:pPr>
        <w:spacing w:after="0" w:line="101" w:lineRule="exact"/>
        <w:rPr>
          <w:sz w:val="20"/>
          <w:szCs w:val="20"/>
          <w:color w:val="auto"/>
        </w:rPr>
      </w:pPr>
    </w:p>
    <w:p>
      <w:pPr>
        <w:ind w:left="360" w:hanging="355"/>
        <w:spacing w:after="0"/>
        <w:tabs>
          <w:tab w:leader="none" w:pos="3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inventory consisted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35"/>
        </w:trPr>
        <w:tc>
          <w:tcPr>
            <w:tcW w:w="38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LNG and natural gas inventory</w:t>
            </w:r>
          </w:p>
        </w:tc>
        <w:tc>
          <w:tcPr>
            <w:tcW w:w="38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41"/>
        </w:trPr>
        <w:tc>
          <w:tcPr>
            <w:tcW w:w="3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Materials, supplies and other</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9"/>
        </w:trPr>
        <w:tc>
          <w:tcPr>
            <w:tcW w:w="380" w:type="dxa"/>
            <w:vAlign w:val="bottom"/>
          </w:tcPr>
          <w:p>
            <w:pPr>
              <w:spacing w:after="0"/>
              <w:rPr>
                <w:sz w:val="23"/>
                <w:szCs w:val="2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8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11,152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80" w:type="dxa"/>
            <w:vAlign w:val="bottom"/>
            <w:shd w:val="clear" w:color="auto" w:fill="CCEEFF"/>
          </w:tcPr>
          <w:p>
            <w:pPr>
              <w:spacing w:after="0"/>
              <w:rPr>
                <w:sz w:val="23"/>
                <w:szCs w:val="23"/>
                <w:color w:val="auto"/>
              </w:rPr>
            </w:pPr>
          </w:p>
        </w:tc>
        <w:tc>
          <w:tcPr>
            <w:tcW w:w="200" w:type="dxa"/>
            <w:vAlign w:val="bottom"/>
          </w:tcPr>
          <w:p>
            <w:pPr>
              <w:spacing w:after="0"/>
              <w:rPr>
                <w:sz w:val="23"/>
                <w:szCs w:val="23"/>
                <w:color w:val="auto"/>
              </w:rPr>
            </w:pPr>
          </w:p>
        </w:tc>
      </w:tr>
      <w:tr>
        <w:trPr>
          <w:trHeight w:val="430"/>
        </w:trPr>
        <w:tc>
          <w:tcPr>
            <w:tcW w:w="380" w:type="dxa"/>
            <w:vAlign w:val="bottom"/>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3580" w:type="dxa"/>
            <w:vAlign w:val="bottom"/>
            <w:tcBorders>
              <w:top w:val="single" w:sz="8" w:color="CCEEFF"/>
            </w:tcBorders>
          </w:tcPr>
          <w:p>
            <w:pPr>
              <w:ind w:left="980"/>
              <w:spacing w:after="0"/>
              <w:rPr>
                <w:sz w:val="20"/>
                <w:szCs w:val="20"/>
                <w:color w:val="auto"/>
              </w:rPr>
            </w:pPr>
            <w:r>
              <w:rPr>
                <w:rFonts w:ascii="Arial" w:cs="Arial" w:eastAsia="Arial" w:hAnsi="Arial"/>
                <w:sz w:val="18"/>
                <w:szCs w:val="18"/>
                <w:color w:val="auto"/>
              </w:rPr>
              <w:t>F-33</w:t>
            </w: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Pr>
          <w:p>
            <w:pPr>
              <w:spacing w:after="0"/>
              <w:rPr>
                <w:sz w:val="24"/>
                <w:szCs w:val="24"/>
                <w:color w:val="auto"/>
              </w:rPr>
            </w:pPr>
          </w:p>
        </w:tc>
      </w:tr>
      <w:tr>
        <w:trPr>
          <w:trHeight w:val="456"/>
        </w:trPr>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7"/>
        </w:trPr>
        <w:tc>
          <w:tcPr>
            <w:tcW w:w="380" w:type="dxa"/>
            <w:vAlign w:val="bottom"/>
            <w:shd w:val="clear" w:color="auto" w:fill="000000"/>
          </w:tcPr>
          <w:p>
            <w:pPr>
              <w:spacing w:after="0"/>
              <w:rPr>
                <w:sz w:val="5"/>
                <w:szCs w:val="5"/>
                <w:color w:val="auto"/>
              </w:rPr>
            </w:pPr>
          </w:p>
        </w:tc>
        <w:tc>
          <w:tcPr>
            <w:tcW w:w="3220" w:type="dxa"/>
            <w:vAlign w:val="bottom"/>
            <w:shd w:val="clear" w:color="auto" w:fill="000000"/>
          </w:tcPr>
          <w:p>
            <w:pPr>
              <w:spacing w:after="0"/>
              <w:rPr>
                <w:sz w:val="5"/>
                <w:szCs w:val="5"/>
                <w:color w:val="auto"/>
              </w:rPr>
            </w:pPr>
          </w:p>
        </w:tc>
        <w:tc>
          <w:tcPr>
            <w:tcW w:w="358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left="360" w:hanging="355"/>
        <w:spacing w:after="0"/>
        <w:tabs>
          <w:tab w:leader="none" w:pos="3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prepaid expenses and other current assets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35"/>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LNG</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5"/>
        </w:trPr>
        <w:tc>
          <w:tcPr>
            <w:tcW w:w="6800" w:type="dxa"/>
            <w:vAlign w:val="bottom"/>
          </w:tcPr>
          <w:p>
            <w:pPr>
              <w:spacing w:after="0"/>
              <w:rPr>
                <w:sz w:val="20"/>
                <w:szCs w:val="20"/>
                <w:color w:val="auto"/>
              </w:rPr>
            </w:pPr>
            <w:r>
              <w:rPr>
                <w:rFonts w:ascii="Arial" w:cs="Arial" w:eastAsia="Arial" w:hAnsi="Arial"/>
                <w:sz w:val="18"/>
                <w:szCs w:val="18"/>
                <w:color w:val="auto"/>
              </w:rPr>
              <w:t>Prepaid charter costs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1,374</w:t>
            </w:r>
          </w:p>
        </w:tc>
        <w:tc>
          <w:tcPr>
            <w:tcW w:w="80" w:type="dxa"/>
            <w:vAlign w:val="bottom"/>
          </w:tcPr>
          <w:p>
            <w:pPr>
              <w:spacing w:after="0"/>
              <w:rPr>
                <w:sz w:val="20"/>
                <w:szCs w:val="20"/>
                <w:color w:val="auto"/>
              </w:rPr>
            </w:pPr>
          </w:p>
        </w:tc>
      </w:tr>
      <w:tr>
        <w:trPr>
          <w:trHeight w:val="248"/>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21"/>
                <w:szCs w:val="21"/>
                <w:color w:val="auto"/>
              </w:rPr>
            </w:pPr>
          </w:p>
        </w:tc>
      </w:tr>
      <w:tr>
        <w:trPr>
          <w:trHeight w:val="235"/>
        </w:trPr>
        <w:tc>
          <w:tcPr>
            <w:tcW w:w="6800" w:type="dxa"/>
            <w:vAlign w:val="bottom"/>
          </w:tcPr>
          <w:p>
            <w:pPr>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20"/>
                <w:szCs w:val="20"/>
                <w:color w:val="auto"/>
              </w:rPr>
            </w:pPr>
          </w:p>
        </w:tc>
      </w:tr>
      <w:tr>
        <w:trPr>
          <w:trHeight w:val="248"/>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21"/>
                <w:szCs w:val="21"/>
                <w:color w:val="auto"/>
              </w:rPr>
            </w:pPr>
          </w:p>
        </w:tc>
      </w:tr>
      <w:tr>
        <w:trPr>
          <w:trHeight w:val="20"/>
        </w:trPr>
        <w:tc>
          <w:tcPr>
            <w:tcW w:w="68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24,875</w:t>
            </w:r>
          </w:p>
        </w:tc>
        <w:tc>
          <w:tcPr>
            <w:tcW w:w="1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3,360</w:t>
            </w: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ind w:left="360" w:right="20"/>
        <w:spacing w:after="0" w:line="274" w:lineRule="auto"/>
        <w:rPr>
          <w:sz w:val="20"/>
          <w:szCs w:val="20"/>
          <w:color w:val="auto"/>
        </w:rPr>
      </w:pPr>
      <w:r>
        <w:rPr>
          <w:rFonts w:ascii="Arial" w:cs="Arial" w:eastAsia="Arial" w:hAnsi="Arial"/>
          <w:sz w:val="18"/>
          <w:szCs w:val="18"/>
          <w:color w:val="auto"/>
        </w:rPr>
        <w:t>Prepaid LNG consists of payments for 2,808,587 MMBtus of LNG that have been prepaid by the Company as of December 31, 2017. The Company took delivery of these volumes in February 2018.</w:t>
      </w:r>
    </w:p>
    <w:p>
      <w:pPr>
        <w:spacing w:after="0" w:line="64" w:lineRule="exact"/>
        <w:rPr>
          <w:sz w:val="20"/>
          <w:szCs w:val="20"/>
          <w:color w:val="auto"/>
        </w:rPr>
      </w:pPr>
    </w:p>
    <w:p>
      <w:pPr>
        <w:ind w:left="360" w:right="20"/>
        <w:spacing w:after="0" w:line="309" w:lineRule="auto"/>
        <w:rPr>
          <w:sz w:val="20"/>
          <w:szCs w:val="20"/>
          <w:color w:val="auto"/>
        </w:rPr>
      </w:pPr>
      <w:r>
        <w:rPr>
          <w:rFonts w:ascii="Arial" w:cs="Arial" w:eastAsia="Arial" w:hAnsi="Arial"/>
          <w:sz w:val="16"/>
          <w:szCs w:val="16"/>
          <w:color w:val="auto"/>
        </w:rPr>
        <w:t>The Company has entered into ship time charter commitments in order to transport LNG from suppliers to the Company’s terminal facility at the Port of Montego Bay, Jamaica. In order to secure the vessel charters, charter hire costs are required to be paid in advance and are recorded within ‘Prepaid expenses and other current assets’ on the consolidated balance sheets.</w:t>
      </w:r>
    </w:p>
    <w:p>
      <w:pPr>
        <w:spacing w:after="0" w:line="41" w:lineRule="exact"/>
        <w:rPr>
          <w:sz w:val="20"/>
          <w:szCs w:val="20"/>
          <w:color w:val="auto"/>
        </w:rPr>
      </w:pPr>
    </w:p>
    <w:p>
      <w:pPr>
        <w:ind w:left="360" w:right="360"/>
        <w:spacing w:after="0" w:line="274" w:lineRule="auto"/>
        <w:rPr>
          <w:sz w:val="20"/>
          <w:szCs w:val="20"/>
          <w:color w:val="auto"/>
        </w:rPr>
      </w:pPr>
      <w:r>
        <w:rPr>
          <w:rFonts w:ascii="Arial" w:cs="Arial" w:eastAsia="Arial" w:hAnsi="Arial"/>
          <w:sz w:val="18"/>
          <w:szCs w:val="18"/>
          <w:color w:val="auto"/>
        </w:rPr>
        <w:t>The balances of deposits as of December 31, 2017 and 2016 primarily consists of $900 attributed to gas supply reservation deposit and $135 attributed to a land lease deposit with a related party (See Note 20).</w:t>
      </w:r>
    </w:p>
    <w:p>
      <w:pPr>
        <w:spacing w:after="0" w:line="60" w:lineRule="exact"/>
        <w:rPr>
          <w:sz w:val="20"/>
          <w:szCs w:val="20"/>
          <w:color w:val="auto"/>
        </w:rPr>
      </w:pPr>
    </w:p>
    <w:p>
      <w:pPr>
        <w:ind w:left="360" w:hanging="355"/>
        <w:spacing w:after="0"/>
        <w:tabs>
          <w:tab w:leader="none" w:pos="3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w:t>
      </w:r>
    </w:p>
    <w:p>
      <w:pPr>
        <w:spacing w:after="0" w:line="118" w:lineRule="exact"/>
        <w:rPr>
          <w:rFonts w:ascii="Arial" w:cs="Arial" w:eastAsia="Arial" w:hAnsi="Arial"/>
          <w:sz w:val="18"/>
          <w:szCs w:val="18"/>
          <w:b w:val="1"/>
          <w:bCs w:val="1"/>
          <w:color w:val="auto"/>
        </w:rPr>
      </w:pPr>
    </w:p>
    <w:p>
      <w:pPr>
        <w:ind w:left="360" w:right="56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During 2016 and 2017, the Company invested in equity securities of an international oil and gas drilling contractor. The following tables present the number of shares, cost and fair value of the investment:</w:t>
      </w:r>
    </w:p>
    <w:p>
      <w:pPr>
        <w:spacing w:after="0" w:line="29"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5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Borders>
              <w:bottom w:val="single" w:sz="8" w:color="auto"/>
            </w:tcBorders>
            <w:gridSpan w:val="8"/>
          </w:tcPr>
          <w:p>
            <w:pPr>
              <w:jc w:val="center"/>
              <w:ind w:left="804"/>
              <w:spacing w:after="0"/>
              <w:rPr>
                <w:sz w:val="20"/>
                <w:szCs w:val="20"/>
                <w:color w:val="auto"/>
              </w:rPr>
            </w:pPr>
            <w:r>
              <w:rPr>
                <w:rFonts w:ascii="Arial" w:cs="Arial" w:eastAsia="Arial" w:hAnsi="Arial"/>
                <w:sz w:val="14"/>
                <w:szCs w:val="14"/>
                <w:b w:val="1"/>
                <w:bCs w:val="1"/>
                <w:color w:val="auto"/>
                <w:w w:val="90"/>
              </w:rPr>
              <w:t>December 31, 2017</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8"/>
        </w:trPr>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180"/>
              <w:spacing w:after="0" w:line="15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of U.S. dollars except number of shares)</w:t>
            </w:r>
          </w:p>
        </w:tc>
        <w:tc>
          <w:tcPr>
            <w:tcW w:w="180" w:type="dxa"/>
            <w:vAlign w:val="bottom"/>
          </w:tcPr>
          <w:p>
            <w:pPr>
              <w:spacing w:after="0"/>
              <w:rPr>
                <w:sz w:val="15"/>
                <w:szCs w:val="15"/>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5"/>
                <w:szCs w:val="15"/>
                <w:color w:val="auto"/>
              </w:rPr>
            </w:pPr>
          </w:p>
        </w:tc>
      </w:tr>
      <w:tr>
        <w:trPr>
          <w:trHeight w:val="235"/>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investment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1,476,280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3,667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80" w:type="dxa"/>
            <w:vAlign w:val="bottom"/>
            <w:shd w:val="clear" w:color="auto" w:fill="CCEEFF"/>
          </w:tcPr>
          <w:p>
            <w:pPr>
              <w:spacing w:after="0"/>
              <w:rPr>
                <w:sz w:val="20"/>
                <w:szCs w:val="20"/>
                <w:color w:val="auto"/>
              </w:rPr>
            </w:pPr>
          </w:p>
        </w:tc>
      </w:tr>
      <w:tr>
        <w:trPr>
          <w:trHeight w:val="241"/>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Borders>
              <w:bottom w:val="single" w:sz="8" w:color="auto"/>
            </w:tcBorders>
            <w:gridSpan w:val="8"/>
          </w:tcPr>
          <w:p>
            <w:pPr>
              <w:jc w:val="center"/>
              <w:ind w:left="804"/>
              <w:spacing w:after="0"/>
              <w:rPr>
                <w:sz w:val="20"/>
                <w:szCs w:val="20"/>
                <w:color w:val="auto"/>
              </w:rPr>
            </w:pPr>
            <w:r>
              <w:rPr>
                <w:rFonts w:ascii="Arial" w:cs="Arial" w:eastAsia="Arial" w:hAnsi="Arial"/>
                <w:sz w:val="14"/>
                <w:szCs w:val="14"/>
                <w:b w:val="1"/>
                <w:bCs w:val="1"/>
                <w:color w:val="auto"/>
                <w:w w:val="90"/>
              </w:rPr>
              <w:t>December 31, 2016</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58"/>
        </w:trPr>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180"/>
              <w:spacing w:after="0" w:line="15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4"/>
              </w:rPr>
              <w:t>Fair value</w:t>
            </w:r>
          </w:p>
        </w:tc>
      </w:tr>
      <w:tr>
        <w:trPr>
          <w:trHeight w:val="184"/>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of U.S. dollars except number of shares)</w:t>
            </w:r>
          </w:p>
        </w:tc>
        <w:tc>
          <w:tcPr>
            <w:tcW w:w="180" w:type="dxa"/>
            <w:vAlign w:val="bottom"/>
          </w:tcPr>
          <w:p>
            <w:pPr>
              <w:spacing w:after="0"/>
              <w:rPr>
                <w:sz w:val="15"/>
                <w:szCs w:val="15"/>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5"/>
                <w:szCs w:val="15"/>
                <w:color w:val="auto"/>
              </w:rPr>
            </w:pPr>
          </w:p>
        </w:tc>
      </w:tr>
      <w:tr>
        <w:trPr>
          <w:trHeight w:val="235"/>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investment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1,000,000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80" w:type="dxa"/>
            <w:vAlign w:val="bottom"/>
            <w:shd w:val="clear" w:color="auto" w:fill="CCEEFF"/>
          </w:tcPr>
          <w:p>
            <w:pPr>
              <w:spacing w:after="0"/>
              <w:rPr>
                <w:sz w:val="20"/>
                <w:szCs w:val="20"/>
                <w:color w:val="auto"/>
              </w:rPr>
            </w:pPr>
          </w:p>
        </w:tc>
      </w:tr>
    </w:tbl>
    <w:p>
      <w:pPr>
        <w:spacing w:after="0" w:line="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 of available-for-sale financial assets is summarized below:</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35"/>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5"/>
        </w:trPr>
        <w:tc>
          <w:tcPr>
            <w:tcW w:w="6820" w:type="dxa"/>
            <w:vAlign w:val="bottom"/>
          </w:tcPr>
          <w:p>
            <w:pPr>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20"/>
                <w:szCs w:val="20"/>
                <w:color w:val="auto"/>
              </w:rPr>
            </w:pPr>
          </w:p>
        </w:tc>
      </w:tr>
      <w:tr>
        <w:trPr>
          <w:trHeight w:val="248"/>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w:t>
            </w: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CEEFF"/>
          </w:tcPr>
          <w:p>
            <w:pPr>
              <w:spacing w:after="0"/>
              <w:rPr>
                <w:sz w:val="21"/>
                <w:szCs w:val="21"/>
                <w:color w:val="auto"/>
              </w:rPr>
            </w:pPr>
          </w:p>
        </w:tc>
      </w:tr>
      <w:tr>
        <w:trPr>
          <w:trHeight w:val="20"/>
        </w:trPr>
        <w:tc>
          <w:tcPr>
            <w:tcW w:w="68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6820" w:type="dxa"/>
            <w:vAlign w:val="bottom"/>
          </w:tcPr>
          <w:p>
            <w:pPr>
              <w:spacing w:after="0"/>
              <w:rPr>
                <w:sz w:val="20"/>
                <w:szCs w:val="20"/>
                <w:color w:val="auto"/>
              </w:rPr>
            </w:pPr>
            <w:r>
              <w:rPr>
                <w:rFonts w:ascii="Arial" w:cs="Arial" w:eastAsia="Arial" w:hAnsi="Arial"/>
                <w:sz w:val="18"/>
                <w:szCs w:val="18"/>
                <w:color w:val="auto"/>
              </w:rPr>
              <w:t>At December 31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6,333</w:t>
            </w:r>
          </w:p>
        </w:tc>
        <w:tc>
          <w:tcPr>
            <w:tcW w:w="1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3,363</w:t>
            </w: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2" w:lineRule="exact"/>
        <w:rPr>
          <w:sz w:val="20"/>
          <w:szCs w:val="20"/>
          <w:color w:val="auto"/>
        </w:rPr>
      </w:pPr>
    </w:p>
    <w:p>
      <w:pPr>
        <w:ind w:left="360" w:hanging="355"/>
        <w:spacing w:after="0"/>
        <w:tabs>
          <w:tab w:leader="none" w:pos="3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in progress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Company’s construction in progress activity during 2017 and 2016, is detailed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70,792</w:t>
            </w:r>
          </w:p>
        </w:tc>
        <w:tc>
          <w:tcPr>
            <w:tcW w:w="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36,017</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88,825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to finance leases, net (Note 12)</w:t>
            </w: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(3,033)</w:t>
            </w: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(92,828)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Transferred to property, plant and equipment, net (Note 11)</w:t>
            </w: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(62,121)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Abandoned project</w:t>
            </w: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8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As of December 31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35,413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820" w:type="dxa"/>
            <w:vAlign w:val="bottom"/>
            <w:vMerge w:val="restart"/>
          </w:tcPr>
          <w:p>
            <w:pPr>
              <w:ind w:left="4200"/>
              <w:spacing w:after="0"/>
              <w:rPr>
                <w:sz w:val="20"/>
                <w:szCs w:val="20"/>
                <w:color w:val="auto"/>
              </w:rPr>
            </w:pPr>
            <w:r>
              <w:rPr>
                <w:rFonts w:ascii="Arial" w:cs="Arial" w:eastAsia="Arial" w:hAnsi="Arial"/>
                <w:sz w:val="18"/>
                <w:szCs w:val="18"/>
                <w:color w:val="auto"/>
              </w:rPr>
              <w:t>F-34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38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80" w:type="dxa"/>
            <w:vAlign w:val="bottom"/>
            <w:shd w:val="clear" w:color="auto" w:fill="000000"/>
          </w:tcPr>
          <w:p>
            <w:pPr>
              <w:spacing w:after="0"/>
              <w:rPr>
                <w:sz w:val="5"/>
                <w:szCs w:val="5"/>
                <w:color w:val="auto"/>
              </w:rPr>
            </w:pPr>
          </w:p>
        </w:tc>
        <w:tc>
          <w:tcPr>
            <w:tcW w:w="682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2240" w:h="15840" w:orient="portrait"/>
          <w:cols w:equalWidth="0" w:num="1">
            <w:col w:w="9500"/>
          </w:cols>
          <w:pgMar w:left="1360" w:top="138" w:right="1380"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Management determined it appropriate to expense $1,289 in 2017 as the decision was made to abandon the related project.</w:t>
      </w:r>
    </w:p>
    <w:p>
      <w:pPr>
        <w:spacing w:after="0" w:line="122" w:lineRule="exact"/>
        <w:rPr>
          <w:sz w:val="20"/>
          <w:szCs w:val="20"/>
          <w:color w:val="auto"/>
        </w:rPr>
      </w:pPr>
    </w:p>
    <w:p>
      <w:pPr>
        <w:ind w:left="360" w:hanging="355"/>
        <w:spacing w:after="0"/>
        <w:tabs>
          <w:tab w:leader="none" w:pos="3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At December 31, the Company’s property, plant and equipment, net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35"/>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66,203</w:t>
            </w:r>
          </w:p>
        </w:tc>
        <w:tc>
          <w:tcPr>
            <w:tcW w:w="1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65,452</w:t>
            </w:r>
          </w:p>
        </w:tc>
        <w:tc>
          <w:tcPr>
            <w:tcW w:w="80" w:type="dxa"/>
            <w:vAlign w:val="bottom"/>
            <w:shd w:val="clear" w:color="auto" w:fill="CCEEFF"/>
          </w:tcPr>
          <w:p>
            <w:pPr>
              <w:spacing w:after="0"/>
              <w:rPr>
                <w:sz w:val="20"/>
                <w:szCs w:val="20"/>
                <w:color w:val="auto"/>
              </w:rPr>
            </w:pPr>
          </w:p>
        </w:tc>
      </w:tr>
      <w:tr>
        <w:trPr>
          <w:trHeight w:val="235"/>
        </w:trPr>
        <w:tc>
          <w:tcPr>
            <w:tcW w:w="6820" w:type="dxa"/>
            <w:vAlign w:val="bottom"/>
          </w:tcPr>
          <w:p>
            <w:pPr>
              <w:spacing w:after="0"/>
              <w:rPr>
                <w:sz w:val="20"/>
                <w:szCs w:val="20"/>
                <w:color w:val="auto"/>
              </w:rPr>
            </w:pPr>
            <w:r>
              <w:rPr>
                <w:rFonts w:ascii="Arial" w:cs="Arial" w:eastAsia="Arial" w:hAnsi="Arial"/>
                <w:sz w:val="18"/>
                <w:szCs w:val="18"/>
                <w:color w:val="auto"/>
              </w:rPr>
              <w:t>ISO containers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7,899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7,418</w:t>
            </w:r>
          </w:p>
        </w:tc>
        <w:tc>
          <w:tcPr>
            <w:tcW w:w="80" w:type="dxa"/>
            <w:vAlign w:val="bottom"/>
          </w:tcPr>
          <w:p>
            <w:pPr>
              <w:spacing w:after="0"/>
              <w:rPr>
                <w:sz w:val="20"/>
                <w:szCs w:val="20"/>
                <w:color w:val="auto"/>
              </w:rPr>
            </w:pPr>
          </w:p>
        </w:tc>
      </w:tr>
      <w:tr>
        <w:trPr>
          <w:trHeight w:val="248"/>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w:t>
            </w: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r>
      <w:tr>
        <w:trPr>
          <w:trHeight w:val="235"/>
        </w:trPr>
        <w:tc>
          <w:tcPr>
            <w:tcW w:w="6820" w:type="dxa"/>
            <w:vAlign w:val="bottom"/>
          </w:tcPr>
          <w:p>
            <w:pPr>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0"/>
                <w:szCs w:val="20"/>
                <w:color w:val="auto"/>
              </w:rPr>
            </w:pPr>
          </w:p>
        </w:tc>
      </w:tr>
      <w:tr>
        <w:trPr>
          <w:trHeight w:val="248"/>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(5,592)</w:t>
            </w: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(2,400)</w:t>
            </w:r>
          </w:p>
        </w:tc>
      </w:tr>
      <w:tr>
        <w:trPr>
          <w:trHeight w:val="20"/>
        </w:trPr>
        <w:tc>
          <w:tcPr>
            <w:tcW w:w="68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682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69,350</w:t>
            </w:r>
          </w:p>
        </w:tc>
        <w:tc>
          <w:tcPr>
            <w:tcW w:w="1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70,633</w:t>
            </w: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ind w:left="360" w:right="60"/>
        <w:spacing w:after="0" w:line="339" w:lineRule="auto"/>
        <w:rPr>
          <w:sz w:val="20"/>
          <w:szCs w:val="20"/>
          <w:color w:val="auto"/>
        </w:rPr>
      </w:pPr>
      <w:r>
        <w:rPr>
          <w:rFonts w:ascii="Arial" w:cs="Arial" w:eastAsia="Arial" w:hAnsi="Arial"/>
          <w:sz w:val="16"/>
          <w:szCs w:val="16"/>
          <w:color w:val="auto"/>
        </w:rPr>
        <w:t>Depreciation for the years ended December 31, 2017 and 2016 totaled $3,214 and $2,389, respectively, of which $453 and $48 is respectively included within Cost of sales in the consolidated statements of operations and comprehensive loss.</w:t>
      </w:r>
    </w:p>
    <w:p>
      <w:pPr>
        <w:spacing w:after="0" w:line="13" w:lineRule="exact"/>
        <w:rPr>
          <w:sz w:val="20"/>
          <w:szCs w:val="20"/>
          <w:color w:val="auto"/>
        </w:rPr>
      </w:pPr>
    </w:p>
    <w:p>
      <w:pPr>
        <w:ind w:left="360" w:hanging="355"/>
        <w:spacing w:after="0"/>
        <w:tabs>
          <w:tab w:leader="none" w:pos="3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leases, net</w:t>
      </w:r>
    </w:p>
    <w:p>
      <w:pPr>
        <w:spacing w:after="0" w:line="118" w:lineRule="exact"/>
        <w:rPr>
          <w:rFonts w:ascii="Arial" w:cs="Arial" w:eastAsia="Arial" w:hAnsi="Arial"/>
          <w:sz w:val="18"/>
          <w:szCs w:val="18"/>
          <w:b w:val="1"/>
          <w:bCs w:val="1"/>
          <w:color w:val="auto"/>
        </w:rPr>
      </w:pPr>
    </w:p>
    <w:p>
      <w:pPr>
        <w:ind w:left="3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placed its Montego Bay LNG terminal into service on October 30, 2016, which has been accounted for as a direct finance lease. In addition, the Company also has entered into other arrangements to lease equipment to customers during the year which are accounted for as direct finance leases. The components of the direct finance leases at December 31, 2017 and 2016 are as follows:</w:t>
      </w:r>
    </w:p>
    <w:p>
      <w:pPr>
        <w:spacing w:after="0" w:line="44"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323,281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335,558</w:t>
            </w:r>
          </w:p>
        </w:tc>
        <w:tc>
          <w:tcPr>
            <w:tcW w:w="100" w:type="dxa"/>
            <w:vAlign w:val="bottom"/>
            <w:tcBorders>
              <w:left w:val="single" w:sz="8" w:color="CCEEFF"/>
            </w:tcBorders>
            <w:shd w:val="clear" w:color="auto" w:fill="CCEEFF"/>
          </w:tcPr>
          <w:p>
            <w:pPr>
              <w:spacing w:after="0"/>
              <w:rPr>
                <w:sz w:val="20"/>
                <w:szCs w:val="20"/>
                <w:color w:val="auto"/>
              </w:rPr>
            </w:pPr>
          </w:p>
        </w:tc>
      </w:tr>
      <w:tr>
        <w:trPr>
          <w:trHeight w:val="241"/>
        </w:trPr>
        <w:tc>
          <w:tcPr>
            <w:tcW w:w="6820" w:type="dxa"/>
            <w:vAlign w:val="bottom"/>
          </w:tcPr>
          <w:p>
            <w:pPr>
              <w:spacing w:after="0"/>
              <w:rPr>
                <w:sz w:val="20"/>
                <w:szCs w:val="20"/>
                <w:color w:val="auto"/>
              </w:rPr>
            </w:pPr>
            <w:r>
              <w:rPr>
                <w:rFonts w:ascii="Arial" w:cs="Arial" w:eastAsia="Arial" w:hAnsi="Arial"/>
                <w:sz w:val="18"/>
                <w:szCs w:val="18"/>
                <w:color w:val="auto"/>
              </w:rPr>
              <w:t>Unearned income</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(228,026)</w:t>
            </w: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(242,730)</w:t>
            </w:r>
          </w:p>
        </w:tc>
      </w:tr>
      <w:tr>
        <w:trPr>
          <w:trHeight w:val="20"/>
        </w:trPr>
        <w:tc>
          <w:tcPr>
            <w:tcW w:w="68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95,255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92,828</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82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r>
        <w:trPr>
          <w:trHeight w:val="235"/>
        </w:trPr>
        <w:tc>
          <w:tcPr>
            <w:tcW w:w="6820" w:type="dxa"/>
            <w:vAlign w:val="bottom"/>
          </w:tcPr>
          <w:p>
            <w:pPr>
              <w:spacing w:after="0"/>
              <w:rPr>
                <w:sz w:val="20"/>
                <w:szCs w:val="20"/>
                <w:color w:val="auto"/>
              </w:rPr>
            </w:pPr>
            <w:r>
              <w:rPr>
                <w:rFonts w:ascii="Arial" w:cs="Arial" w:eastAsia="Arial" w:hAnsi="Arial"/>
                <w:sz w:val="18"/>
                <w:szCs w:val="18"/>
                <w:color w:val="auto"/>
              </w:rPr>
              <w:t>Current portion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r>
      <w:tr>
        <w:trPr>
          <w:trHeight w:val="248"/>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8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94,077</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92,320</w:t>
            </w:r>
          </w:p>
        </w:tc>
        <w:tc>
          <w:tcPr>
            <w:tcW w:w="100" w:type="dxa"/>
            <w:vAlign w:val="bottom"/>
            <w:tcBorders>
              <w:left w:val="single" w:sz="8" w:color="CCEEFF"/>
            </w:tcBorders>
            <w:shd w:val="clear" w:color="auto" w:fill="CCEEFF"/>
          </w:tcPr>
          <w:p>
            <w:pPr>
              <w:spacing w:after="0"/>
              <w:rPr>
                <w:sz w:val="21"/>
                <w:szCs w:val="21"/>
                <w:color w:val="auto"/>
              </w:rPr>
            </w:pPr>
          </w:p>
        </w:tc>
      </w:tr>
    </w:tbl>
    <w:p>
      <w:pPr>
        <w:spacing w:after="0" w:line="93" w:lineRule="exact"/>
        <w:rPr>
          <w:sz w:val="20"/>
          <w:szCs w:val="20"/>
          <w:color w:val="auto"/>
        </w:rPr>
      </w:pPr>
    </w:p>
    <w:p>
      <w:pPr>
        <w:ind w:left="360" w:right="240"/>
        <w:spacing w:after="0" w:line="261" w:lineRule="auto"/>
        <w:rPr>
          <w:sz w:val="20"/>
          <w:szCs w:val="20"/>
          <w:color w:val="auto"/>
        </w:rPr>
      </w:pPr>
      <w:r>
        <w:rPr>
          <w:rFonts w:ascii="Arial" w:cs="Arial" w:eastAsia="Arial" w:hAnsi="Arial"/>
          <w:sz w:val="18"/>
          <w:szCs w:val="18"/>
          <w:color w:val="auto"/>
        </w:rPr>
        <w:t>Receivables related to the Company’s direct finance leases are primarily with a national utility that generates consistent cash flow. Therefore, the Company does not expect a material impact to the results of operations or financial position due to nonperformance from such counterparty.</w:t>
      </w:r>
    </w:p>
    <w:p>
      <w:pPr>
        <w:spacing w:after="0" w:line="76" w:lineRule="exact"/>
        <w:rPr>
          <w:sz w:val="20"/>
          <w:szCs w:val="20"/>
          <w:color w:val="auto"/>
        </w:rPr>
      </w:pPr>
    </w:p>
    <w:p>
      <w:pPr>
        <w:ind w:left="360" w:right="380"/>
        <w:spacing w:after="0" w:line="274" w:lineRule="auto"/>
        <w:rPr>
          <w:sz w:val="20"/>
          <w:szCs w:val="20"/>
          <w:color w:val="auto"/>
        </w:rPr>
      </w:pPr>
      <w:r>
        <w:rPr>
          <w:rFonts w:ascii="Arial" w:cs="Arial" w:eastAsia="Arial" w:hAnsi="Arial"/>
          <w:sz w:val="18"/>
          <w:szCs w:val="18"/>
          <w:color w:val="auto"/>
        </w:rPr>
        <w:t>At December 31, 2017, future minimum lease payments to be received under direct finance leases for the remainder of the respective lease terms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3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2018</w:t>
            </w:r>
          </w:p>
        </w:tc>
        <w:tc>
          <w:tcPr>
            <w:tcW w:w="49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16,157</w:t>
            </w:r>
          </w:p>
        </w:tc>
        <w:tc>
          <w:tcPr>
            <w:tcW w:w="200" w:type="dxa"/>
            <w:vAlign w:val="bottom"/>
          </w:tcPr>
          <w:p>
            <w:pPr>
              <w:spacing w:after="0"/>
              <w:rPr>
                <w:sz w:val="20"/>
                <w:szCs w:val="20"/>
                <w:color w:val="auto"/>
              </w:rPr>
            </w:pPr>
          </w:p>
        </w:tc>
      </w:tr>
      <w:tr>
        <w:trPr>
          <w:trHeight w:val="248"/>
        </w:trPr>
        <w:tc>
          <w:tcPr>
            <w:tcW w:w="380" w:type="dxa"/>
            <w:vAlign w:val="bottom"/>
          </w:tcPr>
          <w:p>
            <w:pPr>
              <w:spacing w:after="0"/>
              <w:rPr>
                <w:sz w:val="21"/>
                <w:szCs w:val="21"/>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16,157</w:t>
            </w:r>
          </w:p>
        </w:tc>
        <w:tc>
          <w:tcPr>
            <w:tcW w:w="200" w:type="dxa"/>
            <w:vAlign w:val="bottom"/>
          </w:tcPr>
          <w:p>
            <w:pPr>
              <w:spacing w:after="0"/>
              <w:rPr>
                <w:sz w:val="21"/>
                <w:szCs w:val="21"/>
                <w:color w:val="auto"/>
              </w:rPr>
            </w:pPr>
          </w:p>
        </w:tc>
      </w:tr>
      <w:tr>
        <w:trPr>
          <w:trHeight w:val="235"/>
        </w:trPr>
        <w:tc>
          <w:tcPr>
            <w:tcW w:w="3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2020</w:t>
            </w:r>
          </w:p>
        </w:tc>
        <w:tc>
          <w:tcPr>
            <w:tcW w:w="4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16,156</w:t>
            </w:r>
          </w:p>
        </w:tc>
        <w:tc>
          <w:tcPr>
            <w:tcW w:w="200" w:type="dxa"/>
            <w:vAlign w:val="bottom"/>
          </w:tcPr>
          <w:p>
            <w:pPr>
              <w:spacing w:after="0"/>
              <w:rPr>
                <w:sz w:val="20"/>
                <w:szCs w:val="20"/>
                <w:color w:val="auto"/>
              </w:rPr>
            </w:pPr>
          </w:p>
        </w:tc>
      </w:tr>
      <w:tr>
        <w:trPr>
          <w:trHeight w:val="248"/>
        </w:trPr>
        <w:tc>
          <w:tcPr>
            <w:tcW w:w="380" w:type="dxa"/>
            <w:vAlign w:val="bottom"/>
          </w:tcPr>
          <w:p>
            <w:pPr>
              <w:spacing w:after="0"/>
              <w:rPr>
                <w:sz w:val="21"/>
                <w:szCs w:val="21"/>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16,156</w:t>
            </w:r>
          </w:p>
        </w:tc>
        <w:tc>
          <w:tcPr>
            <w:tcW w:w="200" w:type="dxa"/>
            <w:vAlign w:val="bottom"/>
          </w:tcPr>
          <w:p>
            <w:pPr>
              <w:spacing w:after="0"/>
              <w:rPr>
                <w:sz w:val="21"/>
                <w:szCs w:val="21"/>
                <w:color w:val="auto"/>
              </w:rPr>
            </w:pPr>
          </w:p>
        </w:tc>
      </w:tr>
      <w:tr>
        <w:trPr>
          <w:trHeight w:val="235"/>
        </w:trPr>
        <w:tc>
          <w:tcPr>
            <w:tcW w:w="3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2022</w:t>
            </w:r>
          </w:p>
        </w:tc>
        <w:tc>
          <w:tcPr>
            <w:tcW w:w="4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16,101</w:t>
            </w:r>
          </w:p>
        </w:tc>
        <w:tc>
          <w:tcPr>
            <w:tcW w:w="200" w:type="dxa"/>
            <w:vAlign w:val="bottom"/>
          </w:tcPr>
          <w:p>
            <w:pPr>
              <w:spacing w:after="0"/>
              <w:rPr>
                <w:sz w:val="20"/>
                <w:szCs w:val="20"/>
                <w:color w:val="auto"/>
              </w:rPr>
            </w:pPr>
          </w:p>
        </w:tc>
      </w:tr>
      <w:tr>
        <w:trPr>
          <w:trHeight w:val="248"/>
        </w:trPr>
        <w:tc>
          <w:tcPr>
            <w:tcW w:w="380" w:type="dxa"/>
            <w:vAlign w:val="bottom"/>
          </w:tcPr>
          <w:p>
            <w:pPr>
              <w:spacing w:after="0"/>
              <w:rPr>
                <w:sz w:val="21"/>
                <w:szCs w:val="21"/>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242,554</w:t>
            </w:r>
          </w:p>
        </w:tc>
        <w:tc>
          <w:tcPr>
            <w:tcW w:w="20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1"/>
        </w:trPr>
        <w:tc>
          <w:tcPr>
            <w:tcW w:w="3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46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323,281</w:t>
            </w:r>
          </w:p>
        </w:tc>
        <w:tc>
          <w:tcPr>
            <w:tcW w:w="2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6"/>
        </w:trPr>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960" w:type="dxa"/>
            <w:vAlign w:val="bottom"/>
            <w:gridSpan w:val="2"/>
          </w:tcPr>
          <w:p>
            <w:pPr>
              <w:jc w:val="right"/>
              <w:ind w:right="3391"/>
              <w:spacing w:after="0"/>
              <w:rPr>
                <w:sz w:val="20"/>
                <w:szCs w:val="20"/>
                <w:color w:val="auto"/>
              </w:rPr>
            </w:pPr>
            <w:r>
              <w:rPr>
                <w:rFonts w:ascii="Arial" w:cs="Arial" w:eastAsia="Arial" w:hAnsi="Arial"/>
                <w:sz w:val="18"/>
                <w:szCs w:val="18"/>
                <w:color w:val="auto"/>
              </w:rPr>
              <w:t>F-35</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6"/>
        </w:trPr>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7"/>
        </w:trPr>
        <w:tc>
          <w:tcPr>
            <w:tcW w:w="380" w:type="dxa"/>
            <w:vAlign w:val="bottom"/>
            <w:shd w:val="clear" w:color="auto" w:fill="000000"/>
          </w:tcPr>
          <w:p>
            <w:pPr>
              <w:spacing w:after="0"/>
              <w:rPr>
                <w:sz w:val="5"/>
                <w:szCs w:val="5"/>
                <w:color w:val="auto"/>
              </w:rPr>
            </w:pPr>
          </w:p>
        </w:tc>
        <w:tc>
          <w:tcPr>
            <w:tcW w:w="3060" w:type="dxa"/>
            <w:vAlign w:val="bottom"/>
            <w:shd w:val="clear" w:color="auto" w:fill="000000"/>
          </w:tcPr>
          <w:p>
            <w:pPr>
              <w:spacing w:after="0"/>
              <w:rPr>
                <w:sz w:val="5"/>
                <w:szCs w:val="5"/>
                <w:color w:val="auto"/>
              </w:rPr>
            </w:pPr>
          </w:p>
        </w:tc>
        <w:tc>
          <w:tcPr>
            <w:tcW w:w="46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2240" w:h="15840" w:orient="portrait"/>
          <w:cols w:equalWidth="0" w:num="1">
            <w:col w:w="9500"/>
          </w:cols>
          <w:pgMar w:left="1360" w:top="138" w:right="1380"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left="360" w:hanging="355"/>
        <w:spacing w:after="0"/>
        <w:tabs>
          <w:tab w:leader="none" w:pos="3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accrued liabilities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left w:val="single" w:sz="8" w:color="CCEEFF"/>
            </w:tcBorders>
            <w:shd w:val="clear" w:color="auto" w:fill="CCEEFF"/>
          </w:tcPr>
          <w:p>
            <w:pPr>
              <w:spacing w:after="0"/>
              <w:rPr>
                <w:sz w:val="20"/>
                <w:szCs w:val="20"/>
                <w:color w:val="auto"/>
              </w:rPr>
            </w:pPr>
          </w:p>
        </w:tc>
      </w:tr>
      <w:tr>
        <w:trPr>
          <w:trHeight w:val="241"/>
        </w:trPr>
        <w:tc>
          <w:tcPr>
            <w:tcW w:w="6280" w:type="dxa"/>
            <w:vAlign w:val="bottom"/>
          </w:tcPr>
          <w:p>
            <w:pPr>
              <w:spacing w:after="0"/>
              <w:rPr>
                <w:sz w:val="20"/>
                <w:szCs w:val="20"/>
                <w:color w:val="auto"/>
              </w:rPr>
            </w:pPr>
            <w:r>
              <w:rPr>
                <w:rFonts w:ascii="Arial" w:cs="Arial" w:eastAsia="Arial" w:hAnsi="Arial"/>
                <w:sz w:val="18"/>
                <w:szCs w:val="18"/>
                <w:color w:val="auto"/>
              </w:rPr>
              <w:t>Accrued bonuses</w:t>
            </w:r>
          </w:p>
        </w:tc>
        <w:tc>
          <w:tcPr>
            <w:tcW w:w="2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8,620</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0"/>
                <w:szCs w:val="20"/>
                <w:color w:val="auto"/>
              </w:rPr>
            </w:pPr>
          </w:p>
        </w:tc>
      </w:tr>
      <w:tr>
        <w:trPr>
          <w:trHeight w:val="20"/>
        </w:trPr>
        <w:tc>
          <w:tcPr>
            <w:tcW w:w="6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17,499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28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89" w:lineRule="exact"/>
        <w:rPr>
          <w:sz w:val="20"/>
          <w:szCs w:val="20"/>
          <w:color w:val="auto"/>
        </w:rPr>
      </w:pPr>
    </w:p>
    <w:p>
      <w:pPr>
        <w:ind w:left="360" w:hanging="355"/>
        <w:spacing w:after="0"/>
        <w:tabs>
          <w:tab w:leader="none" w:pos="3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long-term debt consisted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Miami Loan, due November 2019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38,749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38,688</w:t>
            </w:r>
          </w:p>
        </w:tc>
        <w:tc>
          <w:tcPr>
            <w:tcW w:w="100" w:type="dxa"/>
            <w:vAlign w:val="bottom"/>
            <w:tcBorders>
              <w:left w:val="single" w:sz="8" w:color="CCEEFF"/>
            </w:tcBorders>
            <w:shd w:val="clear" w:color="auto" w:fill="CCEEFF"/>
          </w:tcPr>
          <w:p>
            <w:pPr>
              <w:spacing w:after="0"/>
              <w:rPr>
                <w:sz w:val="20"/>
                <w:szCs w:val="20"/>
                <w:color w:val="auto"/>
              </w:rPr>
            </w:pPr>
          </w:p>
        </w:tc>
      </w:tr>
      <w:tr>
        <w:trPr>
          <w:trHeight w:val="241"/>
        </w:trPr>
        <w:tc>
          <w:tcPr>
            <w:tcW w:w="6280" w:type="dxa"/>
            <w:vAlign w:val="bottom"/>
          </w:tcPr>
          <w:p>
            <w:pPr>
              <w:spacing w:after="0"/>
              <w:rPr>
                <w:sz w:val="20"/>
                <w:szCs w:val="20"/>
                <w:color w:val="auto"/>
              </w:rPr>
            </w:pPr>
            <w:r>
              <w:rPr>
                <w:rFonts w:ascii="Arial" w:cs="Arial" w:eastAsia="Arial" w:hAnsi="Arial"/>
                <w:sz w:val="18"/>
                <w:szCs w:val="18"/>
                <w:color w:val="auto"/>
              </w:rPr>
              <w:t>Montego Bay Loan, due June 2023</w:t>
            </w:r>
          </w:p>
        </w:tc>
        <w:tc>
          <w:tcPr>
            <w:tcW w:w="2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36,504</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41,697</w:t>
            </w:r>
          </w:p>
        </w:tc>
        <w:tc>
          <w:tcPr>
            <w:tcW w:w="100" w:type="dxa"/>
            <w:vAlign w:val="bottom"/>
          </w:tcPr>
          <w:p>
            <w:pPr>
              <w:spacing w:after="0"/>
              <w:rPr>
                <w:sz w:val="20"/>
                <w:szCs w:val="20"/>
                <w:color w:val="auto"/>
              </w:rPr>
            </w:pPr>
          </w:p>
        </w:tc>
      </w:tr>
      <w:tr>
        <w:trPr>
          <w:trHeight w:val="20"/>
        </w:trPr>
        <w:tc>
          <w:tcPr>
            <w:tcW w:w="6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75,253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80,385</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28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r>
        <w:trPr>
          <w:trHeight w:val="235"/>
        </w:trPr>
        <w:tc>
          <w:tcPr>
            <w:tcW w:w="62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5,828</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r>
      <w:tr>
        <w:trPr>
          <w:trHeight w:val="248"/>
        </w:trPr>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long-term debt</w:t>
            </w:r>
          </w:p>
        </w:tc>
        <w:tc>
          <w:tcPr>
            <w:tcW w:w="2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69,425</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74,557</w:t>
            </w:r>
          </w:p>
        </w:tc>
        <w:tc>
          <w:tcPr>
            <w:tcW w:w="100" w:type="dxa"/>
            <w:vAlign w:val="bottom"/>
            <w:tcBorders>
              <w:left w:val="single" w:sz="8" w:color="CCEEFF"/>
            </w:tcBorders>
            <w:shd w:val="clear" w:color="auto" w:fill="CCEEFF"/>
          </w:tcPr>
          <w:p>
            <w:pPr>
              <w:spacing w:after="0"/>
              <w:rPr>
                <w:sz w:val="21"/>
                <w:szCs w:val="21"/>
                <w:color w:val="auto"/>
              </w:rPr>
            </w:pPr>
          </w:p>
        </w:tc>
      </w:tr>
    </w:tbl>
    <w:p>
      <w:pPr>
        <w:spacing w:after="0" w:line="93" w:lineRule="exact"/>
        <w:rPr>
          <w:sz w:val="20"/>
          <w:szCs w:val="20"/>
          <w:color w:val="auto"/>
        </w:rPr>
      </w:pPr>
    </w:p>
    <w:p>
      <w:pPr>
        <w:jc w:val="both"/>
        <w:ind w:left="360" w:right="160"/>
        <w:spacing w:after="0" w:line="274" w:lineRule="auto"/>
        <w:rPr>
          <w:sz w:val="20"/>
          <w:szCs w:val="20"/>
          <w:color w:val="auto"/>
        </w:rPr>
      </w:pPr>
      <w:r>
        <w:rPr>
          <w:rFonts w:ascii="Arial" w:cs="Arial" w:eastAsia="Arial" w:hAnsi="Arial"/>
          <w:sz w:val="18"/>
          <w:szCs w:val="18"/>
          <w:color w:val="auto"/>
        </w:rPr>
        <w:t>Below is a schedule of future principal payments that the Company is obligated to make on the outstanding long-term debt as of December 31, 2017:</w:t>
      </w:r>
    </w:p>
    <w:p>
      <w:pPr>
        <w:spacing w:after="0" w:line="25" w:lineRule="exact"/>
        <w:rPr>
          <w:sz w:val="20"/>
          <w:szCs w:val="20"/>
          <w:color w:val="auto"/>
        </w:rPr>
      </w:pPr>
    </w:p>
    <w:tbl>
      <w:tblPr>
        <w:tblLayout w:type="fixed"/>
        <w:tblInd w:w="380" w:type="dxa"/>
        <w:tblCellMar>
          <w:top w:w="0" w:type="dxa"/>
          <w:left w:w="0" w:type="dxa"/>
          <w:bottom w:w="0" w:type="dxa"/>
          <w:right w:w="0" w:type="dxa"/>
        </w:tblCellMar>
      </w:tblPr>
      <w:tr>
        <w:trPr>
          <w:trHeight w:val="241"/>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36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2018</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5,828</w:t>
            </w:r>
          </w:p>
        </w:tc>
        <w:tc>
          <w:tcPr>
            <w:tcW w:w="80" w:type="dxa"/>
            <w:vAlign w:val="bottom"/>
          </w:tcPr>
          <w:p>
            <w:pPr>
              <w:spacing w:after="0"/>
              <w:rPr>
                <w:sz w:val="20"/>
                <w:szCs w:val="20"/>
                <w:color w:val="auto"/>
              </w:rPr>
            </w:pP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43,777</w:t>
            </w:r>
          </w:p>
        </w:tc>
        <w:tc>
          <w:tcPr>
            <w:tcW w:w="80" w:type="dxa"/>
            <w:vAlign w:val="bottom"/>
            <w:shd w:val="clear" w:color="auto" w:fill="CCEEFF"/>
          </w:tcPr>
          <w:p>
            <w:pPr>
              <w:spacing w:after="0"/>
              <w:rPr>
                <w:sz w:val="21"/>
                <w:szCs w:val="21"/>
                <w:color w:val="auto"/>
              </w:rPr>
            </w:pP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5,428</w:t>
            </w:r>
          </w:p>
        </w:tc>
        <w:tc>
          <w:tcPr>
            <w:tcW w:w="80" w:type="dxa"/>
            <w:vAlign w:val="bottom"/>
          </w:tcPr>
          <w:p>
            <w:pPr>
              <w:spacing w:after="0"/>
              <w:rPr>
                <w:sz w:val="20"/>
                <w:szCs w:val="20"/>
                <w:color w:val="auto"/>
              </w:rPr>
            </w:pP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80" w:type="dxa"/>
            <w:vAlign w:val="bottom"/>
            <w:shd w:val="clear" w:color="auto" w:fill="CCEEFF"/>
          </w:tcPr>
          <w:p>
            <w:pPr>
              <w:spacing w:after="0"/>
              <w:rPr>
                <w:sz w:val="21"/>
                <w:szCs w:val="21"/>
                <w:color w:val="auto"/>
              </w:rPr>
            </w:pPr>
          </w:p>
        </w:tc>
      </w:tr>
      <w:tr>
        <w:trPr>
          <w:trHeight w:val="235"/>
        </w:trPr>
        <w:tc>
          <w:tcPr>
            <w:tcW w:w="770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5,428</w:t>
            </w:r>
          </w:p>
        </w:tc>
        <w:tc>
          <w:tcPr>
            <w:tcW w:w="80" w:type="dxa"/>
            <w:vAlign w:val="bottom"/>
          </w:tcPr>
          <w:p>
            <w:pPr>
              <w:spacing w:after="0"/>
              <w:rPr>
                <w:sz w:val="20"/>
                <w:szCs w:val="20"/>
                <w:color w:val="auto"/>
              </w:rPr>
            </w:pP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11,138</w:t>
            </w:r>
          </w:p>
        </w:tc>
        <w:tc>
          <w:tcPr>
            <w:tcW w:w="80" w:type="dxa"/>
            <w:vAlign w:val="bottom"/>
            <w:shd w:val="clear" w:color="auto" w:fill="CCEEFF"/>
          </w:tcPr>
          <w:p>
            <w:pPr>
              <w:spacing w:after="0"/>
              <w:rPr>
                <w:sz w:val="21"/>
                <w:szCs w:val="21"/>
                <w:color w:val="auto"/>
              </w:rPr>
            </w:pPr>
          </w:p>
        </w:tc>
      </w:tr>
      <w:tr>
        <w:trPr>
          <w:trHeight w:val="20"/>
        </w:trPr>
        <w:tc>
          <w:tcPr>
            <w:tcW w:w="77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Total future principal payments</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77,027</w:t>
            </w:r>
          </w:p>
        </w:tc>
        <w:tc>
          <w:tcPr>
            <w:tcW w:w="80" w:type="dxa"/>
            <w:vAlign w:val="bottom"/>
          </w:tcPr>
          <w:p>
            <w:pPr>
              <w:spacing w:after="0"/>
              <w:rPr>
                <w:sz w:val="19"/>
                <w:szCs w:val="19"/>
                <w:color w:val="auto"/>
              </w:rPr>
            </w:pPr>
          </w:p>
        </w:tc>
      </w:tr>
      <w:tr>
        <w:trPr>
          <w:trHeight w:val="24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financing costs</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(1,774)</w:t>
            </w:r>
          </w:p>
        </w:tc>
      </w:tr>
      <w:tr>
        <w:trPr>
          <w:trHeight w:val="20"/>
        </w:trPr>
        <w:tc>
          <w:tcPr>
            <w:tcW w:w="77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75,253</w:t>
            </w:r>
          </w:p>
        </w:tc>
        <w:tc>
          <w:tcPr>
            <w:tcW w:w="8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Miami Loan</w:t>
      </w:r>
    </w:p>
    <w:p>
      <w:pPr>
        <w:spacing w:after="0" w:line="115" w:lineRule="exact"/>
        <w:rPr>
          <w:sz w:val="20"/>
          <w:szCs w:val="20"/>
          <w:color w:val="auto"/>
        </w:rPr>
      </w:pPr>
    </w:p>
    <w:p>
      <w:pPr>
        <w:ind w:left="360" w:right="80"/>
        <w:spacing w:after="0" w:line="285" w:lineRule="auto"/>
        <w:rPr>
          <w:sz w:val="20"/>
          <w:szCs w:val="20"/>
          <w:color w:val="auto"/>
        </w:rPr>
      </w:pPr>
      <w:r>
        <w:rPr>
          <w:rFonts w:ascii="Arial" w:cs="Arial" w:eastAsia="Arial" w:hAnsi="Arial"/>
          <w:sz w:val="16"/>
          <w:szCs w:val="16"/>
          <w:color w:val="auto"/>
        </w:rPr>
        <w:t>In November 2014, LNG Holdings (Florida) LLC (“LHFL”), a controlled subsidiary, entered into a Credit Agreement (the “Miami Loan”) with a bank for an initial aggregate amount of $40,000, maturing on May 24, 2018, in connection with the construction of an LNG facility in Hialeah, Florida. Borrowings under the loan bear interest at a rate selected by LHFL of either (i) a LIBOR based rate, with a floor of 1.00%, plus a spread of 5.00%, or (ii) subject to a floor of 2%, a Base Rate equal to the higher of (a) the Prime Rate, (b) the Federal Funds Rate plus ½ of 1% or (c) the 1-month LIBOR rate plus the difference between the applicable LIBOR margin and Base Rate margin, plus a spread of 4.00%. Subject to certain conditions, the Miami Loan can be extended for an additional term of up to 18 months. If the Miami Loan is extended past the original maturity date, the spread on LIBOR and Base Rate increases to 5.50% and 4.50%, respectively. The Miami Loan also requires unused commitment fees of 1.25% per annum on undrawn amounts. The Miami Loan is secured by all of the assets of LHFL, which consists primarily of the Miami Facility. In connection with the Miami Loan, the Company paid origination and other fees of $1,363, of which $158 and $619 are unamortized as of December 31, 2017 and 2016, respectively. These costs are capitalized as deferred financing costs and recorded as a reduction in Long-term debt on the consolidated balance sheets.</w:t>
      </w:r>
    </w:p>
    <w:p>
      <w:pPr>
        <w:spacing w:after="0" w:line="61" w:lineRule="exact"/>
        <w:rPr>
          <w:sz w:val="20"/>
          <w:szCs w:val="20"/>
          <w:color w:val="auto"/>
        </w:rPr>
      </w:pPr>
    </w:p>
    <w:p>
      <w:pPr>
        <w:ind w:left="360"/>
        <w:spacing w:after="0" w:line="261" w:lineRule="auto"/>
        <w:rPr>
          <w:sz w:val="20"/>
          <w:szCs w:val="20"/>
          <w:color w:val="auto"/>
        </w:rPr>
      </w:pPr>
      <w:r>
        <w:rPr>
          <w:rFonts w:ascii="Arial" w:cs="Arial" w:eastAsia="Arial" w:hAnsi="Arial"/>
          <w:sz w:val="18"/>
          <w:szCs w:val="18"/>
          <w:color w:val="auto"/>
        </w:rPr>
        <w:t>The Miami Loan requires periodic payments of interest on either a monthly, quarterly or semi-annual basis, depending upon the interest rate option selected by LHFL. In addition, with respect to LIBOR based borrowings, LHFL, at its option, may elect to defer up to ten interest periods outstanding at any point 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7" w:right="1380"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line="294" w:lineRule="auto"/>
        <w:rPr>
          <w:sz w:val="20"/>
          <w:szCs w:val="20"/>
          <w:color w:val="auto"/>
        </w:rPr>
      </w:pPr>
      <w:r>
        <w:rPr>
          <w:rFonts w:ascii="Arial" w:cs="Arial" w:eastAsia="Arial" w:hAnsi="Arial"/>
          <w:sz w:val="16"/>
          <w:szCs w:val="16"/>
          <w:color w:val="auto"/>
        </w:rPr>
        <w:t>time. The Miami Loan also requires annual amortization in an amount equal to 1% of the amount outstanding. The Miami Loan can be prepaid without penalty after the first anniversary of the closing of the Miami Loan. At December 31, 2017 and 2016, interest was calculated on the borrowing based on a three-month LIBOR rate (1% floor) plus a spread of 5%, bearing a total interest rate of 6.57% and 6.00%, respectively. Interest expense, inclusive of amortized debt fees for the years ended December 31, 2017 and 2016, totaled $2,845 and $2,740 respectively, of which $0 and $937 was capitalized.</w:t>
      </w:r>
    </w:p>
    <w:p>
      <w:pPr>
        <w:spacing w:after="0" w:line="54" w:lineRule="exact"/>
        <w:rPr>
          <w:sz w:val="20"/>
          <w:szCs w:val="20"/>
          <w:color w:val="auto"/>
        </w:rPr>
      </w:pPr>
    </w:p>
    <w:p>
      <w:pPr>
        <w:ind w:left="360" w:right="80"/>
        <w:spacing w:after="0" w:line="274"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that time.</w:t>
      </w:r>
    </w:p>
    <w:p>
      <w:pPr>
        <w:spacing w:after="0" w:line="64" w:lineRule="exact"/>
        <w:rPr>
          <w:sz w:val="20"/>
          <w:szCs w:val="20"/>
          <w:color w:val="auto"/>
        </w:rPr>
      </w:pPr>
    </w:p>
    <w:p>
      <w:pPr>
        <w:ind w:left="360"/>
        <w:spacing w:after="0" w:line="261" w:lineRule="auto"/>
        <w:rPr>
          <w:sz w:val="20"/>
          <w:szCs w:val="20"/>
          <w:color w:val="auto"/>
        </w:rPr>
      </w:pPr>
      <w:r>
        <w:rPr>
          <w:rFonts w:ascii="Arial" w:cs="Arial" w:eastAsia="Arial" w:hAnsi="Arial"/>
          <w:sz w:val="18"/>
          <w:szCs w:val="18"/>
          <w:color w:val="auto"/>
        </w:rPr>
        <w:t>Under the terms of the Miami Loan, LHFL is required to maintain a Debt Service Reserve Account (the “DSR Account”) in the amount of $912. Such amount is included as a component of Restricted cash on the Company’s consolidated balance sheets (see Note 6).</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and 2016, LHFL was in compliance with all of the covenants under this agreement.</w:t>
      </w:r>
    </w:p>
    <w:p>
      <w:pPr>
        <w:spacing w:after="0" w:line="115" w:lineRule="exact"/>
        <w:rPr>
          <w:sz w:val="20"/>
          <w:szCs w:val="20"/>
          <w:color w:val="auto"/>
        </w:rPr>
      </w:pPr>
    </w:p>
    <w:p>
      <w:pPr>
        <w:ind w:left="360" w:right="140"/>
        <w:spacing w:after="0" w:line="274" w:lineRule="auto"/>
        <w:rPr>
          <w:sz w:val="20"/>
          <w:szCs w:val="20"/>
          <w:color w:val="auto"/>
        </w:rPr>
      </w:pPr>
      <w:r>
        <w:rPr>
          <w:rFonts w:ascii="Arial" w:cs="Arial" w:eastAsia="Arial" w:hAnsi="Arial"/>
          <w:sz w:val="18"/>
          <w:szCs w:val="18"/>
          <w:color w:val="auto"/>
        </w:rPr>
        <w:t>The Company intends to use the net proceeds of the Term Loan Facility entered into in August 2018 to repay the Miami Loan (defined and discussed in more detail in Note 22).</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Montego Bay Loan</w:t>
      </w:r>
    </w:p>
    <w:p>
      <w:pPr>
        <w:spacing w:after="0" w:line="115" w:lineRule="exact"/>
        <w:rPr>
          <w:sz w:val="20"/>
          <w:szCs w:val="20"/>
          <w:color w:val="auto"/>
        </w:rPr>
      </w:pPr>
    </w:p>
    <w:p>
      <w:pPr>
        <w:ind w:left="360" w:right="120"/>
        <w:spacing w:after="0" w:line="254" w:lineRule="auto"/>
        <w:rPr>
          <w:sz w:val="20"/>
          <w:szCs w:val="20"/>
          <w:color w:val="auto"/>
        </w:rPr>
      </w:pPr>
      <w:r>
        <w:rPr>
          <w:rFonts w:ascii="Arial" w:cs="Arial" w:eastAsia="Arial" w:hAnsi="Arial"/>
          <w:sz w:val="18"/>
          <w:szCs w:val="18"/>
          <w:color w:val="auto"/>
        </w:rPr>
        <w:t>In June 2016, NFE North Holdings Limited (“NNHL”), a subsidiary, entered into a Syndicated Loan Agreement (the “MoBay Loan”) with National Commercial Bank Jamaica Limited for an aggregate amount of $44,000, maturing on June 5, 2023, in connection with the construction of the LNG Terminal in Montego Bay, Jamaica. The MoBay Loan is to be repaid in 77 monthly payments of $452 commencing from December 6, 2016, and a final balloon payment of $9,172 due on the maturity date. Borrowings under the loan bear interest at 8.1%. The MoBay loan is secured by the LNG Terminal in Montego Bay, Jamaica.</w:t>
      </w:r>
    </w:p>
    <w:p>
      <w:pPr>
        <w:spacing w:after="0" w:line="81" w:lineRule="exact"/>
        <w:rPr>
          <w:sz w:val="20"/>
          <w:szCs w:val="20"/>
          <w:color w:val="auto"/>
        </w:rPr>
      </w:pPr>
    </w:p>
    <w:p>
      <w:pPr>
        <w:ind w:left="360" w:right="40"/>
        <w:spacing w:after="0" w:line="257" w:lineRule="auto"/>
        <w:rPr>
          <w:sz w:val="20"/>
          <w:szCs w:val="20"/>
          <w:color w:val="auto"/>
        </w:rPr>
      </w:pPr>
      <w:r>
        <w:rPr>
          <w:rFonts w:ascii="Arial" w:cs="Arial" w:eastAsia="Arial" w:hAnsi="Arial"/>
          <w:sz w:val="18"/>
          <w:szCs w:val="18"/>
          <w:color w:val="auto"/>
        </w:rPr>
        <w:t>Under the terms of the MoBay Loan, NNHL is required to maintain a DSR account in an amount equivalent to principal and interest due in the next six months. During the years ended December 31, 2017 and 2016 $2,615 and $1,812, respectively, was deposited in the DSR account and is included as a component of Restricted cash on the Company’s consolidated balance sheets (see Note 6).</w:t>
      </w:r>
    </w:p>
    <w:p>
      <w:pPr>
        <w:spacing w:after="0" w:line="79" w:lineRule="exact"/>
        <w:rPr>
          <w:sz w:val="20"/>
          <w:szCs w:val="20"/>
          <w:color w:val="auto"/>
        </w:rPr>
      </w:pPr>
    </w:p>
    <w:p>
      <w:pPr>
        <w:ind w:left="360"/>
        <w:spacing w:after="0" w:line="261" w:lineRule="auto"/>
        <w:rPr>
          <w:sz w:val="20"/>
          <w:szCs w:val="20"/>
          <w:color w:val="auto"/>
        </w:rPr>
      </w:pPr>
      <w:r>
        <w:rPr>
          <w:rFonts w:ascii="Arial" w:cs="Arial" w:eastAsia="Arial" w:hAnsi="Arial"/>
          <w:sz w:val="18"/>
          <w:szCs w:val="18"/>
          <w:color w:val="auto"/>
        </w:rPr>
        <w:t>In connection with the MoBay Loan, the Company paid origination and other fees of $2,031. These costs are capitalized as deferred financing costs and recorded as a reduction in Long-term debt on the consolidated balance sheets, of which $1,616 and $1,851 are unamortized as of December 31, 2017 and 2016, respectively.</w:t>
      </w:r>
    </w:p>
    <w:p>
      <w:pPr>
        <w:spacing w:after="0" w:line="76" w:lineRule="exact"/>
        <w:rPr>
          <w:sz w:val="20"/>
          <w:szCs w:val="20"/>
          <w:color w:val="auto"/>
        </w:rPr>
      </w:pPr>
    </w:p>
    <w:p>
      <w:pPr>
        <w:ind w:left="360"/>
        <w:spacing w:after="0" w:line="255" w:lineRule="auto"/>
        <w:rPr>
          <w:sz w:val="20"/>
          <w:szCs w:val="20"/>
          <w:color w:val="auto"/>
        </w:rPr>
      </w:pPr>
      <w:r>
        <w:rPr>
          <w:rFonts w:ascii="Arial" w:cs="Arial" w:eastAsia="Arial" w:hAnsi="Arial"/>
          <w:sz w:val="18"/>
          <w:szCs w:val="18"/>
          <w:color w:val="auto"/>
        </w:rPr>
        <w:t>During the construction period of certain projects in 2016, related interest expense and borrowings costs were capitalized as such costs were directly attributed to the construction. The capitalized interest is amortized as part of the capitalized cost of the asset that is subject to a direct finance lease upon its completion. Interest expense, inclusive of amortized debt fees for the years ended December 31, 2017 and 2016, totaled $3,611 and $1,990 respectively, of which $0 and $1,347 was capitalized and accounted for as a finance lease (See Note 12).</w:t>
      </w:r>
    </w:p>
    <w:p>
      <w:pPr>
        <w:spacing w:after="0" w:line="81" w:lineRule="exact"/>
        <w:rPr>
          <w:sz w:val="20"/>
          <w:szCs w:val="20"/>
          <w:color w:val="auto"/>
        </w:rPr>
      </w:pPr>
    </w:p>
    <w:p>
      <w:pPr>
        <w:ind w:left="360" w:right="340"/>
        <w:spacing w:after="0" w:line="274" w:lineRule="auto"/>
        <w:rPr>
          <w:sz w:val="20"/>
          <w:szCs w:val="20"/>
          <w:color w:val="auto"/>
        </w:rPr>
      </w:pPr>
      <w:r>
        <w:rPr>
          <w:rFonts w:ascii="Arial" w:cs="Arial" w:eastAsia="Arial" w:hAnsi="Arial"/>
          <w:sz w:val="18"/>
          <w:szCs w:val="18"/>
          <w:color w:val="auto"/>
        </w:rPr>
        <w:t>Financial covenants stipulated by the Syndicated Loan Agreement did not come into effect until December 31, 2017. As of December 31, 2017, NNHL was in compliance with all covenants under this agreement.</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intends to use the net proceeds of the Term Loan Facility entered into in August 2018 to repay the MoBay Loan.</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is subject to a prepayment fee of 1% on the MoBay Loan.</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Corporate Loan</w:t>
      </w:r>
    </w:p>
    <w:p>
      <w:pPr>
        <w:spacing w:after="0" w:line="115" w:lineRule="exact"/>
        <w:rPr>
          <w:sz w:val="20"/>
          <w:szCs w:val="20"/>
          <w:color w:val="auto"/>
        </w:rPr>
      </w:pPr>
    </w:p>
    <w:p>
      <w:pPr>
        <w:ind w:left="360" w:right="20"/>
        <w:spacing w:after="0" w:line="309" w:lineRule="auto"/>
        <w:rPr>
          <w:sz w:val="20"/>
          <w:szCs w:val="20"/>
          <w:color w:val="auto"/>
        </w:rPr>
      </w:pPr>
      <w:r>
        <w:rPr>
          <w:rFonts w:ascii="Arial" w:cs="Arial" w:eastAsia="Arial" w:hAnsi="Arial"/>
          <w:sz w:val="16"/>
          <w:szCs w:val="16"/>
          <w:color w:val="auto"/>
        </w:rPr>
        <w:t>On December 21, 2015, NFE Atlantic Holdings LLC (“NAHL”), a subsidiary, entered into a Credit Agreement (the “Corporate Loan”) with a bank for an initial aggregate amount of $65,000, which matured on December 20, 2016. The Corporate Loan was for general corporate purposes, including present and future construction projects under development in various locations.</w:t>
      </w:r>
    </w:p>
    <w:p>
      <w:pPr>
        <w:spacing w:after="0" w:line="41" w:lineRule="exact"/>
        <w:rPr>
          <w:sz w:val="20"/>
          <w:szCs w:val="20"/>
          <w:color w:val="auto"/>
        </w:rPr>
      </w:pPr>
    </w:p>
    <w:p>
      <w:pPr>
        <w:ind w:left="360" w:right="640"/>
        <w:spacing w:after="0" w:line="305" w:lineRule="auto"/>
        <w:rPr>
          <w:sz w:val="20"/>
          <w:szCs w:val="20"/>
          <w:color w:val="auto"/>
        </w:rPr>
      </w:pPr>
      <w:r>
        <w:rPr>
          <w:rFonts w:ascii="Arial" w:cs="Arial" w:eastAsia="Arial" w:hAnsi="Arial"/>
          <w:sz w:val="17"/>
          <w:szCs w:val="17"/>
          <w:color w:val="auto"/>
        </w:rPr>
        <w:t>The Corporate Loan provided for an exit fee of 2% of the aggregate principal amounts repaid, whether by prepayment, scheduled repayment or repayment at maturity. An exit fee of $1,297 was accrued ratably over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line="273" w:lineRule="auto"/>
        <w:rPr>
          <w:sz w:val="20"/>
          <w:szCs w:val="20"/>
          <w:color w:val="auto"/>
        </w:rPr>
      </w:pPr>
      <w:r>
        <w:rPr>
          <w:rFonts w:ascii="Arial" w:cs="Arial" w:eastAsia="Arial" w:hAnsi="Arial"/>
          <w:sz w:val="17"/>
          <w:szCs w:val="17"/>
          <w:color w:val="auto"/>
        </w:rPr>
        <w:t>the term of the Corporate Loan and recorded as a component of Accrued liabilities and Interest expense in the Company’s consolidated balance sheets and consolidated statements of operations and comprehensive loss, respectively. In connection with the Corporate Loan, NAHL paid origination fees of $2,118 which had been recorded as a reduction to debt principal and were amortized over the term of the loan. Total interest expense of $0 and $3,892 was incurred during the years ended December 31, 2017 and 2016, of which $0 and $1,233, respectively, was capitalized.</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Corporate Loan, NAHL was required to maintain a DSR Account in the amount of $3,576.</w:t>
      </w:r>
    </w:p>
    <w:p>
      <w:pPr>
        <w:spacing w:after="0" w:line="115" w:lineRule="exact"/>
        <w:rPr>
          <w:sz w:val="20"/>
          <w:szCs w:val="20"/>
          <w:color w:val="auto"/>
        </w:rPr>
      </w:pPr>
    </w:p>
    <w:p>
      <w:pPr>
        <w:jc w:val="both"/>
        <w:ind w:left="360" w:right="160"/>
        <w:spacing w:after="0" w:line="261" w:lineRule="auto"/>
        <w:rPr>
          <w:sz w:val="20"/>
          <w:szCs w:val="20"/>
          <w:color w:val="auto"/>
        </w:rPr>
      </w:pPr>
      <w:r>
        <w:rPr>
          <w:rFonts w:ascii="Arial" w:cs="Arial" w:eastAsia="Arial" w:hAnsi="Arial"/>
          <w:sz w:val="18"/>
          <w:szCs w:val="18"/>
          <w:color w:val="auto"/>
        </w:rPr>
        <w:t>The Corporate Loan was fully repaid together with the applicable accrued interest of $119 and exit fee of $1,297 for a total of $1,416 on June 3, 2016. Loss on extinguishment of debt of $1,177 was recognized during the year ended December 31, 2016 within the consolidated statements of operations and comprehensive loss.</w:t>
      </w:r>
    </w:p>
    <w:p>
      <w:pPr>
        <w:spacing w:after="0" w:line="72" w:lineRule="exact"/>
        <w:rPr>
          <w:sz w:val="20"/>
          <w:szCs w:val="20"/>
          <w:color w:val="auto"/>
        </w:rPr>
      </w:pPr>
    </w:p>
    <w:p>
      <w:pPr>
        <w:ind w:left="360" w:hanging="355"/>
        <w:spacing w:after="0"/>
        <w:tabs>
          <w:tab w:leader="none" w:pos="3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rFonts w:ascii="Arial" w:cs="Arial" w:eastAsia="Arial" w:hAnsi="Arial"/>
          <w:sz w:val="18"/>
          <w:szCs w:val="18"/>
          <w:b w:val="1"/>
          <w:bCs w:val="1"/>
          <w:color w:val="auto"/>
        </w:rPr>
      </w:pPr>
    </w:p>
    <w:p>
      <w:pPr>
        <w:ind w:left="360" w:right="28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the U.S. and the Caribbean. As a pass-through entity for U.S. federal tax purposes, no income tax provision or benefit for U.S. income taxes has been recorded for the periods presented.</w:t>
      </w:r>
    </w:p>
    <w:p>
      <w:pPr>
        <w:spacing w:after="0" w:line="17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Jamaica</w:t>
      </w:r>
    </w:p>
    <w:p>
      <w:pPr>
        <w:spacing w:after="0" w:line="114" w:lineRule="exact"/>
        <w:rPr>
          <w:rFonts w:ascii="Arial" w:cs="Arial" w:eastAsia="Arial" w:hAnsi="Arial"/>
          <w:sz w:val="18"/>
          <w:szCs w:val="18"/>
          <w:b w:val="1"/>
          <w:bCs w:val="1"/>
          <w:color w:val="auto"/>
        </w:rPr>
      </w:pPr>
    </w:p>
    <w:p>
      <w:pPr>
        <w:ind w:left="360" w:right="50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incorporated in Jamaica are subject to income tax which is computed at 25% of the relevant subsidiaries’ results for the year, adjusted for tax purposes.</w:t>
      </w:r>
    </w:p>
    <w:p>
      <w:pPr>
        <w:spacing w:after="0" w:line="63"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provision / (benefit) for the taxes on income consists of the following:</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35"/>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1"/>
        </w:trPr>
        <w:tc>
          <w:tcPr>
            <w:tcW w:w="6820" w:type="dxa"/>
            <w:vAlign w:val="bottom"/>
          </w:tcPr>
          <w:p>
            <w:pPr>
              <w:spacing w:after="0"/>
              <w:rPr>
                <w:sz w:val="20"/>
                <w:szCs w:val="20"/>
                <w:color w:val="auto"/>
              </w:rPr>
            </w:pPr>
            <w:r>
              <w:rPr>
                <w:rFonts w:ascii="Arial" w:cs="Arial" w:eastAsia="Arial" w:hAnsi="Arial"/>
                <w:sz w:val="18"/>
                <w:szCs w:val="18"/>
                <w:color w:val="auto"/>
              </w:rPr>
              <w:t>Deferred income tax</w:t>
            </w:r>
          </w:p>
        </w:tc>
        <w:tc>
          <w:tcPr>
            <w:tcW w:w="62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521</w:t>
            </w:r>
          </w:p>
        </w:tc>
        <w:tc>
          <w:tcPr>
            <w:tcW w:w="2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r>
      <w:tr>
        <w:trPr>
          <w:trHeight w:val="20"/>
        </w:trPr>
        <w:tc>
          <w:tcPr>
            <w:tcW w:w="68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526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r>
      <w:tr>
        <w:trPr>
          <w:trHeight w:val="27"/>
        </w:trPr>
        <w:tc>
          <w:tcPr>
            <w:tcW w:w="6820" w:type="dxa"/>
            <w:vAlign w:val="bottom"/>
            <w:tcBorders>
              <w:top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jc w:val="both"/>
        <w:ind w:left="360" w:right="220"/>
        <w:spacing w:after="0" w:line="261" w:lineRule="auto"/>
        <w:rPr>
          <w:sz w:val="20"/>
          <w:szCs w:val="20"/>
          <w:color w:val="auto"/>
        </w:rPr>
      </w:pPr>
      <w:r>
        <w:rPr>
          <w:rFonts w:ascii="Arial" w:cs="Arial" w:eastAsia="Arial" w:hAnsi="Arial"/>
          <w:sz w:val="18"/>
          <w:szCs w:val="18"/>
          <w:color w:val="auto"/>
        </w:rPr>
        <w:t>The effective tax rate for the year-ended December 31, 2017 and 2016 was (1.7%) and 1.1%, respectively. As a pass through entity, the Company’s statutory rate is 0% and the entire difference between the statutory and effective rate is attributable to foreign taxes.</w:t>
      </w:r>
    </w:p>
    <w:p>
      <w:pPr>
        <w:spacing w:after="0" w:line="76" w:lineRule="exact"/>
        <w:rPr>
          <w:sz w:val="20"/>
          <w:szCs w:val="20"/>
          <w:color w:val="auto"/>
        </w:rPr>
      </w:pPr>
    </w:p>
    <w:p>
      <w:pPr>
        <w:ind w:left="360" w:right="200"/>
        <w:spacing w:after="0" w:line="294" w:lineRule="auto"/>
        <w:rPr>
          <w:sz w:val="20"/>
          <w:szCs w:val="20"/>
          <w:color w:val="auto"/>
        </w:rPr>
      </w:pPr>
      <w:r>
        <w:rPr>
          <w:rFonts w:ascii="Arial" w:cs="Arial" w:eastAsia="Arial" w:hAnsi="Arial"/>
          <w:sz w:val="16"/>
          <w:szCs w:val="16"/>
          <w:color w:val="auto"/>
        </w:rPr>
        <w:t>Deferred income tax assets are recognized for tax loss carry-forwards in certain of the Company’s foreign subsidiaries to the extent that it is more likely than not that the Company will realize the related tax benefit through future taxable profits. Management, through tax-planning assessment and consideration of the relevant subsidiaries fixed revenue streams, believes that it is more likely than not that tax loss carry-forwards will be fully utilized by the subsidiary in future reporting periods. These tax loss carry-forwards do not expire, but will become subject to certain limitations in 2020.</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deferred taxes were as follows for the period ended December 31, 2017 and 2016:</w:t>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r>
      <w:tr>
        <w:trPr>
          <w:trHeight w:val="207"/>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Accelerated tax depreciation taken on property, plant and equipment underlying the finance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42"/>
        </w:trPr>
        <w:tc>
          <w:tcPr>
            <w:tcW w:w="68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receivables, and other temporary differences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(2,179)</w:t>
            </w:r>
          </w:p>
        </w:tc>
      </w:tr>
      <w:tr>
        <w:trPr>
          <w:trHeight w:val="241"/>
        </w:trPr>
        <w:tc>
          <w:tcPr>
            <w:tcW w:w="6820" w:type="dxa"/>
            <w:vAlign w:val="bottom"/>
          </w:tcPr>
          <w:p>
            <w:pPr>
              <w:spacing w:after="0"/>
              <w:rPr>
                <w:sz w:val="20"/>
                <w:szCs w:val="20"/>
                <w:color w:val="auto"/>
              </w:rPr>
            </w:pPr>
            <w:r>
              <w:rPr>
                <w:rFonts w:ascii="Arial" w:cs="Arial" w:eastAsia="Arial" w:hAnsi="Arial"/>
                <w:sz w:val="18"/>
                <w:szCs w:val="18"/>
                <w:color w:val="auto"/>
              </w:rPr>
              <w:t>Taxable losses available for offsetting against future taxable income</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3,597</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0"/>
                <w:szCs w:val="20"/>
                <w:color w:val="auto"/>
              </w:rPr>
            </w:pPr>
          </w:p>
        </w:tc>
      </w:tr>
      <w:tr>
        <w:trPr>
          <w:trHeight w:val="20"/>
        </w:trPr>
        <w:tc>
          <w:tcPr>
            <w:tcW w:w="68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 asset, net at December 31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left w:val="single" w:sz="8" w:color="CCEEFF"/>
            </w:tcBorders>
            <w:shd w:val="clear" w:color="auto" w:fill="CCEEFF"/>
          </w:tcPr>
          <w:p>
            <w:pPr>
              <w:spacing w:after="0"/>
              <w:rPr>
                <w:sz w:val="21"/>
                <w:szCs w:val="21"/>
                <w:color w:val="auto"/>
              </w:rPr>
            </w:pPr>
          </w:p>
        </w:tc>
      </w:tr>
      <w:tr>
        <w:trPr>
          <w:trHeight w:val="27"/>
        </w:trPr>
        <w:tc>
          <w:tcPr>
            <w:tcW w:w="682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jc w:val="both"/>
        <w:ind w:left="360" w:right="220"/>
        <w:spacing w:after="0" w:line="339" w:lineRule="auto"/>
        <w:rPr>
          <w:sz w:val="20"/>
          <w:szCs w:val="20"/>
          <w:color w:val="auto"/>
        </w:rPr>
      </w:pPr>
      <w:r>
        <w:rPr>
          <w:rFonts w:ascii="Arial" w:cs="Arial" w:eastAsia="Arial" w:hAnsi="Arial"/>
          <w:sz w:val="16"/>
          <w:szCs w:val="16"/>
          <w:color w:val="auto"/>
        </w:rPr>
        <w:t>The Company has not recorded a liability for uncertain tax positions as of December 31, 2017 or 2016. We remain subject to periodic audits and reviews by the taxing authority; our returns since our formation remain open for examination.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Bermuda</w:t>
      </w:r>
    </w:p>
    <w:p>
      <w:pPr>
        <w:spacing w:after="0" w:line="115" w:lineRule="exact"/>
        <w:rPr>
          <w:sz w:val="20"/>
          <w:szCs w:val="20"/>
          <w:color w:val="auto"/>
        </w:rPr>
      </w:pPr>
    </w:p>
    <w:p>
      <w:pPr>
        <w:ind w:left="360" w:right="20"/>
        <w:spacing w:after="0" w:line="274" w:lineRule="auto"/>
        <w:rPr>
          <w:sz w:val="20"/>
          <w:szCs w:val="20"/>
          <w:color w:val="auto"/>
        </w:rPr>
      </w:pPr>
      <w:r>
        <w:rPr>
          <w:rFonts w:ascii="Arial" w:cs="Arial" w:eastAsia="Arial" w:hAnsi="Arial"/>
          <w:sz w:val="18"/>
          <w:szCs w:val="18"/>
          <w:color w:val="auto"/>
        </w:rPr>
        <w:t>The Company has subsidiaries incorporated in Bermuda. Under current Bermuda law, the Company is not required to pay taxes in Bermuda on either income or capital gains. The Company has received 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right="720"/>
        <w:spacing w:after="0" w:line="274" w:lineRule="auto"/>
        <w:rPr>
          <w:sz w:val="20"/>
          <w:szCs w:val="20"/>
          <w:color w:val="auto"/>
        </w:rPr>
      </w:pPr>
      <w:r>
        <w:rPr>
          <w:rFonts w:ascii="Arial" w:cs="Arial" w:eastAsia="Arial" w:hAnsi="Arial"/>
          <w:sz w:val="18"/>
          <w:szCs w:val="18"/>
          <w:color w:val="auto"/>
        </w:rPr>
        <w:t>undertaking from the Bermuda government that, in the event of income or capital gain taxes being imposed, it will be exempted from such taxes until the period 2035.</w:t>
      </w:r>
    </w:p>
    <w:p>
      <w:pPr>
        <w:spacing w:after="0" w:line="60" w:lineRule="exact"/>
        <w:rPr>
          <w:sz w:val="20"/>
          <w:szCs w:val="20"/>
          <w:color w:val="auto"/>
        </w:rPr>
      </w:pPr>
    </w:p>
    <w:p>
      <w:pPr>
        <w:ind w:left="360" w:hanging="355"/>
        <w:spacing w:after="0"/>
        <w:tabs>
          <w:tab w:leader="none" w:pos="3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8" w:lineRule="exact"/>
        <w:rPr>
          <w:rFonts w:ascii="Arial" w:cs="Arial" w:eastAsia="Arial" w:hAnsi="Arial"/>
          <w:sz w:val="18"/>
          <w:szCs w:val="18"/>
          <w:b w:val="1"/>
          <w:bCs w:val="1"/>
          <w:color w:val="auto"/>
        </w:rPr>
      </w:pPr>
    </w:p>
    <w:p>
      <w:pPr>
        <w:ind w:left="3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conjunction with its principal business activities, the Company enters into various firm commitments in the purchase, production and transportation of LNG and natural gas. Such agreements may include options related to the price of quantities of natural gas under gas purchase and sale agreements, LNG purchase agreements, or options related to the duration of time charters for shipping cargoes. The exercise of these options is dependent upon conditions being fulfilled by the option’s holder and future LNG market levels.</w:t>
      </w:r>
    </w:p>
    <w:p>
      <w:pPr>
        <w:spacing w:after="0" w:line="80" w:lineRule="exact"/>
        <w:rPr>
          <w:rFonts w:ascii="Arial" w:cs="Arial" w:eastAsia="Arial" w:hAnsi="Arial"/>
          <w:sz w:val="18"/>
          <w:szCs w:val="18"/>
          <w:b w:val="1"/>
          <w:bCs w:val="1"/>
          <w:color w:val="auto"/>
        </w:rPr>
      </w:pPr>
    </w:p>
    <w:p>
      <w:pPr>
        <w:ind w:left="360" w:right="4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At the balance sheet date, the estimated future cash payments related to outstanding contractual commitments, at market prices as of December 31, 2017, is summarized as follows:</w:t>
      </w:r>
    </w:p>
    <w:p>
      <w:pPr>
        <w:spacing w:after="0" w:line="29"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3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5"/>
                <w:szCs w:val="15"/>
                <w:color w:val="auto"/>
              </w:rPr>
            </w:pPr>
          </w:p>
        </w:tc>
      </w:tr>
      <w:tr>
        <w:trPr>
          <w:trHeight w:val="235"/>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Natural gas supply purchase obligations</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w:t>
            </w:r>
          </w:p>
        </w:tc>
        <w:tc>
          <w:tcPr>
            <w:tcW w:w="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  $</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LNG inventory purchases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50,461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r>
    </w:tbl>
    <w:p>
      <w:pPr>
        <w:spacing w:after="0" w:line="105" w:lineRule="exact"/>
        <w:rPr>
          <w:sz w:val="20"/>
          <w:szCs w:val="20"/>
          <w:color w:val="auto"/>
        </w:rPr>
      </w:pPr>
    </w:p>
    <w:p>
      <w:pPr>
        <w:ind w:left="360" w:right="20"/>
        <w:spacing w:after="0" w:line="257" w:lineRule="auto"/>
        <w:rPr>
          <w:sz w:val="20"/>
          <w:szCs w:val="20"/>
          <w:color w:val="auto"/>
        </w:rPr>
      </w:pPr>
      <w:r>
        <w:rPr>
          <w:rFonts w:ascii="Arial" w:cs="Arial" w:eastAsia="Arial" w:hAnsi="Arial"/>
          <w:sz w:val="18"/>
          <w:szCs w:val="18"/>
          <w:color w:val="auto"/>
        </w:rPr>
        <w:t>The future cash payments summarized above represent the Company’s minimum firm purchase commitment as of December 31, 2017. The 2018 commitment for LNG inventory purchases was partially prepaid as of December 31, 2017 in the amount of $16,665. During the years ended December 31, 2017 and 2016, the Company made purchases of $57,613 and $25,800 under unconditional purchase agreements.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Natural gas supply purchase obligations</w:t>
      </w:r>
    </w:p>
    <w:p>
      <w:pPr>
        <w:spacing w:after="0" w:line="115" w:lineRule="exact"/>
        <w:rPr>
          <w:sz w:val="20"/>
          <w:szCs w:val="20"/>
          <w:color w:val="auto"/>
        </w:rPr>
      </w:pPr>
    </w:p>
    <w:p>
      <w:pPr>
        <w:ind w:left="360"/>
        <w:spacing w:after="0" w:line="299" w:lineRule="auto"/>
        <w:rPr>
          <w:sz w:val="20"/>
          <w:szCs w:val="20"/>
          <w:color w:val="auto"/>
        </w:rPr>
      </w:pPr>
      <w:r>
        <w:rPr>
          <w:rFonts w:ascii="Arial" w:cs="Arial" w:eastAsia="Arial" w:hAnsi="Arial"/>
          <w:sz w:val="16"/>
          <w:szCs w:val="16"/>
          <w:color w:val="auto"/>
        </w:rPr>
        <w:t>The Company is a party to contractual purchase commitments with terms of 38 months and 60 months. These commitments are designed to assure sources of supply and are not expected to be in excess of normal requirements. For agreements for supply where there is an active markets, such agreements qualify for and the Company elected the normal purchase exception under the derivatives guidance; therefore, the purchases under these contracts are included in Inventory and Cost of sales as incurred.</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LNG inventory purchases and other</w:t>
      </w:r>
    </w:p>
    <w:p>
      <w:pPr>
        <w:spacing w:after="0" w:line="115" w:lineRule="exact"/>
        <w:rPr>
          <w:sz w:val="20"/>
          <w:szCs w:val="20"/>
          <w:color w:val="auto"/>
        </w:rPr>
      </w:pPr>
    </w:p>
    <w:p>
      <w:pPr>
        <w:ind w:left="360" w:right="900"/>
        <w:spacing w:after="0" w:line="274" w:lineRule="auto"/>
        <w:rPr>
          <w:sz w:val="20"/>
          <w:szCs w:val="20"/>
          <w:color w:val="auto"/>
        </w:rPr>
      </w:pPr>
      <w:r>
        <w:rPr>
          <w:rFonts w:ascii="Arial" w:cs="Arial" w:eastAsia="Arial" w:hAnsi="Arial"/>
          <w:sz w:val="18"/>
          <w:szCs w:val="18"/>
          <w:color w:val="auto"/>
        </w:rPr>
        <w:t>On December 20, 2016, the Company committed to the purchase of 756,000 cubic meters of LNG, with half of the commitment delivered in 2017 and half in 2018.</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lease obligations are discussed in Note 19, Leases, as lessee.</w:t>
      </w:r>
    </w:p>
    <w:p>
      <w:pPr>
        <w:spacing w:after="0" w:line="115" w:lineRule="exact"/>
        <w:rPr>
          <w:sz w:val="20"/>
          <w:szCs w:val="20"/>
          <w:color w:val="auto"/>
        </w:rPr>
      </w:pPr>
    </w:p>
    <w:p>
      <w:pPr>
        <w:ind w:left="360" w:right="100"/>
        <w:spacing w:after="0" w:line="255" w:lineRule="auto"/>
        <w:rPr>
          <w:sz w:val="20"/>
          <w:szCs w:val="20"/>
          <w:color w:val="auto"/>
        </w:rPr>
      </w:pPr>
      <w:r>
        <w:rPr>
          <w:rFonts w:ascii="Arial" w:cs="Arial" w:eastAsia="Arial" w:hAnsi="Arial"/>
          <w:sz w:val="18"/>
          <w:szCs w:val="18"/>
          <w:color w:val="auto"/>
        </w:rPr>
        <w:t>In addition to the above disclosed commitments, in September 2016 the Company made a commitment of up to an estimated $180,000 to build a gas-fired combined heat and power plant in Jamaica under a Joint Development Agreement with a third party prior to commercial agreements being finalized. In August and October 2017 respectively, a Power Purchase Agreement and Steam Supply Agreement were executed, obligating the Company to complete the development subject to the conditions set forth in those agreements.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Contingencies</w:t>
      </w:r>
    </w:p>
    <w:p>
      <w:pPr>
        <w:spacing w:after="0" w:line="115" w:lineRule="exact"/>
        <w:rPr>
          <w:sz w:val="20"/>
          <w:szCs w:val="20"/>
          <w:color w:val="auto"/>
        </w:rPr>
      </w:pPr>
    </w:p>
    <w:p>
      <w:pPr>
        <w:ind w:left="360" w:right="20"/>
        <w:spacing w:after="0" w:line="273" w:lineRule="auto"/>
        <w:rPr>
          <w:sz w:val="20"/>
          <w:szCs w:val="20"/>
          <w:color w:val="auto"/>
        </w:rPr>
      </w:pPr>
      <w:r>
        <w:rPr>
          <w:rFonts w:ascii="Arial" w:cs="Arial" w:eastAsia="Arial" w:hAnsi="Arial"/>
          <w:sz w:val="17"/>
          <w:szCs w:val="17"/>
          <w:color w:val="auto"/>
        </w:rPr>
        <w:t>As of December 31, 2016, the Company had accrued for $1,204 of tangible personal property tax levied in the State of Florida in respect of the LNG Plant in Hialeah. During 2017, the Company paid this amount in full and subsequently took legal proceedings to challenge the tax amount for a full or partial rebate. The Company successfully challenged the tax amount, including penalties, and received a full rebate. The State of Florida has appealed the determination and the Company repaid the rebate amount in order to avoid penalties and charges while the appeal is under consideration.</w:t>
      </w:r>
    </w:p>
    <w:p>
      <w:pPr>
        <w:spacing w:after="0" w:line="69" w:lineRule="exact"/>
        <w:rPr>
          <w:sz w:val="20"/>
          <w:szCs w:val="20"/>
          <w:color w:val="auto"/>
        </w:rPr>
      </w:pPr>
    </w:p>
    <w:p>
      <w:pPr>
        <w:ind w:left="360" w:right="120"/>
        <w:spacing w:after="0" w:line="261" w:lineRule="auto"/>
        <w:rPr>
          <w:sz w:val="20"/>
          <w:szCs w:val="20"/>
          <w:color w:val="auto"/>
        </w:rPr>
      </w:pPr>
      <w:r>
        <w:rPr>
          <w:rFonts w:ascii="Arial" w:cs="Arial" w:eastAsia="Arial" w:hAnsi="Arial"/>
          <w:sz w:val="18"/>
          <w:szCs w:val="18"/>
          <w:color w:val="auto"/>
        </w:rPr>
        <w:t>As at the date at which these consolidated financial statements were issued, the appeal has not been concluded. Should the State of Florida lose the appeal the Company expects a full refund which will be recognized as a gain contingency recognized in earnings when the cash is received.</w:t>
      </w:r>
    </w:p>
    <w:p>
      <w:pPr>
        <w:spacing w:after="0" w:line="72" w:lineRule="exact"/>
        <w:rPr>
          <w:sz w:val="20"/>
          <w:szCs w:val="20"/>
          <w:color w:val="auto"/>
        </w:rPr>
      </w:pPr>
    </w:p>
    <w:p>
      <w:pPr>
        <w:ind w:left="360" w:hanging="355"/>
        <w:spacing w:after="0"/>
        <w:tabs>
          <w:tab w:leader="none" w:pos="3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 May 2016, the Company received capital contributions of $271 from Fortress Equity Partners (A) LP (“FEP”).</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8" w:right="1400"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line="255" w:lineRule="auto"/>
        <w:rPr>
          <w:sz w:val="20"/>
          <w:szCs w:val="20"/>
          <w:color w:val="auto"/>
        </w:rPr>
      </w:pPr>
      <w:r>
        <w:rPr>
          <w:rFonts w:ascii="Arial" w:cs="Arial" w:eastAsia="Arial" w:hAnsi="Arial"/>
          <w:sz w:val="18"/>
          <w:szCs w:val="18"/>
          <w:color w:val="auto"/>
        </w:rPr>
        <w:t>On June 2, 2016, the Company entered into a Limited Liability Company Agreement with its shareholders. Under the agreement, the Company is authorized to issue up to 500,000,000 common shares. On June 2, 2016, the Company issued 65,000,000 common shares (no par value) to Members in proportion to their respective ownership interests, receiving $300,505 of capital contributions. The Company incurred costs of $1,076 in raising capital which was recorded as a reduction of equity on the consolidated balance sheets.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February 2017, an existing Member purchased 2,500 additional shares for $50.</w:t>
      </w:r>
    </w:p>
    <w:p>
      <w:pPr>
        <w:spacing w:after="0" w:line="115" w:lineRule="exact"/>
        <w:rPr>
          <w:sz w:val="20"/>
          <w:szCs w:val="20"/>
          <w:color w:val="auto"/>
        </w:rPr>
      </w:pPr>
    </w:p>
    <w:p>
      <w:pPr>
        <w:ind w:left="360" w:right="140"/>
        <w:spacing w:after="0" w:line="273" w:lineRule="auto"/>
        <w:rPr>
          <w:sz w:val="20"/>
          <w:szCs w:val="20"/>
          <w:color w:val="auto"/>
        </w:rPr>
      </w:pPr>
      <w:r>
        <w:rPr>
          <w:rFonts w:ascii="Arial" w:cs="Arial" w:eastAsia="Arial" w:hAnsi="Arial"/>
          <w:sz w:val="17"/>
          <w:szCs w:val="17"/>
          <w:color w:val="auto"/>
        </w:rPr>
        <w:t>On December 29, 2017, 2,314,752 common shares (no par value) were subscribed for consideration of $70,050 and recorded within Members’ capital on the consolidated balance sheets. Of the total amount subscribed, $20,050 was received during the period and $50,000 was received after December 31, 2017 which was recorded as Stock subscriptions receivable offsetting Members’ capital on the consolidated balance sheets. The Company incurred costs in raising capital of $192 which was recorded as a reduction of equity on the consolidated balance sheets.</w:t>
      </w:r>
    </w:p>
    <w:p>
      <w:pPr>
        <w:spacing w:after="0" w:line="65" w:lineRule="exact"/>
        <w:rPr>
          <w:sz w:val="20"/>
          <w:szCs w:val="20"/>
          <w:color w:val="auto"/>
        </w:rPr>
      </w:pPr>
    </w:p>
    <w:p>
      <w:pPr>
        <w:ind w:left="360" w:hanging="355"/>
        <w:spacing w:after="0"/>
        <w:tabs>
          <w:tab w:leader="none" w:pos="3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18" w:lineRule="exact"/>
        <w:rPr>
          <w:rFonts w:ascii="Arial" w:cs="Arial" w:eastAsia="Arial" w:hAnsi="Arial"/>
          <w:sz w:val="18"/>
          <w:szCs w:val="18"/>
          <w:b w:val="1"/>
          <w:bCs w:val="1"/>
          <w:color w:val="auto"/>
        </w:rPr>
      </w:pPr>
    </w:p>
    <w:p>
      <w:pPr>
        <w:ind w:left="360" w:right="12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The Company operates a defined contribution plan through a Jamaican service provider for Jamaican employees. For the year ended December 31, 2017 and 2016, expense for the defined contribution plan totaled $46 and $27, respectively, and is included within Cost of sales in the consolidated statements of operations and comprehensive loss.</w:t>
      </w:r>
    </w:p>
    <w:p>
      <w:pPr>
        <w:spacing w:after="0" w:line="53" w:lineRule="exact"/>
        <w:rPr>
          <w:rFonts w:ascii="Arial" w:cs="Arial" w:eastAsia="Arial" w:hAnsi="Arial"/>
          <w:sz w:val="18"/>
          <w:szCs w:val="18"/>
          <w:b w:val="1"/>
          <w:bCs w:val="1"/>
          <w:color w:val="auto"/>
        </w:rPr>
      </w:pPr>
    </w:p>
    <w:p>
      <w:pPr>
        <w:ind w:left="360" w:hanging="355"/>
        <w:spacing w:after="0"/>
        <w:tabs>
          <w:tab w:leader="none" w:pos="3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Leases, as lessee</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7"/>
          <w:szCs w:val="17"/>
          <w:color w:val="auto"/>
        </w:rPr>
        <w:t>During the year ended December 31, 2017 and 2016, the Company recognized rental expense for all operating leases of</w:t>
      </w:r>
    </w:p>
    <w:p>
      <w:pPr>
        <w:spacing w:after="0" w:line="33" w:lineRule="exact"/>
        <w:rPr>
          <w:rFonts w:ascii="Arial" w:cs="Arial" w:eastAsia="Arial" w:hAnsi="Arial"/>
          <w:sz w:val="18"/>
          <w:szCs w:val="18"/>
          <w:b w:val="1"/>
          <w:bCs w:val="1"/>
          <w:color w:val="auto"/>
        </w:rPr>
      </w:pPr>
    </w:p>
    <w:p>
      <w:pPr>
        <w:ind w:left="360" w:right="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$17,369 and $3,539, respectively, related primarily to LNG vessel time charters, office space, a land site lease, and a marine port berth lease. The land site lease is held with an affiliate (see Note 20) of the Company and has an initial term up to 5 years, and the marine port berth lease had an initial term up to 10 years. Both leases contain renewal options.</w:t>
      </w:r>
    </w:p>
    <w:p>
      <w:pPr>
        <w:spacing w:after="0" w:line="65"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non-cancellable operating leases are as follows: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3"/>
        </w:trPr>
        <w:tc>
          <w:tcPr>
            <w:tcW w:w="20" w:type="dxa"/>
            <w:vAlign w:val="bottom"/>
          </w:tcPr>
          <w:p>
            <w:pPr>
              <w:spacing w:after="0"/>
              <w:rPr>
                <w:sz w:val="4"/>
                <w:szCs w:val="4"/>
                <w:color w:val="auto"/>
              </w:rPr>
            </w:pPr>
          </w:p>
        </w:tc>
        <w:tc>
          <w:tcPr>
            <w:tcW w:w="7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41"/>
        </w:trPr>
        <w:tc>
          <w:tcPr>
            <w:tcW w:w="20" w:type="dxa"/>
            <w:vAlign w:val="bottom"/>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36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2018</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15,470</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8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80" w:type="dxa"/>
            <w:vAlign w:val="bottom"/>
            <w:shd w:val="clear" w:color="auto" w:fill="CCEEFF"/>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2,237</w:t>
            </w:r>
          </w:p>
        </w:tc>
        <w:tc>
          <w:tcPr>
            <w:tcW w:w="80" w:type="dxa"/>
            <w:vAlign w:val="bottom"/>
          </w:tcPr>
          <w:p>
            <w:pPr>
              <w:spacing w:after="0"/>
              <w:rPr>
                <w:sz w:val="20"/>
                <w:szCs w:val="20"/>
                <w:color w:val="auto"/>
              </w:rPr>
            </w:pPr>
          </w:p>
        </w:tc>
      </w:tr>
      <w:tr>
        <w:trPr>
          <w:trHeight w:val="248"/>
        </w:trPr>
        <w:tc>
          <w:tcPr>
            <w:tcW w:w="20" w:type="dxa"/>
            <w:vAlign w:val="bottom"/>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31,042</w:t>
            </w:r>
          </w:p>
        </w:tc>
        <w:tc>
          <w:tcPr>
            <w:tcW w:w="8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2" w:lineRule="exact"/>
        <w:rPr>
          <w:sz w:val="20"/>
          <w:szCs w:val="20"/>
          <w:color w:val="auto"/>
        </w:rPr>
      </w:pPr>
    </w:p>
    <w:p>
      <w:pPr>
        <w:ind w:left="360" w:right="7100" w:hanging="355"/>
        <w:spacing w:after="0" w:line="422" w:lineRule="auto"/>
        <w:tabs>
          <w:tab w:leader="none" w:pos="351"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i w:val="1"/>
          <w:iCs w:val="1"/>
          <w:color w:val="auto"/>
        </w:rPr>
        <w:t>Management services</w:t>
      </w:r>
    </w:p>
    <w:p>
      <w:pPr>
        <w:ind w:left="360" w:right="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the ordinary course of business, Fortress, through affiliated entities, charges the Company for administrative and general expenses incurred. The portion of such charges that are attributable to the Company totaled $3,866 and $2,214 for the years ended December 31, 2017 and 2016, respectively, and are included within Selling, general and administrative in the consolidated statements of operations and comprehensive loss. As of December 31, 2017 and 2016, $2,054 and $621 were due to Fortress, respectively.</w:t>
      </w:r>
    </w:p>
    <w:p>
      <w:pPr>
        <w:spacing w:after="0" w:line="80" w:lineRule="exact"/>
        <w:rPr>
          <w:rFonts w:ascii="Arial" w:cs="Arial" w:eastAsia="Arial" w:hAnsi="Arial"/>
          <w:sz w:val="16"/>
          <w:szCs w:val="16"/>
          <w:b w:val="1"/>
          <w:bCs w:val="1"/>
          <w:color w:val="auto"/>
        </w:rPr>
      </w:pPr>
    </w:p>
    <w:p>
      <w:pPr>
        <w:ind w:left="360" w:right="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Company is controlled by a Member who owned or leased aircraft that the Company chartered from a third-party aircraft operator for business purposes in the course of operations. The Company paid the aircraft operator market rates for the charters of $2,917 and $1,592 for the years ended December 31, 2017 and 2016, respectively, and these amounts are included in the activity and balances disclosed above.</w:t>
      </w:r>
    </w:p>
    <w:p>
      <w:pPr>
        <w:spacing w:after="0" w:line="186" w:lineRule="exact"/>
        <w:rPr>
          <w:rFonts w:ascii="Arial" w:cs="Arial" w:eastAsia="Arial" w:hAnsi="Arial"/>
          <w:sz w:val="16"/>
          <w:szCs w:val="16"/>
          <w:b w:val="1"/>
          <w:bCs w:val="1"/>
          <w:color w:val="auto"/>
        </w:rPr>
      </w:pPr>
    </w:p>
    <w:p>
      <w:pPr>
        <w:ind w:left="3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Land lease</w:t>
      </w:r>
    </w:p>
    <w:p>
      <w:pPr>
        <w:spacing w:after="0" w:line="114" w:lineRule="exact"/>
        <w:rPr>
          <w:rFonts w:ascii="Arial" w:cs="Arial" w:eastAsia="Arial" w:hAnsi="Arial"/>
          <w:sz w:val="16"/>
          <w:szCs w:val="16"/>
          <w:b w:val="1"/>
          <w:bCs w:val="1"/>
          <w:color w:val="auto"/>
        </w:rPr>
      </w:pPr>
    </w:p>
    <w:p>
      <w:pPr>
        <w:ind w:left="360" w:right="460"/>
        <w:spacing w:after="0" w:line="274" w:lineRule="auto"/>
        <w:rPr>
          <w:rFonts w:ascii="Arial" w:cs="Arial" w:eastAsia="Arial" w:hAnsi="Arial"/>
          <w:sz w:val="16"/>
          <w:szCs w:val="16"/>
          <w:b w:val="1"/>
          <w:bCs w:val="1"/>
          <w:color w:val="auto"/>
        </w:rPr>
      </w:pPr>
      <w:r>
        <w:rPr>
          <w:rFonts w:ascii="Arial" w:cs="Arial" w:eastAsia="Arial" w:hAnsi="Arial"/>
          <w:sz w:val="18"/>
          <w:szCs w:val="18"/>
          <w:color w:val="auto"/>
        </w:rPr>
        <w:t>As disclosed in Note 19, the Company has a land and office lease with Florida East Coast Industries, LLC (“FECI”). The expense for the year ended December 31, 2017 and 2016 totaled $285 and $302,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80"/>
          </w:cols>
          <w:pgMar w:left="1360" w:top="137" w:right="1400"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right="1020"/>
        <w:spacing w:after="0" w:line="339" w:lineRule="auto"/>
        <w:rPr>
          <w:sz w:val="20"/>
          <w:szCs w:val="20"/>
          <w:color w:val="auto"/>
        </w:rPr>
      </w:pPr>
      <w:r>
        <w:rPr>
          <w:rFonts w:ascii="Arial" w:cs="Arial" w:eastAsia="Arial" w:hAnsi="Arial"/>
          <w:sz w:val="16"/>
          <w:szCs w:val="16"/>
          <w:color w:val="auto"/>
        </w:rPr>
        <w:t>respectively, and is included within Operations and maintenance in the consolidated statements of operations and comprehensive loss. As of December 31, 2017 and 2016, $37 and $554 were due to FECI, respectively.</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Florida East Coast Railway (“FECR”)</w:t>
      </w:r>
    </w:p>
    <w:p>
      <w:pPr>
        <w:spacing w:after="0" w:line="115" w:lineRule="exact"/>
        <w:rPr>
          <w:sz w:val="20"/>
          <w:szCs w:val="20"/>
          <w:color w:val="auto"/>
        </w:rPr>
      </w:pPr>
    </w:p>
    <w:p>
      <w:pPr>
        <w:ind w:left="360" w:right="100"/>
        <w:spacing w:after="0" w:line="261" w:lineRule="auto"/>
        <w:rPr>
          <w:sz w:val="20"/>
          <w:szCs w:val="20"/>
          <w:color w:val="auto"/>
        </w:rPr>
      </w:pPr>
      <w:r>
        <w:rPr>
          <w:rFonts w:ascii="Arial" w:cs="Arial" w:eastAsia="Arial" w:hAnsi="Arial"/>
          <w:sz w:val="18"/>
          <w:szCs w:val="18"/>
          <w:color w:val="auto"/>
        </w:rPr>
        <w:t>The Company was affiliated with FECR, an entity previously majority-owned by an affiliate of Fortress, and sells LNG to FECR under a purchase and sale agreement entered into in December 2016. FECR was sold by Fortress on June 30, 2017, the date from which FECR was no longer considered affiliated with the Company.</w:t>
      </w:r>
    </w:p>
    <w:p>
      <w:pPr>
        <w:spacing w:after="0" w:line="76" w:lineRule="exact"/>
        <w:rPr>
          <w:sz w:val="20"/>
          <w:szCs w:val="20"/>
          <w:color w:val="auto"/>
        </w:rPr>
      </w:pPr>
    </w:p>
    <w:p>
      <w:pPr>
        <w:ind w:left="360" w:right="240"/>
        <w:spacing w:after="0" w:line="339" w:lineRule="auto"/>
        <w:rPr>
          <w:sz w:val="20"/>
          <w:szCs w:val="20"/>
          <w:color w:val="auto"/>
        </w:rPr>
      </w:pPr>
      <w:r>
        <w:rPr>
          <w:rFonts w:ascii="Arial" w:cs="Arial" w:eastAsia="Arial" w:hAnsi="Arial"/>
          <w:sz w:val="16"/>
          <w:szCs w:val="16"/>
          <w:color w:val="auto"/>
        </w:rPr>
        <w:t>During the years ended December 31, 2017 and 2016, the Company made sales of LNG to FECR totaling $1,618 and $329, respectively, for the periods FECR was affiliated with the Company. As of December 31, 2016, $22 were due to FECR.</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Due to/from Affiliates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tables below summarizes the balances outstanding with affiliates at December 31, 2017 and 2016:</w:t>
      </w:r>
    </w:p>
    <w:p>
      <w:pPr>
        <w:spacing w:after="0" w:line="80" w:lineRule="exact"/>
        <w:rPr>
          <w:sz w:val="20"/>
          <w:szCs w:val="20"/>
          <w:color w:val="auto"/>
        </w:rPr>
      </w:pPr>
    </w:p>
    <w:p>
      <w:pPr>
        <w:ind w:left="7500"/>
        <w:spacing w:after="0"/>
        <w:tabs>
          <w:tab w:leader="none" w:pos="86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12865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15" w:lineRule="exact"/>
        <w:rPr>
          <w:sz w:val="20"/>
          <w:szCs w:val="20"/>
          <w:color w:val="auto"/>
        </w:rPr>
      </w:pPr>
    </w:p>
    <w:p>
      <w:pPr>
        <w:ind w:left="380"/>
        <w:spacing w:after="0"/>
        <w:tabs>
          <w:tab w:leader="none" w:pos="7180" w:val="left"/>
          <w:tab w:leader="none" w:pos="7680" w:val="left"/>
          <w:tab w:leader="none" w:pos="8260" w:val="left"/>
          <w:tab w:leader="none" w:pos="8780" w:val="left"/>
        </w:tabs>
        <w:rPr>
          <w:sz w:val="20"/>
          <w:szCs w:val="20"/>
          <w:color w:val="auto"/>
        </w:rPr>
      </w:pPr>
      <w:r>
        <w:rPr>
          <w:rFonts w:ascii="Arial" w:cs="Arial" w:eastAsia="Arial" w:hAnsi="Arial"/>
          <w:sz w:val="18"/>
          <w:szCs w:val="18"/>
          <w:color w:val="auto"/>
        </w:rPr>
        <w:t>Amounts due to affiliates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2,091</w:t>
        <w:tab/>
        <w:t>$</w:t>
      </w:r>
      <w:r>
        <w:rPr>
          <w:sz w:val="20"/>
          <w:szCs w:val="20"/>
          <w:color w:val="auto"/>
        </w:rPr>
        <w:tab/>
      </w:r>
      <w:r>
        <w:rPr>
          <w:rFonts w:ascii="Arial" w:cs="Arial" w:eastAsia="Arial" w:hAnsi="Arial"/>
          <w:sz w:val="16"/>
          <w:szCs w:val="16"/>
          <w:color w:val="auto"/>
        </w:rPr>
        <w:t>1,197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-130175</wp:posOffset>
            </wp:positionV>
            <wp:extent cx="5664835" cy="153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64835" cy="153035"/>
                    </a:xfrm>
                    <a:prstGeom prst="rect">
                      <a:avLst/>
                    </a:prstGeom>
                    <a:noFill/>
                  </pic:spPr>
                </pic:pic>
              </a:graphicData>
            </a:graphic>
          </wp:anchor>
        </w:drawing>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 ended December 31, 2016, the Company received a promissory note from FEP for a principal amount of $120.</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 did not require interest and was repaid in full in February 2017.</w:t>
      </w:r>
    </w:p>
    <w:p>
      <w:pPr>
        <w:spacing w:after="0" w:line="96" w:lineRule="exact"/>
        <w:rPr>
          <w:sz w:val="20"/>
          <w:szCs w:val="20"/>
          <w:color w:val="auto"/>
        </w:rPr>
      </w:pPr>
    </w:p>
    <w:p>
      <w:pPr>
        <w:ind w:left="360" w:hanging="355"/>
        <w:spacing w:after="0"/>
        <w:tabs>
          <w:tab w:leader="none" w:pos="3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Customer concentrations</w:t>
      </w:r>
    </w:p>
    <w:p>
      <w:pPr>
        <w:spacing w:after="0" w:line="118" w:lineRule="exact"/>
        <w:rPr>
          <w:rFonts w:ascii="Arial" w:cs="Arial" w:eastAsia="Arial" w:hAnsi="Arial"/>
          <w:sz w:val="18"/>
          <w:szCs w:val="18"/>
          <w:b w:val="1"/>
          <w:bCs w:val="1"/>
          <w:color w:val="auto"/>
        </w:rPr>
      </w:pPr>
    </w:p>
    <w:p>
      <w:pPr>
        <w:ind w:left="360" w:right="6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For the years ended and as of December 31, 2017 and 2016, revenue from a significant customer constituted 92% and 61% of total revenues, respectively, and 92% and 96% of total receivables, respectively. In addition to trade receivables, the Company has primarily leased facilities under direct financing leases to this customer. As of December 31, 2017 and 2016, 97% and 100% of the Finance leases, net balance was attributed to this customer.</w:t>
      </w:r>
    </w:p>
    <w:p>
      <w:pPr>
        <w:spacing w:after="0" w:line="63" w:lineRule="exact"/>
        <w:rPr>
          <w:rFonts w:ascii="Arial" w:cs="Arial" w:eastAsia="Arial" w:hAnsi="Arial"/>
          <w:sz w:val="18"/>
          <w:szCs w:val="18"/>
          <w:b w:val="1"/>
          <w:bCs w:val="1"/>
          <w:color w:val="auto"/>
        </w:rPr>
      </w:pPr>
    </w:p>
    <w:p>
      <w:pPr>
        <w:ind w:left="360" w:right="140"/>
        <w:spacing w:after="0" w:line="299" w:lineRule="auto"/>
        <w:rPr>
          <w:rFonts w:ascii="Arial" w:cs="Arial" w:eastAsia="Arial" w:hAnsi="Arial"/>
          <w:sz w:val="18"/>
          <w:szCs w:val="18"/>
          <w:b w:val="1"/>
          <w:bCs w:val="1"/>
          <w:color w:val="auto"/>
        </w:rPr>
      </w:pPr>
      <w:r>
        <w:rPr>
          <w:rFonts w:ascii="Arial" w:cs="Arial" w:eastAsia="Arial" w:hAnsi="Arial"/>
          <w:sz w:val="16"/>
          <w:szCs w:val="16"/>
          <w:color w:val="auto"/>
        </w:rPr>
        <w:t>During the years ended December 31, 2017 and 2016, revenues from external customers that were derived from customers located in the United States was $4,935 and $319, respectively and from customers outside of the United States was $92,327 and $21,076, respectively, all of which was derived from customers in the Caribbean. The Company attributes revenues from external customers to the country in which the party to the applicable agreement has its principal place of business.</w:t>
      </w:r>
    </w:p>
    <w:p>
      <w:pPr>
        <w:spacing w:after="0" w:line="48" w:lineRule="exact"/>
        <w:rPr>
          <w:rFonts w:ascii="Arial" w:cs="Arial" w:eastAsia="Arial" w:hAnsi="Arial"/>
          <w:sz w:val="18"/>
          <w:szCs w:val="18"/>
          <w:b w:val="1"/>
          <w:bCs w:val="1"/>
          <w:color w:val="auto"/>
        </w:rPr>
      </w:pPr>
    </w:p>
    <w:p>
      <w:pPr>
        <w:ind w:left="360" w:right="80"/>
        <w:spacing w:after="0" w:line="309" w:lineRule="auto"/>
        <w:rPr>
          <w:rFonts w:ascii="Arial" w:cs="Arial" w:eastAsia="Arial" w:hAnsi="Arial"/>
          <w:sz w:val="18"/>
          <w:szCs w:val="18"/>
          <w:b w:val="1"/>
          <w:bCs w:val="1"/>
          <w:color w:val="auto"/>
        </w:rPr>
      </w:pPr>
      <w:r>
        <w:rPr>
          <w:rFonts w:ascii="Arial" w:cs="Arial" w:eastAsia="Arial" w:hAnsi="Arial"/>
          <w:sz w:val="16"/>
          <w:szCs w:val="16"/>
          <w:color w:val="auto"/>
        </w:rPr>
        <w:t>As of December 31, 2017 and 2016, long lived assets, which are all non-current assets excluding deferred tax assets and available-for-sale securities, located in the United States were $88,604 and $76,591, respectively and long lived assets located outside of the United States was $131,300 and $96,859, respectively, all of which were located in the Caribbean.</w:t>
      </w:r>
    </w:p>
    <w:p>
      <w:pPr>
        <w:spacing w:after="0" w:line="36" w:lineRule="exact"/>
        <w:rPr>
          <w:rFonts w:ascii="Arial" w:cs="Arial" w:eastAsia="Arial" w:hAnsi="Arial"/>
          <w:sz w:val="18"/>
          <w:szCs w:val="18"/>
          <w:b w:val="1"/>
          <w:bCs w:val="1"/>
          <w:color w:val="auto"/>
        </w:rPr>
      </w:pPr>
    </w:p>
    <w:p>
      <w:pPr>
        <w:ind w:left="360" w:hanging="355"/>
        <w:spacing w:after="0"/>
        <w:tabs>
          <w:tab w:leader="none" w:pos="3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Purchase and other commitments</w:t>
      </w:r>
    </w:p>
    <w:p>
      <w:pPr>
        <w:spacing w:after="0" w:line="114" w:lineRule="exact"/>
        <w:rPr>
          <w:rFonts w:ascii="Arial" w:cs="Arial" w:eastAsia="Arial" w:hAnsi="Arial"/>
          <w:sz w:val="18"/>
          <w:szCs w:val="18"/>
          <w:b w:val="1"/>
          <w:bCs w:val="1"/>
          <w:color w:val="auto"/>
        </w:rPr>
      </w:pPr>
    </w:p>
    <w:p>
      <w:pPr>
        <w:ind w:left="3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January 18, 2018, the Company signed a timecharter party agreement for a 125,000 cubic meter floating storage and regasification unit commencing from the point at which the vessel is delivered, for an initial term of 15 years, with the option to extend for one additional period of 5 years. Charter costs are charged at a capital rate of $50 per day, and operating expense rate of $22 per day with annual escalation clauses.</w:t>
      </w:r>
    </w:p>
    <w:p>
      <w:pPr>
        <w:spacing w:after="0" w:line="79" w:lineRule="exact"/>
        <w:rPr>
          <w:rFonts w:ascii="Arial" w:cs="Arial" w:eastAsia="Arial" w:hAnsi="Arial"/>
          <w:sz w:val="18"/>
          <w:szCs w:val="18"/>
          <w:b w:val="1"/>
          <w:bCs w:val="1"/>
          <w:color w:val="auto"/>
        </w:rPr>
      </w:pPr>
    </w:p>
    <w:p>
      <w:pPr>
        <w:ind w:left="360" w:right="64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On February 21, 2018, the Company committed to purchase an LNG terminal support vessel for $498. The vessel was delivered on April 17, 2018.</w:t>
      </w:r>
    </w:p>
    <w:p>
      <w:pPr>
        <w:spacing w:after="0" w:line="63" w:lineRule="exact"/>
        <w:rPr>
          <w:rFonts w:ascii="Arial" w:cs="Arial" w:eastAsia="Arial" w:hAnsi="Arial"/>
          <w:sz w:val="18"/>
          <w:szCs w:val="18"/>
          <w:b w:val="1"/>
          <w:bCs w:val="1"/>
          <w:color w:val="auto"/>
        </w:rPr>
      </w:pPr>
    </w:p>
    <w:p>
      <w:pPr>
        <w:jc w:val="both"/>
        <w:ind w:left="360" w:right="4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On March 2, 2018, the Company entered into a gas purchase agreement with a major Marcellus Shale producer to supply approximately 160 mcf/d or equivalent of approximately 2,000,000 LNG gallons per day to the Company effective upon fulfillment of certain conditions precedent.</w:t>
      </w:r>
    </w:p>
    <w:p>
      <w:pPr>
        <w:spacing w:after="0" w:line="75" w:lineRule="exact"/>
        <w:rPr>
          <w:rFonts w:ascii="Arial" w:cs="Arial" w:eastAsia="Arial" w:hAnsi="Arial"/>
          <w:sz w:val="18"/>
          <w:szCs w:val="18"/>
          <w:b w:val="1"/>
          <w:bCs w:val="1"/>
          <w:color w:val="auto"/>
        </w:rPr>
      </w:pPr>
    </w:p>
    <w:p>
      <w:pPr>
        <w:ind w:left="36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On March 14, 2018, the Company extended an existing time charter party agreement expiring May 2018 for continued charter of a 140,500 cubic meter LNG carrier to January 2019. All other conditions to the time charter party agreement remain the same.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460"/>
          </w:cols>
          <w:pgMar w:left="1360" w:top="138" w:right="1420"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line="261" w:lineRule="auto"/>
        <w:rPr>
          <w:sz w:val="20"/>
          <w:szCs w:val="20"/>
          <w:color w:val="auto"/>
        </w:rPr>
      </w:pPr>
      <w:r>
        <w:rPr>
          <w:rFonts w:ascii="Arial" w:cs="Arial" w:eastAsia="Arial" w:hAnsi="Arial"/>
          <w:sz w:val="18"/>
          <w:szCs w:val="18"/>
          <w:color w:val="auto"/>
        </w:rPr>
        <w:t>The Company had previously committed to a call option agreement to charter a 15,600 cubic meter LNG carrier for a minimum period of 24 months, and to a maximum period of 27 months. The option is priced at $100 per month and was exercised on March 16, 2018.</w:t>
      </w:r>
    </w:p>
    <w:p>
      <w:pPr>
        <w:spacing w:after="0" w:line="76" w:lineRule="exact"/>
        <w:rPr>
          <w:sz w:val="20"/>
          <w:szCs w:val="20"/>
          <w:color w:val="auto"/>
        </w:rPr>
      </w:pPr>
    </w:p>
    <w:p>
      <w:pPr>
        <w:ind w:left="360" w:right="240"/>
        <w:spacing w:after="0" w:line="274" w:lineRule="auto"/>
        <w:rPr>
          <w:sz w:val="20"/>
          <w:szCs w:val="20"/>
          <w:color w:val="auto"/>
        </w:rPr>
      </w:pPr>
      <w:r>
        <w:rPr>
          <w:rFonts w:ascii="Arial" w:cs="Arial" w:eastAsia="Arial" w:hAnsi="Arial"/>
          <w:sz w:val="18"/>
          <w:szCs w:val="18"/>
          <w:color w:val="auto"/>
        </w:rPr>
        <w:t>Subsequent to December 31, 2017, the Company has entered into multiple agreements to acquire land. Total purchases since December 31, 2017 were $9,956.</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Leases, as lessee</w:t>
      </w:r>
    </w:p>
    <w:p>
      <w:pPr>
        <w:spacing w:after="0" w:line="115" w:lineRule="exact"/>
        <w:rPr>
          <w:sz w:val="20"/>
          <w:szCs w:val="20"/>
          <w:color w:val="auto"/>
        </w:rPr>
      </w:pPr>
    </w:p>
    <w:p>
      <w:pPr>
        <w:ind w:left="360" w:right="40"/>
        <w:spacing w:after="0" w:line="254" w:lineRule="auto"/>
        <w:rPr>
          <w:sz w:val="20"/>
          <w:szCs w:val="20"/>
          <w:color w:val="auto"/>
        </w:rPr>
      </w:pPr>
      <w:r>
        <w:rPr>
          <w:rFonts w:ascii="Arial" w:cs="Arial" w:eastAsia="Arial" w:hAnsi="Arial"/>
          <w:sz w:val="18"/>
          <w:szCs w:val="18"/>
          <w:color w:val="auto"/>
        </w:rPr>
        <w:t>The Company entered into several lease agreements during 2018 in Latin America.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$19,000. Fixed lease payments under these leases are expected to be approximately $1,200 and some of these lease contain variable components based on LNG processed. The Company has also restricted funds of approximately $2,200 as collateral for these leases.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Members’ Equity</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January 26, 2018, 665,843 common shares (no par value) were issued for consideration of $20,150.</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Debt</w:t>
      </w:r>
    </w:p>
    <w:p>
      <w:pPr>
        <w:spacing w:after="0" w:line="115" w:lineRule="exact"/>
        <w:rPr>
          <w:sz w:val="20"/>
          <w:szCs w:val="20"/>
          <w:color w:val="auto"/>
        </w:rPr>
      </w:pPr>
    </w:p>
    <w:p>
      <w:pPr>
        <w:ind w:left="360" w:right="20"/>
        <w:spacing w:after="0" w:line="268" w:lineRule="auto"/>
        <w:rPr>
          <w:sz w:val="20"/>
          <w:szCs w:val="20"/>
          <w:color w:val="auto"/>
        </w:rPr>
      </w:pPr>
      <w:r>
        <w:rPr>
          <w:rFonts w:ascii="Arial" w:cs="Arial" w:eastAsia="Arial" w:hAnsi="Arial"/>
          <w:sz w:val="16"/>
          <w:szCs w:val="16"/>
          <w:color w:val="auto"/>
        </w:rPr>
        <w:t xml:space="preserve">On August 16, 2018, the Company entered into a Term Loan Facility (the “Term Loan Facility”) to borrow term loans, available in three draws, up to an aggregate principal amount of $240,000. Borrowings under the Term Loan Facility bear interest at a rate selected by the Company of either (i) a LIBOR based rate, plus a spread of 4.0%, or (ii) subject to a floor of 1%, a Base Rate equal to the higher of (a) the Prime Rate, (b) the Federal Funds Rate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2</w:t>
      </w:r>
      <w:r>
        <w:rPr>
          <w:rFonts w:ascii="Arial" w:cs="Arial" w:eastAsia="Arial" w:hAnsi="Arial"/>
          <w:sz w:val="16"/>
          <w:szCs w:val="16"/>
          <w:color w:val="auto"/>
        </w:rPr>
        <w:t xml:space="preserve"> of 1% or (c) the 1-month LIBOR rate plus the difference between the applicable LIBOR margin and Base Rate margin, plus a spread of 3.0%. The Term Loan Facility is set to mature on August 14, 2019 and is repayable in quarterly installments of $600, with a balloon payment due on the maturity date. The Company has the option to extend the maturity date for two additional six 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75" w:lineRule="exact"/>
        <w:rPr>
          <w:sz w:val="20"/>
          <w:szCs w:val="20"/>
          <w:color w:val="auto"/>
        </w:rPr>
      </w:pPr>
    </w:p>
    <w:p>
      <w:pPr>
        <w:ind w:left="360" w:right="40"/>
        <w:spacing w:after="0" w:line="299"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in indebtedness, liens, acquisitions and investments, restricted payments and dispositions. The Term Loan Facility also provides for customary events of default, prepayment and cure provisions.</w:t>
      </w:r>
    </w:p>
    <w:p>
      <w:pPr>
        <w:spacing w:after="0" w:line="49" w:lineRule="exact"/>
        <w:rPr>
          <w:sz w:val="20"/>
          <w:szCs w:val="20"/>
          <w:color w:val="auto"/>
        </w:rPr>
      </w:pPr>
    </w:p>
    <w:p>
      <w:pPr>
        <w:ind w:left="360" w:right="300"/>
        <w:spacing w:after="0" w:line="261" w:lineRule="auto"/>
        <w:rPr>
          <w:sz w:val="20"/>
          <w:szCs w:val="20"/>
          <w:color w:val="auto"/>
        </w:rPr>
      </w:pPr>
      <w:r>
        <w:rPr>
          <w:rFonts w:ascii="Arial" w:cs="Arial" w:eastAsia="Arial" w:hAnsi="Arial"/>
          <w:sz w:val="18"/>
          <w:szCs w:val="18"/>
          <w:color w:val="auto"/>
        </w:rPr>
        <w:t>The Term Loan Facility funded $130,000 less fees at closing. The remaining capacity of $110,000 under the Term Loan Facility is subject to a delayed draw feature, resulting in $40,000 to be funded at the payoff of the Miami Loan and then the remainder to be funded in September 2018 at the payoff of the Mobay Loan.</w:t>
      </w:r>
    </w:p>
    <w:p>
      <w:pPr>
        <w:spacing w:after="0" w:line="76" w:lineRule="exact"/>
        <w:rPr>
          <w:sz w:val="20"/>
          <w:szCs w:val="20"/>
          <w:color w:val="auto"/>
        </w:rPr>
      </w:pPr>
    </w:p>
    <w:p>
      <w:pPr>
        <w:jc w:val="both"/>
        <w:ind w:left="360" w:right="40"/>
        <w:spacing w:after="0" w:line="261" w:lineRule="auto"/>
        <w:rPr>
          <w:sz w:val="20"/>
          <w:szCs w:val="20"/>
          <w:color w:val="auto"/>
        </w:rPr>
      </w:pPr>
      <w:r>
        <w:rPr>
          <w:rFonts w:ascii="Arial" w:cs="Arial" w:eastAsia="Arial" w:hAnsi="Arial"/>
          <w:sz w:val="18"/>
          <w:szCs w:val="18"/>
          <w:color w:val="auto"/>
        </w:rPr>
        <w:t>The Company will use the net proceeds of the Term Loan Facility to repay both the Miami Loan and the MoBay Loan, and the remaining proceeds will be used for general corporate purposes, including capital expenditures and future construction projects under development.</w:t>
      </w:r>
    </w:p>
    <w:p>
      <w:pPr>
        <w:spacing w:after="0" w:line="76" w:lineRule="exact"/>
        <w:rPr>
          <w:sz w:val="20"/>
          <w:szCs w:val="20"/>
          <w:color w:val="auto"/>
        </w:rPr>
      </w:pPr>
    </w:p>
    <w:p>
      <w:pPr>
        <w:ind w:left="360" w:right="520"/>
        <w:spacing w:after="0" w:line="274" w:lineRule="auto"/>
        <w:rPr>
          <w:sz w:val="20"/>
          <w:szCs w:val="20"/>
          <w:color w:val="auto"/>
        </w:rPr>
      </w:pPr>
      <w:r>
        <w:rPr>
          <w:rFonts w:ascii="Arial" w:cs="Arial" w:eastAsia="Arial" w:hAnsi="Arial"/>
          <w:sz w:val="18"/>
          <w:szCs w:val="18"/>
          <w:color w:val="auto"/>
        </w:rPr>
        <w:t>Management performed an evaluation of subsequent events through August 16, 2018, the date the consolidated financial statements were issued.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603059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p>
      <w:pPr>
        <w:sectPr>
          <w:pgSz w:w="12240" w:h="15840" w:orient="portrait"/>
          <w:cols w:equalWidth="0" w:num="1">
            <w:col w:w="9500"/>
          </w:cols>
          <w:pgMar w:left="1360" w:top="138" w:right="1380"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603059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0595"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150495</wp:posOffset>
            </wp:positionV>
            <wp:extent cx="60305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0595" cy="825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976630</wp:posOffset>
            </wp:positionV>
            <wp:extent cx="2419350" cy="6388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19350" cy="638810"/>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auto"/>
        </w:rPr>
        <w:t>New Fortress Energy LLC</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20,000,000 Class A shares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6"/>
          <w:szCs w:val="26"/>
          <w:b w:val="1"/>
          <w:bCs w:val="1"/>
          <w:color w:val="auto"/>
        </w:rPr>
        <w:t>Representing Limited Liability Company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716280</wp:posOffset>
            </wp:positionV>
            <wp:extent cx="10223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Prospectus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January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116205</wp:posOffset>
            </wp:positionV>
            <wp:extent cx="10223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Morgan Stanley</w:t>
      </w:r>
    </w:p>
    <w:p>
      <w:pPr>
        <w:jc w:val="center"/>
        <w:ind w:right="-59"/>
        <w:spacing w:after="0" w:line="209" w:lineRule="auto"/>
        <w:rPr>
          <w:sz w:val="20"/>
          <w:szCs w:val="20"/>
          <w:color w:val="auto"/>
        </w:rPr>
      </w:pPr>
      <w:r>
        <w:rPr>
          <w:rFonts w:ascii="Arial" w:cs="Arial" w:eastAsia="Arial" w:hAnsi="Arial"/>
          <w:sz w:val="32"/>
          <w:szCs w:val="32"/>
          <w:b w:val="1"/>
          <w:bCs w:val="1"/>
          <w:color w:val="auto"/>
        </w:rPr>
        <w:t>Barclays</w:t>
      </w:r>
    </w:p>
    <w:p>
      <w:pPr>
        <w:jc w:val="center"/>
        <w:ind w:right="-59"/>
        <w:spacing w:after="0" w:line="210" w:lineRule="auto"/>
        <w:rPr>
          <w:sz w:val="20"/>
          <w:szCs w:val="20"/>
          <w:color w:val="auto"/>
        </w:rPr>
      </w:pPr>
      <w:r>
        <w:rPr>
          <w:rFonts w:ascii="Arial" w:cs="Arial" w:eastAsia="Arial" w:hAnsi="Arial"/>
          <w:sz w:val="32"/>
          <w:szCs w:val="32"/>
          <w:b w:val="1"/>
          <w:bCs w:val="1"/>
          <w:color w:val="auto"/>
        </w:rPr>
        <w:t>Citigroup</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Credit Suisse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Evercore ISI</w:t>
      </w:r>
    </w:p>
    <w:p>
      <w:pPr>
        <w:jc w:val="center"/>
        <w:ind w:right="-59"/>
        <w:spacing w:after="0"/>
        <w:rPr>
          <w:sz w:val="20"/>
          <w:szCs w:val="20"/>
          <w:color w:val="auto"/>
        </w:rPr>
      </w:pPr>
      <w:r>
        <w:rPr>
          <w:rFonts w:ascii="Arial" w:cs="Arial" w:eastAsia="Arial" w:hAnsi="Arial"/>
          <w:sz w:val="25"/>
          <w:szCs w:val="25"/>
          <w:b w:val="1"/>
          <w:bCs w:val="1"/>
          <w:color w:val="auto"/>
        </w:rPr>
        <w:t>Allen &amp; Company LLC</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JMP Securities</w:t>
      </w:r>
    </w:p>
    <w:p>
      <w:pPr>
        <w:jc w:val="center"/>
        <w:ind w:right="-59"/>
        <w:spacing w:after="0"/>
        <w:rPr>
          <w:sz w:val="20"/>
          <w:szCs w:val="20"/>
          <w:color w:val="auto"/>
        </w:rPr>
      </w:pPr>
      <w:r>
        <w:rPr>
          <w:rFonts w:ascii="Arial" w:cs="Arial" w:eastAsia="Arial" w:hAnsi="Arial"/>
          <w:sz w:val="25"/>
          <w:szCs w:val="25"/>
          <w:b w:val="1"/>
          <w:bCs w:val="1"/>
          <w:color w:val="auto"/>
        </w:rPr>
        <w:t>Stifel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606425</wp:posOffset>
            </wp:positionV>
            <wp:extent cx="10223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ectPr>
          <w:pgSz w:w="12240" w:h="15840" w:orient="portrait"/>
          <w:cols w:equalWidth="0" w:num="1">
            <w:col w:w="9440"/>
          </w:cols>
          <w:pgMar w:left="1360" w:top="1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0" w:firstLine="357"/>
        <w:spacing w:after="0" w:line="234" w:lineRule="auto"/>
        <w:rPr>
          <w:sz w:val="20"/>
          <w:szCs w:val="20"/>
          <w:color w:val="auto"/>
        </w:rPr>
      </w:pPr>
      <w:r>
        <w:rPr>
          <w:rFonts w:ascii="Arial" w:cs="Arial" w:eastAsia="Arial" w:hAnsi="Arial"/>
          <w:sz w:val="17"/>
          <w:szCs w:val="17"/>
          <w:b w:val="1"/>
          <w:bCs w:val="1"/>
          <w:color w:val="auto"/>
        </w:rPr>
        <w:t>Through and including February 24, 2019 (the 25</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day after the date of this prospectus), federal securities laws may require all dealers that effect transactions in these securities, whether or not participating in this offering, to deliver a prospectus. This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60305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05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187960</wp:posOffset>
            </wp:positionV>
            <wp:extent cx="603059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059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494665</wp:posOffset>
            </wp:positionV>
            <wp:extent cx="603059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0595" cy="42545"/>
                    </a:xfrm>
                    <a:prstGeom prst="rect">
                      <a:avLst/>
                    </a:prstGeom>
                    <a:noFill/>
                  </pic:spPr>
                </pic:pic>
              </a:graphicData>
            </a:graphic>
          </wp:anchor>
        </w:drawing>
      </w:r>
    </w:p>
    <w:sectPr>
      <w:pgSz w:w="12240" w:h="15840" w:orient="portrait"/>
      <w:cols w:equalWidth="0" w:num="1">
        <w:col w:w="9440"/>
      </w:cols>
      <w:pgMar w:left="1360" w:top="13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1)"/>
      <w:numFmt w:val="decimal"/>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1)"/>
      <w:numFmt w:val="decimal"/>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1)"/>
      <w:numFmt w:val="decimal"/>
      <w:start w:val="1"/>
    </w:lvl>
  </w:abstractNum>
  <w:abstractNum w:abstractNumId="13">
    <w:nsid w:val="661E3F1E"/>
    <w:multiLevelType w:val="hybridMultilevel"/>
    <w:lvl w:ilvl="0">
      <w:lvlJc w:val="left"/>
      <w:lvlText w:val="(%1)"/>
      <w:numFmt w:val="decimal"/>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1"/>
      <w:numFmt w:val="upperLetter"/>
      <w:start w:val="6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1)"/>
      <w:numFmt w:val="lowerRoman"/>
      <w:start w:val="4"/>
    </w:lvl>
  </w:abstractNum>
  <w:abstractNum w:abstractNumId="36">
    <w:nsid w:val="6EB5BD4"/>
    <w:multiLevelType w:val="hybridMultilevel"/>
    <w:lvl w:ilvl="0">
      <w:lvlJc w:val="left"/>
      <w:lvlText w:val="(%1)"/>
      <w:numFmt w:val="lowerRoman"/>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decimal"/>
      <w:start w:val="1"/>
    </w:lvl>
  </w:abstractNum>
  <w:abstractNum w:abstractNumId="40">
    <w:nsid w:val="76272110"/>
    <w:multiLevelType w:val="hybridMultilevel"/>
    <w:lvl w:ilvl="0">
      <w:lvlJc w:val="left"/>
      <w:lvlText w:val="(%1)"/>
      <w:numFmt w:val="decimal"/>
      <w:start w:val="1"/>
    </w:lvl>
  </w:abstractNum>
  <w:abstractNum w:abstractNumId="41">
    <w:nsid w:val="4C04A8AF"/>
    <w:multiLevelType w:val="hybridMultilevel"/>
    <w:lvl w:ilvl="0">
      <w:lvlJc w:val="left"/>
      <w:lvlText w:val="(%1)"/>
      <w:numFmt w:val="decimal"/>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1)"/>
      <w:numFmt w:val="lowerLetter"/>
      <w:start w:val="1"/>
    </w:lvl>
  </w:abstractNum>
  <w:abstractNum w:abstractNumId="44">
    <w:nsid w:val="3222E7CD"/>
    <w:multiLevelType w:val="hybridMultilevel"/>
    <w:lvl w:ilvl="0">
      <w:lvlJc w:val="left"/>
      <w:lvlText w:val="(%1)"/>
      <w:numFmt w:val="decimal"/>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1)"/>
      <w:numFmt w:val="lowerRoman"/>
      <w:start w:val="2"/>
    </w:lvl>
  </w:abstractNum>
  <w:abstractNum w:abstractNumId="49">
    <w:nsid w:val="4A2AC315"/>
    <w:multiLevelType w:val="hybridMultilevel"/>
    <w:lvl w:ilvl="0">
      <w:lvlJc w:val="left"/>
      <w:lvlText w:val="%1."/>
      <w:numFmt w:val="decimal"/>
      <w:start w:val="1"/>
    </w:lvl>
  </w:abstractNum>
  <w:abstractNum w:abstractNumId="50">
    <w:nsid w:val="39EE015C"/>
    <w:multiLevelType w:val="hybridMultilevel"/>
    <w:lvl w:ilvl="0">
      <w:lvlJc w:val="left"/>
      <w:lvlText w:val="%1."/>
      <w:numFmt w:val="decimal"/>
      <w:start w:val="7"/>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1)"/>
      <w:numFmt w:val="decimal"/>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1)"/>
      <w:numFmt w:val="lowerRoman"/>
      <w:start w:val="10"/>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1)"/>
      <w:numFmt w:val="decimal"/>
      <w:start w:val="3"/>
    </w:lvl>
  </w:abstractNum>
  <w:abstractNum w:abstractNumId="65">
    <w:nsid w:val="6FC75AF8"/>
    <w:multiLevelType w:val="hybridMultilevel"/>
    <w:lvl w:ilvl="0">
      <w:lvlJc w:val="left"/>
      <w:lvlText w:val="(%1)"/>
      <w:numFmt w:val="lowerRoman"/>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
      <w:numFmt w:val="bullet"/>
      <w:start w:val="1"/>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1)"/>
      <w:numFmt w:val="lowerLetter"/>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1)"/>
      <w:numFmt w:val="lowerLetter"/>
      <w:start w:val="1"/>
    </w:lvl>
  </w:abstractNum>
  <w:abstractNum w:abstractNumId="79">
    <w:nsid w:val="5092CA79"/>
    <w:multiLevelType w:val="hybridMultilevel"/>
    <w:lvl w:ilvl="0">
      <w:lvlJc w:val="left"/>
      <w:lvlText w:val="(%1)"/>
      <w:numFmt w:val="lowerLetter"/>
      <w:start w:val="1"/>
    </w:lvl>
  </w:abstractNum>
  <w:abstractNum w:abstractNumId="80">
    <w:nsid w:val="1D545C4D"/>
    <w:multiLevelType w:val="hybridMultilevel"/>
    <w:lvl w:ilvl="0">
      <w:lvlJc w:val="left"/>
      <w:lvlText w:val="(%1)"/>
      <w:numFmt w:val="lowerLetter"/>
      <w:start w:val="1"/>
    </w:lvl>
  </w:abstractNum>
  <w:abstractNum w:abstractNumId="81">
    <w:nsid w:val="59ADEA3D"/>
    <w:multiLevelType w:val="hybridMultilevel"/>
    <w:lvl w:ilvl="0">
      <w:lvlJc w:val="left"/>
      <w:lvlText w:val="(%1)"/>
      <w:numFmt w:val="lowerLetter"/>
      <w:start w:val="3"/>
    </w:lvl>
  </w:abstractNum>
  <w:abstractNum w:abstractNumId="82">
    <w:nsid w:val="288F1A34"/>
    <w:multiLevelType w:val="hybridMultilevel"/>
    <w:lvl w:ilvl="0">
      <w:lvlJc w:val="left"/>
      <w:lvlText w:val="(%1)"/>
      <w:numFmt w:val="lowerRoman"/>
      <w:start w:val="3"/>
    </w:lvl>
  </w:abstractNum>
  <w:abstractNum w:abstractNumId="83">
    <w:nsid w:val="2A155DBC"/>
    <w:multiLevelType w:val="hybridMultilevel"/>
    <w:lvl w:ilvl="0">
      <w:lvlJc w:val="left"/>
      <w:lvlText w:val="(%1)"/>
      <w:numFmt w:val="lowerLetter"/>
      <w:start w:val="1"/>
    </w:lvl>
  </w:abstractNum>
  <w:abstractNum w:abstractNumId="84">
    <w:nsid w:val="1D9F6E5F"/>
    <w:multiLevelType w:val="hybridMultilevel"/>
    <w:lvl w:ilvl="0">
      <w:lvlJc w:val="left"/>
      <w:lvlText w:val="(%1)"/>
      <w:numFmt w:val="lowerLetter"/>
      <w:start w:val="1"/>
    </w:lvl>
  </w:abstractNum>
  <w:abstractNum w:abstractNumId="85">
    <w:nsid w:val="97E1B4E"/>
    <w:multiLevelType w:val="hybridMultilevel"/>
    <w:lvl w:ilvl="0">
      <w:lvlJc w:val="left"/>
      <w:lvlText w:val="%1."/>
      <w:numFmt w:val="decimal"/>
      <w:start w:val="1"/>
    </w:lvl>
    <w:lvl w:ilvl="1">
      <w:lvlJc w:val="left"/>
      <w:lvlText w:val="(%2)"/>
      <w:numFmt w:val="lowerLetter"/>
      <w:start w:val="1"/>
    </w:lvl>
  </w:abstractNum>
  <w:abstractNum w:abstractNumId="86">
    <w:nsid w:val="51088277"/>
    <w:multiLevelType w:val="hybridMultilevel"/>
    <w:lvl w:ilvl="0">
      <w:lvlJc w:val="left"/>
      <w:lvlText w:val="(%1)"/>
      <w:numFmt w:val="lowerLetter"/>
      <w:start w:val="5"/>
    </w:lvl>
  </w:abstractNum>
  <w:abstractNum w:abstractNumId="87">
    <w:nsid w:val="1CA0C5FA"/>
    <w:multiLevelType w:val="hybridMultilevel"/>
    <w:lvl w:ilvl="0">
      <w:lvlJc w:val="left"/>
      <w:lvlText w:val="(%1)"/>
      <w:numFmt w:val="lowerLetter"/>
      <w:start w:val="10"/>
    </w:lvl>
  </w:abstractNum>
  <w:abstractNum w:abstractNumId="88">
    <w:nsid w:val="53584BCB"/>
    <w:multiLevelType w:val="hybridMultilevel"/>
    <w:lvl w:ilvl="0">
      <w:lvlJc w:val="left"/>
      <w:lvlText w:val="(%1)"/>
      <w:numFmt w:val="lowerLetter"/>
      <w:start w:val="13"/>
    </w:lvl>
  </w:abstractNum>
  <w:abstractNum w:abstractNumId="89">
    <w:nsid w:val="415E286C"/>
    <w:multiLevelType w:val="hybridMultilevel"/>
    <w:lvl w:ilvl="0">
      <w:lvlJc w:val="left"/>
      <w:lvlText w:val="(%1)"/>
      <w:numFmt w:val="lowerLetter"/>
      <w:start w:val="17"/>
    </w:lvl>
  </w:abstractNum>
  <w:abstractNum w:abstractNumId="90">
    <w:nsid w:val="7C58FD05"/>
    <w:multiLevelType w:val="hybridMultilevel"/>
    <w:lvl w:ilvl="0">
      <w:lvlJc w:val="left"/>
      <w:lvlText w:val="%1."/>
      <w:numFmt w:val="decimal"/>
      <w:start w:val="3"/>
    </w:lvl>
    <w:lvl w:ilvl="1">
      <w:lvlJc w:val="left"/>
      <w:lvlText w:val="(%2)"/>
      <w:numFmt w:val="lowerLetter"/>
      <w:start w:val="1"/>
    </w:lvl>
  </w:abstractNum>
  <w:abstractNum w:abstractNumId="91">
    <w:nsid w:val="23D86AA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92">
    <w:nsid w:val="45E6D486"/>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93">
    <w:nsid w:val="5C10FE21"/>
    <w:multiLevelType w:val="hybridMultilevel"/>
    <w:lvl w:ilvl="0">
      <w:lvlJc w:val="left"/>
      <w:lvlText w:val="•"/>
      <w:numFmt w:val="bullet"/>
      <w:start w:val="1"/>
    </w:lvl>
  </w:abstractNum>
  <w:abstractNum w:abstractNumId="94">
    <w:nsid w:val="E7FFA2B"/>
    <w:multiLevelType w:val="hybridMultilevel"/>
    <w:lvl w:ilvl="0">
      <w:lvlJc w:val="left"/>
      <w:lvlText w:val="%1."/>
      <w:numFmt w:val="decimal"/>
      <w:start w:val="5"/>
    </w:lvl>
  </w:abstractNum>
  <w:abstractNum w:abstractNumId="95">
    <w:nsid w:val="3C5991AA"/>
    <w:multiLevelType w:val="hybridMultilevel"/>
    <w:lvl w:ilvl="0">
      <w:lvlJc w:val="left"/>
      <w:lvlText w:val="%1."/>
      <w:numFmt w:val="decimal"/>
      <w:start w:val="6"/>
    </w:lvl>
  </w:abstractNum>
  <w:abstractNum w:abstractNumId="96">
    <w:nsid w:val="4BD8591A"/>
    <w:multiLevelType w:val="hybridMultilevel"/>
    <w:lvl w:ilvl="0">
      <w:lvlJc w:val="left"/>
      <w:lvlText w:val="%1."/>
      <w:numFmt w:val="decimal"/>
      <w:start w:val="7"/>
    </w:lvl>
  </w:abstractNum>
  <w:abstractNum w:abstractNumId="97">
    <w:nsid w:val="78DF6A55"/>
    <w:multiLevelType w:val="hybridMultilevel"/>
    <w:lvl w:ilvl="0">
      <w:lvlJc w:val="left"/>
      <w:lvlText w:val="%1."/>
      <w:numFmt w:val="decimal"/>
      <w:start w:val="8"/>
    </w:lvl>
  </w:abstractNum>
  <w:abstractNum w:abstractNumId="98">
    <w:nsid w:val="39B7AAA2"/>
    <w:multiLevelType w:val="hybridMultilevel"/>
    <w:lvl w:ilvl="0">
      <w:lvlJc w:val="left"/>
      <w:lvlText w:val="%1."/>
      <w:numFmt w:val="decimal"/>
      <w:start w:val="9"/>
    </w:lvl>
  </w:abstractNum>
  <w:abstractNum w:abstractNumId="99">
    <w:nsid w:val="2B0D8DBE"/>
    <w:multiLevelType w:val="hybridMultilevel"/>
    <w:lvl w:ilvl="0">
      <w:lvlJc w:val="left"/>
      <w:lvlText w:val="%1."/>
      <w:numFmt w:val="decimal"/>
      <w:start w:val="10"/>
    </w:lvl>
  </w:abstractNum>
  <w:abstractNum w:abstractNumId="100">
    <w:nsid w:val="6C80EC70"/>
    <w:multiLevelType w:val="hybridMultilevel"/>
    <w:lvl w:ilvl="0">
      <w:lvlJc w:val="left"/>
      <w:lvlText w:val="%1."/>
      <w:numFmt w:val="decimal"/>
      <w:start w:val="11"/>
    </w:lvl>
  </w:abstractNum>
  <w:abstractNum w:abstractNumId="101">
    <w:nsid w:val="379E21B5"/>
    <w:multiLevelType w:val="hybridMultilevel"/>
    <w:lvl w:ilvl="0">
      <w:lvlJc w:val="left"/>
      <w:lvlText w:val="%1."/>
      <w:numFmt w:val="decimal"/>
      <w:start w:val="12"/>
    </w:lvl>
  </w:abstractNum>
  <w:abstractNum w:abstractNumId="102">
    <w:nsid w:val="69E373"/>
    <w:multiLevelType w:val="hybridMultilevel"/>
    <w:lvl w:ilvl="0">
      <w:lvlJc w:val="left"/>
      <w:lvlText w:val="%1."/>
      <w:numFmt w:val="decimal"/>
      <w:start w:val="13"/>
    </w:lvl>
  </w:abstractNum>
  <w:abstractNum w:abstractNumId="103">
    <w:nsid w:val="2C27173B"/>
    <w:multiLevelType w:val="hybridMultilevel"/>
    <w:lvl w:ilvl="0">
      <w:lvlJc w:val="left"/>
      <w:lvlText w:val="%1."/>
      <w:numFmt w:val="decimal"/>
      <w:start w:val="14"/>
    </w:lvl>
  </w:abstractNum>
  <w:abstractNum w:abstractNumId="104">
    <w:nsid w:val="4C9B0904"/>
    <w:multiLevelType w:val="hybridMultilevel"/>
    <w:lvl w:ilvl="0">
      <w:lvlJc w:val="left"/>
      <w:lvlText w:val="%1."/>
      <w:numFmt w:val="decimal"/>
      <w:start w:val="15"/>
    </w:lvl>
  </w:abstractNum>
  <w:abstractNum w:abstractNumId="105">
    <w:nsid w:val="6AA7B75C"/>
    <w:multiLevelType w:val="hybridMultilevel"/>
    <w:lvl w:ilvl="0">
      <w:lvlJc w:val="left"/>
      <w:lvlText w:val="%1."/>
      <w:numFmt w:val="decimal"/>
      <w:start w:val="16"/>
    </w:lvl>
  </w:abstractNum>
  <w:abstractNum w:abstractNumId="106">
    <w:nsid w:val="1DF029D3"/>
    <w:multiLevelType w:val="hybridMultilevel"/>
    <w:lvl w:ilvl="0">
      <w:lvlJc w:val="left"/>
      <w:lvlText w:val="%1."/>
      <w:numFmt w:val="decimal"/>
      <w:start w:val="17"/>
    </w:lvl>
  </w:abstractNum>
  <w:abstractNum w:abstractNumId="107">
    <w:nsid w:val="5675FF36"/>
    <w:multiLevelType w:val="hybridMultilevel"/>
    <w:lvl w:ilvl="0">
      <w:lvlJc w:val="left"/>
      <w:lvlText w:val="%1."/>
      <w:numFmt w:val="decimal"/>
      <w:start w:val="20"/>
    </w:lvl>
  </w:abstractNum>
  <w:abstractNum w:abstractNumId="108">
    <w:nsid w:val="3DD15094"/>
    <w:multiLevelType w:val="hybridMultilevel"/>
    <w:lvl w:ilvl="0">
      <w:lvlJc w:val="left"/>
      <w:lvlText w:val="%1."/>
      <w:numFmt w:val="decimal"/>
      <w:start w:val="1"/>
    </w:lvl>
    <w:lvl w:ilvl="1">
      <w:lvlJc w:val="left"/>
      <w:lvlText w:val="(%2)"/>
      <w:numFmt w:val="lowerLetter"/>
      <w:start w:val="1"/>
    </w:lvl>
  </w:abstractNum>
  <w:abstractNum w:abstractNumId="109">
    <w:nsid w:val="3DB012B3"/>
    <w:multiLevelType w:val="hybridMultilevel"/>
    <w:lvl w:ilvl="0">
      <w:lvlJc w:val="left"/>
      <w:lvlText w:val="(%1)"/>
      <w:numFmt w:val="lowerLetter"/>
      <w:start w:val="6"/>
    </w:lvl>
  </w:abstractNum>
  <w:abstractNum w:abstractNumId="110">
    <w:nsid w:val="2708C9AF"/>
    <w:multiLevelType w:val="hybridMultilevel"/>
    <w:lvl w:ilvl="0">
      <w:lvlJc w:val="left"/>
      <w:lvlText w:val="(%1)"/>
      <w:numFmt w:val="lowerLetter"/>
      <w:start w:val="10"/>
    </w:lvl>
  </w:abstractNum>
  <w:abstractNum w:abstractNumId="111">
    <w:nsid w:val="5B25ACE2"/>
    <w:multiLevelType w:val="hybridMultilevel"/>
    <w:lvl w:ilvl="0">
      <w:lvlJc w:val="left"/>
      <w:lvlText w:val="(%1)"/>
      <w:numFmt w:val="lowerLetter"/>
      <w:start w:val="15"/>
    </w:lvl>
  </w:abstractNum>
  <w:abstractNum w:abstractNumId="112">
    <w:nsid w:val="175DFCF0"/>
    <w:multiLevelType w:val="hybridMultilevel"/>
    <w:lvl w:ilvl="0">
      <w:lvlJc w:val="left"/>
      <w:lvlText w:val="%1"/>
      <w:numFmt w:val="decimal"/>
      <w:start w:val="1"/>
    </w:lvl>
    <w:lvl w:ilvl="1">
      <w:lvlJc w:val="left"/>
      <w:lvlText w:val="(%2)"/>
      <w:numFmt w:val="lowerLetter"/>
      <w:start w:val="18"/>
    </w:lvl>
  </w:abstractNum>
  <w:abstractNum w:abstractNumId="113">
    <w:nsid w:val="4F97E3E4"/>
    <w:multiLevelType w:val="hybridMultilevel"/>
    <w:lvl w:ilvl="0">
      <w:lvlJc w:val="left"/>
      <w:lvlText w:val="%1."/>
      <w:numFmt w:val="decimal"/>
      <w:start w:val="3"/>
    </w:lvl>
    <w:lvl w:ilvl="1">
      <w:lvlJc w:val="left"/>
      <w:lvlText w:val="%2"/>
      <w:numFmt w:val="lowerLetter"/>
      <w:start w:val="1"/>
    </w:lvl>
  </w:abstractNum>
  <w:abstractNum w:abstractNumId="114">
    <w:nsid w:val="53B0A9E"/>
    <w:multiLevelType w:val="hybridMultilevel"/>
    <w:lvl w:ilvl="0">
      <w:lvlJc w:val="left"/>
      <w:lvlText w:val="(%1)"/>
      <w:numFmt w:val="lowerLetter"/>
      <w:start w:val="1"/>
    </w:lvl>
  </w:abstractNum>
  <w:abstractNum w:abstractNumId="115">
    <w:nsid w:val="34FD6B4F"/>
    <w:multiLevelType w:val="hybridMultilevel"/>
    <w:lvl w:ilvl="0">
      <w:lvlJc w:val="left"/>
      <w:lvlText w:val="(%1)"/>
      <w:numFmt w:val="lowerLetter"/>
      <w:start w:val="2"/>
    </w:lvl>
  </w:abstractNum>
  <w:abstractNum w:abstractNumId="116">
    <w:nsid w:val="5915FF32"/>
    <w:multiLevelType w:val="hybridMultilevel"/>
    <w:lvl w:ilvl="0">
      <w:lvlJc w:val="left"/>
      <w:lvlText w:val="%1."/>
      <w:numFmt w:val="decimal"/>
      <w:start w:val="4"/>
    </w:lvl>
    <w:lvl w:ilvl="1">
      <w:lvlJc w:val="left"/>
      <w:lvlText w:val="•"/>
      <w:numFmt w:val="bullet"/>
      <w:start w:val="1"/>
    </w:lvl>
  </w:abstractNum>
  <w:abstractNum w:abstractNumId="117">
    <w:nsid w:val="56438D15"/>
    <w:multiLevelType w:val="hybridMultilevel"/>
    <w:lvl w:ilvl="0">
      <w:lvlJc w:val="left"/>
      <w:lvlText w:val="•"/>
      <w:numFmt w:val="bullet"/>
      <w:start w:val="1"/>
    </w:lvl>
  </w:abstractNum>
  <w:abstractNum w:abstractNumId="118">
    <w:nsid w:val="519E3149"/>
    <w:multiLevelType w:val="hybridMultilevel"/>
    <w:lvl w:ilvl="0">
      <w:lvlJc w:val="left"/>
      <w:lvlText w:val="%1."/>
      <w:numFmt w:val="decimal"/>
      <w:start w:val="6"/>
    </w:lvl>
  </w:abstractNum>
  <w:abstractNum w:abstractNumId="119">
    <w:nsid w:val="2C6E4AFD"/>
    <w:multiLevelType w:val="hybridMultilevel"/>
    <w:lvl w:ilvl="0">
      <w:lvlJc w:val="left"/>
      <w:lvlText w:val="%1."/>
      <w:numFmt w:val="decimal"/>
      <w:start w:val="7"/>
    </w:lvl>
  </w:abstractNum>
  <w:abstractNum w:abstractNumId="120">
    <w:nsid w:val="17A1B582"/>
    <w:multiLevelType w:val="hybridMultilevel"/>
    <w:lvl w:ilvl="0">
      <w:lvlJc w:val="left"/>
      <w:lvlText w:val="%1."/>
      <w:numFmt w:val="decimal"/>
      <w:start w:val="8"/>
    </w:lvl>
  </w:abstractNum>
  <w:abstractNum w:abstractNumId="121">
    <w:nsid w:val="4DF72E4E"/>
    <w:multiLevelType w:val="hybridMultilevel"/>
    <w:lvl w:ilvl="0">
      <w:lvlJc w:val="left"/>
      <w:lvlText w:val="%1."/>
      <w:numFmt w:val="decimal"/>
      <w:start w:val="9"/>
    </w:lvl>
  </w:abstractNum>
  <w:abstractNum w:abstractNumId="122">
    <w:nsid w:val="5046B5A9"/>
    <w:multiLevelType w:val="hybridMultilevel"/>
    <w:lvl w:ilvl="0">
      <w:lvlJc w:val="left"/>
      <w:lvlText w:val="%1."/>
      <w:numFmt w:val="decimal"/>
      <w:start w:val="10"/>
    </w:lvl>
  </w:abstractNum>
  <w:abstractNum w:abstractNumId="123">
    <w:nsid w:val="5D888A08"/>
    <w:multiLevelType w:val="hybridMultilevel"/>
    <w:lvl w:ilvl="0">
      <w:lvlJc w:val="left"/>
      <w:lvlText w:val="%1."/>
      <w:numFmt w:val="decimal"/>
      <w:start w:val="11"/>
    </w:lvl>
  </w:abstractNum>
  <w:abstractNum w:abstractNumId="124">
    <w:nsid w:val="2A082C70"/>
    <w:multiLevelType w:val="hybridMultilevel"/>
    <w:lvl w:ilvl="0">
      <w:lvlJc w:val="left"/>
      <w:lvlText w:val="%1."/>
      <w:numFmt w:val="decimal"/>
      <w:start w:val="12"/>
    </w:lvl>
  </w:abstractNum>
  <w:abstractNum w:abstractNumId="125">
    <w:nsid w:val="5EC6AFD4"/>
    <w:multiLevelType w:val="hybridMultilevel"/>
    <w:lvl w:ilvl="0">
      <w:lvlJc w:val="left"/>
      <w:lvlText w:val="%1."/>
      <w:numFmt w:val="decimal"/>
      <w:start w:val="13"/>
    </w:lvl>
  </w:abstractNum>
  <w:abstractNum w:abstractNumId="126">
    <w:nsid w:val="19E21BB2"/>
    <w:multiLevelType w:val="hybridMultilevel"/>
    <w:lvl w:ilvl="0">
      <w:lvlJc w:val="left"/>
      <w:lvlText w:val="%1."/>
      <w:numFmt w:val="decimal"/>
      <w:start w:val="14"/>
    </w:lvl>
  </w:abstractNum>
  <w:abstractNum w:abstractNumId="127">
    <w:nsid w:val="75E0858A"/>
    <w:multiLevelType w:val="hybridMultilevel"/>
    <w:lvl w:ilvl="0">
      <w:lvlJc w:val="left"/>
      <w:lvlText w:val="%1."/>
      <w:numFmt w:val="decimal"/>
      <w:start w:val="15"/>
    </w:lvl>
  </w:abstractNum>
  <w:abstractNum w:abstractNumId="128">
    <w:nsid w:val="57A61A29"/>
    <w:multiLevelType w:val="hybridMultilevel"/>
    <w:lvl w:ilvl="0">
      <w:lvlJc w:val="left"/>
      <w:lvlText w:val="%1."/>
      <w:numFmt w:val="decimal"/>
      <w:start w:val="16"/>
    </w:lvl>
  </w:abstractNum>
  <w:abstractNum w:abstractNumId="129">
    <w:nsid w:val="5399C654"/>
    <w:multiLevelType w:val="hybridMultilevel"/>
    <w:lvl w:ilvl="0">
      <w:lvlJc w:val="left"/>
      <w:lvlText w:val="%1."/>
      <w:numFmt w:val="decimal"/>
      <w:start w:val="17"/>
    </w:lvl>
  </w:abstractNum>
  <w:abstractNum w:abstractNumId="130">
    <w:nsid w:val="20EE1348"/>
    <w:multiLevelType w:val="hybridMultilevel"/>
    <w:lvl w:ilvl="0">
      <w:lvlJc w:val="left"/>
      <w:lvlText w:val="%1."/>
      <w:numFmt w:val="decimal"/>
      <w:start w:val="18"/>
    </w:lvl>
  </w:abstractNum>
  <w:abstractNum w:abstractNumId="131">
    <w:nsid w:val="4427069A"/>
    <w:multiLevelType w:val="hybridMultilevel"/>
    <w:lvl w:ilvl="0">
      <w:lvlJc w:val="left"/>
      <w:lvlText w:val="%1."/>
      <w:numFmt w:val="decimal"/>
      <w:start w:val="20"/>
    </w:lvl>
  </w:abstractNum>
  <w:abstractNum w:abstractNumId="132">
    <w:nsid w:val="B37E80A"/>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2019-12-15T16:25:45Z</dcterms:created>
  <dcterms:modified xsi:type="dcterms:W3CDTF">2019-12-15T16:25:45Z</dcterms:modified>
</cp:coreProperties>
</file>