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86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869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Shin Yunyoung</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111 W. 19TH STREET, 8TH FLOOR</w:t>
            </w: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10011</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New Fortress Energy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NFE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03/11/2024</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111,338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03/11/2024</w:t>
            </w:r>
          </w:p>
        </w:tc>
        <w:tc>
          <w:tcPr>
            <w:tcW w:w="108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111,338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0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111,338</w:t>
            </w:r>
          </w:p>
        </w:tc>
        <w:tc>
          <w:tcPr>
            <w:tcW w:w="72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that vests as follows: (a) 80,455 RSUs shall vest on January 2, 2025, and (b) 30,883 RSUs shall vest on January 2, 2026, subject to the Reporting Person remaining employed with the Issuer on each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Yunyoung Shin,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-8890</wp:posOffset>
            </wp:positionV>
            <wp:extent cx="948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Cameron D. MacDougall as</w:t>
      </w:r>
      <w:r>
        <w:rPr>
          <w:sz w:val="20"/>
          <w:szCs w:val="20"/>
          <w:color w:val="auto"/>
        </w:rPr>
        <w:tab/>
      </w:r>
      <w:r>
        <w:rPr>
          <w:rFonts w:ascii="Times New Roman" w:cs="Times New Roman" w:eastAsia="Times New Roman" w:hAnsi="Times New Roman"/>
          <w:sz w:val="16"/>
          <w:szCs w:val="16"/>
          <w:color w:val="0000FF"/>
        </w:rPr>
        <w:t>04/05/2024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-15875</wp:posOffset>
            </wp:positionV>
            <wp:extent cx="716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0496"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2024-04-05T16:38:11Z</dcterms:created>
  <dcterms:modified xsi:type="dcterms:W3CDTF">2024-04-05T16:38:11Z</dcterms:modified>
</cp:coreProperties>
</file>