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UNITED STATES</w:t>
      </w:r>
    </w:p>
    <w:p>
      <w:pPr>
        <w:pStyle w:val="TextBody"/>
        <w:spacing w:lineRule="auto" w:line="288" w:before="0" w:after="0"/>
        <w:jc w:val="center"/>
        <w:rPr>
          <w:rFonts w:ascii="Times New Roman;sans-serif" w:hAnsi="Times New Roman;sans-serif"/>
          <w:b/>
          <w:color w:val="000000"/>
          <w:sz w:val="28"/>
          <w:highlight w:val="white"/>
        </w:rPr>
      </w:pPr>
      <w:r>
        <w:rPr>
          <w:rFonts w:ascii="Times New Roman;sans-serif" w:hAnsi="Times New Roman;sans-serif"/>
          <w:b/>
          <w:color w:val="000000"/>
          <w:sz w:val="28"/>
          <w:highlight w:val="white"/>
        </w:rPr>
        <w:t>SECURITIES AND EXCHANGE COMMISSION</w:t>
      </w:r>
    </w:p>
    <w:p>
      <w:pPr>
        <w:pStyle w:val="TextBody"/>
        <w:spacing w:lineRule="auto" w:line="288" w:before="0" w:after="0"/>
        <w:jc w:val="center"/>
        <w:rPr>
          <w:rFonts w:ascii="Times New Roman;sans-serif" w:hAnsi="Times New Roman;sans-serif"/>
          <w:b/>
          <w:color w:val="000000"/>
          <w:sz w:val="24"/>
          <w:highlight w:val="white"/>
        </w:rPr>
      </w:pPr>
      <w:r>
        <w:rPr>
          <w:rFonts w:ascii="Times New Roman;sans-serif" w:hAnsi="Times New Roman;sans-serif"/>
          <w:b/>
          <w:color w:val="000000"/>
          <w:sz w:val="24"/>
          <w:highlight w:val="white"/>
        </w:rPr>
        <w:t>WASHINGTON, DC 20549</w:t>
      </w:r>
    </w:p>
    <w:p>
      <w:pPr>
        <w:pStyle w:val="TextBody"/>
        <w:spacing w:lineRule="auto" w:line="288" w:before="120" w:after="283"/>
        <w:jc w:val="center"/>
        <w:rPr>
          <w:rFonts w:ascii="Times New Roman;sans-serif" w:hAnsi="Times New Roman;sans-serif"/>
          <w:b/>
          <w:color w:val="000000"/>
          <w:sz w:val="36"/>
          <w:highlight w:val="white"/>
        </w:rPr>
      </w:pPr>
      <w:r>
        <w:rPr>
          <w:rFonts w:ascii="Times New Roman;sans-serif" w:hAnsi="Times New Roman;sans-serif"/>
          <w:b/>
          <w:color w:val="000000"/>
          <w:sz w:val="36"/>
          <w:highlight w:val="white"/>
        </w:rPr>
        <w:t>FORM 10-Q</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 the quarterly period ended March 31, 2023</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 the transition period from __________ to__________</w:t>
      </w:r>
    </w:p>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Commission File Number: 001-38790</w:t>
      </w:r>
    </w:p>
    <w:p>
      <w:pPr>
        <w:pStyle w:val="TextBody"/>
        <w:spacing w:lineRule="auto" w:line="288" w:before="120" w:after="283"/>
        <w:jc w:val="center"/>
        <w:rPr>
          <w:rFonts w:ascii="Times New Roman;sans-serif" w:hAnsi="Times New Roman;sans-serif"/>
          <w:b/>
          <w:color w:val="000000"/>
          <w:sz w:val="48"/>
          <w:highlight w:val="white"/>
        </w:rPr>
      </w:pPr>
      <w:r>
        <w:rPr>
          <w:rFonts w:ascii="Times New Roman;sans-serif" w:hAnsi="Times New Roman;sans-serif"/>
          <w:b/>
          <w:color w:val="000000"/>
          <w:sz w:val="48"/>
          <w:highlight w:val="white"/>
        </w:rPr>
        <w:t>New Fortress Energy Inc.</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(Exact Name of Registrant as Specified in its Charter)</w:t>
      </w:r>
    </w:p>
    <w:tbl>
      <w:tblPr>
        <w:tblW w:w="7994" w:type="dxa"/>
        <w:jc w:val="left"/>
        <w:tblInd w:w="0" w:type="dxa"/>
        <w:tblCellMar>
          <w:top w:w="28" w:type="dxa"/>
          <w:left w:w="28" w:type="dxa"/>
          <w:bottom w:w="28" w:type="dxa"/>
          <w:right w:w="28" w:type="dxa"/>
        </w:tblCellMar>
      </w:tblPr>
      <w:tblGrid>
        <w:gridCol w:w="1795"/>
        <w:gridCol w:w="1577"/>
        <w:gridCol w:w="1593"/>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83-1482060</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4335" w:type="dxa"/>
        <w:jc w:val="left"/>
        <w:tblInd w:w="0" w:type="dxa"/>
        <w:tblCellMar>
          <w:top w:w="28" w:type="dxa"/>
          <w:left w:w="28" w:type="dxa"/>
          <w:bottom w:w="28" w:type="dxa"/>
          <w:right w:w="28" w:type="dxa"/>
        </w:tblCellMar>
      </w:tblPr>
      <w:tblGrid>
        <w:gridCol w:w="1193"/>
        <w:gridCol w:w="1049"/>
        <w:gridCol w:w="1058"/>
        <w:gridCol w:w="303"/>
        <w:gridCol w:w="303"/>
        <w:gridCol w:w="429"/>
      </w:tblGrid>
      <w:tr>
        <w:trPr/>
        <w:tc>
          <w:tcPr>
            <w:tcW w:w="1193"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111 W. 19th Street, 8th Floor</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10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10011</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2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Registrant’s telephone number, including area code: (516) 268-7400</w:t>
      </w:r>
    </w:p>
    <w:p>
      <w:pPr>
        <w:pStyle w:val="TextBody"/>
        <w:spacing w:lineRule="auto" w:line="288" w:before="120" w:after="283"/>
        <w:ind w:left="0" w:right="0" w:firstLine="360"/>
        <w:rPr/>
      </w:pPr>
      <w:r>
        <w:rPr>
          <w:rFonts w:ascii="Times New Roman;sans-serif" w:hAnsi="Times New Roman;sans-serif"/>
          <w:b w:val="false"/>
          <w:color w:val="000000"/>
          <w:sz w:val="20"/>
          <w:highlight w:val="whit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highlight w:val="white"/>
        </w:rPr>
        <w:t>x</w:t>
      </w:r>
      <w:r>
        <w:rPr>
          <w:color w:val="000000"/>
          <w:highlight w:val="white"/>
        </w:rPr>
        <w:t xml:space="preserve"> </w:t>
      </w:r>
      <w:r>
        <w:rPr>
          <w:rFonts w:ascii="Times New Roman;sans-serif" w:hAnsi="Times New Roman;sans-serif"/>
          <w:b w:val="false"/>
          <w:color w:val="000000"/>
          <w:sz w:val="20"/>
          <w:highlight w:val="white"/>
        </w:rPr>
        <w:t xml:space="preserve">No </w:t>
      </w:r>
      <w:r>
        <w:rPr>
          <w:color w:val="000000"/>
          <w:highlight w:val="white"/>
        </w:rPr>
        <w:t>☐</w:t>
      </w:r>
    </w:p>
    <w:p>
      <w:pPr>
        <w:pStyle w:val="TextBody"/>
        <w:spacing w:lineRule="auto" w:line="288" w:before="120" w:after="283"/>
        <w:ind w:left="0" w:right="0" w:firstLine="360"/>
        <w:rPr/>
      </w:pPr>
      <w:r>
        <w:rPr>
          <w:rFonts w:ascii="Times New Roman;sans-serif" w:hAnsi="Times New Roman;sans-serif"/>
          <w:b w:val="false"/>
          <w:color w:val="000000"/>
          <w:sz w:val="20"/>
          <w:highlight w:val="white"/>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highlight w:val="white"/>
        </w:rPr>
        <w:t>x</w:t>
      </w:r>
      <w:r>
        <w:rPr>
          <w:color w:val="000000"/>
          <w:highlight w:val="white"/>
        </w:rPr>
        <w:t xml:space="preserve"> </w:t>
      </w:r>
      <w:r>
        <w:rPr>
          <w:rFonts w:ascii="Times New Roman;sans-serif" w:hAnsi="Times New Roman;sans-serif"/>
          <w:b w:val="false"/>
          <w:color w:val="000000"/>
          <w:sz w:val="20"/>
          <w:highlight w:val="white"/>
        </w:rPr>
        <w:t xml:space="preserve">No </w:t>
      </w:r>
      <w:r>
        <w:rPr>
          <w:color w:val="000000"/>
          <w:highlight w:val="white"/>
        </w:rPr>
        <w:t>☐</w:t>
      </w:r>
    </w:p>
    <w:p>
      <w:pPr>
        <w:pStyle w:val="TextBody"/>
        <w:spacing w:lineRule="auto" w:line="288" w:before="12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94" w:type="dxa"/>
        <w:jc w:val="left"/>
        <w:tblInd w:w="0" w:type="dxa"/>
        <w:tblCellMar>
          <w:top w:w="28" w:type="dxa"/>
          <w:left w:w="28" w:type="dxa"/>
          <w:bottom w:w="28" w:type="dxa"/>
          <w:right w:w="28" w:type="dxa"/>
        </w:tblCellMar>
      </w:tblPr>
      <w:tblGrid>
        <w:gridCol w:w="755"/>
        <w:gridCol w:w="664"/>
        <w:gridCol w:w="666"/>
        <w:gridCol w:w="763"/>
        <w:gridCol w:w="763"/>
        <w:gridCol w:w="1083"/>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highlight w:val="white"/>
              </w:rPr>
              <w:t>x</w:t>
            </w:r>
          </w:p>
        </w:tc>
        <w:tc>
          <w:tcPr>
            <w:tcW w:w="260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Times New Roman;sans-serif" w:hAnsi="Times New Roman;sans-serif"/>
                <w:b w:val="false"/>
                <w:color w:val="000000"/>
                <w:sz w:val="20"/>
              </w:rPr>
              <w:t xml:space="preserve">Accelerated filer </w:t>
            </w:r>
            <w:r>
              <w:rPr>
                <w:color w:val="000000"/>
              </w:rPr>
              <w:t>☐</w:t>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Non-accelerated filer </w:t>
            </w:r>
            <w:r>
              <w:rPr>
                <w:color w:val="000000"/>
              </w:rPr>
              <w:t>☐</w:t>
            </w:r>
          </w:p>
        </w:tc>
        <w:tc>
          <w:tcPr>
            <w:tcW w:w="260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Times New Roman;sans-serif" w:hAnsi="Times New Roman;sans-serif"/>
                <w:b w:val="false"/>
                <w:color w:val="000000"/>
                <w:sz w:val="20"/>
              </w:rPr>
              <w:t xml:space="preserve">Smaller reporting company </w:t>
            </w:r>
            <w:r>
              <w:rPr>
                <w:color w:val="000000"/>
              </w:rPr>
              <w:t>☐</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auto" w:val="clear"/>
            <w:tcMar>
              <w:top w:w="0" w:type="dxa"/>
              <w:left w:w="0" w:type="dxa"/>
              <w:bottom w:w="0" w:type="dxa"/>
              <w:right w:w="0" w:type="dxa"/>
            </w:tcMar>
            <w:vAlign w:val="center"/>
          </w:tcPr>
          <w:p>
            <w:pPr>
              <w:pStyle w:val="TableContents"/>
              <w:spacing w:lineRule="auto" w:line="276" w:before="0" w:after="0"/>
              <w:jc w:val="right"/>
              <w:rPr/>
            </w:pPr>
            <w:r>
              <w:rPr>
                <w:rFonts w:ascii="Times New Roman;sans-serif" w:hAnsi="Times New Roman;sans-serif"/>
                <w:b w:val="false"/>
                <w:color w:val="000000"/>
                <w:sz w:val="20"/>
              </w:rPr>
              <w:t xml:space="preserve">Emerging growth company </w:t>
            </w:r>
            <w:r>
              <w:rPr>
                <w:color w:val="000000"/>
              </w:rPr>
              <w:t>☐</w:t>
            </w:r>
          </w:p>
        </w:tc>
      </w:tr>
    </w:tbl>
    <w:p>
      <w:pPr>
        <w:pStyle w:val="TextBody"/>
        <w:spacing w:lineRule="auto" w:line="288" w:before="120" w:after="283"/>
        <w:ind w:left="0" w:right="0" w:firstLine="360"/>
        <w:rPr/>
      </w:pPr>
      <w:r>
        <w:rPr>
          <w:rFonts w:ascii="Times New Roman;sans-serif" w:hAnsi="Times New Roman;sans-serif"/>
          <w:b w:val="false"/>
          <w:color w:val="000000"/>
          <w:sz w:val="20"/>
          <w:highlight w:val="whit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highlight w:val="white"/>
        </w:rPr>
        <w:t>☐</w:t>
      </w:r>
    </w:p>
    <w:p>
      <w:pPr>
        <w:pStyle w:val="TextBody"/>
        <w:spacing w:lineRule="auto" w:line="288" w:before="120" w:after="283"/>
        <w:ind w:left="0" w:right="0" w:firstLine="360"/>
        <w:rPr/>
      </w:pPr>
      <w:r>
        <w:rPr>
          <w:rFonts w:ascii="Times New Roman;sans-serif" w:hAnsi="Times New Roman;sans-serif"/>
          <w:b w:val="false"/>
          <w:color w:val="000000"/>
          <w:sz w:val="20"/>
          <w:highlight w:val="white"/>
        </w:rPr>
        <w:t xml:space="preserve">Indicate by check mark whether the registrant is a shell company (as defined in Rule 12b-2 of the Exchange Act). Yes </w:t>
      </w:r>
      <w:r>
        <w:rPr>
          <w:color w:val="000000"/>
          <w:highlight w:val="white"/>
        </w:rPr>
        <w:t xml:space="preserve">☐ </w:t>
      </w:r>
      <w:r>
        <w:rPr>
          <w:rFonts w:ascii="Times New Roman;sans-serif" w:hAnsi="Times New Roman;sans-serif"/>
          <w:b w:val="false"/>
          <w:color w:val="000000"/>
          <w:sz w:val="20"/>
          <w:highlight w:val="white"/>
        </w:rPr>
        <w:t xml:space="preserve">No </w:t>
      </w:r>
      <w:r>
        <w:rPr>
          <w:rFonts w:ascii="Wingdings;sans-serif" w:hAnsi="Wingdings;sans-serif"/>
          <w:b w:val="false"/>
          <w:color w:val="000000"/>
          <w:sz w:val="20"/>
          <w:highlight w:val="white"/>
        </w:rPr>
        <w:t>x</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Securities registered pursuant to Section 12(b) of the Act:</w:t>
      </w:r>
    </w:p>
    <w:tbl>
      <w:tblPr>
        <w:tblW w:w="7988" w:type="dxa"/>
        <w:jc w:val="left"/>
        <w:tblInd w:w="0" w:type="dxa"/>
        <w:tblCellMar>
          <w:top w:w="28" w:type="dxa"/>
          <w:left w:w="28" w:type="dxa"/>
          <w:bottom w:w="28" w:type="dxa"/>
          <w:right w:w="28" w:type="dxa"/>
        </w:tblCellMar>
      </w:tblPr>
      <w:tblGrid>
        <w:gridCol w:w="728"/>
        <w:gridCol w:w="637"/>
        <w:gridCol w:w="645"/>
        <w:gridCol w:w="109"/>
        <w:gridCol w:w="109"/>
        <w:gridCol w:w="109"/>
        <w:gridCol w:w="539"/>
        <w:gridCol w:w="539"/>
        <w:gridCol w:w="541"/>
        <w:gridCol w:w="109"/>
        <w:gridCol w:w="109"/>
        <w:gridCol w:w="109"/>
        <w:gridCol w:w="1085"/>
        <w:gridCol w:w="1085"/>
        <w:gridCol w:w="1535"/>
      </w:tblGrid>
      <w:tr>
        <w:trPr/>
        <w:tc>
          <w:tcPr>
            <w:tcW w:w="728"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22"/>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color w:val="000000"/>
              </w:rPr>
            </w:pPr>
            <w:r>
              <w:rPr>
                <w:color w:val="000000"/>
              </w:rPr>
              <w:t>“</w:t>
            </w:r>
            <w:r>
              <w:rPr>
                <w:rFonts w:ascii="Times New Roman;sans-serif" w:hAnsi="Times New Roman;sans-serif"/>
                <w:b/>
                <w:color w:val="000000"/>
                <w:sz w:val="20"/>
              </w:rPr>
              <w:t>NFE”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spacing w:lineRule="auto" w:line="288"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May 1, 2023, the registrant had 205,030,155 shares of Class A common stock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wps:spPr>
                      <wps:txbx>
                        <w:txbxContent>
                          <w:p>
                            <w:pPr>
                              <w:pStyle w:val="TextBody"/>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00" w:after="200"/>
                        <w:jc w:val="center"/>
                        <w:rPr/>
                      </w:pPr>
                      <w:r>
                        <w:rPr/>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76"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TABLE OF CONTENTS</w:t>
      </w:r>
    </w:p>
    <w:tbl>
      <w:tblPr>
        <w:tblW w:w="10205" w:type="dxa"/>
        <w:jc w:val="left"/>
        <w:tblInd w:w="0" w:type="dxa"/>
        <w:tblCellMar>
          <w:top w:w="28" w:type="dxa"/>
          <w:left w:w="28" w:type="dxa"/>
          <w:bottom w:w="28" w:type="dxa"/>
          <w:right w:w="28" w:type="dxa"/>
        </w:tblCellMar>
      </w:tblPr>
      <w:tblGrid>
        <w:gridCol w:w="1066"/>
        <w:gridCol w:w="938"/>
        <w:gridCol w:w="938"/>
        <w:gridCol w:w="2308"/>
        <w:gridCol w:w="2275"/>
        <w:gridCol w:w="2304"/>
        <w:gridCol w:w="109"/>
        <w:gridCol w:w="109"/>
        <w:gridCol w:w="158"/>
      </w:tblGrid>
      <w:tr>
        <w:trPr/>
        <w:tc>
          <w:tcPr>
            <w:tcW w:w="106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0">
              <w:r>
                <w:rPr>
                  <w:rStyle w:val="InternetLink"/>
                  <w:rFonts w:ascii="Times New Roman;sans-serif" w:hAnsi="Times New Roman;sans-serif"/>
                  <w:b w:val="false"/>
                  <w:color w:val="0000FF"/>
                  <w:sz w:val="20"/>
                  <w:u w:val="single"/>
                </w:rPr>
                <w:t>GLOSSARY OF TERMS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0">
              <w:r>
                <w:rPr>
                  <w:rStyle w:val="InternetLink"/>
                  <w:rFonts w:ascii="Times New Roman;sans-serif" w:hAnsi="Times New Roman;sans-serif"/>
                  <w:b w:val="false"/>
                  <w:strike w:val="false"/>
                  <w:dstrike w:val="false"/>
                  <w:color w:val="000000"/>
                  <w:sz w:val="20"/>
                  <w:u w:val="none"/>
                  <w:effect w:val="none"/>
                </w:rPr>
                <w:t>ii</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3">
              <w:r>
                <w:rPr>
                  <w:rStyle w:val="InternetLink"/>
                  <w:rFonts w:ascii="Times New Roman;sans-serif" w:hAnsi="Times New Roman;sans-serif"/>
                  <w:b w:val="false"/>
                  <w:color w:val="0000FF"/>
                  <w:sz w:val="20"/>
                  <w:u w:val="single"/>
                </w:rPr>
                <w:t>CAUTIONARY STATEMENT ON FORWARD-LOOKING STATEMENTS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3">
              <w:r>
                <w:rPr>
                  <w:rStyle w:val="InternetLink"/>
                  <w:rFonts w:ascii="Times New Roman;sans-serif" w:hAnsi="Times New Roman;sans-serif"/>
                  <w:b w:val="false"/>
                  <w:strike w:val="false"/>
                  <w:dstrike w:val="false"/>
                  <w:color w:val="000000"/>
                  <w:sz w:val="20"/>
                  <w:u w:val="none"/>
                  <w:effect w:val="none"/>
                </w:rPr>
                <w:t>iv</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6">
              <w:r>
                <w:rPr>
                  <w:rStyle w:val="InternetLink"/>
                  <w:rFonts w:ascii="Times New Roman;sans-serif" w:hAnsi="Times New Roman;sans-serif"/>
                  <w:b w:val="false"/>
                  <w:color w:val="0000FF"/>
                  <w:sz w:val="20"/>
                  <w:u w:val="single"/>
                </w:rPr>
                <w:t>PART I FINANCIAL INFORMATION</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6">
              <w:r>
                <w:rPr>
                  <w:rStyle w:val="InternetLink"/>
                  <w:rFonts w:ascii="Times New Roman;sans-serif" w:hAnsi="Times New Roman;sans-serif"/>
                  <w:b w:val="false"/>
                  <w:strike w:val="false"/>
                  <w:dstrike w:val="false"/>
                  <w:color w:val="000000"/>
                  <w:sz w:val="20"/>
                  <w:u w:val="none"/>
                  <w:effect w:val="none"/>
                </w:rPr>
                <w:t>1</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9">
              <w:r>
                <w:rPr>
                  <w:rStyle w:val="InternetLink"/>
                  <w:rFonts w:ascii="Times New Roman;sans-serif" w:hAnsi="Times New Roman;sans-serif"/>
                  <w:b w:val="false"/>
                  <w:strike w:val="false"/>
                  <w:dstrike w:val="false"/>
                  <w:color w:val="000000"/>
                  <w:sz w:val="20"/>
                  <w:u w:val="none"/>
                  <w:effect w:val="none"/>
                </w:rPr>
                <w:t>Item 1.</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9">
              <w:r>
                <w:rPr>
                  <w:rStyle w:val="InternetLink"/>
                  <w:rFonts w:ascii="Times New Roman;sans-serif" w:hAnsi="Times New Roman;sans-serif"/>
                  <w:b w:val="false"/>
                  <w:color w:val="0000FF"/>
                  <w:sz w:val="20"/>
                  <w:u w:val="single"/>
                </w:rPr>
                <w:t>Financial Statements.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9">
              <w:r>
                <w:rPr>
                  <w:rStyle w:val="InternetLink"/>
                  <w:rFonts w:ascii="Times New Roman;sans-serif" w:hAnsi="Times New Roman;sans-serif"/>
                  <w:b w:val="false"/>
                  <w:strike w:val="false"/>
                  <w:dstrike w:val="false"/>
                  <w:color w:val="000000"/>
                  <w:sz w:val="20"/>
                  <w:u w:val="none"/>
                  <w:effect w:val="none"/>
                </w:rPr>
                <w:t>1</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21">
              <w:r>
                <w:rPr>
                  <w:rStyle w:val="InternetLink"/>
                  <w:rFonts w:ascii="Times New Roman;sans-serif" w:hAnsi="Times New Roman;sans-serif"/>
                  <w:b w:val="false"/>
                  <w:strike w:val="false"/>
                  <w:dstrike w:val="false"/>
                  <w:color w:val="000000"/>
                  <w:sz w:val="20"/>
                  <w:u w:val="none"/>
                  <w:effect w:val="none"/>
                </w:rPr>
                <w:t>Item 2.</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21">
              <w:r>
                <w:rPr>
                  <w:rStyle w:val="InternetLink"/>
                  <w:rFonts w:ascii="Times New Roman;sans-serif" w:hAnsi="Times New Roman;sans-serif"/>
                  <w:b w:val="false"/>
                  <w:strike w:val="false"/>
                  <w:dstrike w:val="false"/>
                  <w:color w:val="000000"/>
                  <w:sz w:val="20"/>
                  <w:u w:val="none"/>
                  <w:effect w:val="none"/>
                </w:rPr>
                <w:t>26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63">
              <w:r>
                <w:rPr>
                  <w:rStyle w:val="InternetLink"/>
                  <w:rFonts w:ascii="Times New Roman;sans-serif" w:hAnsi="Times New Roman;sans-serif"/>
                  <w:b w:val="false"/>
                  <w:strike w:val="false"/>
                  <w:dstrike w:val="false"/>
                  <w:color w:val="000000"/>
                  <w:sz w:val="20"/>
                  <w:u w:val="none"/>
                  <w:effect w:val="none"/>
                </w:rPr>
                <w:t>Item 3.</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63">
              <w:r>
                <w:rPr>
                  <w:rStyle w:val="InternetLink"/>
                </w:rPr>
                <w:t>Quantitative and Qualitative Disclosures About Market Risk</w:t>
              </w:r>
            </w:hyperlink>
            <w:hyperlink w:anchor="i642bb8ab927b47d38c34420410c74429_163">
              <w:r>
                <w:rPr>
                  <w:rStyle w:val="InternetLink"/>
                </w:rPr>
                <w:t>.</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63">
              <w:r>
                <w:rPr>
                  <w:rStyle w:val="InternetLink"/>
                  <w:rFonts w:ascii="Times New Roman;sans-serif" w:hAnsi="Times New Roman;sans-serif"/>
                  <w:b w:val="false"/>
                  <w:strike w:val="false"/>
                  <w:dstrike w:val="false"/>
                  <w:color w:val="000000"/>
                  <w:sz w:val="20"/>
                  <w:u w:val="none"/>
                  <w:effect w:val="none"/>
                </w:rPr>
                <w:t>42</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66">
              <w:r>
                <w:rPr>
                  <w:rStyle w:val="InternetLink"/>
                  <w:rFonts w:ascii="Times New Roman;sans-serif" w:hAnsi="Times New Roman;sans-serif"/>
                  <w:b w:val="false"/>
                  <w:strike w:val="false"/>
                  <w:dstrike w:val="false"/>
                  <w:color w:val="000000"/>
                  <w:sz w:val="20"/>
                  <w:u w:val="none"/>
                  <w:effect w:val="none"/>
                </w:rPr>
                <w:t>Item 4.</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66">
              <w:r>
                <w:rPr>
                  <w:rStyle w:val="InternetLink"/>
                  <w:rFonts w:ascii="Times New Roman;sans-serif" w:hAnsi="Times New Roman;sans-serif"/>
                  <w:b w:val="false"/>
                  <w:color w:val="0000FF"/>
                  <w:sz w:val="20"/>
                  <w:u w:val="single"/>
                </w:rPr>
                <w:t>Controls and Procedures.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66">
              <w:r>
                <w:rPr>
                  <w:rStyle w:val="InternetLink"/>
                  <w:rFonts w:ascii="Times New Roman;sans-serif" w:hAnsi="Times New Roman;sans-serif"/>
                  <w:b w:val="false"/>
                  <w:strike w:val="false"/>
                  <w:dstrike w:val="false"/>
                  <w:color w:val="000000"/>
                  <w:sz w:val="20"/>
                  <w:u w:val="none"/>
                  <w:effect w:val="none"/>
                </w:rPr>
                <w:t>43</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69">
              <w:r>
                <w:rPr>
                  <w:rStyle w:val="InternetLink"/>
                  <w:rFonts w:ascii="Times New Roman;sans-serif" w:hAnsi="Times New Roman;sans-serif"/>
                  <w:b w:val="false"/>
                  <w:color w:val="0000FF"/>
                  <w:sz w:val="20"/>
                  <w:u w:val="single"/>
                </w:rPr>
                <w:t>PART II OTHER INFORMATION</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69">
              <w:r>
                <w:rPr>
                  <w:rStyle w:val="InternetLink"/>
                  <w:rFonts w:ascii="Times New Roman;sans-serif" w:hAnsi="Times New Roman;sans-serif"/>
                  <w:b w:val="false"/>
                  <w:strike w:val="false"/>
                  <w:dstrike w:val="false"/>
                  <w:color w:val="000000"/>
                  <w:sz w:val="20"/>
                  <w:u w:val="none"/>
                  <w:effect w:val="none"/>
                </w:rPr>
                <w:t>44</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72">
              <w:r>
                <w:rPr>
                  <w:rStyle w:val="InternetLink"/>
                  <w:rFonts w:ascii="Times New Roman;sans-serif" w:hAnsi="Times New Roman;sans-serif"/>
                  <w:b w:val="false"/>
                  <w:strike w:val="false"/>
                  <w:dstrike w:val="false"/>
                  <w:color w:val="000000"/>
                  <w:sz w:val="20"/>
                  <w:u w:val="none"/>
                  <w:effect w:val="none"/>
                </w:rPr>
                <w:t>Item 1.</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72">
              <w:r>
                <w:rPr>
                  <w:rStyle w:val="InternetLink"/>
                  <w:rFonts w:ascii="Times New Roman;sans-serif" w:hAnsi="Times New Roman;sans-serif"/>
                  <w:b w:val="false"/>
                  <w:color w:val="0000FF"/>
                  <w:sz w:val="20"/>
                  <w:u w:val="single"/>
                </w:rPr>
                <w:t>Legal Proceedings.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72">
              <w:r>
                <w:rPr>
                  <w:rStyle w:val="InternetLink"/>
                  <w:rFonts w:ascii="Times New Roman;sans-serif" w:hAnsi="Times New Roman;sans-serif"/>
                  <w:b w:val="false"/>
                  <w:strike w:val="false"/>
                  <w:dstrike w:val="false"/>
                  <w:color w:val="000000"/>
                  <w:sz w:val="20"/>
                  <w:u w:val="none"/>
                  <w:effect w:val="none"/>
                </w:rPr>
                <w:t>44</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75">
              <w:r>
                <w:rPr>
                  <w:rStyle w:val="InternetLink"/>
                  <w:rFonts w:ascii="Times New Roman;sans-serif" w:hAnsi="Times New Roman;sans-serif"/>
                  <w:b w:val="false"/>
                  <w:strike w:val="false"/>
                  <w:dstrike w:val="false"/>
                  <w:color w:val="000000"/>
                  <w:sz w:val="20"/>
                  <w:u w:val="none"/>
                  <w:effect w:val="none"/>
                </w:rPr>
                <w:t>Item 1A.</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75">
              <w:r>
                <w:rPr>
                  <w:rStyle w:val="InternetLink"/>
                  <w:rFonts w:ascii="Times New Roman;sans-serif" w:hAnsi="Times New Roman;sans-serif"/>
                  <w:b w:val="false"/>
                  <w:color w:val="0000FF"/>
                  <w:sz w:val="20"/>
                  <w:u w:val="single"/>
                </w:rPr>
                <w:t>Risk Factors.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75">
              <w:r>
                <w:rPr>
                  <w:rStyle w:val="InternetLink"/>
                  <w:rFonts w:ascii="Times New Roman;sans-serif" w:hAnsi="Times New Roman;sans-serif"/>
                  <w:b w:val="false"/>
                  <w:strike w:val="false"/>
                  <w:dstrike w:val="false"/>
                  <w:color w:val="000000"/>
                  <w:sz w:val="20"/>
                  <w:u w:val="none"/>
                  <w:effect w:val="none"/>
                </w:rPr>
                <w:t>44</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78">
              <w:r>
                <w:rPr>
                  <w:rStyle w:val="InternetLink"/>
                  <w:rFonts w:ascii="Times New Roman;sans-serif" w:hAnsi="Times New Roman;sans-serif"/>
                  <w:b w:val="false"/>
                  <w:strike w:val="false"/>
                  <w:dstrike w:val="false"/>
                  <w:color w:val="000000"/>
                  <w:sz w:val="20"/>
                  <w:u w:val="none"/>
                  <w:effect w:val="none"/>
                </w:rPr>
                <w:t>Item 2.</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78">
              <w:r>
                <w:rPr>
                  <w:rStyle w:val="InternetLink"/>
                  <w:rFonts w:ascii="Times New Roman;sans-serif" w:hAnsi="Times New Roman;sans-serif"/>
                  <w:b w:val="false"/>
                  <w:color w:val="0000FF"/>
                  <w:sz w:val="20"/>
                  <w:u w:val="single"/>
                </w:rPr>
                <w:t>Unregistered Sales of Equity Securities and Use of Proceeds.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78">
              <w:r>
                <w:rPr>
                  <w:rStyle w:val="InternetLink"/>
                  <w:rFonts w:ascii="Times New Roman;sans-serif" w:hAnsi="Times New Roman;sans-serif"/>
                  <w:b w:val="false"/>
                  <w:strike w:val="false"/>
                  <w:dstrike w:val="false"/>
                  <w:color w:val="000000"/>
                  <w:sz w:val="20"/>
                  <w:u w:val="none"/>
                  <w:effect w:val="none"/>
                </w:rPr>
                <w:t>76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81">
              <w:r>
                <w:rPr>
                  <w:rStyle w:val="InternetLink"/>
                  <w:rFonts w:ascii="Times New Roman;sans-serif" w:hAnsi="Times New Roman;sans-serif"/>
                  <w:b w:val="false"/>
                  <w:strike w:val="false"/>
                  <w:dstrike w:val="false"/>
                  <w:color w:val="000000"/>
                  <w:sz w:val="20"/>
                  <w:u w:val="none"/>
                  <w:effect w:val="none"/>
                </w:rPr>
                <w:t>Item 3.</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81">
              <w:r>
                <w:rPr>
                  <w:rStyle w:val="InternetLink"/>
                </w:rPr>
                <w:t xml:space="preserve">Defaults </w:t>
              </w:r>
            </w:hyperlink>
            <w:hyperlink w:anchor="i642bb8ab927b47d38c34420410c74429_181">
              <w:r>
                <w:rPr>
                  <w:rStyle w:val="InternetLink"/>
                </w:rPr>
                <w:t>U</w:t>
              </w:r>
            </w:hyperlink>
            <w:hyperlink w:anchor="i642bb8ab927b47d38c34420410c74429_181">
              <w:r>
                <w:rPr>
                  <w:rStyle w:val="InternetLink"/>
                </w:rPr>
                <w:t>pon Senior Securities.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81">
              <w:r>
                <w:rPr>
                  <w:rStyle w:val="InternetLink"/>
                  <w:rFonts w:ascii="Times New Roman;sans-serif" w:hAnsi="Times New Roman;sans-serif"/>
                  <w:b w:val="false"/>
                  <w:strike w:val="false"/>
                  <w:dstrike w:val="false"/>
                  <w:color w:val="000000"/>
                  <w:sz w:val="20"/>
                  <w:u w:val="none"/>
                  <w:effect w:val="none"/>
                </w:rPr>
                <w:t>76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84">
              <w:r>
                <w:rPr>
                  <w:rStyle w:val="InternetLink"/>
                  <w:rFonts w:ascii="Times New Roman;sans-serif" w:hAnsi="Times New Roman;sans-serif"/>
                  <w:b w:val="false"/>
                  <w:strike w:val="false"/>
                  <w:dstrike w:val="false"/>
                  <w:color w:val="000000"/>
                  <w:sz w:val="20"/>
                  <w:u w:val="none"/>
                  <w:effect w:val="none"/>
                </w:rPr>
                <w:t>Item 4.</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84">
              <w:r>
                <w:rPr>
                  <w:rStyle w:val="InternetLink"/>
                  <w:rFonts w:ascii="Times New Roman;sans-serif" w:hAnsi="Times New Roman;sans-serif"/>
                  <w:b w:val="false"/>
                  <w:color w:val="0000FF"/>
                  <w:sz w:val="20"/>
                  <w:u w:val="single"/>
                </w:rPr>
                <w:t>Mine Safety Disclosures.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84">
              <w:r>
                <w:rPr>
                  <w:rStyle w:val="InternetLink"/>
                  <w:rFonts w:ascii="Times New Roman;sans-serif" w:hAnsi="Times New Roman;sans-serif"/>
                  <w:b w:val="false"/>
                  <w:strike w:val="false"/>
                  <w:dstrike w:val="false"/>
                  <w:color w:val="000000"/>
                  <w:sz w:val="20"/>
                  <w:u w:val="none"/>
                  <w:effect w:val="none"/>
                </w:rPr>
                <w:t>76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87">
              <w:r>
                <w:rPr>
                  <w:rStyle w:val="InternetLink"/>
                  <w:rFonts w:ascii="Times New Roman;sans-serif" w:hAnsi="Times New Roman;sans-serif"/>
                  <w:b w:val="false"/>
                  <w:strike w:val="false"/>
                  <w:dstrike w:val="false"/>
                  <w:color w:val="000000"/>
                  <w:sz w:val="20"/>
                  <w:u w:val="none"/>
                  <w:effect w:val="none"/>
                </w:rPr>
                <w:t>Item 5.</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87">
              <w:r>
                <w:rPr>
                  <w:rStyle w:val="InternetLink"/>
                  <w:rFonts w:ascii="Times New Roman;sans-serif" w:hAnsi="Times New Roman;sans-serif"/>
                  <w:b w:val="false"/>
                  <w:color w:val="0000FF"/>
                  <w:sz w:val="20"/>
                  <w:u w:val="single"/>
                </w:rPr>
                <w:t>Other Information.</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87">
              <w:r>
                <w:rPr>
                  <w:rStyle w:val="InternetLink"/>
                  <w:rFonts w:ascii="Times New Roman;sans-serif" w:hAnsi="Times New Roman;sans-serif"/>
                  <w:b w:val="false"/>
                  <w:strike w:val="false"/>
                  <w:dstrike w:val="false"/>
                  <w:color w:val="000000"/>
                  <w:sz w:val="20"/>
                  <w:u w:val="none"/>
                  <w:effect w:val="none"/>
                </w:rPr>
                <w:t>76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642bb8ab927b47d38c34420410c74429_190">
              <w:r>
                <w:rPr>
                  <w:rStyle w:val="InternetLink"/>
                  <w:rFonts w:ascii="Times New Roman;sans-serif" w:hAnsi="Times New Roman;sans-serif"/>
                  <w:b w:val="false"/>
                  <w:strike w:val="false"/>
                  <w:dstrike w:val="false"/>
                  <w:color w:val="000000"/>
                  <w:sz w:val="20"/>
                  <w:u w:val="none"/>
                  <w:effect w:val="none"/>
                </w:rPr>
                <w:t>Item 6.</w:t>
              </w:r>
            </w:hyperlink>
          </w:p>
        </w:tc>
        <w:tc>
          <w:tcPr>
            <w:tcW w:w="68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90">
              <w:r>
                <w:rPr>
                  <w:rStyle w:val="InternetLink"/>
                  <w:rFonts w:ascii="Times New Roman;sans-serif" w:hAnsi="Times New Roman;sans-serif"/>
                  <w:b w:val="false"/>
                  <w:color w:val="0000FF"/>
                  <w:sz w:val="20"/>
                  <w:u w:val="single"/>
                </w:rPr>
                <w:t>Exhibits.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90">
              <w:r>
                <w:rPr>
                  <w:rStyle w:val="InternetLink"/>
                  <w:rFonts w:ascii="Times New Roman;sans-serif" w:hAnsi="Times New Roman;sans-serif"/>
                  <w:b w:val="false"/>
                  <w:strike w:val="false"/>
                  <w:dstrike w:val="false"/>
                  <w:color w:val="000000"/>
                  <w:sz w:val="20"/>
                  <w:u w:val="none"/>
                  <w:effect w:val="none"/>
                </w:rPr>
                <w:t>76</w:t>
              </w:r>
            </w:hyperlink>
          </w:p>
        </w:tc>
      </w:tr>
      <w:tr>
        <w:trPr/>
        <w:tc>
          <w:tcPr>
            <w:tcW w:w="2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642bb8ab927b47d38c34420410c74429_193">
              <w:r>
                <w:rPr>
                  <w:rStyle w:val="InternetLink"/>
                  <w:rFonts w:ascii="Times New Roman;sans-serif" w:hAnsi="Times New Roman;sans-serif"/>
                  <w:b w:val="false"/>
                  <w:color w:val="0000FF"/>
                  <w:sz w:val="20"/>
                  <w:u w:val="single"/>
                </w:rPr>
                <w:t>SIGNATURES</w:t>
              </w:r>
            </w:hyperlink>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hyperlink w:anchor="i642bb8ab927b47d38c34420410c74429_193">
              <w:r>
                <w:rPr>
                  <w:rStyle w:val="InternetLink"/>
                  <w:rFonts w:ascii="Times New Roman;sans-serif" w:hAnsi="Times New Roman;sans-serif"/>
                  <w:b w:val="false"/>
                  <w:strike w:val="false"/>
                  <w:dstrike w:val="false"/>
                  <w:color w:val="000000"/>
                  <w:sz w:val="20"/>
                  <w:u w:val="none"/>
                  <w:effect w:val="none"/>
                </w:rPr>
                <w:t>82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GLOSSARY OF TERMS</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commonly used in the liquefied natural gas industry, to the extent applicable and as used in this Quarterly Report on Form 10-Q (“Quarterly Report”), the terms listed below have the following meanings:</w:t>
      </w:r>
    </w:p>
    <w:tbl>
      <w:tblPr>
        <w:tblW w:w="10205" w:type="dxa"/>
        <w:jc w:val="left"/>
        <w:tblInd w:w="0" w:type="dxa"/>
        <w:tblCellMar>
          <w:top w:w="28" w:type="dxa"/>
          <w:left w:w="28" w:type="dxa"/>
          <w:bottom w:w="28" w:type="dxa"/>
          <w:right w:w="28" w:type="dxa"/>
        </w:tblCellMar>
      </w:tblPr>
      <w:tblGrid>
        <w:gridCol w:w="455"/>
        <w:gridCol w:w="401"/>
        <w:gridCol w:w="406"/>
        <w:gridCol w:w="2761"/>
        <w:gridCol w:w="2552"/>
        <w:gridCol w:w="3630"/>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552" w:type="dxa"/>
            <w:tcBorders/>
            <w:shd w:fill="auto" w:val="clear"/>
            <w:vAlign w:val="center"/>
          </w:tcPr>
          <w:p>
            <w:pPr>
              <w:pStyle w:val="TableContents"/>
              <w:spacing w:before="0" w:after="283"/>
              <w:rPr>
                <w:sz w:val="4"/>
                <w:szCs w:val="4"/>
              </w:rPr>
            </w:pPr>
            <w:r>
              <w:rPr>
                <w:sz w:val="4"/>
                <w:szCs w:val="4"/>
              </w:rPr>
            </w:r>
          </w:p>
        </w:tc>
        <w:tc>
          <w:tcPr>
            <w:tcW w:w="3630" w:type="dxa"/>
            <w:tcBorders/>
            <w:shd w:fill="auto" w:val="cle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Bcf/yr</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 per year</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heat required to raise the temperature of one avoirdupois pound of pure water from 59 degrees Fahrenheit to 60 degrees Fahrenheit at an absolute pressure of 14.696 pounds per square inch gage</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Air Act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CERCLA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Environmental Response, Compensation and Liability Act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Water Act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Energy</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DOT</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Transportation</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Environmental Protection Agency</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FTA countries</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 which the United States has a free trade agreement providing for national treatment for trade in natural gas</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sales agreement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894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pipeline located in Erath, Louisiana that serves as the official delivery location for futures contracts on the New York Mercantile Exchange</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Organization of Standardization, an intermodal container</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w:t>
            </w:r>
          </w:p>
        </w:tc>
        <w:tc>
          <w:tcPr>
            <w:tcW w:w="894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 its liquid state at or below its boiling point at or near atmospheric pressure</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Btus, which corresponds to approximately 12.1 gallons of LNG</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mtpa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tons per year</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 We estimate 2,500 LNG gallons would be required to produce one megawatt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Act of 1938, as amended</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non-FTA countries</w:t>
            </w:r>
          </w:p>
        </w:tc>
        <w:tc>
          <w:tcPr>
            <w:tcW w:w="894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countries without a free trade agreement with the United States providing for national treatment for trade in natural gas and with which trade is permitted</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w:t>
            </w:r>
          </w:p>
        </w:tc>
        <w:tc>
          <w:tcPr>
            <w:tcW w:w="89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Pollution Act</w:t>
            </w:r>
          </w:p>
        </w:tc>
      </w:tr>
      <w:tr>
        <w:trPr/>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7576" w:type="dxa"/>
        <w:jc w:val="left"/>
        <w:tblInd w:w="0" w:type="dxa"/>
        <w:tblCellMar>
          <w:top w:w="28" w:type="dxa"/>
          <w:left w:w="28" w:type="dxa"/>
          <w:bottom w:w="28" w:type="dxa"/>
          <w:right w:w="28" w:type="dxa"/>
        </w:tblCellMar>
      </w:tblPr>
      <w:tblGrid>
        <w:gridCol w:w="282"/>
        <w:gridCol w:w="247"/>
        <w:gridCol w:w="252"/>
        <w:gridCol w:w="1988"/>
        <w:gridCol w:w="1988"/>
        <w:gridCol w:w="2819"/>
      </w:tblGrid>
      <w:tr>
        <w:trPr/>
        <w:tc>
          <w:tcPr>
            <w:tcW w:w="28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1988" w:type="dxa"/>
            <w:tcBorders/>
            <w:shd w:fill="auto" w:val="clear"/>
            <w:vAlign w:val="center"/>
          </w:tcPr>
          <w:p>
            <w:pPr>
              <w:pStyle w:val="TableContents"/>
              <w:spacing w:before="0" w:after="283"/>
              <w:rPr>
                <w:sz w:val="4"/>
                <w:szCs w:val="4"/>
              </w:rPr>
            </w:pPr>
            <w:r>
              <w:rPr>
                <w:sz w:val="4"/>
                <w:szCs w:val="4"/>
              </w:rPr>
            </w:r>
          </w:p>
        </w:tc>
        <w:tc>
          <w:tcPr>
            <w:tcW w:w="2819"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Utilities Regulation (Jamaica)</w:t>
            </w:r>
          </w:p>
        </w:tc>
      </w:tr>
      <w:tr>
        <w:trPr/>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PHMSA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Pipeline and Hazardous Materials Safety Administration</w:t>
            </w:r>
          </w:p>
        </w:tc>
      </w:tr>
      <w:tr>
        <w:trPr/>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SSA</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steam supply agreement</w:t>
            </w:r>
          </w:p>
        </w:tc>
      </w:tr>
      <w:tr>
        <w:trPr/>
        <w:tc>
          <w:tcPr>
            <w:tcW w:w="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TBtu</w:t>
            </w:r>
          </w:p>
        </w:tc>
        <w:tc>
          <w:tcPr>
            <w:tcW w:w="6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trillion Btus, which corresponds to approximately 12,100,000 gallons of LNG</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iii</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CAUTIONARY STATEMENT ON FORWARD-LOOKING STATEMENTS</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our limited operating history;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results of our subsidiaries, affiliates, joint ventures and special purpose entities in which we invest and their ability to make dividends or distributions to us;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construction and operational risks related to our facilities and assets, including cost overruns and delays;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failure of LNG or natural gas to be a competitive source of energy in the markets in which we operate, and seek to operate;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delays or failure to obtain and maintain approvals and permits from governmental and regulatory agencies;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failure to obtain a return on our investments for the development of our projects and assets and the implementation of our business strategy;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failure to maintain sufficient working capital for the development and operation of our business and assets;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failure to convert our customer pipeline into actual sales;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lack of asset, geographic or customer diversification, including loss of one or more of our customers;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competition from third parties in our business;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cyclical or other changes in the demand for and price of LNG and natural gas;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inability to procure LNG at necessary quantities or at favorable prices to meet customer demand, or otherwise to manage LNG supply and price risks, including hedging arrangements;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highlight w:val="white"/>
        </w:rPr>
        <w:t>inability to successfully develop and implement our technological solutions;</w:t>
      </w:r>
    </w:p>
    <w:p>
      <w:pPr>
        <w:pStyle w:val="TextBody"/>
        <w:spacing w:lineRule="auto" w:line="268" w:before="0" w:after="0"/>
        <w:ind w:left="0" w:right="0" w:hanging="360"/>
        <w:rPr/>
      </w:pPr>
      <w:r>
        <w:rPr>
          <w:color w:val="000000"/>
          <w:highlight w:val="white"/>
        </w:rPr>
        <w:t>•</w:t>
      </w:r>
      <w:r>
        <w:rPr>
          <w:rFonts w:ascii="Times New Roman;sans-serif" w:hAnsi="Times New Roman;sans-serif"/>
          <w:b w:val="false"/>
          <w:color w:val="000000"/>
          <w:sz w:val="20"/>
        </w:rPr>
        <w:t>inability to service our debt and comply with our covenant restrictions;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inability to obtain additional financing to effect our strategy;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inability to successfully complete mergers, sales, divestments or similar transactions related to our businesses or assets or to integrate such businesses or assets and realize the anticipated benefits;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economic, political, social and other risks related to the jurisdictions in which we do, or seek to do, business;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weather events or other natural or manmade disasters or phenomena;</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extent of the global COVID-19 pandemic or any other major health and safety incident;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increased labor costs, disputes or strikes, and the unavailability of skilled workers or our failure to attract and retain qualified personnel;</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the tax treatment of, or changes in tax laws applicable to, us or our business or of an investment in our Class A shares;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other risks described in the “Risk Factors” section of this Quarterly Report.</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2022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pStyle w:val="TextBody"/>
        <w:spacing w:before="0" w:after="0"/>
        <w:ind w:left="0" w:right="0" w:firstLine="360"/>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iv</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New Fortress Energy Inc.</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Balance Sheets</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of March 31, 2023 and December 31, 2022</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 in thousands of U.S. dollars, except share amounts)</w:t>
      </w:r>
    </w:p>
    <w:tbl>
      <w:tblPr>
        <w:tblW w:w="10205" w:type="dxa"/>
        <w:jc w:val="left"/>
        <w:tblInd w:w="0" w:type="dxa"/>
        <w:tblCellMar>
          <w:top w:w="28" w:type="dxa"/>
          <w:left w:w="28" w:type="dxa"/>
          <w:bottom w:w="28" w:type="dxa"/>
          <w:right w:w="28" w:type="dxa"/>
        </w:tblCellMar>
      </w:tblPr>
      <w:tblGrid>
        <w:gridCol w:w="2793"/>
        <w:gridCol w:w="2238"/>
        <w:gridCol w:w="2251"/>
        <w:gridCol w:w="202"/>
        <w:gridCol w:w="901"/>
        <w:gridCol w:w="112"/>
        <w:gridCol w:w="109"/>
        <w:gridCol w:w="109"/>
        <w:gridCol w:w="109"/>
        <w:gridCol w:w="221"/>
        <w:gridCol w:w="983"/>
        <w:gridCol w:w="177"/>
      </w:tblGrid>
      <w:tr>
        <w:trPr/>
        <w:tc>
          <w:tcPr>
            <w:tcW w:w="2793"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72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assets</w:t>
            </w:r>
          </w:p>
        </w:tc>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296,860 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675,492 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325,298 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165,396 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 of allowances of $748 and $884, respectively</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353,192 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280,313 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76,536 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39,070 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102,251 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226,883 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1,154,137 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1,387,154 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Construction in progress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3,357,434 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2,418,608 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2,094,417 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2,116,727 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method investments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392,306 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477,757 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377,877 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80,312 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85,897 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776,760 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138,555 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141,679 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8,223,746 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Current liabilities</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277,035 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310,272 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80,387 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602,928 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1,162,412 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lease liabilities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106,666 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48,741 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99,275 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52,878 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1,396,176 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1,409,238 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4,951,545 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4,476,865 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lease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349,621 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302,121 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26,455 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6,774,420 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6,263,223 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19)</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 750 million shares authorized, 204.7 million issued and outstanding as of March 31, 2023; 208.8 million issued and outstanding as of December 31, 2022</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1,047,541 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191,819 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other comprehensive income </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55,398 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 attributable to NFE</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1,298,751 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1,289,820 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150,575 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152,039 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1,441,859 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8,223,746 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7,705,082 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New Fortress Energy Inc.</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Condensed Consolidated Statements of Operations and Comprehensive Income </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 the three months ended March 31, 2023 and 2022</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 in thousands of U.S. dollars, except share and per share amounts)</w:t>
      </w:r>
    </w:p>
    <w:tbl>
      <w:tblPr>
        <w:tblW w:w="10197" w:type="dxa"/>
        <w:jc w:val="left"/>
        <w:tblInd w:w="0" w:type="dxa"/>
        <w:tblCellMar>
          <w:top w:w="28" w:type="dxa"/>
          <w:left w:w="28" w:type="dxa"/>
          <w:bottom w:w="28" w:type="dxa"/>
          <w:right w:w="28" w:type="dxa"/>
        </w:tblCellMar>
      </w:tblPr>
      <w:tblGrid>
        <w:gridCol w:w="2448"/>
        <w:gridCol w:w="2144"/>
        <w:gridCol w:w="2172"/>
        <w:gridCol w:w="241"/>
        <w:gridCol w:w="945"/>
        <w:gridCol w:w="116"/>
        <w:gridCol w:w="116"/>
        <w:gridCol w:w="116"/>
        <w:gridCol w:w="116"/>
        <w:gridCol w:w="241"/>
        <w:gridCol w:w="945"/>
        <w:gridCol w:w="116"/>
        <w:gridCol w:w="109"/>
        <w:gridCol w:w="109"/>
        <w:gridCol w:w="109"/>
        <w:gridCol w:w="154"/>
      </w:tblGrid>
      <w:tr>
        <w:trPr/>
        <w:tc>
          <w:tcPr>
            <w:tcW w:w="2448"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17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400,075 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charter revenue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184,938 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208,298 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basic</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208,707,385 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209,928,070 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outstanding –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209,325,619 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210,082,295 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attributable to non-controlling interest </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(4,868)</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stockholders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76"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New Fortress Energy Inc.</w:t>
      </w:r>
    </w:p>
    <w:p>
      <w:pPr>
        <w:pStyle w:val="TextBody"/>
        <w:spacing w:lineRule="auto" w:line="276"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Changes in Stockholders’ Equity</w:t>
      </w:r>
    </w:p>
    <w:p>
      <w:pPr>
        <w:pStyle w:val="TextBody"/>
        <w:spacing w:lineRule="auto" w:line="276"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 the three months ended March 31, 2023 and 2022</w:t>
      </w:r>
    </w:p>
    <w:p>
      <w:pPr>
        <w:pStyle w:val="TextBody"/>
        <w:spacing w:lineRule="auto" w:line="276"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 in thousands of U.S. dollars, except share amounts)</w:t>
      </w:r>
    </w:p>
    <w:tbl>
      <w:tblPr>
        <w:tblW w:w="11839" w:type="dxa"/>
        <w:jc w:val="left"/>
        <w:tblInd w:w="0" w:type="dxa"/>
        <w:tblCellMar>
          <w:top w:w="28" w:type="dxa"/>
          <w:left w:w="28" w:type="dxa"/>
          <w:bottom w:w="28" w:type="dxa"/>
          <w:right w:w="28" w:type="dxa"/>
        </w:tblCellMar>
      </w:tblPr>
      <w:tblGrid>
        <w:gridCol w:w="634"/>
        <w:gridCol w:w="268"/>
        <w:gridCol w:w="269"/>
        <w:gridCol w:w="109"/>
        <w:gridCol w:w="109"/>
        <w:gridCol w:w="109"/>
        <w:gridCol w:w="109"/>
        <w:gridCol w:w="109"/>
        <w:gridCol w:w="109"/>
        <w:gridCol w:w="109"/>
        <w:gridCol w:w="109"/>
        <w:gridCol w:w="109"/>
        <w:gridCol w:w="109"/>
        <w:gridCol w:w="542"/>
        <w:gridCol w:w="509"/>
        <w:gridCol w:w="109"/>
        <w:gridCol w:w="109"/>
        <w:gridCol w:w="109"/>
        <w:gridCol w:w="109"/>
        <w:gridCol w:w="198"/>
        <w:gridCol w:w="562"/>
        <w:gridCol w:w="111"/>
        <w:gridCol w:w="109"/>
        <w:gridCol w:w="109"/>
        <w:gridCol w:w="109"/>
        <w:gridCol w:w="196"/>
        <w:gridCol w:w="871"/>
        <w:gridCol w:w="109"/>
        <w:gridCol w:w="109"/>
        <w:gridCol w:w="109"/>
        <w:gridCol w:w="109"/>
        <w:gridCol w:w="220"/>
        <w:gridCol w:w="827"/>
        <w:gridCol w:w="124"/>
        <w:gridCol w:w="109"/>
        <w:gridCol w:w="109"/>
        <w:gridCol w:w="109"/>
        <w:gridCol w:w="196"/>
        <w:gridCol w:w="646"/>
        <w:gridCol w:w="109"/>
        <w:gridCol w:w="109"/>
        <w:gridCol w:w="109"/>
        <w:gridCol w:w="109"/>
        <w:gridCol w:w="200"/>
        <w:gridCol w:w="753"/>
        <w:gridCol w:w="113"/>
        <w:gridCol w:w="109"/>
        <w:gridCol w:w="109"/>
        <w:gridCol w:w="109"/>
        <w:gridCol w:w="196"/>
        <w:gridCol w:w="87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w:t>
              <w:br/>
              <w:t>interest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 xml:space="preserve">stockholders’ equity </w:t>
            </w:r>
          </w:p>
        </w:tc>
        <w:tc>
          <w:tcPr>
            <w:tcW w:w="1548" w:type="dxa"/>
            <w:gridSpan w:val="6"/>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208,770,088 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150,206 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Cancellation of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(4,100,000)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(122,754)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204,670,088 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191,819 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150,575 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tbl>
      <w:tblPr>
        <w:tblW w:w="13253" w:type="dxa"/>
        <w:jc w:val="left"/>
        <w:tblInd w:w="0" w:type="dxa"/>
        <w:tblCellMar>
          <w:top w:w="28" w:type="dxa"/>
          <w:left w:w="28" w:type="dxa"/>
          <w:bottom w:w="28" w:type="dxa"/>
          <w:right w:w="28" w:type="dxa"/>
        </w:tblCellMar>
      </w:tblPr>
      <w:tblGrid>
        <w:gridCol w:w="634"/>
        <w:gridCol w:w="268"/>
        <w:gridCol w:w="269"/>
        <w:gridCol w:w="109"/>
        <w:gridCol w:w="109"/>
        <w:gridCol w:w="109"/>
        <w:gridCol w:w="109"/>
        <w:gridCol w:w="240"/>
        <w:gridCol w:w="240"/>
        <w:gridCol w:w="241"/>
        <w:gridCol w:w="109"/>
        <w:gridCol w:w="109"/>
        <w:gridCol w:w="109"/>
        <w:gridCol w:w="525"/>
        <w:gridCol w:w="526"/>
        <w:gridCol w:w="291"/>
        <w:gridCol w:w="109"/>
        <w:gridCol w:w="109"/>
        <w:gridCol w:w="109"/>
        <w:gridCol w:w="252"/>
        <w:gridCol w:w="717"/>
        <w:gridCol w:w="142"/>
        <w:gridCol w:w="109"/>
        <w:gridCol w:w="109"/>
        <w:gridCol w:w="109"/>
        <w:gridCol w:w="196"/>
        <w:gridCol w:w="871"/>
        <w:gridCol w:w="109"/>
        <w:gridCol w:w="109"/>
        <w:gridCol w:w="109"/>
        <w:gridCol w:w="109"/>
        <w:gridCol w:w="196"/>
        <w:gridCol w:w="751"/>
        <w:gridCol w:w="109"/>
        <w:gridCol w:w="109"/>
        <w:gridCol w:w="109"/>
        <w:gridCol w:w="109"/>
        <w:gridCol w:w="200"/>
        <w:gridCol w:w="753"/>
        <w:gridCol w:w="113"/>
        <w:gridCol w:w="195"/>
        <w:gridCol w:w="195"/>
        <w:gridCol w:w="196"/>
        <w:gridCol w:w="196"/>
        <w:gridCol w:w="736"/>
        <w:gridCol w:w="109"/>
        <w:gridCol w:w="230"/>
        <w:gridCol w:w="230"/>
        <w:gridCol w:w="231"/>
        <w:gridCol w:w="196"/>
        <w:gridCol w:w="871"/>
        <w:gridCol w:w="154"/>
      </w:tblGrid>
      <w:tr>
        <w:trPr/>
        <w:tc>
          <w:tcPr>
            <w:tcW w:w="63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 xml:space="preserve">comprehensive </w:t>
              <w:br/>
              <w:t xml:space="preserve">(loss) income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w:t>
              <w:br/>
              <w:t>controlling</w:t>
              <w:br/>
              <w:t xml:space="preserve">interest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 xml:space="preserve">stockholders’ </w:t>
              <w:br/>
              <w:t xml:space="preserve">equity </w:t>
            </w:r>
          </w:p>
        </w:tc>
        <w:tc>
          <w:tcPr>
            <w:tcW w:w="3539" w:type="dxa"/>
            <w:gridSpan w:val="12"/>
            <w:tcBorders/>
            <w:shd w:fill="auto" w:val="clea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66" w:type="dxa"/>
            <w:gridSpan w:val="3"/>
            <w:vMerge w:val="continue"/>
            <w:tcBorders/>
            <w:shd w:fill="auto" w:val="clear"/>
            <w:tcMar>
              <w:top w:w="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21" w:type="dxa"/>
            <w:gridSpan w:val="3"/>
            <w:tcBorders/>
            <w:shd w:fill="auto" w:val="clea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206,863,242 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118,874 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for vested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1,121,255 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from employees related to share-based compensation, at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(442,146)</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207,542,351 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116,789 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New Fortress Energy Inc.</w:t>
      </w:r>
    </w:p>
    <w:p>
      <w:pPr>
        <w:pStyle w:val="TextBody"/>
        <w:spacing w:lineRule="auto" w:line="288" w:before="0" w:after="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Cash Flows</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For the three months ended March 31, 2023 and 2022</w:t>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(Unaudited, in thousands of U.S. dollars)</w:t>
      </w:r>
    </w:p>
    <w:tbl>
      <w:tblPr>
        <w:tblW w:w="10205" w:type="dxa"/>
        <w:jc w:val="left"/>
        <w:tblInd w:w="0" w:type="dxa"/>
        <w:tblCellMar>
          <w:top w:w="28" w:type="dxa"/>
          <w:left w:w="28" w:type="dxa"/>
          <w:bottom w:w="28" w:type="dxa"/>
          <w:right w:w="28" w:type="dxa"/>
        </w:tblCellMar>
      </w:tblPr>
      <w:tblGrid>
        <w:gridCol w:w="2822"/>
        <w:gridCol w:w="2429"/>
        <w:gridCol w:w="2437"/>
        <w:gridCol w:w="196"/>
        <w:gridCol w:w="797"/>
        <w:gridCol w:w="109"/>
        <w:gridCol w:w="109"/>
        <w:gridCol w:w="109"/>
        <w:gridCol w:w="109"/>
        <w:gridCol w:w="196"/>
        <w:gridCol w:w="736"/>
        <w:gridCol w:w="156"/>
      </w:tblGrid>
      <w:tr>
        <w:trPr/>
        <w:tc>
          <w:tcPr>
            <w:tcW w:w="2822" w:type="dxa"/>
            <w:tcBorders/>
            <w:shd w:fill="auto" w:val="clear"/>
            <w:vAlign w:val="center"/>
          </w:tcPr>
          <w:p>
            <w:pPr>
              <w:pStyle w:val="TableContents"/>
              <w:spacing w:before="0" w:after="283"/>
              <w:rPr>
                <w:sz w:val="4"/>
                <w:szCs w:val="4"/>
              </w:rPr>
            </w:pPr>
            <w:r>
              <w:rPr>
                <w:sz w:val="4"/>
                <w:szCs w:val="4"/>
              </w:rPr>
            </w:r>
          </w:p>
        </w:tc>
        <w:tc>
          <w:tcPr>
            <w:tcW w:w="2429" w:type="dxa"/>
            <w:tcBorders/>
            <w:shd w:fill="auto" w:val="clear"/>
            <w:vAlign w:val="center"/>
          </w:tcPr>
          <w:p>
            <w:pPr>
              <w:pStyle w:val="TableContents"/>
              <w:spacing w:before="0" w:after="283"/>
              <w:rPr>
                <w:sz w:val="4"/>
                <w:szCs w:val="4"/>
              </w:rPr>
            </w:pPr>
            <w:r>
              <w:rPr>
                <w:sz w:val="4"/>
                <w:szCs w:val="4"/>
              </w:rPr>
            </w:r>
          </w:p>
        </w:tc>
        <w:tc>
          <w:tcPr>
            <w:tcW w:w="24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1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for:</w:t>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of equity method investees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(50,235)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received from equity method investees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market value of derivatives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(24,855)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(58,769)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recognized from vessels chartered to third parties transferred to Energos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the disposal of equity method investment</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receivables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(58,462)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inventories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(18,617)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other assets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right-of-use assets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accounts payable/accrued liabilities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increase in amounts due to affiliates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lease liabilities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liabilities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(563,268)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(189,221)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equity method investment</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(189,221)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 of debt</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deferred financing costs</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debt</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(123,669)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withholdings for share-based compensation</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dividends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(649,796)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financing activities</w:t>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changes in foreign exchange rates on cash and cash equivalents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(decrease) in cash, cash equivalents and restricted cash</w:t>
            </w:r>
          </w:p>
        </w:tc>
        <w:tc>
          <w:tcPr>
            <w:tcW w:w="9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(25,024)</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beginning of period</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accounts payable and accrued liabilities associated with construction in progress and property, plant and equipment additions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348,737 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financing obligation to Energos by third party charterers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received in Hilli Exchange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the balance sheet line-items included in Cash and cash equivalents, Current restricted cash, and Non-current restricted cash presented in the Condensed Consolidated Statement of Cash Flows:</w:t>
      </w:r>
    </w:p>
    <w:tbl>
      <w:tblPr>
        <w:tblW w:w="6563" w:type="dxa"/>
        <w:jc w:val="left"/>
        <w:tblInd w:w="0" w:type="dxa"/>
        <w:tblCellMar>
          <w:top w:w="28" w:type="dxa"/>
          <w:left w:w="28" w:type="dxa"/>
          <w:bottom w:w="28" w:type="dxa"/>
          <w:right w:w="28" w:type="dxa"/>
        </w:tblCellMar>
      </w:tblPr>
      <w:tblGrid>
        <w:gridCol w:w="1487"/>
        <w:gridCol w:w="1308"/>
        <w:gridCol w:w="1314"/>
        <w:gridCol w:w="196"/>
        <w:gridCol w:w="736"/>
        <w:gridCol w:w="109"/>
        <w:gridCol w:w="109"/>
        <w:gridCol w:w="109"/>
        <w:gridCol w:w="109"/>
        <w:gridCol w:w="196"/>
        <w:gridCol w:w="736"/>
        <w:gridCol w:w="154"/>
      </w:tblGrid>
      <w:tr>
        <w:trPr/>
        <w:tc>
          <w:tcPr>
            <w:tcW w:w="1487"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restricted cash</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74,873 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classified as held for 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highlight w:val="white"/>
        </w:rPr>
        <w:t xml:space="preserve">Cash and cash equivalents includes </w:t>
      </w:r>
      <w:r>
        <w:rPr>
          <w:rFonts w:ascii="Times New Roman;sans-serif" w:hAnsi="Times New Roman;sans-serif"/>
          <w:b w:val="false"/>
          <w:color w:val="000000"/>
          <w:sz w:val="20"/>
        </w:rPr>
        <w:t xml:space="preserve">$13,966 </w:t>
      </w:r>
      <w:r>
        <w:rPr>
          <w:rFonts w:ascii="Times New Roman;sans-serif" w:hAnsi="Times New Roman;sans-serif"/>
          <w:b w:val="false"/>
          <w:color w:val="000000"/>
          <w:sz w:val="20"/>
          <w:highlight w:val="white"/>
        </w:rPr>
        <w:t>which has been classified as assets held for sale and included in Other non-current assets on the condensed consolidated balance sheets.</w:t>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before="240" w:after="283"/>
        <w:jc w:val="center"/>
        <w:rPr/>
      </w:pPr>
      <w:r>
        <w:rPr/>
      </w:r>
    </w:p>
    <w:p>
      <w:pPr>
        <w:pStyle w:val="TextBody"/>
        <w:spacing w:lineRule="auto" w:line="288" w:before="240" w:after="283"/>
        <w:jc w:val="center"/>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spacing w:lineRule="auto" w:line="288" w:before="240" w:after="283"/>
        <w:rPr/>
      </w:pPr>
      <w:r>
        <w:rPr>
          <w:rFonts w:ascii="Times New Roman;sans-serif" w:hAnsi="Times New Roman;sans-serif"/>
          <w:b w:val="false"/>
          <w:color w:val="000000"/>
          <w:sz w:val="20"/>
        </w:rPr>
        <w:t xml:space="preserve">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w:t>
      </w:r>
      <w:r>
        <w:rPr>
          <w:rFonts w:ascii="Times New Roman;sans-serif" w:hAnsi="Times New Roman;sans-serif"/>
          <w:b w:val="false"/>
          <w:color w:val="000000"/>
          <w:sz w:val="20"/>
          <w:highlight w:val="white"/>
        </w:rPr>
        <w:t xml:space="preserve">December 31, 2022 (the "Annual Report"). Certain prior year amounts have been reclassified to conform to current year presentation.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3. Adoption of new and revised standards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reviewed recently issued accounting pronouncements and concluded that such pronouncements are either not applicable to the Company or no material impact is expected in the condensed consolidated financial statements as a result of future adoption.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lineRule="auto" w:line="288" w:before="240" w:after="283"/>
        <w:rPr/>
      </w:pPr>
      <w:r>
        <w:rPr>
          <w:rFonts w:ascii="Times New Roman;sans-serif" w:hAnsi="Times New Roman;sans-serif"/>
          <w:b w:val="false"/>
          <w:color w:val="000000"/>
          <w:sz w:val="20"/>
        </w:rPr>
        <w:t xml:space="preserve">Operating revenue in the </w:t>
      </w:r>
      <w:r>
        <w:rPr>
          <w:rFonts w:ascii="Times New Roman;sans-serif" w:hAnsi="Times New Roman;sans-serif"/>
          <w:b w:val="false"/>
          <w:color w:val="000000"/>
          <w:sz w:val="20"/>
          <w:highlight w:val="white"/>
        </w:rPr>
        <w:t>condensed consolidated statements of operations and comprehensive income</w:t>
      </w:r>
      <w:r>
        <w:rPr>
          <w:color w:val="000000"/>
        </w:rPr>
        <w:t xml:space="preserve"> </w:t>
      </w:r>
      <w:r>
        <w:rPr>
          <w:rFonts w:ascii="Times New Roman;sans-serif" w:hAnsi="Times New Roman;sans-serif"/>
          <w:b w:val="false"/>
          <w:color w:val="000000"/>
          <w:sz w:val="20"/>
        </w:rPr>
        <w:t xml:space="preserve">includes revenue from sales of LNG and natural gas as well as outputs from the Company’s natural gas-fueled power generation facilities, including power and steam, and the sale of LNG cargos. Included in operating revenue for the three months ended March 31, 2023 are LNG cargo sales to customers of $349,361, of which $169,500 was recognized for a cancellation fee received from a customer to cancel a future delivery. LNG cargo sales for the three months ended March 31, 2022 were </w:t>
      </w:r>
      <w:r>
        <w:rPr>
          <w:rFonts w:ascii="Times New Roman;sans-serif" w:hAnsi="Times New Roman;sans-serif"/>
          <w:b w:val="false"/>
          <w:color w:val="000000"/>
          <w:sz w:val="20"/>
          <w:highlight w:val="white"/>
        </w:rPr>
        <w:t xml:space="preserve">$285,171.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Under most customer contracts, invoicing occurs once the Company’s performance obligations have been satisfied, at which point payment is unconditional. As of March 31, 2023 and December 31, 2022, receivables related to revenue from contracts with customers totaled $196,256 and $280,382, respectively, and were included in Receivables, net on the condensed consolidated balance sheets, net of current expected credit losses of $748 and $884, respectively. Other items included in Receivables, net not related to revenue from contracts with customers represent leases which are accounted for outside the scope of ASC 606, receivables associated with reimbursable costs and the realized gain of a commodity swap of $146,112.</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recognized contract liabilities, comprised of unconditional payments due or paid under the contracts with customers prior to the Company’s satisfaction of the related performance obligations. Contract liabilities associated with performance obligations that are expected to be satisfied during the next 12 months are classified within Other current liabilities on the condensed consolidated balance sheets; when the performance obligation is expected to be satisfied in a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period after 12 months from the balance sheet date, the contract liabilities are classified within Other long-term liabilities on the condensed consolidated balance sheets.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Contract assets are comprised of the transaction price allocated to completed performance obligations that will be billed to customers in subsequent periods. The contract liabilities and contract assets balances as of March 31, 2023 and December 31, 2022 are detailed below:</w:t>
      </w:r>
    </w:p>
    <w:tbl>
      <w:tblPr>
        <w:tblW w:w="9177" w:type="dxa"/>
        <w:jc w:val="left"/>
        <w:tblInd w:w="0" w:type="dxa"/>
        <w:tblCellMar>
          <w:top w:w="28" w:type="dxa"/>
          <w:left w:w="28" w:type="dxa"/>
          <w:bottom w:w="28" w:type="dxa"/>
          <w:right w:w="28" w:type="dxa"/>
        </w:tblCellMar>
      </w:tblPr>
      <w:tblGrid>
        <w:gridCol w:w="2043"/>
        <w:gridCol w:w="1795"/>
        <w:gridCol w:w="1802"/>
        <w:gridCol w:w="292"/>
        <w:gridCol w:w="998"/>
        <w:gridCol w:w="150"/>
        <w:gridCol w:w="109"/>
        <w:gridCol w:w="109"/>
        <w:gridCol w:w="109"/>
        <w:gridCol w:w="344"/>
        <w:gridCol w:w="1175"/>
        <w:gridCol w:w="251"/>
      </w:tblGrid>
      <w:tr>
        <w:trPr/>
        <w:tc>
          <w:tcPr>
            <w:tcW w:w="2043"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5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current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 non-current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26,538 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assets, net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year from:</w:t>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included in contract liabilities at the beginning of the year</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Contract assets are presented net of expected credit losses of $376 and $401 as of March 31, 2023 and December 31, 2022, respectively. As of March 31, 2023 and December 31, 2022, contract assets was comprised of $34,563 and $36,483 of unbilled receivables, respectively, which represent unconditional rights to payment only subject to the passage of time, and the reduction to contract assets in the first quarter of 2023 was primarily due to the invoicing of unbilled receivables.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Contract liabilities increased in the first quarter of 2023 due to upfront payments received under the Company's contracts in Puerto Rico to provide temporary power and to operate and maintain PREPA's power generation assets. These payments will be recognized as revenue over the expected term of these contracts.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agreements. As of March 31, 2023, the Company has capitalized $11,632 of which $2,010 of these costs is presented within Prepaid expenses and other current assets, net and $9,622 is presented within Other non-current assets, net on the condensed consolidated balance sheets. As of December 31, 2022, the Company had capitalized $10,377, of which $604 of these costs was presented within Prepaid expenses and other current assets, net and $9,773 was presented within Other non-current assets, net on the condensed consolidated balance sheets.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Transaction price allocated to remaining performance obligations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Some of the Company’s contracts are short-term in nature with a contract term of less than a year. The Company applied the optional exemption not to report any unfulfilled performance obligations related to these contracts.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multiplied by the outstanding minimum guaranteed volumes. The Company expects to recognize this revenue over the following time periods. The pattern of recognition reflects the minimum guaranteed volumes in each period:</w:t>
      </w:r>
    </w:p>
    <w:tbl>
      <w:tblPr>
        <w:tblW w:w="3125" w:type="dxa"/>
        <w:jc w:val="left"/>
        <w:tblInd w:w="0" w:type="dxa"/>
        <w:tblCellMar>
          <w:top w:w="28" w:type="dxa"/>
          <w:left w:w="28" w:type="dxa"/>
          <w:bottom w:w="28" w:type="dxa"/>
          <w:right w:w="28" w:type="dxa"/>
        </w:tblCellMar>
      </w:tblPr>
      <w:tblGrid>
        <w:gridCol w:w="606"/>
        <w:gridCol w:w="534"/>
        <w:gridCol w:w="539"/>
        <w:gridCol w:w="211"/>
        <w:gridCol w:w="1081"/>
        <w:gridCol w:w="154"/>
      </w:tblGrid>
      <w:tr>
        <w:trPr/>
        <w:tc>
          <w:tcPr>
            <w:tcW w:w="60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770,982 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7,943,959 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11,567,260 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Lessor arrangements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Property, plant and equipment subject to vessel charters accounted for as operating leases is included within Vessels within "Note 12 Property, plant and equipment, net." Vessels included in the Energos Formation Transaction (defined below), including those vessels chartered to third parties, continue to be recognized on the condensed consolidated balance sheet. The carrying amount of these vessels that are leased to third parties under operating leases is as follows:</w:t>
      </w:r>
    </w:p>
    <w:tbl>
      <w:tblPr>
        <w:tblW w:w="6461" w:type="dxa"/>
        <w:jc w:val="left"/>
        <w:tblInd w:w="0" w:type="dxa"/>
        <w:tblCellMar>
          <w:top w:w="28" w:type="dxa"/>
          <w:left w:w="28" w:type="dxa"/>
          <w:bottom w:w="28" w:type="dxa"/>
          <w:right w:w="28" w:type="dxa"/>
        </w:tblCellMar>
      </w:tblPr>
      <w:tblGrid>
        <w:gridCol w:w="1059"/>
        <w:gridCol w:w="930"/>
        <w:gridCol w:w="936"/>
        <w:gridCol w:w="265"/>
        <w:gridCol w:w="1038"/>
        <w:gridCol w:w="137"/>
        <w:gridCol w:w="109"/>
        <w:gridCol w:w="109"/>
        <w:gridCol w:w="109"/>
        <w:gridCol w:w="278"/>
        <w:gridCol w:w="1288"/>
        <w:gridCol w:w="203"/>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1,292,957 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(80,233)</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805,334 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1,212,724 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components of lease income from vessel operating leases for the three months ended March 31, 2023 and 2022 are shown below. As the Company has not recognized the sale of all of the vessels included in the Energos Formation Transaction, the operating lease income for the three months ended March 31, 2023 includes revenue of $76,524 from third-party charters of vessels included in the Energos Formation Transaction. </w:t>
      </w:r>
    </w:p>
    <w:tbl>
      <w:tblPr>
        <w:tblW w:w="5744" w:type="dxa"/>
        <w:jc w:val="left"/>
        <w:tblInd w:w="0" w:type="dxa"/>
        <w:tblCellMar>
          <w:top w:w="28" w:type="dxa"/>
          <w:left w:w="28" w:type="dxa"/>
          <w:bottom w:w="28" w:type="dxa"/>
          <w:right w:w="28" w:type="dxa"/>
        </w:tblCellMar>
      </w:tblPr>
      <w:tblGrid>
        <w:gridCol w:w="896"/>
        <w:gridCol w:w="787"/>
        <w:gridCol w:w="792"/>
        <w:gridCol w:w="244"/>
        <w:gridCol w:w="835"/>
        <w:gridCol w:w="126"/>
        <w:gridCol w:w="126"/>
        <w:gridCol w:w="126"/>
        <w:gridCol w:w="126"/>
        <w:gridCol w:w="244"/>
        <w:gridCol w:w="835"/>
        <w:gridCol w:w="126"/>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income</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income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90,786 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highlight w:val="white"/>
        </w:rPr>
        <w:t xml:space="preserve">Prior to the completion of the Energos Formation Transaction, the Company's charter of the </w:t>
      </w:r>
      <w:r>
        <w:rPr>
          <w:rFonts w:ascii="Times New Roman;sans-serif" w:hAnsi="Times New Roman;sans-serif"/>
          <w:b w:val="false"/>
          <w:i/>
          <w:color w:val="000000"/>
          <w:sz w:val="20"/>
          <w:highlight w:val="white"/>
        </w:rPr>
        <w:t>Nanook</w:t>
      </w:r>
      <w:r>
        <w:rPr>
          <w:color w:val="000000"/>
          <w:highlight w:val="white"/>
        </w:rPr>
        <w:t xml:space="preserve"> </w:t>
      </w:r>
      <w:r>
        <w:rPr>
          <w:rFonts w:ascii="Times New Roman;sans-serif" w:hAnsi="Times New Roman;sans-serif"/>
          <w:b w:val="false"/>
          <w:color w:val="000000"/>
          <w:sz w:val="20"/>
          <w:highlight w:val="white"/>
        </w:rPr>
        <w:t xml:space="preserve">was accounted for as a finance lease, and the Company recognized interest income of $11,581 for the three months ended March 31, 2022 related to this finance lease. The Company also recognized revenue of $1,634 for the three months ended March 31, 2022 related to the operation and services agreement and variable charter revenue within Vessel charter revenue in the condensed consolidated statements of operations and comprehensive income. The Company recognized the sale of the net investment in the finance lease of the </w:t>
      </w:r>
      <w:r>
        <w:rPr>
          <w:rFonts w:ascii="Times New Roman;sans-serif" w:hAnsi="Times New Roman;sans-serif"/>
          <w:b w:val="false"/>
          <w:i/>
          <w:color w:val="000000"/>
          <w:sz w:val="20"/>
          <w:highlight w:val="white"/>
        </w:rPr>
        <w:t>Nanook</w:t>
      </w:r>
      <w:r>
        <w:rPr>
          <w:color w:val="000000"/>
          <w:highlight w:val="white"/>
        </w:rPr>
        <w:t xml:space="preserve"> </w:t>
      </w:r>
      <w:r>
        <w:rPr>
          <w:rFonts w:ascii="Times New Roman;sans-serif" w:hAnsi="Times New Roman;sans-serif"/>
          <w:b w:val="false"/>
          <w:color w:val="000000"/>
          <w:sz w:val="20"/>
          <w:highlight w:val="white"/>
        </w:rPr>
        <w:t xml:space="preserve">as part of the Energos Formation Transaction.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highlight w:val="white"/>
        </w:rPr>
        <w:t xml:space="preserve">Subsequent to the Energos Formation Transaction, all cash receipts on vessel charters, including the finance lease of the </w:t>
      </w:r>
      <w:r>
        <w:rPr>
          <w:rFonts w:ascii="Times New Roman;sans-serif" w:hAnsi="Times New Roman;sans-serif"/>
          <w:b w:val="false"/>
          <w:i/>
          <w:color w:val="000000"/>
          <w:sz w:val="20"/>
          <w:highlight w:val="white"/>
        </w:rPr>
        <w:t>Nanook</w:t>
      </w:r>
      <w:r>
        <w:rPr>
          <w:rFonts w:ascii="Times New Roman;sans-serif" w:hAnsi="Times New Roman;sans-serif"/>
          <w:b w:val="false"/>
          <w:color w:val="000000"/>
          <w:sz w:val="20"/>
          <w:highlight w:val="white"/>
        </w:rPr>
        <w:t xml:space="preserve">, will be received by Energos. As such, there are no future cash receipts from operating leases, and the future cash receipts from other finance leases are not significant as of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5. Leases, as lessee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ROU assets, current lease liabilities and non-current lease liabilities consisted of the following:</w:t>
      </w:r>
    </w:p>
    <w:tbl>
      <w:tblPr>
        <w:tblW w:w="6355" w:type="dxa"/>
        <w:jc w:val="left"/>
        <w:tblInd w:w="0" w:type="dxa"/>
        <w:tblCellMar>
          <w:top w:w="28" w:type="dxa"/>
          <w:left w:w="28" w:type="dxa"/>
          <w:bottom w:w="28" w:type="dxa"/>
          <w:right w:w="28" w:type="dxa"/>
        </w:tblCellMar>
      </w:tblPr>
      <w:tblGrid>
        <w:gridCol w:w="1021"/>
        <w:gridCol w:w="898"/>
        <w:gridCol w:w="900"/>
        <w:gridCol w:w="265"/>
        <w:gridCol w:w="1038"/>
        <w:gridCol w:w="137"/>
        <w:gridCol w:w="109"/>
        <w:gridCol w:w="109"/>
        <w:gridCol w:w="109"/>
        <w:gridCol w:w="313"/>
        <w:gridCol w:w="1228"/>
        <w:gridCol w:w="228"/>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407,553 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355,883 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Finance right-of-use-assets </w:t>
            </w:r>
            <w:r>
              <w:rPr>
                <w:rFonts w:ascii="Times New Roman;sans-serif" w:hAnsi="Times New Roman;sans-serif"/>
                <w:b w:val="false"/>
                <w:color w:val="000000"/>
                <w:sz w:val="13"/>
              </w:rPr>
              <w:t>(1)</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106,666 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290,899 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349,621 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Finance lease ROU assets are recorded net of accumulated amortization of </w:t>
      </w:r>
      <w:r>
        <w:rPr>
          <w:rFonts w:ascii="Times New Roman;sans-serif" w:hAnsi="Times New Roman;sans-serif"/>
          <w:b w:val="false"/>
          <w:color w:val="000000"/>
          <w:sz w:val="20"/>
          <w:highlight w:val="white"/>
        </w:rPr>
        <w:t>$3,923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$2,134</w:t>
      </w:r>
      <w:r>
        <w:rPr>
          <w:color w:val="000000"/>
        </w:rPr>
        <w:t xml:space="preserve">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March 31, 2023 and December 31, 2022</w:t>
      </w:r>
      <w:r>
        <w:rPr>
          <w:rFonts w:ascii="Times New Roman;sans-serif" w:hAnsi="Times New Roman;sans-serif"/>
          <w:b w:val="false"/>
          <w:color w:val="000000"/>
          <w:sz w:val="20"/>
        </w:rPr>
        <w:t>, respectively.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months ended March 31, 2023 and 2022, the Company’s operating lease cost recorded within the condensed consolidated statements of operations and comprehensive income was as follows:</w:t>
      </w:r>
    </w:p>
    <w:tbl>
      <w:tblPr>
        <w:tblW w:w="7213" w:type="dxa"/>
        <w:jc w:val="left"/>
        <w:tblInd w:w="0" w:type="dxa"/>
        <w:tblCellMar>
          <w:top w:w="28" w:type="dxa"/>
          <w:left w:w="28" w:type="dxa"/>
          <w:bottom w:w="28" w:type="dxa"/>
          <w:right w:w="28" w:type="dxa"/>
        </w:tblCellMar>
      </w:tblPr>
      <w:tblGrid>
        <w:gridCol w:w="1428"/>
        <w:gridCol w:w="1252"/>
        <w:gridCol w:w="1264"/>
        <w:gridCol w:w="244"/>
        <w:gridCol w:w="835"/>
        <w:gridCol w:w="126"/>
        <w:gridCol w:w="126"/>
        <w:gridCol w:w="126"/>
        <w:gridCol w:w="126"/>
        <w:gridCol w:w="244"/>
        <w:gridCol w:w="835"/>
        <w:gridCol w:w="126"/>
        <w:gridCol w:w="109"/>
        <w:gridCol w:w="109"/>
        <w:gridCol w:w="109"/>
        <w:gridCol w:w="154"/>
      </w:tblGrid>
      <w:tr>
        <w:trPr/>
        <w:tc>
          <w:tcPr>
            <w:tcW w:w="1428"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cost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Cost of sales</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Operations and maintenance</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 Selling, general and administrative</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the three months ended March 31, 2023 and 2022, the Company has capitalized $4,256 and $8,242 of lease costs, respectively. Capitalized costs include of vessels and port space used during the commissioning of development projects. Short-term lease costs for vessels chartered by the Company to transport inventory from a supplier’s facilities to the Company’s storage locations are capitalized to inventory.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leases of turbines, ISO tanks and a parcel of land that transfer the ownership in underlying assets to the Company at the end of the lease, and these leases are treated as finance leases. For the three months ended March 31, 2023 and 2022, the Company’s finance interest expense and amortization recorded in Interest expense and Depreciation and amortization, respectively, within the condensed consolidated statements of operations and comprehensive income were as follows:</w:t>
      </w:r>
    </w:p>
    <w:tbl>
      <w:tblPr>
        <w:tblW w:w="8083" w:type="dxa"/>
        <w:jc w:val="left"/>
        <w:tblInd w:w="0" w:type="dxa"/>
        <w:tblCellMar>
          <w:top w:w="28" w:type="dxa"/>
          <w:left w:w="28" w:type="dxa"/>
          <w:bottom w:w="28" w:type="dxa"/>
          <w:right w:w="28" w:type="dxa"/>
        </w:tblCellMar>
      </w:tblPr>
      <w:tblGrid>
        <w:gridCol w:w="1745"/>
        <w:gridCol w:w="1528"/>
        <w:gridCol w:w="1541"/>
        <w:gridCol w:w="310"/>
        <w:gridCol w:w="684"/>
        <w:gridCol w:w="160"/>
        <w:gridCol w:w="160"/>
        <w:gridCol w:w="160"/>
        <w:gridCol w:w="160"/>
        <w:gridCol w:w="310"/>
        <w:gridCol w:w="684"/>
        <w:gridCol w:w="160"/>
        <w:gridCol w:w="109"/>
        <w:gridCol w:w="109"/>
        <w:gridCol w:w="109"/>
        <w:gridCol w:w="154"/>
      </w:tblGrid>
      <w:tr>
        <w:trPr/>
        <w:tc>
          <w:tcPr>
            <w:tcW w:w="1745"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finance leases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 related to finance leases</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Cash paid for operating leases is reported in operating activities in the condensed consolidated statements of cash flows. Supplemental cash flow information related to leases was as follows for the three months ended March 31, 2023 and 2022:</w:t>
      </w:r>
    </w:p>
    <w:tbl>
      <w:tblPr>
        <w:tblW w:w="9023" w:type="dxa"/>
        <w:jc w:val="left"/>
        <w:tblInd w:w="0" w:type="dxa"/>
        <w:tblCellMar>
          <w:top w:w="28" w:type="dxa"/>
          <w:left w:w="28" w:type="dxa"/>
          <w:bottom w:w="28" w:type="dxa"/>
          <w:right w:w="28" w:type="dxa"/>
        </w:tblCellMar>
      </w:tblPr>
      <w:tblGrid>
        <w:gridCol w:w="2242"/>
        <w:gridCol w:w="1969"/>
        <w:gridCol w:w="1983"/>
        <w:gridCol w:w="243"/>
        <w:gridCol w:w="833"/>
        <w:gridCol w:w="125"/>
        <w:gridCol w:w="125"/>
        <w:gridCol w:w="125"/>
        <w:gridCol w:w="125"/>
        <w:gridCol w:w="243"/>
        <w:gridCol w:w="833"/>
        <w:gridCol w:w="177"/>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outflows for operating lease liabilities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outflows for finance lease liabilities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future payments due under operating and finance leases as of March 31, 2023 are as follows:</w:t>
      </w:r>
    </w:p>
    <w:tbl>
      <w:tblPr>
        <w:tblW w:w="6220" w:type="dxa"/>
        <w:jc w:val="left"/>
        <w:tblInd w:w="0" w:type="dxa"/>
        <w:tblCellMar>
          <w:top w:w="28" w:type="dxa"/>
          <w:left w:w="28" w:type="dxa"/>
          <w:bottom w:w="28" w:type="dxa"/>
          <w:right w:w="28" w:type="dxa"/>
        </w:tblCellMar>
      </w:tblPr>
      <w:tblGrid>
        <w:gridCol w:w="972"/>
        <w:gridCol w:w="853"/>
        <w:gridCol w:w="860"/>
        <w:gridCol w:w="292"/>
        <w:gridCol w:w="1146"/>
        <w:gridCol w:w="151"/>
        <w:gridCol w:w="109"/>
        <w:gridCol w:w="109"/>
        <w:gridCol w:w="109"/>
        <w:gridCol w:w="314"/>
        <w:gridCol w:w="1076"/>
        <w:gridCol w:w="229"/>
      </w:tblGrid>
      <w:tr>
        <w:trPr/>
        <w:tc>
          <w:tcPr>
            <w:tcW w:w="97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remainder of 2023</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66,893 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145,251 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391,514 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28,974 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313,822 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the weighted average remaining lease term for operating leases was 7.2 years and finance leases was 2.6 years. Because the Company generally does not have access to the rate implicit in the lease, the incremental borrowing rate is utilized as the discount rate. The weighted average discount rate associated with operating leases as of both March 31, 2023 and December 31, 2022 was 8.5%. The weighted average discount rate associated with finance leases as of March 31, 2023 was 8.3% and as of December 31, 2022 was 5.1%.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6. Financial instruments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Commodity risk management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has utilized commodity swap transactions to manage exposure to changes in market pricing of natural gas or LNG. Realized and unrealized gains and losses on these transactions have been recognized in Cost of sales in the condensed consolidated statements of operations and comprehensive income.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condensed consolidated statements of operations and comprehensive income. The gain was comprised of a realized gain of $146,112 and the reversal of the unrealized gain of $104,797 recognized in the fourth quarter of 2022.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entered into a commodity swap transaction. Mark-to-market losses of $5,730 on this instrument have been recognized in Cost of sales in the condensed consolidated statements of operations and comprehensive income.</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rate and currency risk management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party to an interest rate swap, and in the first quarter of 2023, the interest rate swap was terminated.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mark-to-market gain or loss on the interest rate swap and other derivative instruments that are not intended to mitigate commodity risk are reported in Other expense (income), net in the condensed consolidated statements of operations and comprehensive income.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Fair value</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Fair value measurements and disclosures require the use of valuation techniques to measure fair value that maximize the use of observable inputs and minimize use of unobservable inputs. These inputs are prioritized as follows:</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highlight w:val="white"/>
        </w:rPr>
        <w:t>Level 1 – observable inputs such as quoted prices in active markets for identical assets or liabilities.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Level 2 – inputs other than quoted prices included within Level 1 that are observable, either directly or indirectly, such as quoted prices for similar assets or liabilities or market corroborated inputs.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Level 3 – unobservable inputs for which there is little or no market data and which require the Company to develop its own assumptions about how market participants price the asset or liability.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valuation techniques that may be used to measure fair value are as follows: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Market approach – uses prices and other relevant information generated by market transactions involving identical or comparable assets or liabilities.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Income approach – uses valuation techniques, such as the discounted cash flow technique, to convert future amounts to a single present amount based on current market expectations about those future amounts.</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highlight w:val="white"/>
        </w:rPr>
        <w:t>Cost approach – based on the amount that currently would be required to replace the service capacity of an asset (replacement cost).</w:t>
      </w:r>
    </w:p>
    <w:p>
      <w:pPr>
        <w:pStyle w:val="TextBody"/>
        <w:spacing w:lineRule="auto" w:line="288" w:before="240" w:after="283"/>
        <w:rPr/>
      </w:pPr>
      <w:r>
        <w:rPr>
          <w:rFonts w:ascii="Times New Roman;sans-serif" w:hAnsi="Times New Roman;sans-serif"/>
          <w:b w:val="false"/>
          <w:color w:val="000000"/>
          <w:sz w:val="20"/>
        </w:rPr>
        <w:t xml:space="preserve">The Company uses the market approach when valuing </w:t>
      </w:r>
      <w:r>
        <w:rPr>
          <w:rFonts w:ascii="Times New Roman;sans-serif" w:hAnsi="Times New Roman;sans-serif"/>
          <w:b w:val="false"/>
          <w:color w:val="000000"/>
          <w:sz w:val="20"/>
          <w:highlight w:val="white"/>
        </w:rPr>
        <w:t xml:space="preserve">investment in equity securities which is recorded in Other non-current assets on the condensed consolidated balance sheets as of March 31, 2023 and December 31, 2022.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income approach when valuing the following financial instruments: </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highlight w:val="white"/>
        </w:rPr>
        <w:t xml:space="preserve">Interest rate swap - The Company did not have any interest rate swaps outstanding as of March 31, 2023. As of December 31, 2022, the Company had an interest rate swap that was recorded within Other non-current assets, net on the condensed consolidated balance sheets. </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highlight w:val="white"/>
        </w:rPr>
        <w:t>The liability and asset associated with commodity swaps are recorded within Other current liabilities and Prepaid expenses and other current assets on the condensed consolidated balance sheets as of March 31, 2023 and December 31, 2022, respectively.</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highlight w:val="white"/>
        </w:rPr>
        <w:t xml:space="preserve">Contingent consideration derivative liability represents consideration due to the sellers in asset acquisitions when certain contingent events occur. The liability associated with these derivative liabilities is recorded within Other current liabilities and Other long-term liabilities on the condensed consolidated balance sheets as of March 31, 2023 and December 31, 2022.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derivative instruments, including commodity swaps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the Company’s financial assets and financial liabilities, including those that are measured at fair value, as of March 31, 2023 and December 31, 2022:</w:t>
      </w:r>
    </w:p>
    <w:tbl>
      <w:tblPr>
        <w:tblW w:w="9312" w:type="dxa"/>
        <w:jc w:val="left"/>
        <w:tblInd w:w="0" w:type="dxa"/>
        <w:tblCellMar>
          <w:top w:w="28" w:type="dxa"/>
          <w:left w:w="28" w:type="dxa"/>
          <w:bottom w:w="28" w:type="dxa"/>
          <w:right w:w="28" w:type="dxa"/>
        </w:tblCellMar>
      </w:tblPr>
      <w:tblGrid>
        <w:gridCol w:w="1410"/>
        <w:gridCol w:w="1242"/>
        <w:gridCol w:w="1248"/>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1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believes the carrying amounts of cash and cash equivalents, accounts receivable and accounts payable approximated their fair value as of March 31, 2023 and December 31, 2022 and are classified as Level 1 within the fair value hierarchy.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summarizes the fair value adjustment to instruments measured at Level 3 in the fair value hierarchy, including the contingent consideration derivative liabilities. These adjustments have been recorded within Other expense (income), net in the condensed consolidated statements of operations and comprehensive income for the three months ended March 31, 2023 and 2022:</w:t>
      </w:r>
    </w:p>
    <w:tbl>
      <w:tblPr>
        <w:tblW w:w="9910" w:type="dxa"/>
        <w:jc w:val="left"/>
        <w:tblInd w:w="0" w:type="dxa"/>
        <w:tblCellMar>
          <w:top w:w="28" w:type="dxa"/>
          <w:left w:w="28" w:type="dxa"/>
          <w:bottom w:w="28" w:type="dxa"/>
          <w:right w:w="28" w:type="dxa"/>
        </w:tblCellMar>
      </w:tblPr>
      <w:tblGrid>
        <w:gridCol w:w="2288"/>
        <w:gridCol w:w="2011"/>
        <w:gridCol w:w="2016"/>
        <w:gridCol w:w="109"/>
        <w:gridCol w:w="109"/>
        <w:gridCol w:w="109"/>
        <w:gridCol w:w="267"/>
        <w:gridCol w:w="877"/>
        <w:gridCol w:w="138"/>
        <w:gridCol w:w="138"/>
        <w:gridCol w:w="138"/>
        <w:gridCol w:w="138"/>
        <w:gridCol w:w="267"/>
        <w:gridCol w:w="686"/>
        <w:gridCol w:w="138"/>
        <w:gridCol w:w="109"/>
        <w:gridCol w:w="109"/>
        <w:gridCol w:w="109"/>
        <w:gridCol w:w="154"/>
      </w:tblGrid>
      <w:tr>
        <w:trPr/>
        <w:tc>
          <w:tcPr>
            <w:tcW w:w="2288"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derivative liabilities - Fair value adjustment - gain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highlight w:val="white"/>
        </w:rPr>
        <w:t>three months ended March 31, 2023 and 2022,</w:t>
      </w:r>
      <w:r>
        <w:rPr>
          <w:color w:val="000000"/>
        </w:rPr>
        <w:t xml:space="preserve"> </w:t>
      </w:r>
      <w:r>
        <w:rPr>
          <w:rFonts w:ascii="Times New Roman;sans-serif" w:hAnsi="Times New Roman;sans-serif"/>
          <w:b w:val="false"/>
          <w:color w:val="000000"/>
          <w:sz w:val="20"/>
        </w:rPr>
        <w:t xml:space="preserve">the Company had no settlements of other financial instruments or any transfers in or out of Level 3 in the fair value hierarchy.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7. Restricted cash</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restricted cash consisted of the following:</w:t>
      </w:r>
    </w:p>
    <w:tbl>
      <w:tblPr>
        <w:tblW w:w="7931" w:type="dxa"/>
        <w:jc w:val="left"/>
        <w:tblInd w:w="0" w:type="dxa"/>
        <w:tblCellMar>
          <w:top w:w="28" w:type="dxa"/>
          <w:left w:w="28" w:type="dxa"/>
          <w:bottom w:w="28" w:type="dxa"/>
          <w:right w:w="28" w:type="dxa"/>
        </w:tblCellMar>
      </w:tblPr>
      <w:tblGrid>
        <w:gridCol w:w="1591"/>
        <w:gridCol w:w="1400"/>
        <w:gridCol w:w="1404"/>
        <w:gridCol w:w="265"/>
        <w:gridCol w:w="1038"/>
        <w:gridCol w:w="137"/>
        <w:gridCol w:w="109"/>
        <w:gridCol w:w="109"/>
        <w:gridCol w:w="109"/>
        <w:gridCol w:w="313"/>
        <w:gridCol w:w="1228"/>
        <w:gridCol w:w="228"/>
      </w:tblGrid>
      <w:tr>
        <w:trPr/>
        <w:tc>
          <w:tcPr>
            <w:tcW w:w="1591"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under the terms of loan agreements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letters of credit and performance bonds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41,392 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for interest rate swaps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restricted cash</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325,298 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167,977 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restricted cash</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165,396 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restricted cash</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of March 31, 2023, the balance presented as collateral for letters of credit and performance bonds increased as the Company has posted cash collateral of $203,000 to support a letter of credit which will be utilized to facilitate the purchase of turbines that is expected to be completed in the second quarter of 2023. A portion of these turbines will be utilized to support the Company's contract to generate temporary power in Puerto Rico.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Uses of cash proceeds under the Barcarena Term Loan (see Note 17) are restricted to certain payments to construct the Barcarena Power Plant. Non-current restricted cash is presented in Other non-current assets, net on the condensed consolidated balance sheets.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8. Inventory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inventory consisted of the following:</w:t>
      </w:r>
    </w:p>
    <w:tbl>
      <w:tblPr>
        <w:tblW w:w="7017" w:type="dxa"/>
        <w:jc w:val="left"/>
        <w:tblInd w:w="0" w:type="dxa"/>
        <w:tblCellMar>
          <w:top w:w="28" w:type="dxa"/>
          <w:left w:w="28" w:type="dxa"/>
          <w:bottom w:w="28" w:type="dxa"/>
          <w:right w:w="28" w:type="dxa"/>
        </w:tblCellMar>
      </w:tblPr>
      <w:tblGrid>
        <w:gridCol w:w="1261"/>
        <w:gridCol w:w="1106"/>
        <w:gridCol w:w="1113"/>
        <w:gridCol w:w="292"/>
        <w:gridCol w:w="998"/>
        <w:gridCol w:w="150"/>
        <w:gridCol w:w="109"/>
        <w:gridCol w:w="109"/>
        <w:gridCol w:w="109"/>
        <w:gridCol w:w="344"/>
        <w:gridCol w:w="1175"/>
        <w:gridCol w:w="251"/>
      </w:tblGrid>
      <w:tr>
        <w:trPr/>
        <w:tc>
          <w:tcPr>
            <w:tcW w:w="1261"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and natural gas inventory</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 diesel oil inventory</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Bunker fuel, materials, supplies and 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Inventory is adjusted to the lower of cost or net realizable value each quarter. Changes in the value of inventory are recorded within Cost of sales in the condensed consolidated statements of operations and comprehensive income. No adjustments were recorded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9. Prepaid expenses and other current assets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prepaid expenses and other current assets consisted of the following:</w:t>
      </w:r>
    </w:p>
    <w:tbl>
      <w:tblPr>
        <w:tblW w:w="7810" w:type="dxa"/>
        <w:jc w:val="left"/>
        <w:tblInd w:w="0" w:type="dxa"/>
        <w:tblCellMar>
          <w:top w:w="28" w:type="dxa"/>
          <w:left w:w="28" w:type="dxa"/>
          <w:bottom w:w="28" w:type="dxa"/>
          <w:right w:w="28" w:type="dxa"/>
        </w:tblCellMar>
      </w:tblPr>
      <w:tblGrid>
        <w:gridCol w:w="1548"/>
        <w:gridCol w:w="1357"/>
        <w:gridCol w:w="1369"/>
        <w:gridCol w:w="265"/>
        <w:gridCol w:w="1038"/>
        <w:gridCol w:w="137"/>
        <w:gridCol w:w="109"/>
        <w:gridCol w:w="109"/>
        <w:gridCol w:w="109"/>
        <w:gridCol w:w="313"/>
        <w:gridCol w:w="1228"/>
        <w:gridCol w:w="228"/>
      </w:tblGrid>
      <w:tr>
        <w:trPr/>
        <w:tc>
          <w:tcPr>
            <w:tcW w:w="1548"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taxes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104,797 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affiliates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226,883 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Prepaid expenses included $4,821 and $34,882 of prepaid LNG inventory as of March 31, 2023 and December 31, 2022, respectively. Other current assets as of March 31, 2023 and December 31, 2022 primarily consists of deposits, as well as the current portion of contract assets (Note 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10. Equity method investments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Changes in the balance of the Company’s equity method investments is as follows:</w:t>
      </w:r>
    </w:p>
    <w:tbl>
      <w:tblPr>
        <w:tblW w:w="6097" w:type="dxa"/>
        <w:jc w:val="left"/>
        <w:tblInd w:w="0" w:type="dxa"/>
        <w:tblCellMar>
          <w:top w:w="28" w:type="dxa"/>
          <w:left w:w="28" w:type="dxa"/>
          <w:bottom w:w="28" w:type="dxa"/>
          <w:right w:w="28" w:type="dxa"/>
        </w:tblCellMar>
      </w:tblPr>
      <w:tblGrid>
        <w:gridCol w:w="1592"/>
        <w:gridCol w:w="1399"/>
        <w:gridCol w:w="1403"/>
        <w:gridCol w:w="265"/>
        <w:gridCol w:w="1038"/>
        <w:gridCol w:w="137"/>
        <w:gridCol w:w="109"/>
        <w:gridCol w:w="154"/>
      </w:tblGrid>
      <w:tr>
        <w:trPr/>
        <w:tc>
          <w:tcPr>
            <w:tcW w:w="1592"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December 31, 2022</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investees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equity method investments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(260,156)</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as of March 31, 2023</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carrying amounts of the Company's equity method investments as of March 31, 2023 and December 31, 2022 are:</w:t>
      </w:r>
    </w:p>
    <w:tbl>
      <w:tblPr>
        <w:tblW w:w="4450" w:type="dxa"/>
        <w:jc w:val="left"/>
        <w:tblInd w:w="0" w:type="dxa"/>
        <w:tblCellMar>
          <w:top w:w="28" w:type="dxa"/>
          <w:left w:w="28" w:type="dxa"/>
          <w:bottom w:w="28" w:type="dxa"/>
          <w:right w:w="28" w:type="dxa"/>
        </w:tblCellMar>
      </w:tblPr>
      <w:tblGrid>
        <w:gridCol w:w="330"/>
        <w:gridCol w:w="291"/>
        <w:gridCol w:w="293"/>
        <w:gridCol w:w="265"/>
        <w:gridCol w:w="1038"/>
        <w:gridCol w:w="137"/>
        <w:gridCol w:w="109"/>
        <w:gridCol w:w="109"/>
        <w:gridCol w:w="109"/>
        <w:gridCol w:w="313"/>
        <w:gridCol w:w="1228"/>
        <w:gridCol w:w="228"/>
      </w:tblGrid>
      <w:tr>
        <w:trPr/>
        <w:tc>
          <w:tcPr>
            <w:tcW w:w="33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Hilli LLC</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Energos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392,306 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the carrying value of the Company’s equity method investments was less than its proportionate share of the underlying net assets of its investees by $1,548. At December 31, 2022, the carrying value of the Company’s equity method investments exceeded its proportionate share of the underlying net assets of its investees by $16,976, and the basis difference attributable to amortizable net assets is amortized to Income from equity method investments in the condensed consolidated statements of operations and comprehensive income over the remaining estimated useful lives of the underlying assets.</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Hilli LLC</w:t>
      </w:r>
    </w:p>
    <w:p>
      <w:pPr>
        <w:pStyle w:val="TextBody"/>
        <w:spacing w:lineRule="auto" w:line="288" w:before="240" w:after="283"/>
        <w:rPr/>
      </w:pPr>
      <w:r>
        <w:rPr>
          <w:rFonts w:ascii="Times New Roman;sans-serif" w:hAnsi="Times New Roman;sans-serif"/>
          <w:b w:val="false"/>
          <w:color w:val="000000"/>
          <w:sz w:val="20"/>
          <w:highlight w:val="white"/>
        </w:rPr>
        <w:t xml:space="preserve">On March 15, 2023, the Company completed a transaction with Golar LNG Limited for the sale of the Company's investment in the common units of Hilli LLC in exchange for approximately 4.1 million NFE shares and $100,000 in cash (the "Hilli Exchange"). In the fourth quarter of 2022, the Company recognized an other-than-temporary impairment on the investment in Hilli LLC of $118,558; this impairment was recognized in Loss from equity method investments in the consolidated statements of operations and comprehensive income. Upon completion of the Hilli Exchange, a loss on disposal of $37,401 was recognized in </w:t>
      </w:r>
      <w:r>
        <w:rPr>
          <w:rFonts w:ascii="Times New Roman;sans-serif" w:hAnsi="Times New Roman;sans-serif"/>
          <w:b w:val="false"/>
          <w:color w:val="000000"/>
          <w:sz w:val="20"/>
        </w:rPr>
        <w:t>Other expense (income), net</w:t>
      </w:r>
      <w:r>
        <w:rPr>
          <w:color w:val="000000"/>
          <w:highlight w:val="white"/>
        </w:rPr>
        <w:t xml:space="preserve"> </w:t>
      </w:r>
      <w:r>
        <w:rPr>
          <w:rFonts w:ascii="Times New Roman;sans-serif" w:hAnsi="Times New Roman;sans-serif"/>
          <w:b w:val="false"/>
          <w:color w:val="000000"/>
          <w:sz w:val="20"/>
          <w:highlight w:val="white"/>
        </w:rPr>
        <w:t xml:space="preserve">in the condensed consolidated statements of operations and comprehensive income. As a result of the Hilli Exchange, the Company no longer has an ownership interest in the </w:t>
      </w:r>
      <w:r>
        <w:rPr>
          <w:rFonts w:ascii="Times New Roman;sans-serif" w:hAnsi="Times New Roman;sans-serif"/>
          <w:b w:val="false"/>
          <w:i/>
          <w:color w:val="000000"/>
          <w:sz w:val="20"/>
          <w:highlight w:val="white"/>
        </w:rPr>
        <w:t>Hilli</w:t>
      </w:r>
      <w:r>
        <w:rPr>
          <w:rFonts w:ascii="Times New Roman;sans-serif" w:hAnsi="Times New Roman;sans-serif"/>
          <w:b w:val="false"/>
          <w:color w:val="000000"/>
          <w:sz w:val="20"/>
          <w:highlight w:val="white"/>
        </w:rPr>
        <w:t>. NFE shares received from GLNG were cancelled upon closing of the Hilli Exchange.</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Company had guaranteed 50% of the outstanding principal and interest amounts payable by Hilli Corp., a direct subsidiary of Hilli LLC. The Company had also guaranteed letters of credit issued by a financial institution in the event of Hilli Corp.’s underperformance or non-performance under the liquefaction tolling agreement with its customer. In conjunction with the Hilli Exchange, the Company is no longer a guarantor under these arrangements, and the remaining guarantee liability of $2,286 was derecognized as a reduction to Selling, general and administrative in the condensed consolidated statements of operations in the three months ended March 31, 2023.</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Energos</w:t>
      </w:r>
    </w:p>
    <w:p>
      <w:pPr>
        <w:pStyle w:val="TextBody"/>
        <w:spacing w:lineRule="auto" w:line="288" w:before="240" w:after="283"/>
        <w:rPr/>
      </w:pPr>
      <w:r>
        <w:rPr>
          <w:rFonts w:ascii="Times New Roman;sans-serif" w:hAnsi="Times New Roman;sans-serif"/>
          <w:b w:val="false"/>
          <w:color w:val="000000"/>
          <w:sz w:val="20"/>
          <w:highlight w:val="white"/>
        </w:rPr>
        <w:t xml:space="preserve">On August 15, 2022, the Company and an affiliate of certain funds or investment vehicles managed by affiliates of Apollo Global Management, Inc., AP Neptune Holdings Ltd. ("Purchaser"), completed a sales and financing transaction resulting in cash proceeds of approximately $1.85 billion. This sales and financing transaction comprised (1) the formation of a limited liability company doing business as Energos Infrastructure ("Energos"), (2) the sale for cash of </w:t>
      </w:r>
      <w:r>
        <w:rPr>
          <w:rFonts w:ascii="Times New Roman;sans-serif" w:hAnsi="Times New Roman;sans-serif"/>
          <w:b w:val="false"/>
          <w:color w:val="000000"/>
          <w:sz w:val="20"/>
        </w:rPr>
        <w:t>eight</w:t>
      </w:r>
      <w:r>
        <w:rPr>
          <w:color w:val="000000"/>
          <w:highlight w:val="white"/>
        </w:rPr>
        <w:t xml:space="preserve"> </w:t>
      </w:r>
      <w:r>
        <w:rPr>
          <w:rFonts w:ascii="Times New Roman;sans-serif" w:hAnsi="Times New Roman;sans-serif"/>
          <w:b w:val="false"/>
          <w:color w:val="000000"/>
          <w:sz w:val="20"/>
          <w:highlight w:val="white"/>
        </w:rPr>
        <w:t xml:space="preserve">vessels, along with these vessels' owning and operating entities to the Purchaser, (3) the contribution of acquired vessel owning entities to Energos by the Purchaser and (4) the Company's contribution of </w:t>
      </w:r>
      <w:r>
        <w:rPr>
          <w:rFonts w:ascii="Times New Roman;sans-serif" w:hAnsi="Times New Roman;sans-serif"/>
          <w:b w:val="false"/>
          <w:color w:val="000000"/>
          <w:sz w:val="20"/>
        </w:rPr>
        <w:t>three</w:t>
      </w:r>
      <w:r>
        <w:rPr>
          <w:color w:val="000000"/>
        </w:rPr>
        <w:t xml:space="preserve"> </w:t>
      </w:r>
      <w:r>
        <w:rPr>
          <w:rFonts w:ascii="Times New Roman;sans-serif" w:hAnsi="Times New Roman;sans-serif"/>
          <w:b w:val="false"/>
          <w:color w:val="000000"/>
          <w:sz w:val="20"/>
          <w:highlight w:val="white"/>
        </w:rPr>
        <w:t xml:space="preserve">vessels, along with each vessels' owning and operating entities, to Energos in exchange for equity in Energos (the “Energos Formation Transaction”).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As a result of the Energos Formation Transaction, the Company owns an approximately 20% equity interest in Energos, with the remaining interest owned by the Purchaser. The Company's equity investment provides certain rights, including representation on the board of directors, which give the Company significant influence over the operations of Energos, and as such, the investment has been accounted for under the equity method; this investment is included within the Ships segment. Energos is also an affiliate, and all transactions with Energos are transactions with an affiliate.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Due to the timing and availability of financial information of Energos, the Company recognizes its proportional share of the income or loss from the equity method investment on a financial reporting lag of one fiscal quarter. For the three months ended March 31, 2023, the Company has recognized earnings from Energos of $3,994.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11. Construction in progress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construction in progress activity during the three months ended March 31, 2023 is detailed below:</w:t>
      </w:r>
    </w:p>
    <w:tbl>
      <w:tblPr>
        <w:tblW w:w="5857" w:type="dxa"/>
        <w:jc w:val="left"/>
        <w:tblInd w:w="0" w:type="dxa"/>
        <w:tblCellMar>
          <w:top w:w="28" w:type="dxa"/>
          <w:left w:w="28" w:type="dxa"/>
          <w:bottom w:w="28" w:type="dxa"/>
          <w:right w:w="28" w:type="dxa"/>
        </w:tblCellMar>
      </w:tblPr>
      <w:tblGrid>
        <w:gridCol w:w="1505"/>
        <w:gridCol w:w="1323"/>
        <w:gridCol w:w="1326"/>
        <w:gridCol w:w="234"/>
        <w:gridCol w:w="1085"/>
        <w:gridCol w:w="121"/>
        <w:gridCol w:w="109"/>
        <w:gridCol w:w="154"/>
      </w:tblGrid>
      <w:tr>
        <w:trPr/>
        <w:tc>
          <w:tcPr>
            <w:tcW w:w="1505"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December 31, 2022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2,418,608 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currency translation adjustment</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property, plant and equipment, net</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as of March 31, 2023</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expense of $50,976 and $13,137, inclusive of amortized debt issuance costs, was capitalized for the three months ended March 31, 2023 and 2022, respectively.</w:t>
      </w:r>
    </w:p>
    <w:p>
      <w:pPr>
        <w:pStyle w:val="TextBody"/>
        <w:spacing w:lineRule="auto" w:line="288" w:before="240" w:after="283"/>
        <w:rPr/>
      </w:pPr>
      <w:r>
        <w:rPr>
          <w:rFonts w:ascii="Times New Roman;sans-serif" w:hAnsi="Times New Roman;sans-serif"/>
          <w:b w:val="false"/>
          <w:color w:val="000000"/>
          <w:sz w:val="20"/>
        </w:rPr>
        <w:t xml:space="preserve">The Company has significant development activities in Latin America as well as the development of the Company's Fast LNG floating liquefaction solution, and the completion of such developments are subject to risks of successful completion, including those related to government approvals, site identification, financing, construction permitting and contract compliance. The Company's development activities for the </w:t>
      </w:r>
      <w:r>
        <w:rPr>
          <w:rFonts w:ascii="Times New Roman;sans-serif" w:hAnsi="Times New Roman;sans-serif"/>
          <w:b w:val="false"/>
          <w:color w:val="000000"/>
          <w:sz w:val="20"/>
          <w:highlight w:val="white"/>
        </w:rPr>
        <w:t xml:space="preserve">three months ended March 31, 2023 </w:t>
      </w:r>
      <w:r>
        <w:rPr>
          <w:rFonts w:ascii="Times New Roman;sans-serif" w:hAnsi="Times New Roman;sans-serif"/>
          <w:b w:val="false"/>
          <w:color w:val="000000"/>
          <w:sz w:val="20"/>
        </w:rPr>
        <w:t xml:space="preserve">were primarily focused on Fast LNG; additions to construction in progress in the first quarter of 2023 of $767,607 were to develop Fast LNG projects.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12. Property, plant and equipment, net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the Company’s property, plant and equipment, net consisted of the following:</w:t>
      </w:r>
    </w:p>
    <w:tbl>
      <w:tblPr>
        <w:tblW w:w="6940" w:type="dxa"/>
        <w:jc w:val="left"/>
        <w:tblInd w:w="0" w:type="dxa"/>
        <w:tblCellMar>
          <w:top w:w="28" w:type="dxa"/>
          <w:left w:w="28" w:type="dxa"/>
          <w:bottom w:w="28" w:type="dxa"/>
          <w:right w:w="28" w:type="dxa"/>
        </w:tblCellMar>
      </w:tblPr>
      <w:tblGrid>
        <w:gridCol w:w="1230"/>
        <w:gridCol w:w="1078"/>
        <w:gridCol w:w="1096"/>
        <w:gridCol w:w="234"/>
        <w:gridCol w:w="1085"/>
        <w:gridCol w:w="121"/>
        <w:gridCol w:w="109"/>
        <w:gridCol w:w="109"/>
        <w:gridCol w:w="109"/>
        <w:gridCol w:w="278"/>
        <w:gridCol w:w="1288"/>
        <w:gridCol w:w="203"/>
      </w:tblGrid>
      <w:tr>
        <w:trPr/>
        <w:tc>
          <w:tcPr>
            <w:tcW w:w="1230"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1,518,839 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 and power plant equipment</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218,572 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218,296 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CHP facilities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terminals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177,780 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177,780 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 containers and other equipment</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134,924 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134,324 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LNG liquefaction facilities</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63,316 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pipelines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52,995 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(274,337)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(248,082)</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2,094,417 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2,116,727 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The book value of the vessels that was recognized due to the failed sale leaseback in the Energos Formation Transaction as of March 31, 2023 and </w:t>
      </w:r>
      <w:r>
        <w:rPr>
          <w:rFonts w:ascii="Times New Roman;sans-serif" w:hAnsi="Times New Roman;sans-serif"/>
          <w:b w:val="false"/>
          <w:color w:val="000000"/>
          <w:sz w:val="20"/>
          <w:highlight w:val="white"/>
        </w:rPr>
        <w:t xml:space="preserve">December 31, 2022 </w:t>
      </w:r>
      <w:r>
        <w:rPr>
          <w:rFonts w:ascii="Times New Roman;sans-serif" w:hAnsi="Times New Roman;sans-serif"/>
          <w:b w:val="false"/>
          <w:color w:val="000000"/>
          <w:sz w:val="20"/>
        </w:rPr>
        <w:t>was $1,315,661 and $1,328,553, respectively.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Depreciation expense for the three months ended March 31, 2023 and 2022 totaled $26,000 and $26,109, respectively, of which $231 and $563, respectively, is included within Cost of sales in the condensed consolidated statements of operations and comprehensive income.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 Goodwill and intangible assets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lineRule="auto" w:line="288" w:before="240" w:after="283"/>
        <w:rPr/>
      </w:pPr>
      <w:r>
        <w:rPr>
          <w:rFonts w:ascii="Times New Roman;sans-serif" w:hAnsi="Times New Roman;sans-serif"/>
          <w:b w:val="false"/>
          <w:color w:val="000000"/>
          <w:sz w:val="20"/>
        </w:rPr>
        <w:t xml:space="preserve">The carrying amount of goodwill was $776,760 as of both </w:t>
      </w:r>
      <w:r>
        <w:rPr>
          <w:rFonts w:ascii="Times New Roman;sans-serif" w:hAnsi="Times New Roman;sans-serif"/>
          <w:b w:val="false"/>
          <w:color w:val="000000"/>
          <w:sz w:val="20"/>
          <w:highlight w:val="white"/>
        </w:rPr>
        <w:t>March 31, 2023 and December 31, 2022</w:t>
      </w:r>
      <w:r>
        <w:rPr>
          <w:rFonts w:ascii="Times New Roman;sans-serif" w:hAnsi="Times New Roman;sans-serif"/>
          <w:b w:val="false"/>
          <w:color w:val="000000"/>
          <w:sz w:val="20"/>
        </w:rPr>
        <w:t>.</w:t>
      </w:r>
    </w:p>
    <w:tbl>
      <w:tblPr>
        <w:tblW w:w="93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i/>
          <w:color w:val="000000"/>
          <w:sz w:val="20"/>
          <w:highlight w:val="white"/>
        </w:rPr>
        <w:t>Intangible assets</w:t>
      </w:r>
      <w:r>
        <w:rPr>
          <w:color w:val="000000"/>
          <w:highlight w:val="white"/>
        </w:rPr>
        <w:t xml:space="preserve">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tables summarize the composition of intangible assets as of March 31, 2023 and December 31, 2022:</w:t>
      </w:r>
    </w:p>
    <w:tbl>
      <w:tblPr>
        <w:tblW w:w="10205" w:type="dxa"/>
        <w:jc w:val="left"/>
        <w:tblInd w:w="0" w:type="dxa"/>
        <w:tblCellMar>
          <w:top w:w="28" w:type="dxa"/>
          <w:left w:w="28" w:type="dxa"/>
          <w:bottom w:w="28" w:type="dxa"/>
          <w:right w:w="28" w:type="dxa"/>
        </w:tblCellMar>
      </w:tblPr>
      <w:tblGrid>
        <w:gridCol w:w="881"/>
        <w:gridCol w:w="726"/>
        <w:gridCol w:w="730"/>
        <w:gridCol w:w="245"/>
        <w:gridCol w:w="962"/>
        <w:gridCol w:w="127"/>
        <w:gridCol w:w="109"/>
        <w:gridCol w:w="109"/>
        <w:gridCol w:w="109"/>
        <w:gridCol w:w="248"/>
        <w:gridCol w:w="868"/>
        <w:gridCol w:w="130"/>
        <w:gridCol w:w="109"/>
        <w:gridCol w:w="109"/>
        <w:gridCol w:w="109"/>
        <w:gridCol w:w="367"/>
        <w:gridCol w:w="1102"/>
        <w:gridCol w:w="191"/>
        <w:gridCol w:w="109"/>
        <w:gridCol w:w="109"/>
        <w:gridCol w:w="109"/>
        <w:gridCol w:w="235"/>
        <w:gridCol w:w="805"/>
        <w:gridCol w:w="121"/>
        <w:gridCol w:w="109"/>
        <w:gridCol w:w="109"/>
        <w:gridCol w:w="109"/>
        <w:gridCol w:w="337"/>
        <w:gridCol w:w="337"/>
        <w:gridCol w:w="485"/>
      </w:tblGrid>
      <w:tr>
        <w:trPr/>
        <w:tc>
          <w:tcPr>
            <w:tcW w:w="88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(71,098)</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3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9" w:type="dxa"/>
            <w:gridSpan w:val="3"/>
            <w:tcBorders/>
            <w:shd w:fill="auto" w:val="cle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81"/>
        <w:gridCol w:w="726"/>
        <w:gridCol w:w="730"/>
        <w:gridCol w:w="245"/>
        <w:gridCol w:w="962"/>
        <w:gridCol w:w="127"/>
        <w:gridCol w:w="109"/>
        <w:gridCol w:w="109"/>
        <w:gridCol w:w="109"/>
        <w:gridCol w:w="248"/>
        <w:gridCol w:w="868"/>
        <w:gridCol w:w="130"/>
        <w:gridCol w:w="109"/>
        <w:gridCol w:w="109"/>
        <w:gridCol w:w="109"/>
        <w:gridCol w:w="367"/>
        <w:gridCol w:w="1102"/>
        <w:gridCol w:w="191"/>
        <w:gridCol w:w="109"/>
        <w:gridCol w:w="109"/>
        <w:gridCol w:w="109"/>
        <w:gridCol w:w="235"/>
        <w:gridCol w:w="805"/>
        <w:gridCol w:w="121"/>
        <w:gridCol w:w="109"/>
        <w:gridCol w:w="109"/>
        <w:gridCol w:w="109"/>
        <w:gridCol w:w="337"/>
        <w:gridCol w:w="337"/>
        <w:gridCol w:w="485"/>
      </w:tblGrid>
      <w:tr>
        <w:trPr/>
        <w:tc>
          <w:tcPr>
            <w:tcW w:w="88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w:t>
              <w:b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Life</w:t>
            </w:r>
          </w:p>
        </w:tc>
      </w:tr>
      <w:tr>
        <w:trPr/>
        <w:tc>
          <w:tcPr>
            <w:tcW w:w="23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Definite-lived intangible assets</w:t>
            </w:r>
          </w:p>
        </w:tc>
        <w:tc>
          <w:tcPr>
            <w:tcW w:w="1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Favorable vessel charter contracts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(64,836)</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Permits and development rights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Easements</w:t>
            </w:r>
          </w:p>
        </w:tc>
        <w:tc>
          <w:tcPr>
            <w:tcW w:w="12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(69,245)</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Amortization expense for the three months ended March 31, 2023 and 2022 was $6,796 and $8,343, respectively. Amortization expense for the three months ended March 31, 2022 is inclusive of reductions in expense for the amortization of unfavorable contract liabilities.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Intangible assets associated with the acquired power purchase agreements have been classified as held for sale as of March 31, 2023 and December 31, 2022; no impairment loss was recognized upon classification as held for sale (See Note 14).</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 Other non-current assets, net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Other non-current assets consisted of the following:</w:t>
      </w:r>
    </w:p>
    <w:tbl>
      <w:tblPr>
        <w:tblW w:w="6925" w:type="dxa"/>
        <w:jc w:val="left"/>
        <w:tblInd w:w="0" w:type="dxa"/>
        <w:tblCellMar>
          <w:top w:w="28" w:type="dxa"/>
          <w:left w:w="28" w:type="dxa"/>
          <w:bottom w:w="28" w:type="dxa"/>
          <w:right w:w="28" w:type="dxa"/>
        </w:tblCellMar>
      </w:tblPr>
      <w:tblGrid>
        <w:gridCol w:w="1224"/>
        <w:gridCol w:w="1079"/>
        <w:gridCol w:w="1086"/>
        <w:gridCol w:w="265"/>
        <w:gridCol w:w="1038"/>
        <w:gridCol w:w="137"/>
        <w:gridCol w:w="109"/>
        <w:gridCol w:w="109"/>
        <w:gridCol w:w="109"/>
        <w:gridCol w:w="313"/>
        <w:gridCol w:w="1228"/>
        <w:gridCol w:w="228"/>
      </w:tblGrid>
      <w:tr>
        <w:trPr/>
        <w:tc>
          <w:tcPr>
            <w:tcW w:w="1224"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net (Note 4)</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28,651 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(Note 6)</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17,806 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to fulfill (Note 4)</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Upfront payments to customers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138,555 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141,679 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recognized unrealized gains / (losses) on its investments in equity securities of $2,525 and $(192) for the three months ended March 31, 2023 and 2022, respectively, within Other expense (income), net in the condensed consolidated statements of operations and comprehensive income. Investments in equity securities include investments without a readily determinable fair value of $7,678 as of March 31, 2023 and December 31, 2022.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Upfront payments to customers consist of amounts the Company has paid in relation to two natural gas sales contracts with customers to construct fuel-delivery infrastructure that the customers will own. Other non-current assets includes deferred financing costs related to the Revolving Facility.</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Assets held for sale</w:t>
      </w:r>
    </w:p>
    <w:p>
      <w:pPr>
        <w:pStyle w:val="TextBody"/>
        <w:spacing w:lineRule="auto" w:line="288" w:before="240" w:after="283"/>
        <w:rPr/>
      </w:pPr>
      <w:r>
        <w:rPr>
          <w:rFonts w:ascii="Times New Roman;sans-serif" w:hAnsi="Times New Roman;sans-serif"/>
          <w:b w:val="false"/>
          <w:color w:val="000000"/>
          <w:sz w:val="20"/>
          <w:highlight w:val="white"/>
        </w:rPr>
        <w:t xml:space="preserve">In the third quarter of 2022, NFE Brazil Holdings LLC ("Brazil Holdings"), a consolidated indirect subsidiary of NFE and indirect owner of Pecém Energia S.A. (“Pecém”) and Energetica Camacari Muricy II S.A. (“Muricy”), and Centrais Elétricas de Pernambuco S.A. – EPESA (“EPESA”), entered into a Share Purchase Agreement pursuant to which Brazil Holdings agreed to sell 100% of the shares of Pecém and Muricy to EPESA, following an internal reorganization. The sale price includes cash consideration of BRL 59 million </w:t>
      </w: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highlight w:val="white"/>
        </w:rPr>
        <w:t>$12 million</w:t>
      </w:r>
      <w:r>
        <w:rPr>
          <w:color w:val="000000"/>
        </w:rPr>
        <w:t xml:space="preserve"> </w:t>
      </w:r>
      <w:r>
        <w:rPr>
          <w:rFonts w:ascii="Times New Roman;sans-serif" w:hAnsi="Times New Roman;sans-serif"/>
          <w:b w:val="false"/>
          <w:color w:val="000000"/>
          <w:sz w:val="20"/>
        </w:rPr>
        <w:t>using the exchange rate as of March 31, 2023), as well as additional consideration for the satisfaction of certain milestones. Consideration under this agreement also includes potential future earnout payments based on the revenue generated from the PPAs by EPESA. The sale of Pecém and Muricy is subject to regulatory approval as well as the customary terms and conditions and conditions precedent prior to closing.</w:t>
      </w:r>
    </w:p>
    <w:p>
      <w:pPr>
        <w:pStyle w:val="TextBody"/>
        <w:spacing w:lineRule="auto" w:line="288" w:before="240" w:after="283"/>
        <w:rPr/>
      </w:pPr>
      <w:r>
        <w:rPr>
          <w:rFonts w:ascii="Times New Roman;sans-serif" w:hAnsi="Times New Roman;sans-serif"/>
          <w:b w:val="false"/>
          <w:color w:val="000000"/>
          <w:sz w:val="20"/>
        </w:rPr>
        <w:t xml:space="preserve">All assets and liabilities of Pecém and Muricy were classified as held for sale as of March 31, 2023 and </w:t>
      </w:r>
      <w:r>
        <w:rPr>
          <w:rFonts w:ascii="Times New Roman;sans-serif" w:hAnsi="Times New Roman;sans-serif"/>
          <w:b w:val="false"/>
          <w:color w:val="000000"/>
          <w:sz w:val="20"/>
          <w:highlight w:val="white"/>
        </w:rPr>
        <w:t>December 31, 2022</w:t>
      </w:r>
      <w:r>
        <w:rPr>
          <w:rFonts w:ascii="Times New Roman;sans-serif" w:hAnsi="Times New Roman;sans-serif"/>
          <w:b w:val="false"/>
          <w:color w:val="000000"/>
          <w:sz w:val="20"/>
        </w:rPr>
        <w:t xml:space="preserve">. The estimated fair value of these entities based on the consideration in the agreement was in excess of the carrying value, and no impairment loss was recognized upon classification as held for sale. The assets and liabilities held for sale have not been classified as a separate financial statement line item on the condensed consolidated balance sheets and are presented as Other non-current assets and Other long-term liabilities. Liabilities held for sale of $24,151 and $23,543 are presented as other long-term liabilities </w:t>
      </w:r>
      <w:r>
        <w:rPr>
          <w:rFonts w:ascii="Times New Roman;sans-serif" w:hAnsi="Times New Roman;sans-serif"/>
          <w:b w:val="false"/>
          <w:color w:val="000000"/>
          <w:sz w:val="20"/>
          <w:highlight w:val="white"/>
        </w:rPr>
        <w:t>as of March 31, 2023 and December 31, 2022, respectively</w:t>
      </w:r>
      <w:r>
        <w:rPr>
          <w:rFonts w:ascii="Times New Roman;sans-serif" w:hAnsi="Times New Roman;sans-serif"/>
          <w:b w:val="false"/>
          <w:color w:val="000000"/>
          <w:sz w:val="20"/>
        </w:rPr>
        <w:t xml:space="preserve">. Assets held for sale include a cash balance of $13,966 and $11,614 </w:t>
      </w:r>
      <w:r>
        <w:rPr>
          <w:rFonts w:ascii="Times New Roman;sans-serif" w:hAnsi="Times New Roman;sans-serif"/>
          <w:b w:val="false"/>
          <w:color w:val="000000"/>
          <w:sz w:val="20"/>
          <w:highlight w:val="white"/>
        </w:rPr>
        <w:t>as of March 31, 2023 and December 31, 2022, respectively</w:t>
      </w:r>
      <w:r>
        <w:rPr>
          <w:rFonts w:ascii="Times New Roman;sans-serif" w:hAnsi="Times New Roman;sans-serif"/>
          <w:b w:val="false"/>
          <w:color w:val="000000"/>
          <w:sz w:val="20"/>
        </w:rPr>
        <w:t>, which have been included in the ending cash and cash equivalents on the condensed consolidated statement of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15. Accrued liabilities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accrued liabilities consisted of the following:</w:t>
      </w:r>
    </w:p>
    <w:tbl>
      <w:tblPr>
        <w:tblW w:w="5890" w:type="dxa"/>
        <w:jc w:val="left"/>
        <w:tblInd w:w="0" w:type="dxa"/>
        <w:tblCellMar>
          <w:top w:w="28" w:type="dxa"/>
          <w:left w:w="28" w:type="dxa"/>
          <w:bottom w:w="28" w:type="dxa"/>
          <w:right w:w="28" w:type="dxa"/>
        </w:tblCellMar>
      </w:tblPr>
      <w:tblGrid>
        <w:gridCol w:w="854"/>
        <w:gridCol w:w="748"/>
        <w:gridCol w:w="752"/>
        <w:gridCol w:w="265"/>
        <w:gridCol w:w="1038"/>
        <w:gridCol w:w="137"/>
        <w:gridCol w:w="109"/>
        <w:gridCol w:w="109"/>
        <w:gridCol w:w="109"/>
        <w:gridCol w:w="278"/>
        <w:gridCol w:w="1288"/>
        <w:gridCol w:w="203"/>
      </w:tblGrid>
      <w:tr>
        <w:trPr/>
        <w:tc>
          <w:tcPr>
            <w:tcW w:w="854"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development costs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51,994 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37,739 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dividend</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626,310 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602,928 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1,162,412 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March 31, 2023 and December 31, 2022,</w:t>
      </w:r>
      <w:r>
        <w:rPr>
          <w:color w:val="000000"/>
        </w:rPr>
        <w:t xml:space="preserve"> </w:t>
      </w:r>
      <w:r>
        <w:rPr>
          <w:rFonts w:ascii="Times New Roman;sans-serif" w:hAnsi="Times New Roman;sans-serif"/>
          <w:b w:val="false"/>
          <w:color w:val="000000"/>
          <w:sz w:val="20"/>
        </w:rPr>
        <w:t>the balance presented as other accrued expenses includes accruals of $11,304 and $45,511, respectively, for inventory purchases completed prior to the end of the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16. Other current liabilities</w:t>
      </w:r>
    </w:p>
    <w:p>
      <w:pPr>
        <w:pStyle w:val="TextBody"/>
        <w:spacing w:lineRule="auto" w:line="288" w:before="240" w:after="283"/>
        <w:ind w:left="0" w:right="0" w:hanging="720"/>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December 31, 2022</w:t>
      </w:r>
      <w:r>
        <w:rPr>
          <w:rFonts w:ascii="Times New Roman;sans-serif" w:hAnsi="Times New Roman;sans-serif"/>
          <w:b w:val="false"/>
          <w:color w:val="000000"/>
          <w:sz w:val="20"/>
        </w:rPr>
        <w:t>, other current liabilities consisted of the following:</w:t>
      </w:r>
    </w:p>
    <w:tbl>
      <w:tblPr>
        <w:tblW w:w="5996" w:type="dxa"/>
        <w:jc w:val="left"/>
        <w:tblInd w:w="0" w:type="dxa"/>
        <w:tblCellMar>
          <w:top w:w="28" w:type="dxa"/>
          <w:left w:w="28" w:type="dxa"/>
          <w:bottom w:w="28" w:type="dxa"/>
          <w:right w:w="28" w:type="dxa"/>
        </w:tblCellMar>
      </w:tblPr>
      <w:tblGrid>
        <w:gridCol w:w="890"/>
        <w:gridCol w:w="783"/>
        <w:gridCol w:w="786"/>
        <w:gridCol w:w="292"/>
        <w:gridCol w:w="998"/>
        <w:gridCol w:w="150"/>
        <w:gridCol w:w="109"/>
        <w:gridCol w:w="109"/>
        <w:gridCol w:w="109"/>
        <w:gridCol w:w="344"/>
        <w:gridCol w:w="1175"/>
        <w:gridCol w:w="251"/>
      </w:tblGrid>
      <w:tr>
        <w:trPr/>
        <w:tc>
          <w:tcPr>
            <w:tcW w:w="890"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(Note 4)</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affiliates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17. Debt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and December 31, 2022, debt consisted of the following:</w:t>
      </w:r>
    </w:p>
    <w:tbl>
      <w:tblPr>
        <w:tblW w:w="7465" w:type="dxa"/>
        <w:jc w:val="left"/>
        <w:tblInd w:w="0" w:type="dxa"/>
        <w:tblCellMar>
          <w:top w:w="28" w:type="dxa"/>
          <w:left w:w="28" w:type="dxa"/>
          <w:bottom w:w="28" w:type="dxa"/>
          <w:right w:w="28" w:type="dxa"/>
        </w:tblCellMar>
      </w:tblPr>
      <w:tblGrid>
        <w:gridCol w:w="1421"/>
        <w:gridCol w:w="1252"/>
        <w:gridCol w:w="1256"/>
        <w:gridCol w:w="234"/>
        <w:gridCol w:w="1085"/>
        <w:gridCol w:w="121"/>
        <w:gridCol w:w="109"/>
        <w:gridCol w:w="109"/>
        <w:gridCol w:w="109"/>
        <w:gridCol w:w="278"/>
        <w:gridCol w:w="1288"/>
        <w:gridCol w:w="203"/>
      </w:tblGrid>
      <w:tr>
        <w:trPr/>
        <w:tc>
          <w:tcPr>
            <w:tcW w:w="1421"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1,243,914 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due September 2026</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1,482,722 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1,481,639 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Vessel Financing Obligation, due August 2042</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1,388,535 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1,406,091 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South Power 2029 Bonds, due May 2029</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216,373 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Barcarena Term Loan, due February 2024</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194,427 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5,228,580 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4,541,685 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277,035 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64,820 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3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4,951,545 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4,476,865 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Long-term debt is recorded at amortized cost on the condensed consolidated balance sheets. The fair value of the Company's long-term debt is $5,086,118 and $4,327,311 as of March 31, 2023 and December 31, 2022, respectively, and is classified as Level 2 within the fair value hierarchy.</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terms of the Company's debt instruments have been described in the Annual Report on Form 10-K. Significant changes to the Company's outstanding debt are described below.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Revolving Facility</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 entered into a $200,000 senior secured revolving credit facility (the "Revolving Facility"). The borrowings under the Revolving Facility bear interest at a Secured Overnight Financing Rate ("SOFR") based rate plus a margin based upon usage of the Revolving Facility. The Revolving Facility matures in 2025, with the potential for the Company to extend the maturity date once in a one-year increment. Borrowings under the Revolving Facility may be prepaid, at the option of the Company, at any time without premium.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Revolving Facility was amended twice to increase the borrowing capacity by a total of $240,000, and in February 2023, the Company entered into an amendment which increased the borrowing capacity by $301,700, for a total capacity of $741,700. The amendments did not impact the interest rate or term of the Revolving Facility, and no deferred costs were written off.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drew $700,000 from the Revolving Facility, which is outstanding as of March 31, 2023.</w:t>
      </w:r>
    </w:p>
    <w:p>
      <w:pPr>
        <w:pStyle w:val="TextBody"/>
        <w:spacing w:lineRule="auto" w:line="288" w:before="240" w:after="283"/>
        <w:rPr/>
      </w:pPr>
      <w:r>
        <w:rPr>
          <w:rFonts w:ascii="Times New Roman;sans-serif" w:hAnsi="Times New Roman;sans-serif"/>
          <w:b w:val="false"/>
          <w:color w:val="000000"/>
          <w:sz w:val="20"/>
        </w:rPr>
        <w:t xml:space="preserve">The Company incurred $5,398 in origination, structuring and other fees, associated with entry into the Revolving Facility, which includes additional fees to expand the facility in 2022. During the first quarter of 2023, the Company incurred an additional $4,965 in fees in relation to the 2023 amendment. These costs have been capitalized within Other non-current assets on the condensed consolidated balance sheets. As of </w:t>
      </w:r>
      <w:r>
        <w:rPr>
          <w:rFonts w:ascii="Times New Roman;sans-serif" w:hAnsi="Times New Roman;sans-serif"/>
          <w:b w:val="false"/>
          <w:color w:val="000000"/>
          <w:sz w:val="20"/>
          <w:highlight w:val="white"/>
        </w:rPr>
        <w:t>March 31, 2023 and December 31, 2022</w:t>
      </w:r>
      <w:r>
        <w:rPr>
          <w:rFonts w:ascii="Times New Roman;sans-serif" w:hAnsi="Times New Roman;sans-serif"/>
          <w:b w:val="false"/>
          <w:color w:val="000000"/>
          <w:sz w:val="20"/>
        </w:rPr>
        <w:t xml:space="preserve">, total remaining unamortized deferred financing costs for the Revolving Facility was $9,560 and $5,172, respectively. </w:t>
      </w:r>
    </w:p>
    <w:p>
      <w:pPr>
        <w:pStyle w:val="TextBody"/>
        <w:spacing w:lineRule="auto" w:line="288" w:before="240" w:after="283"/>
        <w:rPr/>
      </w:pPr>
      <w:r>
        <w:rPr>
          <w:rFonts w:ascii="Times New Roman;sans-serif" w:hAnsi="Times New Roman;sans-serif"/>
          <w:b w:val="false"/>
          <w:color w:val="000000"/>
          <w:sz w:val="20"/>
        </w:rPr>
        <w:t xml:space="preserve">The obligations under the Revolving Facility are guaranteed by certain of the Company's subsidiaries. </w:t>
      </w:r>
      <w:r>
        <w:rPr>
          <w:rFonts w:ascii="Times New Roman;sans-serif" w:hAnsi="Times New Roman;sans-serif"/>
          <w:b w:val="false"/>
          <w:color w:val="000000"/>
          <w:sz w:val="20"/>
          <w:highlight w:val="white"/>
        </w:rPr>
        <w:t>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and onwards. The Company was in compliance with all covenants as of March 31, 2023.</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Interest and related amortization of debt issuance costs, premiums and discounts recognized during major development and construction projects are capitalized and included in the cost of the project. Interest expense, net of amounts capitalized, recognized for the three months ended March 31, 2023 and 2022 consisted of the following:</w:t>
      </w:r>
    </w:p>
    <w:tbl>
      <w:tblPr>
        <w:tblW w:w="8326" w:type="dxa"/>
        <w:jc w:val="left"/>
        <w:tblInd w:w="0" w:type="dxa"/>
        <w:tblCellMar>
          <w:top w:w="28" w:type="dxa"/>
          <w:left w:w="28" w:type="dxa"/>
          <w:bottom w:w="28" w:type="dxa"/>
          <w:right w:w="28" w:type="dxa"/>
        </w:tblCellMar>
      </w:tblPr>
      <w:tblGrid>
        <w:gridCol w:w="1831"/>
        <w:gridCol w:w="1608"/>
        <w:gridCol w:w="1616"/>
        <w:gridCol w:w="234"/>
        <w:gridCol w:w="917"/>
        <w:gridCol w:w="121"/>
        <w:gridCol w:w="121"/>
        <w:gridCol w:w="121"/>
        <w:gridCol w:w="121"/>
        <w:gridCol w:w="234"/>
        <w:gridCol w:w="800"/>
        <w:gridCol w:w="121"/>
        <w:gridCol w:w="109"/>
        <w:gridCol w:w="109"/>
        <w:gridCol w:w="109"/>
        <w:gridCol w:w="154"/>
      </w:tblGrid>
      <w:tr>
        <w:trPr/>
        <w:tc>
          <w:tcPr>
            <w:tcW w:w="1831"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per contractual rates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on Vessel Financing Obligation </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premiums and discounts</w:t>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incurred on finance lease obligations</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Interest expense on the Vessel Financing Obligation includes non-cash expense of $49,903 related to payments received by Energos from third-party charterers.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18. Income Taxes</w:t>
      </w:r>
    </w:p>
    <w:p>
      <w:pPr>
        <w:pStyle w:val="TextBody"/>
        <w:spacing w:lineRule="auto" w:line="288" w:before="240" w:after="283"/>
        <w:rPr/>
      </w:pPr>
      <w:r>
        <w:rPr>
          <w:rFonts w:ascii="Times New Roman;sans-serif" w:hAnsi="Times New Roman;sans-serif"/>
          <w:b w:val="false"/>
          <w:color w:val="000000"/>
          <w:sz w:val="20"/>
        </w:rPr>
        <w:t xml:space="preserve">The effective tax rate for the three months ended </w:t>
      </w:r>
      <w:r>
        <w:rPr>
          <w:rFonts w:ascii="Times New Roman;sans-serif" w:hAnsi="Times New Roman;sans-serif"/>
          <w:b w:val="false"/>
          <w:color w:val="000000"/>
          <w:sz w:val="20"/>
          <w:highlight w:val="white"/>
        </w:rPr>
        <w:t xml:space="preserve">March 31, 2023 </w:t>
      </w:r>
      <w:r>
        <w:rPr>
          <w:rFonts w:ascii="Times New Roman;sans-serif" w:hAnsi="Times New Roman;sans-serif"/>
          <w:b w:val="false"/>
          <w:color w:val="000000"/>
          <w:sz w:val="20"/>
        </w:rPr>
        <w:t xml:space="preserve">was 16.0% compared to (25.9)% for the three months ended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xml:space="preserve">. The total tax provision for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was $28,960 compared to a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rPr>
        <w:t xml:space="preserve">benefit of $49,681 for the three months ended </w:t>
      </w:r>
      <w:r>
        <w:rPr>
          <w:rFonts w:ascii="Times New Roman;sans-serif" w:hAnsi="Times New Roman;sans-serif"/>
          <w:b w:val="false"/>
          <w:color w:val="000000"/>
          <w:sz w:val="20"/>
          <w:highlight w:val="white"/>
        </w:rPr>
        <w:t>March 31, 2022</w:t>
      </w:r>
      <w:r>
        <w:rPr>
          <w:rFonts w:ascii="Times New Roman;sans-serif" w:hAnsi="Times New Roman;sans-serif"/>
          <w:b w:val="false"/>
          <w:color w:val="000000"/>
          <w:sz w:val="20"/>
        </w:rPr>
        <w:t xml:space="preserve">. Our prior year benefit and effective tax rate was primarily driven by significant discrete items, including the remeasurement of a deferred tax liability in conjunction with an internal reorganization. The Company has not recognized any significant discrete items in the first quarter of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19. Commitments and contingencies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20. Earnings per share</w:t>
      </w:r>
    </w:p>
    <w:tbl>
      <w:tblPr>
        <w:tblW w:w="7572" w:type="dxa"/>
        <w:jc w:val="left"/>
        <w:tblInd w:w="0" w:type="dxa"/>
        <w:tblCellMar>
          <w:top w:w="28" w:type="dxa"/>
          <w:left w:w="28" w:type="dxa"/>
          <w:bottom w:w="28" w:type="dxa"/>
          <w:right w:w="28" w:type="dxa"/>
        </w:tblCellMar>
      </w:tblPr>
      <w:tblGrid>
        <w:gridCol w:w="1496"/>
        <w:gridCol w:w="1317"/>
        <w:gridCol w:w="1326"/>
        <w:gridCol w:w="241"/>
        <w:gridCol w:w="945"/>
        <w:gridCol w:w="116"/>
        <w:gridCol w:w="116"/>
        <w:gridCol w:w="116"/>
        <w:gridCol w:w="116"/>
        <w:gridCol w:w="241"/>
        <w:gridCol w:w="945"/>
        <w:gridCol w:w="116"/>
        <w:gridCol w:w="109"/>
        <w:gridCol w:w="109"/>
        <w:gridCol w:w="109"/>
        <w:gridCol w:w="154"/>
      </w:tblGrid>
      <w:tr>
        <w:trPr/>
        <w:tc>
          <w:tcPr>
            <w:tcW w:w="1496"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Class A common stock</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basic</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208,707,385 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209,928,070 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39"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30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 diluted</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209,325,619 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210,082,295 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presents potentially dilutive securities excluded from the computation of diluted net income per share for the periods presented because its effects would have been anti-dilutive.</w:t>
      </w:r>
    </w:p>
    <w:tbl>
      <w:tblPr>
        <w:tblW w:w="5665" w:type="dxa"/>
        <w:jc w:val="left"/>
        <w:tblInd w:w="0" w:type="dxa"/>
        <w:tblCellMar>
          <w:top w:w="28" w:type="dxa"/>
          <w:left w:w="28" w:type="dxa"/>
          <w:bottom w:w="28" w:type="dxa"/>
          <w:right w:w="28" w:type="dxa"/>
        </w:tblCellMar>
      </w:tblPr>
      <w:tblGrid>
        <w:gridCol w:w="874"/>
        <w:gridCol w:w="768"/>
        <w:gridCol w:w="773"/>
        <w:gridCol w:w="479"/>
        <w:gridCol w:w="479"/>
        <w:gridCol w:w="481"/>
        <w:gridCol w:w="109"/>
        <w:gridCol w:w="109"/>
        <w:gridCol w:w="109"/>
        <w:gridCol w:w="434"/>
        <w:gridCol w:w="434"/>
        <w:gridCol w:w="616"/>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Equity Agreement shares </w:t>
            </w:r>
            <w:r>
              <w:rPr>
                <w:rFonts w:ascii="Times New Roman;sans-serif" w:hAnsi="Times New Roman;sans-serif"/>
                <w:b w:val="false"/>
                <w:color w:val="000000"/>
                <w:sz w:val="13"/>
              </w:rPr>
              <w:t>(1)</w:t>
            </w:r>
            <w:r>
              <w:rPr>
                <w:color w:val="000000"/>
              </w:rPr>
              <w:t xml:space="preserve"> </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472,084 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472,084 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Represents Class A common stock that would be issued in relation to an agreement to issue shares executed in conjunction with a prior year asset acquisition. </w:t>
      </w:r>
    </w:p>
    <w:p>
      <w:pPr>
        <w:pStyle w:val="TextBody"/>
        <w:spacing w:lineRule="auto" w:line="288" w:before="240" w:after="283"/>
        <w:rPr/>
      </w:pPr>
      <w:r>
        <w:rPr>
          <w:rFonts w:ascii="Times New Roman;sans-serif" w:hAnsi="Times New Roman;sans-serif"/>
          <w:b w:val="false"/>
          <w:color w:val="000000"/>
          <w:sz w:val="20"/>
        </w:rPr>
        <w:t xml:space="preserve">In connection with the dividend policy update in the fourth quarter of 2022, the Board declared a dividend of $626,310 representing $3.00 per Class A share, which was paid in January 2023. The Company also declared and paid dividends of $20,467 and $20,754 during the three months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xml:space="preserve">, respectively, representing $0.10 per Class A share. </w:t>
      </w:r>
    </w:p>
    <w:p>
      <w:pPr>
        <w:pStyle w:val="TextBody"/>
        <w:spacing w:lineRule="auto" w:line="288" w:before="240" w:after="283"/>
        <w:rPr/>
      </w:pPr>
      <w:r>
        <w:rPr>
          <w:rFonts w:ascii="Times New Roman;sans-serif" w:hAnsi="Times New Roman;sans-serif"/>
          <w:b w:val="false"/>
          <w:color w:val="000000"/>
          <w:sz w:val="20"/>
        </w:rPr>
        <w:t xml:space="preserve">During each of the three months ended </w:t>
      </w:r>
      <w:r>
        <w:rPr>
          <w:rFonts w:ascii="Times New Roman;sans-serif" w:hAnsi="Times New Roman;sans-serif"/>
          <w:b w:val="false"/>
          <w:color w:val="000000"/>
          <w:sz w:val="20"/>
          <w:highlight w:val="white"/>
        </w:rPr>
        <w:t xml:space="preserve">March 31, 2023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2022</w:t>
      </w:r>
      <w:r>
        <w:rPr>
          <w:rFonts w:ascii="Times New Roman;sans-serif" w:hAnsi="Times New Roman;sans-serif"/>
          <w:b w:val="false"/>
          <w:color w:val="000000"/>
          <w:sz w:val="20"/>
        </w:rPr>
        <w:t>, the Company paid dividends of $3,019 to holders of Golar LNG Partners LP's ("GMLP") 8.75% Series A Cumulative Redeemable Preferred Units (“Series A Preferred Units”). As these equity interests have been issued by one of the Company’s consolidated subsidiaries, the value of the Series A Preferred Units is recognized as non-controlling interest in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21. Share-based compensation</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has granted Performance Share Units ("PSUs") to certain employees and non-employees that contain a performance condition under the New Fortress Energy Inc. 2019 Omnibus Incentive Plan. Vesting is determined based on achievement of a performance metric for the year subsequent to the grant, and the number of shares that will vest can range from zero to a multiple of units granted. As of March 31, 2023, the Company determined it was not probable that the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performance condition required for the PSUs granted in the fourth quarter of 2022 ("2022 Grant") to vest would be achieved, and as such, no compensation expense was recognized for this award. </w:t>
      </w:r>
    </w:p>
    <w:tbl>
      <w:tblPr>
        <w:tblW w:w="10205" w:type="dxa"/>
        <w:jc w:val="left"/>
        <w:tblInd w:w="0" w:type="dxa"/>
        <w:tblCellMar>
          <w:top w:w="28" w:type="dxa"/>
          <w:left w:w="28" w:type="dxa"/>
          <w:bottom w:w="28" w:type="dxa"/>
          <w:right w:w="28" w:type="dxa"/>
        </w:tblCellMar>
      </w:tblPr>
      <w:tblGrid>
        <w:gridCol w:w="406"/>
        <w:gridCol w:w="357"/>
        <w:gridCol w:w="359"/>
        <w:gridCol w:w="109"/>
        <w:gridCol w:w="109"/>
        <w:gridCol w:w="109"/>
        <w:gridCol w:w="368"/>
        <w:gridCol w:w="368"/>
        <w:gridCol w:w="370"/>
        <w:gridCol w:w="109"/>
        <w:gridCol w:w="109"/>
        <w:gridCol w:w="109"/>
        <w:gridCol w:w="482"/>
        <w:gridCol w:w="409"/>
        <w:gridCol w:w="410"/>
        <w:gridCol w:w="109"/>
        <w:gridCol w:w="109"/>
        <w:gridCol w:w="109"/>
        <w:gridCol w:w="737"/>
        <w:gridCol w:w="737"/>
        <w:gridCol w:w="739"/>
        <w:gridCol w:w="109"/>
        <w:gridCol w:w="109"/>
        <w:gridCol w:w="109"/>
        <w:gridCol w:w="440"/>
        <w:gridCol w:w="440"/>
        <w:gridCol w:w="441"/>
        <w:gridCol w:w="109"/>
        <w:gridCol w:w="109"/>
        <w:gridCol w:w="109"/>
        <w:gridCol w:w="438"/>
        <w:gridCol w:w="438"/>
        <w:gridCol w:w="631"/>
      </w:tblGrid>
      <w:tr>
        <w:trPr/>
        <w:tc>
          <w:tcPr>
            <w:tcW w:w="40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PSUs 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Range of Vesting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Vested / Probable of Vesting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Unrecognized</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Compensation</w:t>
            </w:r>
          </w:p>
          <w:p>
            <w:pPr>
              <w:pStyle w:val="TableContents"/>
              <w:spacing w:lineRule="auto" w:line="240" w:before="0" w:after="0"/>
              <w:jc w:val="center"/>
              <w:rPr/>
            </w:pPr>
            <w:r>
              <w:rPr>
                <w:rFonts w:ascii="Times New Roman;sans-serif" w:hAnsi="Times New Roman;sans-serif"/>
                <w:b/>
                <w:color w:val="000000"/>
                <w:sz w:val="20"/>
              </w:rPr>
              <w:t>Cost</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br/>
              <w:t>Remaining Vesting</w:t>
              <w:br/>
              <w:t>Period</w:t>
            </w:r>
          </w:p>
        </w:tc>
      </w:tr>
      <w:tr>
        <w:trPr/>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 Grant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742,073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 to 1,484,146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 years</w:t>
            </w:r>
          </w:p>
        </w:tc>
      </w:tr>
    </w:tbl>
    <w:p>
      <w:pPr>
        <w:pStyle w:val="TextBody"/>
        <w:spacing w:lineRule="auto" w:line="288" w:before="240" w:after="283"/>
        <w:ind w:left="0" w:right="0" w:hanging="180"/>
        <w:rPr/>
      </w:pPr>
      <w:r>
        <w:rPr>
          <w:rFonts w:ascii="Times New Roman;sans-serif" w:hAnsi="Times New Roman;sans-serif"/>
          <w:b w:val="false"/>
          <w:color w:val="000000"/>
          <w:sz w:val="13"/>
          <w:highlight w:val="white"/>
        </w:rPr>
        <w:t xml:space="preserve">(1) </w:t>
      </w:r>
      <w:r>
        <w:rPr>
          <w:rFonts w:ascii="Times New Roman;sans-serif" w:hAnsi="Times New Roman;sans-serif"/>
          <w:b w:val="false"/>
          <w:color w:val="000000"/>
          <w:sz w:val="20"/>
          <w:highlight w:val="white"/>
        </w:rPr>
        <w:t>Unrecognized compensation cost is based upon the maximum amount of shares that could vest.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22. Related party transactions</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Management services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$1,345 and $1,515 for the three months ended March 31, 2023 and 2022, respectively. Costs associated with the Administrative Agreement are included within Selling, general and administrative in the condensed consolidated statements of operations and comprehensive income. As of March 31, 2023 and December 31, 2022, $1,377 and $4,629 were due to Fortress, respectively.</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to administrative services, an affiliate of Fortress owns and leases an aircraft chartered by the Company for business purposes in the course of operations. The Company incurred, at aircraft operator rates, charter costs of $771 and $1,022 for the three months ended March 31, 2023 and 2022, respectively. As of March 31, 2023 and December 31, 2022, $771 and $416 was due to this affiliate, respectively.</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Land lease</w:t>
      </w:r>
    </w:p>
    <w:p>
      <w:pPr>
        <w:pStyle w:val="TextBody"/>
        <w:spacing w:lineRule="auto" w:line="288" w:before="240" w:after="283"/>
        <w:rPr/>
      </w:pPr>
      <w:r>
        <w:rPr>
          <w:rFonts w:ascii="Times New Roman;sans-serif" w:hAnsi="Times New Roman;sans-serif"/>
          <w:b w:val="false"/>
          <w:color w:val="000000"/>
          <w:sz w:val="20"/>
          <w:highlight w:val="white"/>
        </w:rPr>
        <w:t>The Company has leased land from Florida East Coast Industries, LLC (“FECI”), which is controlled by funds managed by an affiliate of Fortress. The Company recognized expense related to the land lease of $103 and $</w:t>
      </w:r>
      <w:r>
        <w:rPr>
          <w:rFonts w:ascii="Times New Roman;sans-serif" w:hAnsi="Times New Roman;sans-serif"/>
          <w:b w:val="false"/>
          <w:color w:val="000000"/>
          <w:sz w:val="20"/>
        </w:rPr>
        <w:t>103</w:t>
      </w:r>
      <w:r>
        <w:rPr>
          <w:color w:val="000000"/>
          <w:highlight w:val="white"/>
        </w:rPr>
        <w:t xml:space="preserve"> </w:t>
      </w:r>
      <w:r>
        <w:rPr>
          <w:rFonts w:ascii="Times New Roman;sans-serif" w:hAnsi="Times New Roman;sans-serif"/>
          <w:b w:val="false"/>
          <w:color w:val="000000"/>
          <w:sz w:val="20"/>
          <w:highlight w:val="white"/>
        </w:rPr>
        <w:t>during the three months ended March 31, 2023 and 2022, respectively, which was included within Operations and maintenance in the condensed consolidated statements of operations and comprehensive income</w:t>
      </w:r>
      <w:r>
        <w:rPr>
          <w:rFonts w:ascii="Times New Roman;sans-serif" w:hAnsi="Times New Roman;sans-serif"/>
          <w:b w:val="false"/>
          <w:color w:val="000000"/>
          <w:sz w:val="20"/>
        </w:rPr>
        <w:t xml:space="preserve">. The Company has amounts due to FECI of </w:t>
      </w:r>
      <w:r>
        <w:rPr>
          <w:rFonts w:ascii="Times New Roman;sans-serif" w:hAnsi="Times New Roman;sans-serif"/>
          <w:b w:val="false"/>
          <w:color w:val="000000"/>
          <w:sz w:val="20"/>
          <w:highlight w:val="white"/>
        </w:rPr>
        <w:t>$23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$0</w:t>
      </w:r>
      <w:r>
        <w:rPr>
          <w:color w:val="000000"/>
        </w:rPr>
        <w:t xml:space="preserve"> </w:t>
      </w:r>
      <w:r>
        <w:rPr>
          <w:rFonts w:ascii="Times New Roman;sans-serif" w:hAnsi="Times New Roman;sans-serif"/>
          <w:b w:val="false"/>
          <w:color w:val="000000"/>
          <w:sz w:val="20"/>
        </w:rPr>
        <w:t>as of March 31, 2023 and December 31, 2022</w:t>
      </w:r>
      <w:r>
        <w:rPr>
          <w:rFonts w:ascii="Times New Roman;sans-serif" w:hAnsi="Times New Roman;sans-serif"/>
          <w:b w:val="false"/>
          <w:color w:val="000000"/>
          <w:sz w:val="20"/>
          <w:highlight w:val="white"/>
        </w:rPr>
        <w:t>, respectively</w:t>
      </w:r>
      <w:r>
        <w:rPr>
          <w:rFonts w:ascii="Times New Roman;sans-serif" w:hAnsi="Times New Roman;sans-serif"/>
          <w:b w:val="false"/>
          <w:color w:val="000000"/>
          <w:sz w:val="20"/>
        </w:rPr>
        <w:t>. As of March 31, 2023 and December 31, 2022, the Company has recorded a lease liability of $3,341 and $3,340, respectively, within Non-cur</w:t>
      </w:r>
      <w:r>
        <w:rPr>
          <w:rFonts w:ascii="Times New Roman;sans-serif" w:hAnsi="Times New Roman;sans-serif"/>
          <w:b w:val="false"/>
          <w:color w:val="000000"/>
          <w:sz w:val="20"/>
          <w:highlight w:val="white"/>
        </w:rPr>
        <w:t>rent lease liabilities on the condensed consolidated balance sheets.</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DevTech investment</w:t>
      </w:r>
    </w:p>
    <w:p>
      <w:pPr>
        <w:pStyle w:val="TextBody"/>
        <w:spacing w:lineRule="auto" w:line="288" w:before="240" w:after="283"/>
        <w:rPr/>
      </w:pPr>
      <w:r>
        <w:rPr>
          <w:rFonts w:ascii="Times New Roman;sans-serif" w:hAnsi="Times New Roman;sans-serif"/>
          <w:b w:val="false"/>
          <w:color w:val="000000"/>
          <w:sz w:val="20"/>
          <w:highlight w:val="white"/>
        </w:rPr>
        <w:t xml:space="preserve">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condensed consolidated financial statements. The Company recognized approximately $105 and $98 in expense within Selling, general and administrative for the three months ended March 31, 2023 and 2022, respectively. As of March 31, 2023 and </w:t>
      </w:r>
      <w:r>
        <w:rPr>
          <w:rFonts w:ascii="Times New Roman;sans-serif" w:hAnsi="Times New Roman;sans-serif"/>
          <w:b w:val="false"/>
          <w:color w:val="000000"/>
          <w:sz w:val="20"/>
        </w:rPr>
        <w:t>December 31, 2022</w:t>
      </w:r>
      <w:r>
        <w:rPr>
          <w:rFonts w:ascii="Times New Roman;sans-serif" w:hAnsi="Times New Roman;sans-serif"/>
          <w:b w:val="false"/>
          <w:color w:val="000000"/>
          <w:sz w:val="20"/>
          <w:highlight w:val="white"/>
        </w:rPr>
        <w:t xml:space="preserve">, $105 and $80 were due to DevTech, respectively.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Fortress affiliated entities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Company provides certain administrative services to related parties including Fortress affiliated entities. No costs are incurred for such administrative services by the Company as the Company is fully reimbursed for all costs incurred. The Company has subleased a portion of office space to affiliates of entities managed by Fortress, and for the three months ended March 31, 2023 and 2022, $192 and $195 of rent and office related expenses were incurred by these affiliates, respectively. As of March 31, 2023 and December 31, 2022, $892 and $700, respectively, were due from all Fortress affiliated entities.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highlight w:val="white"/>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$589 and $600 for the three months ended March 31, 2023 and 2022, respectively. As of March 31, 2023 and December 31, 2022, $3,043 and $2,455 were d</w:t>
      </w:r>
      <w:r>
        <w:rPr>
          <w:rFonts w:ascii="Times New Roman;sans-serif" w:hAnsi="Times New Roman;sans-serif"/>
          <w:b w:val="false"/>
          <w:color w:val="000000"/>
          <w:sz w:val="20"/>
        </w:rPr>
        <w:t>ue to Fortress affiliated entities,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720"/>
        <w:rPr>
          <w:rFonts w:ascii="Times New Roman;sans-serif" w:hAnsi="Times New Roman;sans-serif"/>
          <w:b/>
          <w:color w:val="000000"/>
          <w:sz w:val="20"/>
        </w:rPr>
      </w:pPr>
      <w:r>
        <w:rPr>
          <w:rFonts w:ascii="Times New Roman;sans-serif" w:hAnsi="Times New Roman;sans-serif"/>
          <w:b/>
          <w:color w:val="000000"/>
          <w:sz w:val="20"/>
        </w:rPr>
        <w:t>23. Segments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of March 31, 2023, the Company operates in two reportable segments: Terminals and Infrastructure and Ships:</w:t>
      </w:r>
    </w:p>
    <w:p>
      <w:pPr>
        <w:pStyle w:val="TextBody"/>
        <w:spacing w:lineRule="auto" w:line="288" w:before="240" w:after="283"/>
        <w:ind w:left="0" w:right="0" w:hanging="360"/>
        <w:rPr/>
      </w:pPr>
      <w:r>
        <w:rPr>
          <w:color w:val="000000"/>
          <w:highlight w:val="white"/>
        </w:rPr>
        <w:t>•</w:t>
      </w:r>
      <w:r>
        <w:rPr>
          <w:rFonts w:ascii="Times New Roman;sans-serif" w:hAnsi="Times New Roman;sans-serif"/>
          <w:b/>
          <w:color w:val="000000"/>
          <w:sz w:val="20"/>
          <w:highlight w:val="white"/>
        </w:rPr>
        <w:t>Terminals and Infrastructure</w:t>
      </w:r>
      <w:r>
        <w:rPr>
          <w:color w:val="000000"/>
          <w:highlight w:val="white"/>
        </w:rPr>
        <w:t xml:space="preserve"> </w:t>
      </w:r>
      <w:r>
        <w:rPr>
          <w:rFonts w:ascii="Times New Roman;sans-serif" w:hAnsi="Times New Roman;sans-serif"/>
          <w:b w:val="false"/>
          <w:color w:val="000000"/>
          <w:sz w:val="20"/>
          <w:highlight w:val="white"/>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Terminals and Infrastructure Operating Margin included the Company’s effective share of revenues, expenses and                         operating margin attributable to the Company's 50% investment in Centrais Elétricas de Sergipe Participações S.A. (“CELSEPAR”); the Company disposed of this investment in the fourth quarter of 2022.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Terminal and Infrastructure segment includes realized gains and losses from the settlement of derivative transactions entered into as economic hedges to reduce market risks associated with commodity prices.</w:t>
      </w:r>
    </w:p>
    <w:p>
      <w:pPr>
        <w:pStyle w:val="TextBody"/>
        <w:spacing w:lineRule="auto" w:line="288" w:before="240" w:after="283"/>
        <w:ind w:left="0" w:right="0" w:hanging="360"/>
        <w:rPr/>
      </w:pPr>
      <w:r>
        <w:rPr>
          <w:color w:val="000000"/>
        </w:rPr>
        <w:t>•</w:t>
      </w:r>
      <w:r>
        <w:rPr>
          <w:rFonts w:ascii="Times New Roman;sans-serif" w:hAnsi="Times New Roman;sans-serif"/>
          <w:b/>
          <w:color w:val="000000"/>
          <w:sz w:val="20"/>
          <w:highlight w:val="white"/>
        </w:rPr>
        <w:t>Ships</w:t>
      </w:r>
      <w:r>
        <w:rPr>
          <w:color w:val="000000"/>
          <w:highlight w:val="white"/>
        </w:rPr>
        <w:t xml:space="preserve"> </w:t>
      </w:r>
      <w:r>
        <w:rPr>
          <w:rFonts w:ascii="Times New Roman;sans-serif" w:hAnsi="Times New Roman;sans-serif"/>
          <w:b w:val="false"/>
          <w:color w:val="000000"/>
          <w:sz w:val="20"/>
          <w:highlight w:val="white"/>
        </w:rPr>
        <w:t>includes FSRUs and LNG carriers that are leased to customers under long-term or spot arrangements. FSRUs are stationed offshore for customer’s operations to regasify LNG; LNG carriers are vessels that transport LNG and are compatible with many LNG loading and receiving terminals globally. Five FSRUs and five LNG carriers are included in this segment. The Company’s investment in Energos is also included in the Ships segment.</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Ships Operating Margin included our effective share of revenue, expenses and operating margin attributable to our ownership of 50% of the common units of Hilli LLC prior to the disposition of this investment in first quarter of 2023.</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table below presents segment information for the three months ended March 31, 2023 and 2022:</w:t>
      </w:r>
    </w:p>
    <w:tbl>
      <w:tblPr>
        <w:tblW w:w="10205" w:type="dxa"/>
        <w:jc w:val="left"/>
        <w:tblInd w:w="0" w:type="dxa"/>
        <w:tblCellMar>
          <w:top w:w="28" w:type="dxa"/>
          <w:left w:w="28" w:type="dxa"/>
          <w:bottom w:w="28" w:type="dxa"/>
          <w:right w:w="28" w:type="dxa"/>
        </w:tblCellMar>
      </w:tblPr>
      <w:tblGrid>
        <w:gridCol w:w="928"/>
        <w:gridCol w:w="706"/>
        <w:gridCol w:w="709"/>
        <w:gridCol w:w="215"/>
        <w:gridCol w:w="999"/>
        <w:gridCol w:w="112"/>
        <w:gridCol w:w="109"/>
        <w:gridCol w:w="109"/>
        <w:gridCol w:w="109"/>
        <w:gridCol w:w="211"/>
        <w:gridCol w:w="976"/>
        <w:gridCol w:w="109"/>
        <w:gridCol w:w="109"/>
        <w:gridCol w:w="109"/>
        <w:gridCol w:w="109"/>
        <w:gridCol w:w="211"/>
        <w:gridCol w:w="976"/>
        <w:gridCol w:w="109"/>
        <w:gridCol w:w="109"/>
        <w:gridCol w:w="109"/>
        <w:gridCol w:w="109"/>
        <w:gridCol w:w="234"/>
        <w:gridCol w:w="935"/>
        <w:gridCol w:w="122"/>
        <w:gridCol w:w="109"/>
        <w:gridCol w:w="109"/>
        <w:gridCol w:w="109"/>
        <w:gridCol w:w="211"/>
        <w:gridCol w:w="976"/>
        <w:gridCol w:w="158"/>
      </w:tblGrid>
      <w:tr>
        <w:trPr/>
        <w:tc>
          <w:tcPr>
            <w:tcW w:w="928"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2" w:type="dxa"/>
            <w:gridSpan w:val="27"/>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3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spacing w:lineRule="auto" w:line="276"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502,608 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579,131 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 (3)</w:t>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184,938 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402,139</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78,678</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480,817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(126,586)</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354,231</w:t>
            </w: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6,584,603 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8,223,746 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8,223,746 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931,823 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23"/>
        <w:gridCol w:w="699"/>
        <w:gridCol w:w="702"/>
        <w:gridCol w:w="215"/>
        <w:gridCol w:w="999"/>
        <w:gridCol w:w="112"/>
        <w:gridCol w:w="109"/>
        <w:gridCol w:w="109"/>
        <w:gridCol w:w="109"/>
        <w:gridCol w:w="211"/>
        <w:gridCol w:w="976"/>
        <w:gridCol w:w="109"/>
        <w:gridCol w:w="109"/>
        <w:gridCol w:w="109"/>
        <w:gridCol w:w="109"/>
        <w:gridCol w:w="214"/>
        <w:gridCol w:w="991"/>
        <w:gridCol w:w="110"/>
        <w:gridCol w:w="109"/>
        <w:gridCol w:w="109"/>
        <w:gridCol w:w="109"/>
        <w:gridCol w:w="257"/>
        <w:gridCol w:w="899"/>
        <w:gridCol w:w="135"/>
        <w:gridCol w:w="109"/>
        <w:gridCol w:w="109"/>
        <w:gridCol w:w="109"/>
        <w:gridCol w:w="211"/>
        <w:gridCol w:w="976"/>
        <w:gridCol w:w="158"/>
      </w:tblGrid>
      <w:tr>
        <w:trPr/>
        <w:tc>
          <w:tcPr>
            <w:tcW w:w="923"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1" w:type="dxa"/>
            <w:gridSpan w:val="27"/>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480,349 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595,291 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(90,173)</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505,118 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(3)</w:t>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(27,234)</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208,298 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21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21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211,083</w:t>
            </w:r>
            <w:r>
              <w:rPr>
                <w:color w:val="000000"/>
              </w:rPr>
              <w:t>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89,000</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300,083</w:t>
            </w:r>
            <w:r>
              <w:rPr>
                <w:color w:val="000000"/>
              </w:rPr>
              <w:t> </w:t>
            </w:r>
          </w:p>
        </w:tc>
        <w:tc>
          <w:tcPr>
            <w:tcW w:w="11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(49,395)</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250,688</w:t>
            </w:r>
            <w:r>
              <w:rPr>
                <w:color w:val="000000"/>
              </w:rPr>
              <w:t> </w:t>
            </w:r>
          </w:p>
        </w:tc>
        <w:tc>
          <w:tcPr>
            <w:tcW w:w="1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5,291,601 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2,074,207 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7,365,808 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7,365,808 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segmental financial information:</w:t>
            </w:r>
          </w:p>
        </w:tc>
        <w:tc>
          <w:tcPr>
            <w:tcW w:w="13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p>
        </w:tc>
        <w:tc>
          <w:tcPr>
            <w:tcW w:w="215"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196,390 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199,679 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199,679 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13"/>
          <w:highlight w:val="white"/>
        </w:rPr>
        <w:t>(1)</w:t>
      </w:r>
      <w:r>
        <w:rPr>
          <w:color w:val="000000"/>
          <w:highlight w:val="white"/>
        </w:rPr>
        <w:t xml:space="preserve"> </w:t>
      </w:r>
      <w:r>
        <w:rPr>
          <w:rFonts w:ascii="Times New Roman;sans-serif" w:hAnsi="Times New Roman;sans-serif"/>
          <w:b w:val="false"/>
          <w:color w:val="000000"/>
          <w:sz w:val="20"/>
          <w:highlight w:val="white"/>
        </w:rPr>
        <w:t xml:space="preserve">Cost of sales in the Company’s segment measure only includes realized gains and losses on derivative transactions that are an economic hedge of our commodity purchases and sales, and in the first quarter of 2023, realized gains of </w:t>
      </w:r>
      <w:r>
        <w:rPr>
          <w:rFonts w:ascii="Times New Roman;sans-serif" w:hAnsi="Times New Roman;sans-serif"/>
          <w:b w:val="false"/>
          <w:color w:val="000000"/>
          <w:sz w:val="20"/>
        </w:rPr>
        <w:t xml:space="preserve">$146,112 </w:t>
      </w:r>
      <w:r>
        <w:rPr>
          <w:rFonts w:ascii="Times New Roman;sans-serif" w:hAnsi="Times New Roman;sans-serif"/>
          <w:b w:val="false"/>
          <w:color w:val="000000"/>
          <w:sz w:val="20"/>
          <w:highlight w:val="white"/>
        </w:rPr>
        <w:t xml:space="preserve">were recognized as a reduction to Cost of sales in the segment measure.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Unrealized changes in the mark-to-market value of derivative transactions of $111,140 reconcile Cost of sales in the segment measure to Cost of sales in the condensed consolidated statements of operations and comprehensive income. </w:t>
      </w:r>
    </w:p>
    <w:p>
      <w:pPr>
        <w:pStyle w:val="TextBody"/>
        <w:spacing w:before="0" w:after="0"/>
        <w:rPr/>
      </w:pPr>
      <w:r>
        <w:rPr/>
      </w:r>
    </w:p>
    <w:p>
      <w:pPr>
        <w:pStyle w:val="TextBody"/>
        <w:spacing w:lineRule="auto" w:line="256" w:before="0" w:after="0"/>
        <w:rPr/>
      </w:pPr>
      <w:r>
        <w:rPr>
          <w:rFonts w:ascii="Times New Roman;sans-serif" w:hAnsi="Times New Roman;sans-serif"/>
          <w:b w:val="false"/>
          <w:color w:val="000000"/>
          <w:sz w:val="13"/>
          <w:highlight w:val="white"/>
        </w:rPr>
        <w:t>(2)</w:t>
      </w:r>
      <w:r>
        <w:rPr>
          <w:color w:val="000000"/>
          <w:highlight w:val="white"/>
        </w:rPr>
        <w:t xml:space="preserve"> </w:t>
      </w:r>
      <w:r>
        <w:rPr>
          <w:rFonts w:ascii="Times New Roman;sans-serif" w:hAnsi="Times New Roman;sans-serif"/>
          <w:b w:val="false"/>
          <w:color w:val="000000"/>
          <w:sz w:val="20"/>
          <w:highlight w:val="white"/>
        </w:rPr>
        <w:t>Capital expenditures includes amounts capitalized to construction in progress and additions to property, plant and equipment during the period.</w:t>
      </w:r>
    </w:p>
    <w:p>
      <w:pPr>
        <w:pStyle w:val="TextBody"/>
        <w:spacing w:before="0" w:after="0"/>
        <w:rPr/>
      </w:pPr>
      <w:r>
        <w:rPr/>
      </w:r>
    </w:p>
    <w:p>
      <w:pPr>
        <w:pStyle w:val="TextBody"/>
        <w:spacing w:lineRule="auto" w:line="256" w:before="0" w:after="0"/>
        <w:rPr/>
      </w:pPr>
      <w:r>
        <w:rPr>
          <w:rFonts w:ascii="Times New Roman;sans-serif" w:hAnsi="Times New Roman;sans-serif"/>
          <w:b w:val="false"/>
          <w:color w:val="000000"/>
          <w:sz w:val="13"/>
          <w:highlight w:val="white"/>
        </w:rPr>
        <w:t>(3)</w:t>
      </w:r>
      <w:r>
        <w:rPr>
          <w:color w:val="000000"/>
          <w:highlight w:val="white"/>
        </w:rPr>
        <w:t xml:space="preserve"> </w:t>
      </w:r>
      <w:r>
        <w:rPr>
          <w:rFonts w:ascii="Times New Roman;sans-serif" w:hAnsi="Times New Roman;sans-serif"/>
          <w:b w:val="false"/>
          <w:color w:val="000000"/>
          <w:sz w:val="20"/>
          <w:highlight w:val="white"/>
        </w:rPr>
        <w:t>Cost of sales is presented exclusive of costs included in Depreciation and amortization in the condensed consolidated statements of operations and comprehensive income.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56" w:before="0" w:after="0"/>
        <w:rPr/>
      </w:pPr>
      <w:r>
        <w:rPr>
          <w:rFonts w:ascii="Times New Roman;sans-serif" w:hAnsi="Times New Roman;sans-serif"/>
          <w:b w:val="false"/>
          <w:color w:val="000000"/>
          <w:sz w:val="13"/>
          <w:highlight w:val="white"/>
        </w:rPr>
        <w:t xml:space="preserve">(4) </w:t>
      </w:r>
      <w:r>
        <w:rPr>
          <w:rFonts w:ascii="Times New Roman;sans-serif" w:hAnsi="Times New Roman;sans-serif"/>
          <w:b w:val="false"/>
          <w:color w:val="000000"/>
          <w:sz w:val="20"/>
          <w:highlight w:val="white"/>
        </w:rPr>
        <w:t>Consolidation and Other adjusts for the inclusion of the effective share of revenues, expenses and operating margin attributable to the Company's 50% ownership of CELSEPAR and the common units of Hilli LLC in the segment measure and exclusion of the unrealized mark-to-market gain or loss on derivative instruments.</w: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Consolidated Segment Operating Margin is defined as net income, adjusted for Selling, general and administrative expenses, Transaction and integration costs, Depreciation and amortization, Interest expense, Other expense (income), net, Income from equity method investments and Tax provision (benefit).</w:t>
      </w:r>
    </w:p>
    <w:p>
      <w:pPr>
        <w:pStyle w:val="TextBody"/>
        <w:spacing w:lineRule="auto" w:line="288" w:before="240" w:after="283"/>
        <w:rPr/>
      </w:pPr>
      <w:r>
        <w:rPr>
          <w:rFonts w:ascii="Times New Roman;sans-serif" w:hAnsi="Times New Roman;sans-serif"/>
          <w:b w:val="false"/>
          <w:color w:val="000000"/>
          <w:sz w:val="20"/>
          <w:highlight w:val="white"/>
        </w:rPr>
        <w:t>The</w:t>
      </w:r>
      <w:r>
        <w:rPr>
          <w:color w:val="000000"/>
          <w:highlight w:val="white"/>
        </w:rPr>
        <w:t xml:space="preserve"> </w:t>
      </w:r>
      <w:r>
        <w:rPr>
          <w:rFonts w:ascii="Times New Roman;sans-serif" w:hAnsi="Times New Roman;sans-serif"/>
          <w:b w:val="false"/>
          <w:color w:val="000000"/>
          <w:sz w:val="20"/>
          <w:highlight w:val="white"/>
        </w:rPr>
        <w:t>following table reconciles Net income, the most comparable financial statement measure, to Consolidated Segment Operating Margin:</w:t>
      </w:r>
    </w:p>
    <w:tbl>
      <w:tblPr>
        <w:tblW w:w="6997" w:type="dxa"/>
        <w:jc w:val="left"/>
        <w:tblInd w:w="0" w:type="dxa"/>
        <w:tblCellMar>
          <w:top w:w="28" w:type="dxa"/>
          <w:left w:w="28" w:type="dxa"/>
          <w:bottom w:w="28" w:type="dxa"/>
          <w:right w:w="28" w:type="dxa"/>
        </w:tblCellMar>
      </w:tblPr>
      <w:tblGrid>
        <w:gridCol w:w="1271"/>
        <w:gridCol w:w="1118"/>
        <w:gridCol w:w="1121"/>
        <w:gridCol w:w="224"/>
        <w:gridCol w:w="880"/>
        <w:gridCol w:w="116"/>
        <w:gridCol w:w="116"/>
        <w:gridCol w:w="116"/>
        <w:gridCol w:w="116"/>
        <w:gridCol w:w="224"/>
        <w:gridCol w:w="880"/>
        <w:gridCol w:w="116"/>
        <w:gridCol w:w="109"/>
        <w:gridCol w:w="109"/>
        <w:gridCol w:w="109"/>
        <w:gridCol w:w="109"/>
        <w:gridCol w:w="109"/>
        <w:gridCol w:w="154"/>
      </w:tblGrid>
      <w:tr>
        <w:trPr/>
        <w:tc>
          <w:tcPr>
            <w:tcW w:w="127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investments</w:t>
            </w:r>
          </w:p>
        </w:tc>
        <w:tc>
          <w:tcPr>
            <w:tcW w:w="11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(50,235)</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w:t>
            </w:r>
          </w:p>
        </w:tc>
        <w:tc>
          <w:tcPr>
            <w:tcW w:w="224"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354,231 </w:t>
            </w:r>
          </w:p>
        </w:tc>
        <w:tc>
          <w:tcPr>
            <w:tcW w:w="116"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250,688 </w:t>
            </w:r>
          </w:p>
        </w:tc>
        <w:tc>
          <w:tcPr>
            <w:tcW w:w="116"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ind w:left="0" w:right="0" w:hanging="7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You should read “Risk Factors” and “Cautionary Statement on Forward-Looking Statements” elsewhere in this Quarterly Report on Form 10-Q (“Quarterly Report”) and under similar headings in the Annual Report on Form 10-K for the year ended December 31, 2022 (our “Annual Report”) for a discussion of important factors that could cause actual results to differ materially from the results described in or implied by the forward-looking statements contained in the following discussion and analysis.</w:t>
      </w:r>
    </w:p>
    <w:p>
      <w:pPr>
        <w:pStyle w:val="TextBody"/>
        <w:spacing w:lineRule="auto" w:line="288" w:before="240" w:after="283"/>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pStyle w:val="TextBody"/>
        <w:spacing w:lineRule="auto" w:line="288" w:before="240" w:after="283"/>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 xml:space="preserve">Unless the context otherwise requires, references to “Company,” “NFE,” “we,” “our,” “us” or like terms refer to New Fortress Energy Inc. and its subsidiaries.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Overview</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our Annual Report, “Items 1 and 2: Business and Properties” under “Sustainability—Toward a Very-Low Carbon Future.”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makes resource allocation decisions and assesses performance on the basis of two operating segments, Terminals and Infrastructure and Ships.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Starting in </w:t>
      </w:r>
      <w:r>
        <w:rPr>
          <w:rFonts w:ascii="Times New Roman;sans-serif" w:hAnsi="Times New Roman;sans-serif"/>
          <w:b w:val="false"/>
          <w:color w:val="000000"/>
          <w:sz w:val="20"/>
          <w:highlight w:val="white"/>
        </w:rPr>
        <w:t>the third</w:t>
      </w:r>
      <w:r>
        <w:rPr>
          <w:color w:val="000000"/>
        </w:rPr>
        <w:t xml:space="preserve"> </w:t>
      </w:r>
      <w:r>
        <w:rPr>
          <w:rFonts w:ascii="Times New Roman;sans-serif" w:hAnsi="Times New Roman;sans-serif"/>
          <w:b w:val="false"/>
          <w:color w:val="000000"/>
          <w:sz w:val="20"/>
        </w:rPr>
        <w:t xml:space="preserve">quarter of </w:t>
      </w:r>
      <w:r>
        <w:rPr>
          <w:rFonts w:ascii="Times New Roman;sans-serif" w:hAnsi="Times New Roman;sans-serif"/>
          <w:b w:val="false"/>
          <w:color w:val="000000"/>
          <w:sz w:val="20"/>
          <w:highlight w:val="white"/>
        </w:rPr>
        <w:t>2023</w:t>
      </w:r>
      <w:r>
        <w:rPr>
          <w:rFonts w:ascii="Times New Roman;sans-serif" w:hAnsi="Times New Roman;sans-serif"/>
          <w:b w:val="false"/>
          <w:color w:val="000000"/>
          <w:sz w:val="20"/>
        </w:rPr>
        <w:t>, we expect to begin to source a portion of our LNG from our modular floating liquefaction facilities, which we refer to as "Fast LNG" or "FLNG."</w:t>
      </w:r>
      <w:r>
        <w:rPr>
          <w:color w:val="000000"/>
        </w:rPr>
        <w:t xml:space="preserve"> </w:t>
      </w:r>
      <w:r>
        <w:rPr>
          <w:rFonts w:ascii="Times New Roman;sans-serif" w:hAnsi="Times New Roman;sans-serif"/>
          <w:b w:val="false"/>
          <w:color w:val="000000"/>
          <w:sz w:val="20"/>
        </w:rPr>
        <w:t xml:space="preserve">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Ships segment includes all vessels which are leased to customers under long-term or spot arrangements. The Company’s investment in Energos (defined below) is also included in the Ships segment. Over time, we expect to utilize these vessels in our own terminal operations as charter agreements for these vessels expire.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Our Current Operations – Terminals and Infrastructure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a subsidiary of Federal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rPr>
        <w:t>Electricity Commission (</w:t>
      </w:r>
      <w:r>
        <w:rPr>
          <w:rFonts w:ascii="Times New Roman;sans-serif" w:hAnsi="Times New Roman;sans-serif"/>
          <w:b w:val="false"/>
          <w:i/>
          <w:color w:val="000000"/>
          <w:sz w:val="20"/>
        </w:rPr>
        <w:t>Comisión Federal de Electricidad</w:t>
      </w:r>
      <w:r>
        <w:rPr>
          <w:rFonts w:ascii="Times New Roman;sans-serif" w:hAnsi="Times New Roman;sans-serif"/>
          <w:b w:val="false"/>
          <w:color w:val="000000"/>
          <w:sz w:val="20"/>
        </w:rPr>
        <w:t>), Mexico’s power utility, each of which is described in more detail below. Our assets built to service these significant customers have been designed with capacity to service other customers.</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Montego Bay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61,000 MMBtu of LNG per day and features approximately 7,000 cubic meters of onsite storage. The Montego Bay Facility also consists of an ISO loading facility that can transport LNG to numerous on-island industrial users.</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Old Harbour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San Juan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 </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La Paz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we began commercial operations at the Port of Pichilingue in Baja California Sur, Mexico (the “La Paz Facility”). The La Paz Facility is expected to supply approximately 22,300 MMBtu of LNG per day to our 100MW gas-fired modular power units (the “La Paz Power Plant”) following the start of operations. Natural gas supply to the La Paz Power Plant may be increased to approximately 29,000 MMBtu of LNG per day for up to 135MW of power.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we finalized short-form agreements with CFE to expand and extend our supply of natural gas to multiple CFE power generation facilities in Baja California Sur and to sell the La Paz Power Plant to CFE and are in the process of finalizing long-form agreements to commemorate all binding terms. The gas sales and power plant sale agreements are subject to execution of the long-form final agreements and certain conditions precedent, and we expect to execute the long-form final agreements in the second quarter of 2023. </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Miami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Miami Facility began operations in April 2016. This facility has liquefaction capacity of approximately 8,300 MMBtu of LNG per day and enables us to produce LNG for sales directly to industrial end-users in southern Florida, including Florida East Coast Railway via our train loading facility, and other customers throughout the Caribbean using ISO containers.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LNG Supply and Cargo Sales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NFE provides reliable, affordable and clean energy supplies to customers around the world that we plan to satisfy through the following sources: 1) our current contractual supply commitments; 2) additional LNG supply contracts expected to commence in 2027;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which are expected to commence in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rPr>
        <w:t>2026 and 2027. Finally,</w:t>
      </w:r>
      <w:r>
        <w:rPr>
          <w:color w:val="000000"/>
          <w:highlight w:val="white"/>
        </w:rPr>
        <w:t xml:space="preserve"> </w:t>
      </w:r>
      <w:r>
        <w:rPr>
          <w:rFonts w:ascii="Times New Roman;sans-serif" w:hAnsi="Times New Roman;sans-serif"/>
          <w:b w:val="false"/>
          <w:color w:val="000000"/>
          <w:sz w:val="20"/>
          <w:highlight w:val="white"/>
        </w:rPr>
        <w:t xml:space="preserve">we plan to commence our own Fast LNG production in the </w:t>
      </w:r>
      <w:r>
        <w:rPr>
          <w:rFonts w:ascii="Times New Roman;sans-serif" w:hAnsi="Times New Roman;sans-serif"/>
          <w:b w:val="false"/>
          <w:color w:val="000000"/>
          <w:sz w:val="20"/>
        </w:rPr>
        <w:t xml:space="preserve">third quarter of </w:t>
      </w:r>
      <w:r>
        <w:rPr>
          <w:rFonts w:ascii="Times New Roman;sans-serif" w:hAnsi="Times New Roman;sans-serif"/>
          <w:b w:val="false"/>
          <w:color w:val="000000"/>
          <w:sz w:val="20"/>
          <w:highlight w:val="white"/>
        </w:rPr>
        <w:t>2023,</w:t>
      </w:r>
      <w:r>
        <w:rPr>
          <w:color w:val="000000"/>
        </w:rPr>
        <w:t xml:space="preserve"> </w:t>
      </w:r>
      <w:r>
        <w:rPr>
          <w:rFonts w:ascii="Times New Roman;sans-serif" w:hAnsi="Times New Roman;sans-serif"/>
          <w:b w:val="false"/>
          <w:color w:val="000000"/>
          <w:sz w:val="20"/>
        </w:rPr>
        <w:t xml:space="preserve">when our first FLNG facility is expected to begin operation, and we plan to expand that capacity when additional units come online over the next two years. </w:t>
      </w:r>
    </w:p>
    <w:p>
      <w:pPr>
        <w:pStyle w:val="TextBody"/>
        <w:spacing w:lineRule="auto" w:line="288" w:before="240" w:after="283"/>
        <w:ind w:left="0" w:right="0" w:firstLine="360"/>
        <w:rPr/>
      </w:pPr>
      <w:r>
        <w:rPr>
          <w:rFonts w:ascii="Times New Roman;sans-serif" w:hAnsi="Times New Roman;sans-serif"/>
          <w:b w:val="false"/>
          <w:color w:val="000000"/>
          <w:sz w:val="20"/>
        </w:rPr>
        <w:t xml:space="preserve">The recent geopolitical events in Europe have substantially impacted the natural gas and LNG markets with unprecedented price increases and volatility.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t>
      </w:r>
      <w:r>
        <w:rPr>
          <w:rFonts w:ascii="Times New Roman;sans-serif" w:hAnsi="Times New Roman;sans-serif"/>
          <w:b w:val="false"/>
          <w:color w:val="000000"/>
          <w:sz w:val="20"/>
          <w:highlight w:val="white"/>
        </w:rPr>
        <w:t>with our own Fast LNG production from FLNG facilities expected to commence in the third</w:t>
      </w:r>
      <w:r>
        <w:rPr>
          <w:color w:val="000000"/>
        </w:rPr>
        <w:t xml:space="preserve"> </w:t>
      </w:r>
      <w:r>
        <w:rPr>
          <w:rFonts w:ascii="Times New Roman;sans-serif" w:hAnsi="Times New Roman;sans-serif"/>
          <w:b w:val="false"/>
          <w:color w:val="000000"/>
          <w:sz w:val="20"/>
        </w:rPr>
        <w:t xml:space="preserve">quarter of </w:t>
      </w:r>
      <w:r>
        <w:rPr>
          <w:rFonts w:ascii="Times New Roman;sans-serif" w:hAnsi="Times New Roman;sans-serif"/>
          <w:b w:val="false"/>
          <w:color w:val="000000"/>
          <w:sz w:val="20"/>
          <w:highlight w:val="white"/>
        </w:rPr>
        <w:t>2023</w:t>
      </w:r>
      <w:r>
        <w:rPr>
          <w:rFonts w:ascii="Times New Roman;sans-serif" w:hAnsi="Times New Roman;sans-serif"/>
          <w:b w:val="false"/>
          <w:color w:val="000000"/>
          <w:sz w:val="20"/>
        </w:rPr>
        <w:t>, we plan to further mitigate our exposure to variability in LNG prices. Due to current market conditions, we expect that our revenue and results of operations will benefit in the near term from selling cargos into the elevated global LNG market. As FLNG facilities commence production, our long-term strategy is to sell substantially all cargos produced to customers on a long-term, take-or-pay basis through our downstream terminals.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Our Current Operations – Ships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Our Ships segment includes FSRUs and LNG carriers, which are leased to customers under long-term or spot arrangements. </w:t>
      </w:r>
      <w:r>
        <w:rPr>
          <w:rFonts w:ascii="Times New Roman;sans-serif" w:hAnsi="Times New Roman;sans-serif"/>
          <w:b w:val="false"/>
          <w:color w:val="000000"/>
          <w:sz w:val="20"/>
          <w:highlight w:val="white"/>
        </w:rPr>
        <w:t xml:space="preserve">At the expiration of third party charters of vessels owned by Energos Infrastructure (“Energos”), an entity formed in 2022 and describe in more detail below, we plan to charter these vessels for our own use. We exclude these vessels from our Ships segment and include them in our Terminals and Infrastructure segment once we begin to use the vessels for our own operational purposes. </w:t>
      </w:r>
      <w:r>
        <w:rPr>
          <w:rFonts w:ascii="Times New Roman;sans-serif" w:hAnsi="Times New Roman;sans-serif"/>
          <w:b w:val="false"/>
          <w:color w:val="000000"/>
          <w:sz w:val="20"/>
        </w:rPr>
        <w:t>One LNG carrier and one FSRU are currently utilized in our terminal operations, and the results of operations of these vessels are reflected in the Terminals and Infrastructure segment.</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August 2022, we completed a financing transaction with an affiliate of Apollo Global Management, Inc. collateralized by our vessels (the “Energos Formation Transaction”). As a result of the Energos Formation Transaction, we own approximately a 20% equity interest in Energos, and we have accounted for the investment in Energos as an equity method investment. In connection with the Energos Formation Transaction, we entered into long-term time charter agreements for periods of up to 20 years in respect of ten vessels, the terms of which commence upon the expiration of each vessel's existing charter. These charters prevent the recognition of a sale of these vessels to Energos, and as such, proceeds associated with these vessels have been treated as failed sale leasebacks. These vessels continue to be recognized on our consolidated balance sheet as Property, plant and equipment, and we have recognized this failed sale leaseback financing as debt. </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vessels included in the Energos Formation Transaction are currently chartered to third parties under operating leases. As we have not recognized the sale of these vessels and proceeds received under the Energos Formation Transaction are collateralized by the cash flows from these charters, revenue generated from these operating leases continues to be recognized as Vessel charter revenue; costs of operating the vessels is included in Vessel operating expenses over the terms of the third-party charters. Cash flows from these third-party charters are included as part of debt service for the sale leaseback financing debt, and we will recognize additional financing costs within Interest expense, net.</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 xml:space="preserve">We did not enter into a charter agreement to leaseback the </w:t>
      </w:r>
      <w:r>
        <w:rPr>
          <w:rFonts w:ascii="Times New Roman;sans-serif" w:hAnsi="Times New Roman;sans-serif"/>
          <w:b w:val="false"/>
          <w:i/>
          <w:color w:val="000000"/>
          <w:sz w:val="20"/>
          <w:highlight w:val="white"/>
        </w:rPr>
        <w:t>Nanook</w:t>
      </w:r>
      <w:r>
        <w:rPr>
          <w:rFonts w:ascii="Times New Roman;sans-serif" w:hAnsi="Times New Roman;sans-serif"/>
          <w:b w:val="false"/>
          <w:color w:val="000000"/>
          <w:sz w:val="20"/>
          <w:highlight w:val="white"/>
        </w:rPr>
        <w:t xml:space="preserve">, which was sold to Energos as part of the Energos Formation Transaction. After closing this transaction, we no longer recognize revenue from the sales-type lease of the </w:t>
      </w:r>
      <w:r>
        <w:rPr>
          <w:rFonts w:ascii="Times New Roman;sans-serif" w:hAnsi="Times New Roman;sans-serif"/>
          <w:b w:val="false"/>
          <w:i/>
          <w:color w:val="000000"/>
          <w:sz w:val="20"/>
          <w:highlight w:val="white"/>
        </w:rPr>
        <w:t>Nanook</w:t>
      </w:r>
      <w:r>
        <w:rPr>
          <w:color w:val="000000"/>
          <w:highlight w:val="white"/>
        </w:rPr>
        <w:t xml:space="preserve"> </w:t>
      </w:r>
      <w:r>
        <w:rPr>
          <w:rFonts w:ascii="Times New Roman;sans-serif" w:hAnsi="Times New Roman;sans-serif"/>
          <w:b w:val="false"/>
          <w:color w:val="000000"/>
          <w:sz w:val="20"/>
          <w:highlight w:val="white"/>
        </w:rPr>
        <w:t>and the related operating services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Our Development Projects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projects currently under development include our development of a series of modular floating liquefaction facilities to provide a source of low-cost supply of LNG to customers around the world through our Fast LNG technologies; our LNG terminal facility in Puerto Sandino, Nicaragua (“Puerto Sandino Facility”); our LNG terminal (“Barcarena Facility”) and power plant (“Barcarena Power Plant”) located in Pará, Brazil; our LNG terminal located on the southern coast of Brazil ("Santa Catarina Terminal"); and our LNG terminal (“Ireland Facility”) and power plant in Ireland.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design, development, construction and operation of our projects are highly regulated activities and subject to various approvals and permits. The process to obtain required permits, approvals and authorizations is complex, time-</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consuming, challenging and varies in each jurisdiction in which we operate. We obtain required permits, approvals and authorizations in due course in connection with each milestone for our projects.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describe each of our current development projects below.</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Fast LNG</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currently developing multiple modular floating liquefaction facilities to provide a source of low-cost supply of LNG to customers around the world. We have designed and are constructing offshore liquefaction facilities for our growing customer base that we believe are both faster and more economical to construct than many traditional liquefaction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We expect to deploy our first Fast LNG unit </w:t>
      </w:r>
      <w:r>
        <w:rPr>
          <w:rFonts w:ascii="Times New Roman;sans-serif" w:hAnsi="Times New Roman;sans-serif"/>
          <w:b w:val="false"/>
          <w:color w:val="000000"/>
          <w:sz w:val="20"/>
          <w:highlight w:val="white"/>
        </w:rPr>
        <w:t>in the third</w:t>
      </w:r>
      <w:r>
        <w:rPr>
          <w:color w:val="000000"/>
        </w:rPr>
        <w:t xml:space="preserve"> </w:t>
      </w:r>
      <w:r>
        <w:rPr>
          <w:rFonts w:ascii="Times New Roman;sans-serif" w:hAnsi="Times New Roman;sans-serif"/>
          <w:b w:val="false"/>
          <w:color w:val="000000"/>
          <w:sz w:val="20"/>
        </w:rPr>
        <w:t>quarter of 2023 and additional units in 2024.</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deploy several Fast LNG units at different locations around the world and describe our currently planned projects below.</w:t>
      </w:r>
    </w:p>
    <w:p>
      <w:pPr>
        <w:pStyle w:val="TextBody"/>
        <w:spacing w:lineRule="auto" w:line="288" w:before="240" w:after="283"/>
        <w:rPr/>
      </w:pPr>
      <w:r>
        <w:rPr>
          <w:rFonts w:ascii="Times New Roman;sans-serif" w:hAnsi="Times New Roman;sans-serif"/>
          <w:b w:val="false"/>
          <w:i/>
          <w:color w:val="000000"/>
          <w:sz w:val="20"/>
        </w:rPr>
        <w:t>Altamira</w:t>
      </w:r>
      <w:r>
        <w:rPr>
          <w:color w:val="000000"/>
        </w:rPr>
        <w:t xml:space="preserve"> </w:t>
      </w:r>
    </w:p>
    <w:p>
      <w:pPr>
        <w:pStyle w:val="TextBody"/>
        <w:spacing w:lineRule="auto" w:line="288" w:before="240" w:after="283"/>
        <w:ind w:left="0" w:right="0" w:firstLine="360"/>
        <w:rPr/>
      </w:pPr>
      <w:r>
        <w:rPr>
          <w:rFonts w:ascii="Times New Roman;sans-serif" w:hAnsi="Times New Roman;sans-serif"/>
          <w:b w:val="false"/>
          <w:color w:val="000000"/>
          <w:sz w:val="20"/>
        </w:rPr>
        <w:t xml:space="preserve">In the first quarter of 2023, we executed an agreement, which include conditions to effectiveness that have not been satisfied, with CFE to supply natural gas for one FLNG unit located off the coast of Altamira, Tamaulipas, Mexico. The 1.4 million tons per annum (“MTPA”) FLNG unit will utilize CFE’s firm pipeline transportation capacity on the Sur de Texas-Tuxpan Pipeline to receive feedgas volumes. We expect to deploy this FLNG unit to Altamira </w:t>
      </w:r>
      <w:r>
        <w:rPr>
          <w:rFonts w:ascii="Times New Roman;sans-serif" w:hAnsi="Times New Roman;sans-serif"/>
          <w:b w:val="false"/>
          <w:color w:val="000000"/>
          <w:sz w:val="20"/>
          <w:highlight w:val="white"/>
        </w:rPr>
        <w:t>in the third</w:t>
      </w:r>
      <w:r>
        <w:rPr>
          <w:color w:val="000000"/>
        </w:rPr>
        <w:t xml:space="preserve"> </w:t>
      </w:r>
      <w:r>
        <w:rPr>
          <w:rFonts w:ascii="Times New Roman;sans-serif" w:hAnsi="Times New Roman;sans-serif"/>
          <w:b w:val="false"/>
          <w:color w:val="000000"/>
          <w:sz w:val="20"/>
        </w:rPr>
        <w:t>quarter of 2023.</w:t>
      </w:r>
    </w:p>
    <w:p>
      <w:pPr>
        <w:pStyle w:val="TextBody"/>
        <w:spacing w:lineRule="auto" w:line="288" w:before="240" w:after="283"/>
        <w:rPr/>
      </w:pPr>
      <w:r>
        <w:rPr>
          <w:rFonts w:ascii="Times New Roman;sans-serif" w:hAnsi="Times New Roman;sans-serif"/>
          <w:b w:val="false"/>
          <w:i/>
          <w:color w:val="000000"/>
          <w:sz w:val="20"/>
        </w:rPr>
        <w:t>Louisiana</w:t>
      </w:r>
      <w:r>
        <w:rPr>
          <w:color w:val="000000"/>
        </w:rPr>
        <w:t xml:space="preserve">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 </w:t>
      </w:r>
    </w:p>
    <w:p>
      <w:pPr>
        <w:pStyle w:val="TextBody"/>
        <w:spacing w:lineRule="auto" w:line="288" w:before="240" w:after="283"/>
        <w:rPr/>
      </w:pPr>
      <w:r>
        <w:rPr>
          <w:rFonts w:ascii="Times New Roman;sans-serif" w:hAnsi="Times New Roman;sans-serif"/>
          <w:b w:val="false"/>
          <w:i/>
          <w:color w:val="000000"/>
          <w:sz w:val="20"/>
        </w:rPr>
        <w:t>Lakach</w:t>
      </w:r>
      <w:r>
        <w:rPr>
          <w:color w:val="000000"/>
        </w:rPr>
        <w:t xml:space="preserve">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the fourth quarter of 2022, we finalized agreements, which include conditions to effectiveness that have not been satisfied, with Petróleos Mexicanos (“Pemex”) to form a long-term strategic partnership to develop the Lakach deepwater natural gas field for Pemex to supply natural gas to Mexico's onshore domestic market and for NFE to produce LNG for export to global markets. If the agreements become effective, NFE would invest in the continued development of the Lakach field over a two-year period by completing seven offshore wells and to deploy a 1.4 MTPA Fast LNG unit to liquefy the majority of the produced natural gas. Remaining natural gas and associated condensate volumes would be utilized by Pemex in Mexico's onshore domestic market.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Puerto Sandino Facility</w:t>
      </w:r>
    </w:p>
    <w:p>
      <w:pPr>
        <w:pStyle w:val="TextBody"/>
        <w:spacing w:lineRule="auto" w:line="288" w:before="240" w:after="283"/>
        <w:ind w:left="0" w:right="0" w:firstLine="360"/>
        <w:rPr/>
      </w:pPr>
      <w:r>
        <w:rPr>
          <w:rFonts w:ascii="Times New Roman;sans-serif" w:hAnsi="Times New Roman;sans-serif"/>
          <w:b w:val="false"/>
          <w:color w:val="000000"/>
          <w:sz w:val="20"/>
        </w:rPr>
        <w:t xml:space="preserve">We are developing an offshore facility consisting of an FSRU and associated infrastructure, including mooring and offshore pipelines, in Puerto Sandino, Nicaragua. We have entered into a 25-year PPA with Nicaragua’s electricity distribution companies, and we expect to utilize approximately 57,500 MMBtu </w:t>
      </w:r>
      <w:r>
        <w:rPr>
          <w:rFonts w:ascii="Times New Roman;sans-serif" w:hAnsi="Times New Roman;sans-serif"/>
          <w:b w:val="false"/>
          <w:color w:val="000000"/>
          <w:sz w:val="20"/>
          <w:highlight w:val="white"/>
        </w:rPr>
        <w:t>from</w:t>
      </w:r>
      <w:r>
        <w:rPr>
          <w:color w:val="000000"/>
        </w:rPr>
        <w:t xml:space="preserve"> </w:t>
      </w:r>
      <w:r>
        <w:rPr>
          <w:rFonts w:ascii="Times New Roman;sans-serif" w:hAnsi="Times New Roman;sans-serif"/>
          <w:b w:val="false"/>
          <w:color w:val="000000"/>
          <w:sz w:val="20"/>
        </w:rPr>
        <w:t>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Barcarena Facility</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Barcarena Facility consists of an FSRU and associated infrastructure, including mooring and offshore and onshore pipelines. The Barcarena Facility is capable of processing up to 790,000 MMBtu per day and storing up to 170,000 cubic meters of LNG. The Barcarena Facility is expected to supply gas to third-party industrial and power customers as well as the Barcarena Power Plant, a new 630MW combined cycle thermal power plant to be located in Pará, Brazil, which we own. The Barcarena Power Plant is supported by multiple 25-year power purchase agreements to supply electricity to the national electricity grid. The power project is scheduled to deliver power to nine committed offtakers for 25 years beginning in 2025. We substantially completed our Barcarena Facility in 2022 and expect to commence operations by the end of 2023. We expect to complete the Barcarena Power Plant and to commence operations in 2025.</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financed the development of the Barcarena Power Plant pursuant to a financing agreement. For information on this financing agreement, see “—Long-Term Debt and Preferred Stock” in our Annual Report.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Santa Catarina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Santa Catarina Facility will be located on the southern coast of Brazil and will consist of an FSRU with a processing capacity of approximately 570,000 MMBtus per day and LNG storage capacity of up to 170,000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by the end of 2023.</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Ireland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develop and operate an LNG facility and power plant on the Shannon Estuary, near Tarbert, Ireland. We are in the process of obtaining final planning permission from An Bord Pleanála (“ABP”) in Ireland. While the specific timing for receiving the required permits is unknown, we have undertaken pre-development work that will allow us to complete the terminal in approximately 9-15 months after receiving the required permits.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 Developments</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 xml:space="preserve">On March 15, 2023, we completed a transaction with Golar LNG Limited (“GLNG”) for the sale of the Company's investment in the common units of Hilli LLC in exchange for approximately 4.1 million NFE shares and $100 million in cash (the "Hilli Exchange"). In the fourth quarter of 2022, we recognized a loss on the investment in the Hilli of $118.6 million; this loss was recognized in Loss from equity method investments in the consolidated statements of operations and comprehensive income. Upon completion of the Hilli Exchange, we recognized an additional loss on disposal of $37.4 million, which was included in Other expense (income), net. As a result of the Hilli Exchange we no longer have an ownership interest in the </w:t>
      </w:r>
      <w:r>
        <w:rPr>
          <w:rFonts w:ascii="Times New Roman;sans-serif" w:hAnsi="Times New Roman;sans-serif"/>
          <w:b w:val="false"/>
          <w:i/>
          <w:color w:val="000000"/>
          <w:sz w:val="20"/>
          <w:highlight w:val="white"/>
        </w:rPr>
        <w:t>Hilli</w:t>
      </w:r>
      <w:r>
        <w:rPr>
          <w:rFonts w:ascii="Times New Roman;sans-serif" w:hAnsi="Times New Roman;sans-serif"/>
          <w:b w:val="false"/>
          <w:color w:val="000000"/>
          <w:sz w:val="20"/>
          <w:highlight w:val="white"/>
        </w:rPr>
        <w:t>. NFE shares received from GLNG were cancelled upon the closing of the Hilli Exchange.</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the first quarter of 2023, our wholly-owned subsidiary, Genera PR LLC ("Genera"), was awarded a 10-Year contract for the operation and maintenance of PREPA’s thermal generation assets with the goal of reducing costs and improving reliability of power generation in Puerto Rico. We will receive an annual management fee and be eligible for performance-based incentive fees, beginning after the service period under the contract commences, which is expected in the third quarter of 2023. </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first and second quarters of 2023, we entered into agreements with Weston Solutions, Inc. for the installation and operation of approximately 350MW of additional power to be generated at the Palo Seco Power Plant and San Juan Power Plant in Puerto Rico as well as the supply of natural gas. Weston has been contracted by the U.S. Army Corps of Engineers to support the island’s grid stabilization project with additional power capacity to enable maintenance and repair work on Puerto Rico’s power system and grid. We expect to commission 350MW of duel-fuel power generation using our gas supply in the second quarter of 2023.</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our senior secured revolving credit facility (the "Revolving Facility") was amended to increase the facility size by $301.7 million to $741.7 million. The interest rate for borrowings under the Revolving Facility based on the current usage of the facility has not changed. No changes were made to the maturity date or covenants. Also, in February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rPr>
        <w:t xml:space="preserve">2023, our </w:t>
      </w:r>
      <w:r>
        <w:rPr>
          <w:rFonts w:ascii="Times New Roman;sans-serif" w:hAnsi="Times New Roman;sans-serif"/>
          <w:b w:val="false"/>
          <w:color w:val="000000"/>
          <w:sz w:val="20"/>
          <w:highlight w:val="white"/>
        </w:rPr>
        <w:t>uncommitted letter of credit and reimbursement agreement</w:t>
      </w:r>
      <w:r>
        <w:rPr>
          <w:color w:val="000000"/>
        </w:rPr>
        <w:t xml:space="preserve"> </w:t>
      </w:r>
      <w:r>
        <w:rPr>
          <w:rFonts w:ascii="Times New Roman;sans-serif" w:hAnsi="Times New Roman;sans-serif"/>
          <w:b w:val="false"/>
          <w:color w:val="000000"/>
          <w:sz w:val="20"/>
        </w:rPr>
        <w:t xml:space="preserve">was </w:t>
      </w:r>
      <w:r>
        <w:rPr>
          <w:rFonts w:ascii="Times New Roman;sans-serif" w:hAnsi="Times New Roman;sans-serif"/>
          <w:b w:val="false"/>
          <w:color w:val="000000"/>
          <w:sz w:val="20"/>
          <w:highlight w:val="white"/>
        </w:rPr>
        <w:t>upsized to $325 million; no changes to interest rates or other terms were made as part of this amendment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Other Matters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On June 18, 2020, we received an order from the Federal Energy Regulatory Commission ("FERC"), which asked </w:t>
      </w:r>
      <w:r>
        <w:rPr>
          <w:rFonts w:ascii="Times New Roman;sans-serif" w:hAnsi="Times New Roman;sans-serif"/>
          <w:b w:val="false"/>
          <w:color w:val="000000"/>
          <w:sz w:val="20"/>
          <w:highlight w:val="white"/>
        </w:rPr>
        <w:t>us to explain</w:t>
      </w:r>
      <w:r>
        <w:rPr>
          <w:color w:val="000000"/>
        </w:rPr>
        <w:t xml:space="preserve"> </w:t>
      </w:r>
      <w:r>
        <w:rPr>
          <w:rFonts w:ascii="Times New Roman;sans-serif" w:hAnsi="Times New Roman;sans-serif"/>
          <w:b w:val="false"/>
          <w:color w:val="000000"/>
          <w:sz w:val="20"/>
        </w:rPr>
        <w:t xml:space="preserve">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w:t>
      </w:r>
      <w:r>
        <w:rPr>
          <w:rFonts w:ascii="Times New Roman;sans-serif" w:hAnsi="Times New Roman;sans-serif"/>
          <w:b w:val="false"/>
          <w:color w:val="000000"/>
          <w:sz w:val="20"/>
          <w:highlight w:val="white"/>
        </w:rPr>
        <w:t>denied all requests for rehearing in an order issued on July 15, 2021; the</w:t>
      </w:r>
      <w:r>
        <w:rPr>
          <w:color w:val="000000"/>
        </w:rPr>
        <w:t xml:space="preserve"> </w:t>
      </w:r>
      <w:r>
        <w:rPr>
          <w:rFonts w:ascii="Times New Roman;sans-serif" w:hAnsi="Times New Roman;sans-serif"/>
          <w:b w:val="false"/>
          <w:color w:val="000000"/>
          <w:sz w:val="20"/>
        </w:rPr>
        <w:t xml:space="preserve">FERC order was affirmed by the United States Court of Appeals for the District of Columbia Circuit on June 14, 2022. </w:t>
      </w:r>
      <w:r>
        <w:rPr>
          <w:rFonts w:ascii="Times New Roman;sans-serif" w:hAnsi="Times New Roman;sans-serif"/>
          <w:b w:val="false"/>
          <w:color w:val="000000"/>
          <w:sz w:val="20"/>
          <w:highlight w:val="white"/>
        </w:rPr>
        <w:t>In order to</w:t>
      </w:r>
      <w:r>
        <w:rPr>
          <w:color w:val="000000"/>
        </w:rPr>
        <w:t xml:space="preserve"> </w:t>
      </w:r>
      <w:r>
        <w:rPr>
          <w:rFonts w:ascii="Times New Roman;sans-serif" w:hAnsi="Times New Roman;sans-serif"/>
          <w:b w:val="false"/>
          <w:color w:val="000000"/>
          <w:sz w:val="20"/>
        </w:rPr>
        <w:t>comply with the FERC’s directive, on September 15, 2021, we filed an application for authorization to operate the San Juan Facility, which remains pending.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Results of Operations – Three Months Ended March 31, 2023 compared to Three Months Ended December 31, 2022 and Three Months Ended March 31, 2022 </w:t>
      </w:r>
    </w:p>
    <w:p>
      <w:pPr>
        <w:pStyle w:val="TextBody"/>
        <w:spacing w:lineRule="auto" w:line="288" w:before="240" w:after="283"/>
        <w:ind w:left="0" w:right="0" w:firstLine="360"/>
        <w:rPr/>
      </w:pPr>
      <w:r>
        <w:rPr>
          <w:rFonts w:ascii="Times New Roman;sans-serif" w:hAnsi="Times New Roman;sans-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w:t>
      </w:r>
      <w:r>
        <w:rPr>
          <w:color w:val="000000"/>
        </w:rPr>
        <w:t xml:space="preserve"> </w:t>
      </w:r>
      <w:r>
        <w:rPr>
          <w:rFonts w:ascii="Times New Roman;sans-serif" w:hAnsi="Times New Roman;sans-serif"/>
          <w:b w:val="false"/>
          <w:color w:val="000000"/>
          <w:sz w:val="20"/>
        </w:rPr>
        <w:t>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Consolidated Segment Operating Margin is not a measurement of financial performance under GAAP and should not be considered in isolation or as an alternative to Gross margin, income/(loss) from operations, net income/(loss),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to facilitate measuring and achieving optimal financial performance of our current operations overall.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our segment information for the three months ended March 31, 2023, December 31, 2022 and March 31, 2022:</w:t>
      </w:r>
    </w:p>
    <w:p>
      <w:pPr>
        <w:pStyle w:val="TextBody"/>
        <w:spacing w:before="0" w:after="0"/>
        <w:ind w:left="0" w:right="0" w:firstLine="360"/>
        <w:rPr/>
      </w:pPr>
      <w:r>
        <w:rPr/>
      </w:r>
    </w:p>
    <w:tbl>
      <w:tblPr>
        <w:tblW w:w="10194" w:type="dxa"/>
        <w:jc w:val="left"/>
        <w:tblInd w:w="0" w:type="dxa"/>
        <w:tblCellMar>
          <w:top w:w="28" w:type="dxa"/>
          <w:left w:w="28" w:type="dxa"/>
          <w:bottom w:w="28" w:type="dxa"/>
          <w:right w:w="28" w:type="dxa"/>
        </w:tblCellMar>
      </w:tblPr>
      <w:tblGrid>
        <w:gridCol w:w="939"/>
        <w:gridCol w:w="826"/>
        <w:gridCol w:w="829"/>
        <w:gridCol w:w="245"/>
        <w:gridCol w:w="978"/>
        <w:gridCol w:w="127"/>
        <w:gridCol w:w="109"/>
        <w:gridCol w:w="109"/>
        <w:gridCol w:w="109"/>
        <w:gridCol w:w="211"/>
        <w:gridCol w:w="736"/>
        <w:gridCol w:w="109"/>
        <w:gridCol w:w="109"/>
        <w:gridCol w:w="109"/>
        <w:gridCol w:w="109"/>
        <w:gridCol w:w="242"/>
        <w:gridCol w:w="967"/>
        <w:gridCol w:w="125"/>
        <w:gridCol w:w="109"/>
        <w:gridCol w:w="109"/>
        <w:gridCol w:w="109"/>
        <w:gridCol w:w="234"/>
        <w:gridCol w:w="935"/>
        <w:gridCol w:w="122"/>
        <w:gridCol w:w="109"/>
        <w:gridCol w:w="109"/>
        <w:gridCol w:w="109"/>
        <w:gridCol w:w="220"/>
        <w:gridCol w:w="879"/>
        <w:gridCol w:w="162"/>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0" w:type="dxa"/>
            <w:gridSpan w:val="27"/>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(1)(2)</w:t>
            </w:r>
          </w:p>
        </w:tc>
        <w:tc>
          <w:tcPr>
            <w:tcW w:w="122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111,140 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184,938 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2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2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402,139</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78,678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480,817</w:t>
            </w:r>
            <w:r>
              <w:rPr>
                <w:color w:val="000000"/>
              </w:rPr>
              <w:t>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(126,586)</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354,231</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847" w:type="dxa"/>
        <w:jc w:val="left"/>
        <w:tblInd w:w="0" w:type="dxa"/>
        <w:tblCellMar>
          <w:top w:w="28" w:type="dxa"/>
          <w:left w:w="28" w:type="dxa"/>
          <w:bottom w:w="28" w:type="dxa"/>
          <w:right w:w="28" w:type="dxa"/>
        </w:tblCellMar>
      </w:tblPr>
      <w:tblGrid>
        <w:gridCol w:w="1711"/>
        <w:gridCol w:w="1499"/>
        <w:gridCol w:w="1499"/>
        <w:gridCol w:w="401"/>
        <w:gridCol w:w="401"/>
        <w:gridCol w:w="401"/>
        <w:gridCol w:w="401"/>
        <w:gridCol w:w="401"/>
        <w:gridCol w:w="109"/>
        <w:gridCol w:w="109"/>
        <w:gridCol w:w="109"/>
        <w:gridCol w:w="109"/>
        <w:gridCol w:w="109"/>
        <w:gridCol w:w="109"/>
        <w:gridCol w:w="109"/>
        <w:gridCol w:w="109"/>
        <w:gridCol w:w="220"/>
        <w:gridCol w:w="879"/>
        <w:gridCol w:w="162"/>
      </w:tblGrid>
      <w:tr>
        <w:trPr/>
        <w:tc>
          <w:tcPr>
            <w:tcW w:w="1711"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714" w:type="dxa"/>
            <w:gridSpan w:val="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2133" w:type="dxa"/>
            <w:gridSpan w:val="11"/>
            <w:tcBorders/>
            <w:shd w:fill="auto" w:val="clea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319,856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354,231</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21"/>
        <w:gridCol w:w="800"/>
        <w:gridCol w:w="803"/>
        <w:gridCol w:w="244"/>
        <w:gridCol w:w="976"/>
        <w:gridCol w:w="126"/>
        <w:gridCol w:w="109"/>
        <w:gridCol w:w="109"/>
        <w:gridCol w:w="109"/>
        <w:gridCol w:w="211"/>
        <w:gridCol w:w="826"/>
        <w:gridCol w:w="109"/>
        <w:gridCol w:w="109"/>
        <w:gridCol w:w="109"/>
        <w:gridCol w:w="109"/>
        <w:gridCol w:w="240"/>
        <w:gridCol w:w="960"/>
        <w:gridCol w:w="124"/>
        <w:gridCol w:w="109"/>
        <w:gridCol w:w="109"/>
        <w:gridCol w:w="109"/>
        <w:gridCol w:w="257"/>
        <w:gridCol w:w="899"/>
        <w:gridCol w:w="135"/>
        <w:gridCol w:w="109"/>
        <w:gridCol w:w="109"/>
        <w:gridCol w:w="109"/>
        <w:gridCol w:w="220"/>
        <w:gridCol w:w="879"/>
        <w:gridCol w:w="167"/>
      </w:tblGrid>
      <w:tr>
        <w:trPr/>
        <w:tc>
          <w:tcPr>
            <w:tcW w:w="92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1" w:type="dxa"/>
            <w:gridSpan w:val="27"/>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2022</w:t>
            </w:r>
          </w:p>
        </w:tc>
      </w:tr>
      <w:tr>
        <w:trPr/>
        <w:tc>
          <w:tcPr>
            <w:tcW w:w="2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5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546,369 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(96,537)</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195,957</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87,475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283,432</w:t>
            </w:r>
            <w:r>
              <w:rPr>
                <w:color w:val="000000"/>
              </w:rPr>
              <w:t>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85,321</w:t>
            </w:r>
            <w:r>
              <w:rPr>
                <w:color w:val="000000"/>
              </w:rPr>
              <w:t>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368,753</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032" w:type="dxa"/>
        <w:jc w:val="left"/>
        <w:tblInd w:w="0" w:type="dxa"/>
        <w:tblCellMar>
          <w:top w:w="28" w:type="dxa"/>
          <w:left w:w="28" w:type="dxa"/>
          <w:bottom w:w="28" w:type="dxa"/>
          <w:right w:w="28" w:type="dxa"/>
        </w:tblCellMar>
      </w:tblPr>
      <w:tblGrid>
        <w:gridCol w:w="1711"/>
        <w:gridCol w:w="1499"/>
        <w:gridCol w:w="1499"/>
        <w:gridCol w:w="433"/>
        <w:gridCol w:w="433"/>
        <w:gridCol w:w="433"/>
        <w:gridCol w:w="433"/>
        <w:gridCol w:w="458"/>
        <w:gridCol w:w="109"/>
        <w:gridCol w:w="109"/>
        <w:gridCol w:w="109"/>
        <w:gridCol w:w="109"/>
        <w:gridCol w:w="109"/>
        <w:gridCol w:w="109"/>
        <w:gridCol w:w="109"/>
        <w:gridCol w:w="109"/>
        <w:gridCol w:w="220"/>
        <w:gridCol w:w="879"/>
        <w:gridCol w:w="162"/>
      </w:tblGrid>
      <w:tr>
        <w:trPr/>
        <w:tc>
          <w:tcPr>
            <w:tcW w:w="1711"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899" w:type="dxa"/>
            <w:gridSpan w:val="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December 31, 2022</w:t>
            </w:r>
          </w:p>
        </w:tc>
        <w:tc>
          <w:tcPr>
            <w:tcW w:w="2133" w:type="dxa"/>
            <w:gridSpan w:val="11"/>
            <w:tcBorders/>
            <w:shd w:fill="auto" w:val="clea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99" w:type="dxa"/>
            <w:gridSpan w:val="3"/>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332,552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368,753</w:t>
            </w:r>
            <w:r>
              <w:rPr>
                <w:color w:val="000000"/>
              </w:rPr>
              <w:t> </w:t>
            </w:r>
          </w:p>
        </w:tc>
        <w:tc>
          <w:tcPr>
            <w:tcW w:w="162"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before="0" w:after="0"/>
        <w:ind w:left="0" w:right="0" w:firstLine="360"/>
        <w:rPr/>
      </w:pPr>
      <w:r>
        <w:rPr/>
      </w:r>
    </w:p>
    <w:tbl>
      <w:tblPr>
        <w:tblW w:w="10205" w:type="dxa"/>
        <w:jc w:val="left"/>
        <w:tblInd w:w="0" w:type="dxa"/>
        <w:tblCellMar>
          <w:top w:w="28" w:type="dxa"/>
          <w:left w:w="28" w:type="dxa"/>
          <w:bottom w:w="28" w:type="dxa"/>
          <w:right w:w="28" w:type="dxa"/>
        </w:tblCellMar>
      </w:tblPr>
      <w:tblGrid>
        <w:gridCol w:w="921"/>
        <w:gridCol w:w="800"/>
        <w:gridCol w:w="803"/>
        <w:gridCol w:w="244"/>
        <w:gridCol w:w="976"/>
        <w:gridCol w:w="126"/>
        <w:gridCol w:w="109"/>
        <w:gridCol w:w="109"/>
        <w:gridCol w:w="109"/>
        <w:gridCol w:w="211"/>
        <w:gridCol w:w="826"/>
        <w:gridCol w:w="109"/>
        <w:gridCol w:w="109"/>
        <w:gridCol w:w="109"/>
        <w:gridCol w:w="109"/>
        <w:gridCol w:w="240"/>
        <w:gridCol w:w="960"/>
        <w:gridCol w:w="124"/>
        <w:gridCol w:w="109"/>
        <w:gridCol w:w="109"/>
        <w:gridCol w:w="109"/>
        <w:gridCol w:w="257"/>
        <w:gridCol w:w="899"/>
        <w:gridCol w:w="135"/>
        <w:gridCol w:w="109"/>
        <w:gridCol w:w="109"/>
        <w:gridCol w:w="109"/>
        <w:gridCol w:w="220"/>
        <w:gridCol w:w="879"/>
        <w:gridCol w:w="167"/>
      </w:tblGrid>
      <w:tr>
        <w:trPr/>
        <w:tc>
          <w:tcPr>
            <w:tcW w:w="92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1" w:type="dxa"/>
            <w:gridSpan w:val="27"/>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2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Terminals and</w:t>
              <w:br/>
              <w:t>Infrastructure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Ships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Consolidation</w:t>
            </w:r>
          </w:p>
          <w:p>
            <w:pPr>
              <w:pStyle w:val="TableContents"/>
              <w:spacing w:lineRule="auto" w:line="240" w:before="0" w:after="0"/>
              <w:jc w:val="center"/>
              <w:rPr/>
            </w:pPr>
            <w:r>
              <w:rPr>
                <w:rFonts w:ascii="Times New Roman;sans-serif" w:hAnsi="Times New Roman;sans-serif"/>
                <w:b/>
                <w:color w:val="000000"/>
                <w:sz w:val="20"/>
              </w:rPr>
              <w:t>and Other</w:t>
            </w:r>
            <w:r>
              <w:rPr>
                <w:rFonts w:ascii="Times New Roman;sans-serif" w:hAnsi="Times New Roman;sans-serif"/>
                <w:b/>
                <w:color w:val="000000"/>
                <w:sz w:val="13"/>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25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480,349 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sales</w:t>
            </w:r>
            <w:r>
              <w:rPr>
                <w:rFonts w:ascii="Times New Roman;sans-serif" w:hAnsi="Times New Roman;sans-serif"/>
                <w:b w:val="false"/>
                <w:color w:val="000000"/>
                <w:sz w:val="13"/>
              </w:rPr>
              <w:t>(2)</w:t>
            </w:r>
          </w:p>
        </w:tc>
        <w:tc>
          <w:tcPr>
            <w:tcW w:w="12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(27,234)</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208,298 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Vessel operating expenses</w:t>
            </w:r>
            <w:r>
              <w:rPr>
                <w:rFonts w:ascii="Times New Roman;sans-serif" w:hAnsi="Times New Roman;sans-serif"/>
                <w:b w:val="false"/>
                <w:color w:val="000000"/>
                <w:sz w:val="13"/>
              </w:rPr>
              <w:t>(4)</w:t>
            </w:r>
          </w:p>
        </w:tc>
        <w:tc>
          <w:tcPr>
            <w:tcW w:w="12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Operations and maintenance</w:t>
            </w:r>
            <w:r>
              <w:rPr>
                <w:rFonts w:ascii="Times New Roman;sans-serif" w:hAnsi="Times New Roman;sans-serif"/>
                <w:b w:val="false"/>
                <w:color w:val="000000"/>
                <w:sz w:val="13"/>
              </w:rPr>
              <w:t>(4)</w:t>
            </w:r>
          </w:p>
        </w:tc>
        <w:tc>
          <w:tcPr>
            <w:tcW w:w="122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(7,074)</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211,083</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89,000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300,083</w:t>
            </w:r>
            <w:r>
              <w:rPr>
                <w:color w:val="000000"/>
              </w:rPr>
              <w:t>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(49,395)</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250,688</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847" w:type="dxa"/>
        <w:jc w:val="left"/>
        <w:tblInd w:w="0" w:type="dxa"/>
        <w:tblCellMar>
          <w:top w:w="28" w:type="dxa"/>
          <w:left w:w="28" w:type="dxa"/>
          <w:bottom w:w="28" w:type="dxa"/>
          <w:right w:w="28" w:type="dxa"/>
        </w:tblCellMar>
      </w:tblPr>
      <w:tblGrid>
        <w:gridCol w:w="1711"/>
        <w:gridCol w:w="1499"/>
        <w:gridCol w:w="1499"/>
        <w:gridCol w:w="401"/>
        <w:gridCol w:w="401"/>
        <w:gridCol w:w="401"/>
        <w:gridCol w:w="401"/>
        <w:gridCol w:w="401"/>
        <w:gridCol w:w="109"/>
        <w:gridCol w:w="109"/>
        <w:gridCol w:w="109"/>
        <w:gridCol w:w="109"/>
        <w:gridCol w:w="109"/>
        <w:gridCol w:w="109"/>
        <w:gridCol w:w="109"/>
        <w:gridCol w:w="109"/>
        <w:gridCol w:w="220"/>
        <w:gridCol w:w="879"/>
        <w:gridCol w:w="162"/>
      </w:tblGrid>
      <w:tr>
        <w:trPr/>
        <w:tc>
          <w:tcPr>
            <w:tcW w:w="1711"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714" w:type="dxa"/>
            <w:gridSpan w:val="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2133" w:type="dxa"/>
            <w:gridSpan w:val="11"/>
            <w:tcBorders/>
            <w:shd w:fill="auto" w:val="clea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 (GAAP)</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216,398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Segment Operating Margin (Non-GAAP)</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250,688</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highlight w:val="white"/>
        </w:rPr>
        <w:t>(1)</w:t>
      </w:r>
      <w:r>
        <w:rPr>
          <w:color w:val="000000"/>
          <w:highlight w:val="white"/>
        </w:rPr>
        <w:t xml:space="preserve"> </w:t>
      </w:r>
      <w:r>
        <w:rPr>
          <w:rFonts w:ascii="Times New Roman;sans-serif" w:hAnsi="Times New Roman;sans-serif"/>
          <w:b w:val="false"/>
          <w:color w:val="000000"/>
          <w:sz w:val="20"/>
          <w:highlight w:val="white"/>
        </w:rPr>
        <w:t xml:space="preserve">Cost of sales in our segment measure only includes realized gains and losses on derivative transactions that are economic hedges of our commodity purchases and sales, and in the first quarter of 2023, realized gains of </w:t>
      </w:r>
      <w:r>
        <w:rPr>
          <w:rFonts w:ascii="Times New Roman;sans-serif" w:hAnsi="Times New Roman;sans-serif"/>
          <w:b w:val="false"/>
          <w:color w:val="000000"/>
          <w:sz w:val="20"/>
        </w:rPr>
        <w:t xml:space="preserve">$146.1 million </w:t>
      </w:r>
      <w:r>
        <w:rPr>
          <w:rFonts w:ascii="Times New Roman;sans-serif" w:hAnsi="Times New Roman;sans-serif"/>
          <w:b w:val="false"/>
          <w:color w:val="000000"/>
          <w:sz w:val="20"/>
          <w:highlight w:val="white"/>
        </w:rPr>
        <w:t xml:space="preserve">were recognized as a reduction to Cost of sales in the segment measure. </w:t>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the three months ended March 31, 2023, December 31, 2022 and March 31, 2022, unrealized changes in the mark-to-market value of derivative transactions of $111.1 million, $96.4 million and $2.5 million, respectively, reconcile Cost of sales in the segment measure to Cost of sales in our condensed consolidated statements of operations and comprehensive income.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highlight w:val="white"/>
        </w:rPr>
        <w:t>(2)</w:t>
      </w:r>
      <w:r>
        <w:rPr>
          <w:color w:val="000000"/>
          <w:highlight w:val="white"/>
        </w:rPr>
        <w:t xml:space="preserve"> </w:t>
      </w:r>
      <w:r>
        <w:rPr>
          <w:rFonts w:ascii="Times New Roman;sans-serif" w:hAnsi="Times New Roman;sans-serif"/>
          <w:b w:val="false"/>
          <w:color w:val="000000"/>
          <w:sz w:val="20"/>
          <w:highlight w:val="white"/>
        </w:rPr>
        <w:t>Cost of sales is presented exclusive of costs included in Depreciation and amortization in the condensed consolidated statements of operations and comprehensive income.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highlight w:val="white"/>
        </w:rPr>
        <w:t>(3)</w:t>
      </w:r>
      <w:r>
        <w:rPr>
          <w:color w:val="000000"/>
          <w:highlight w:val="white"/>
        </w:rPr>
        <w:t xml:space="preserve"> </w:t>
      </w:r>
      <w:r>
        <w:rPr>
          <w:rFonts w:ascii="Times New Roman;sans-serif" w:hAnsi="Times New Roman;sans-serif"/>
          <w:b w:val="false"/>
          <w:color w:val="000000"/>
          <w:sz w:val="20"/>
          <w:highlight w:val="white"/>
        </w:rPr>
        <w:t>Consolidation and Other adjusts for the inclusion of the effective share of revenues, expenses and operating margin attributable to our 50% ownership of Centrais Elétricas de Sergipe Participações S.A. (“CELSEPAR”) and the common units of Hilli LLC in the segment measure, prior to the disposition to these investments, and exclusion of the unrealized mark-to-market gain or loss on derivative instruments.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3"/>
          <w:highlight w:val="white"/>
        </w:rPr>
        <w:t>(4)</w:t>
      </w:r>
      <w:r>
        <w:rPr>
          <w:color w:val="000000"/>
          <w:highlight w:val="white"/>
        </w:rPr>
        <w:t xml:space="preserve"> </w:t>
      </w:r>
      <w:r>
        <w:rPr>
          <w:rFonts w:ascii="Times New Roman;sans-serif" w:hAnsi="Times New Roman;sans-serif"/>
          <w:b w:val="false"/>
          <w:color w:val="000000"/>
          <w:sz w:val="20"/>
          <w:highlight w:val="white"/>
        </w:rPr>
        <w:t>Operations and maintenance and Vessel operating expenses are directly attributable to revenue-producing activities of our terminals and vessels and are included in the calculation of Gross margin defined under GAAP.</w:t>
      </w:r>
    </w:p>
    <w:p>
      <w:pPr>
        <w:pStyle w:val="TextBody"/>
        <w:spacing w:lineRule="auto" w:line="288" w:before="240" w:after="283"/>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Terminals and Infrastructure Segment</w:t>
      </w:r>
    </w:p>
    <w:tbl>
      <w:tblPr>
        <w:tblW w:w="10205" w:type="dxa"/>
        <w:jc w:val="left"/>
        <w:tblInd w:w="0" w:type="dxa"/>
        <w:tblCellMar>
          <w:top w:w="28" w:type="dxa"/>
          <w:left w:w="28" w:type="dxa"/>
          <w:bottom w:w="28" w:type="dxa"/>
          <w:right w:w="28" w:type="dxa"/>
        </w:tblCellMar>
      </w:tblPr>
      <w:tblGrid>
        <w:gridCol w:w="744"/>
        <w:gridCol w:w="511"/>
        <w:gridCol w:w="513"/>
        <w:gridCol w:w="219"/>
        <w:gridCol w:w="874"/>
        <w:gridCol w:w="113"/>
        <w:gridCol w:w="109"/>
        <w:gridCol w:w="109"/>
        <w:gridCol w:w="109"/>
        <w:gridCol w:w="228"/>
        <w:gridCol w:w="909"/>
        <w:gridCol w:w="117"/>
        <w:gridCol w:w="109"/>
        <w:gridCol w:w="109"/>
        <w:gridCol w:w="109"/>
        <w:gridCol w:w="211"/>
        <w:gridCol w:w="841"/>
        <w:gridCol w:w="109"/>
        <w:gridCol w:w="109"/>
        <w:gridCol w:w="109"/>
        <w:gridCol w:w="109"/>
        <w:gridCol w:w="219"/>
        <w:gridCol w:w="874"/>
        <w:gridCol w:w="113"/>
        <w:gridCol w:w="109"/>
        <w:gridCol w:w="109"/>
        <w:gridCol w:w="109"/>
        <w:gridCol w:w="211"/>
        <w:gridCol w:w="841"/>
        <w:gridCol w:w="109"/>
        <w:gridCol w:w="109"/>
        <w:gridCol w:w="109"/>
        <w:gridCol w:w="109"/>
        <w:gridCol w:w="109"/>
        <w:gridCol w:w="109"/>
        <w:gridCol w:w="109"/>
        <w:gridCol w:w="109"/>
        <w:gridCol w:w="109"/>
        <w:gridCol w:w="109"/>
        <w:gridCol w:w="160"/>
      </w:tblGrid>
      <w:tr>
        <w:trPr/>
        <w:tc>
          <w:tcPr>
            <w:tcW w:w="74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3" w:type="dxa"/>
            <w:gridSpan w:val="8"/>
            <w:tcBorders/>
            <w:shd w:fill="auto" w:val="clear"/>
          </w:tcPr>
          <w:p>
            <w:pPr>
              <w:pStyle w:val="TableContents"/>
              <w:spacing w:before="0" w:after="283"/>
              <w:rPr>
                <w:sz w:val="4"/>
                <w:szCs w:val="4"/>
              </w:rPr>
            </w:pPr>
            <w:r>
              <w:rPr>
                <w:sz w:val="4"/>
                <w:szCs w:val="4"/>
              </w:rPr>
            </w:r>
          </w:p>
        </w:tc>
      </w:tr>
      <w:tr>
        <w:trPr/>
        <w:tc>
          <w:tcPr>
            <w:tcW w:w="17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(exclusive of depreciation and amortization) </w:t>
            </w:r>
          </w:p>
        </w:tc>
        <w:tc>
          <w:tcPr>
            <w:tcW w:w="10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0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0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402,139</w:t>
            </w: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195,957</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206,182</w:t>
            </w:r>
            <w:r>
              <w:rPr>
                <w:color w:val="000000"/>
              </w:rPr>
              <w:t> </w:t>
            </w:r>
          </w:p>
        </w:tc>
        <w:tc>
          <w:tcPr>
            <w:tcW w:w="109"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211,083</w:t>
            </w:r>
            <w:r>
              <w:rPr>
                <w:color w:val="000000"/>
              </w:rPr>
              <w:t>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191,056</w:t>
            </w:r>
            <w:r>
              <w:rPr>
                <w:color w:val="000000"/>
              </w:rPr>
              <w:t> </w:t>
            </w:r>
          </w:p>
        </w:tc>
        <w:tc>
          <w:tcPr>
            <w:tcW w:w="109" w:type="dxa"/>
            <w:tcBorders>
              <w:top w:val="single" w:sz="12"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Total revenue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for the Terminals and Infrastructure Segment increased by $45.3 million for the three months ended March 31, 2023 as compared to the three months ended December 31, 2022, and total revenue for the Terminals and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Infrastructure Segment increased by $22.3 million for the three months ended March 31, 2023 as compared to the three months ended March 31, 2022. The increases were primarily driven by increased revenue from LNG cargo sales to third parties and volumes delivered to our downstream terminal customers, partially offset by decreases to the Henry Hub index that forms a portion of the pricing to invoice most of our customers in this segment.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the first quarter of 2023 when compared to the fourth quarter of 2022 was primarily attributable to the following: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Revenue from cargo sales was $349.4 million for the three months ended March 31, 2023, of which $169.5 million was recognized for a cancellation fee received from a customer to cancel a future delivery, increasing from $231.1 million for the three months ended December 31, 2022.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Volumes delivered to downstream terminal customers increased from 11.0 TBtus in the fourth quarter of 2022 to 12.1 TBtu in the first quarter of 2023, primarily as a result of increased consumption by the San Juan Power Plant, which was under maintenance for a portion of the fourth quarter of 2022.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The average Henry Hub index pricing used to invoice our downstream customers decreased by 45% for the three months ended March 31, 2023 as compared to the three months ended December 31, 2022.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increase in revenue in the first quarter of 2023 when compared to the first quarter of 2022 was primarily attributable to the following: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Revenue from cargos sales was $349.4 million for the three months ended March 31, 2023 of which $169.5 million was recognized for a cancellation fee received from a customer to cancel a future delivery, as compared to $285.2 million for the three months ended March 31, 2022.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For the three months ended March 31, 2023, volumes delivered to downstream customers were 12.1 TBtu as compared to 6.3 TBtu for the three months ended March 31, 2022. During the first quarter of 2022, no volumes were consumed by the Bogue Power Plant due to the Port of Montego Bay where our facility resides requiring a reconfiguration and partial relocation of our assets. Additionally, maintenance activities lowered consumption at both our CHP Plant and the San Juan Power Plant in the first quarter of 2022; these facilities were not impacted by significant maintenance downtime in the current quarter.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The average Henry Hub index pricing used to invoice our downstream customers decreased by 31% for the three months ended March 31, 2023 as compared to the three months ended March 31, 2022.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after the completion of the sale of our investment in CELSEPAR in the fourth quarter of 2022, we no longer recognize revenue from this investment. Our share of revenue from CELSEPAR was $63.4 million for the three months ended March 31, 2022, which was primarily comprised of fixed capacity payments received under related PPAs.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Cost of sales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 of sales decreased by $158.6 million for the three months ended March 31, 2023 as compared to the three months ended December 31, 2022, which was attributable to the following:</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rPr>
        <w:t>We settled a commodity swap transaction, entered into as an economic hedge to reduce market risks associated with commodity prices, in the first quarter of 2023 and the realized gain of $146.1 million was included as reduction of cost of sales. For segment performance measures, unrealized mark to market gains and losses are excluded until settled. In the fourth quarter of 2022, we recognized realized gains on commodity swap transactions of $36.5 million as a reduction to cost of sales.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Decreased cost of LNG purchased from third parties for sale to our downstream customers of $43.5 million. Volumes delivered to our downstream customers increased by approximately 10% in the current quarter; however,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our cost to deliver these volumes decreased significantly to $7.23 per MMBtu for the three months ended March 31, 2023 from $10.95 per MMBtu for the three months ended December 31, 2022.</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 of sales decreased by $161.7 million for the three months ended March 31, 2023 as compared to the three months ended March 31, 2022, which was attributable to the following:</w:t>
      </w:r>
    </w:p>
    <w:p>
      <w:pPr>
        <w:pStyle w:val="TextBody"/>
        <w:spacing w:lineRule="auto" w:line="288" w:before="240" w:after="283"/>
        <w:ind w:left="0" w:right="0" w:hanging="360"/>
        <w:rPr/>
      </w:pPr>
      <w:r>
        <w:rPr>
          <w:color w:val="000000"/>
          <w:highlight w:val="white"/>
        </w:rPr>
        <w:t>•</w:t>
      </w:r>
      <w:r>
        <w:rPr>
          <w:rFonts w:ascii="Times New Roman;sans-serif" w:hAnsi="Times New Roman;sans-serif"/>
          <w:b w:val="false"/>
          <w:color w:val="000000"/>
          <w:sz w:val="20"/>
        </w:rPr>
        <w:t xml:space="preserve">Realized gain of $146.1 million from the settlement of a commodity swap transaction, entered into as an economic hedge to reduce the market risks associated with commodity prices, was included as reduction of cost of sales in the first quarter of 2023. For segment performance measures, unrealized mark to market gains and losses are excluded until settled. We had no settlements of commodity derivative transactions in the first quarter of 2022.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We incurred increased cost of LNG purchased from third parties for sale to our downstream customers of $21.4 million in the first quarter of 2023 due to increased volumes delivered; we delivered 92% more volumes to our downstream terminal customers in the current period as compared to the three months ended March 31, 2022. While we delivered significantly more volumes to our downstream customers, our pricing to purchase LNG for delivery to such customers was substantially lower, decreasing to $7.23 per MMBtu for the three months ended March 31, 2023 from $9.49 per MMBtu for the three months ended March 31, 2022. </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Cost of sales for the three months ended March 31, 2022 included $24.7 million of our share of cost of sales from our investment in CELSEPAR, which was primarily comprised of LNG costs to fuel a power plant owned by CELSEPAR.</w:t>
      </w:r>
    </w:p>
    <w:p>
      <w:pPr>
        <w:pStyle w:val="TextBody"/>
        <w:spacing w:lineRule="auto" w:line="288" w:before="240" w:after="283"/>
        <w:ind w:left="0" w:right="0" w:firstLine="360"/>
        <w:rPr/>
      </w:pPr>
      <w:r>
        <w:rPr>
          <w:rFonts w:ascii="Times New Roman;sans-serif" w:hAnsi="Times New Roman;sans-serif"/>
          <w:b w:val="false"/>
          <w:color w:val="000000"/>
          <w:sz w:val="20"/>
        </w:rPr>
        <w:t xml:space="preserve">The weighted-average cost of our LNG inventory balance to be used in our operations as of March 31, 2023 and </w:t>
      </w:r>
      <w:r>
        <w:rPr>
          <w:rFonts w:ascii="Times New Roman;sans-serif" w:hAnsi="Times New Roman;sans-serif"/>
          <w:b w:val="false"/>
          <w:color w:val="000000"/>
          <w:sz w:val="20"/>
          <w:highlight w:val="white"/>
        </w:rPr>
        <w:t>December 31, 2022</w:t>
      </w:r>
      <w:r>
        <w:rPr>
          <w:color w:val="000000"/>
        </w:rPr>
        <w:t xml:space="preserve"> </w:t>
      </w:r>
      <w:r>
        <w:rPr>
          <w:rFonts w:ascii="Times New Roman;sans-serif" w:hAnsi="Times New Roman;sans-serif"/>
          <w:b w:val="false"/>
          <w:color w:val="000000"/>
          <w:sz w:val="20"/>
        </w:rPr>
        <w:t>was $10.45 per MMBtu and $10.42 per MMBtu, respectively.</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Vessel operating expenses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 include direct costs associated with operating a vessel, and these costs are typically included in the Ships segment. Once we begin to use a vessel in our terminal operations, the costs of the vessel begin to be included in the Terminals and Infrastructure segment. For the three months ended March 31, 2022, we incurred $3.5 million of vessel operating expenses in this segment; we did not incur vessel operating costs in this segment during the three months ended March 31, 2023 and December 31, 2022.</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Operations and maintenance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includes costs of operating our facilities, exclusive of costs to convert that are reflected in Cost of sales.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 decreased $2.3 million for the three months ended March 31, 2023 as compared to the three months ended December 31, 2022. The decrease was primarily attributable to unplanned maintenance costs incurred in the fourth quarter of 2022 at the CHP Plant that did not recur in the first quarter of 2023.</w:t>
      </w:r>
    </w:p>
    <w:p>
      <w:pPr>
        <w:pStyle w:val="TextBody"/>
        <w:spacing w:lineRule="auto" w:line="288" w:before="240" w:after="283"/>
        <w:ind w:left="0" w:right="0" w:firstLine="360"/>
        <w:rPr/>
      </w:pPr>
      <w:r>
        <w:rPr>
          <w:rFonts w:ascii="Times New Roman;sans-serif" w:hAnsi="Times New Roman;sans-serif"/>
          <w:b w:val="false"/>
          <w:color w:val="000000"/>
          <w:sz w:val="20"/>
        </w:rPr>
        <w:t>Operations and maintenance decreased $3.6 million for the three months ended March 31, 2023 as compared to the three months ended March 31, 2022</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The decrease was due to the inclusion of our share of Operations and maintenance from our investment in CELSEPAR of $7.1 million for the three months ended March 31, 2022. There is no such activity in the first quarter of 2023 as we sold our investment in CELESPAR in the fourth quarter of 2022. The decrease was partially offset by additional vessel operating costs included in Operations and maintenance as these vessels support our terminal operations. </w:t>
      </w:r>
    </w:p>
    <w:p>
      <w:pPr>
        <w:pStyle w:val="TextBody"/>
        <w:spacing w:lineRule="auto" w:line="288" w:before="240" w:after="283"/>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Ships Segment</w:t>
      </w:r>
    </w:p>
    <w:tbl>
      <w:tblPr>
        <w:tblW w:w="10205" w:type="dxa"/>
        <w:jc w:val="left"/>
        <w:tblInd w:w="0" w:type="dxa"/>
        <w:tblCellMar>
          <w:top w:w="28" w:type="dxa"/>
          <w:left w:w="28" w:type="dxa"/>
          <w:bottom w:w="28" w:type="dxa"/>
          <w:right w:w="28" w:type="dxa"/>
        </w:tblCellMar>
      </w:tblPr>
      <w:tblGrid>
        <w:gridCol w:w="631"/>
        <w:gridCol w:w="542"/>
        <w:gridCol w:w="544"/>
        <w:gridCol w:w="249"/>
        <w:gridCol w:w="870"/>
        <w:gridCol w:w="128"/>
        <w:gridCol w:w="109"/>
        <w:gridCol w:w="109"/>
        <w:gridCol w:w="109"/>
        <w:gridCol w:w="264"/>
        <w:gridCol w:w="1035"/>
        <w:gridCol w:w="136"/>
        <w:gridCol w:w="109"/>
        <w:gridCol w:w="109"/>
        <w:gridCol w:w="109"/>
        <w:gridCol w:w="211"/>
        <w:gridCol w:w="661"/>
        <w:gridCol w:w="109"/>
        <w:gridCol w:w="109"/>
        <w:gridCol w:w="109"/>
        <w:gridCol w:w="109"/>
        <w:gridCol w:w="238"/>
        <w:gridCol w:w="932"/>
        <w:gridCol w:w="123"/>
        <w:gridCol w:w="109"/>
        <w:gridCol w:w="109"/>
        <w:gridCol w:w="109"/>
        <w:gridCol w:w="211"/>
        <w:gridCol w:w="766"/>
        <w:gridCol w:w="109"/>
        <w:gridCol w:w="109"/>
        <w:gridCol w:w="109"/>
        <w:gridCol w:w="109"/>
        <w:gridCol w:w="109"/>
        <w:gridCol w:w="109"/>
        <w:gridCol w:w="109"/>
        <w:gridCol w:w="109"/>
        <w:gridCol w:w="109"/>
        <w:gridCol w:w="109"/>
        <w:gridCol w:w="157"/>
      </w:tblGrid>
      <w:tr>
        <w:trPr/>
        <w:tc>
          <w:tcPr>
            <w:tcW w:w="63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0"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0" w:type="dxa"/>
            <w:gridSpan w:val="8"/>
            <w:tcBorders/>
            <w:shd w:fill="auto" w:val="clear"/>
          </w:tcPr>
          <w:p>
            <w:pPr>
              <w:pStyle w:val="TableContents"/>
              <w:spacing w:before="0" w:after="283"/>
              <w:rPr>
                <w:sz w:val="4"/>
                <w:szCs w:val="4"/>
              </w:rPr>
            </w:pPr>
            <w:r>
              <w:rPr>
                <w:sz w:val="4"/>
                <w:szCs w:val="4"/>
              </w:rPr>
            </w:r>
          </w:p>
        </w:tc>
      </w:tr>
      <w:tr>
        <w:trPr/>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Vessel operating expenses</w:t>
            </w:r>
          </w:p>
        </w:tc>
        <w:tc>
          <w:tcPr>
            <w:tcW w:w="111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Margin</w:t>
            </w:r>
          </w:p>
        </w:tc>
        <w:tc>
          <w:tcPr>
            <w:tcW w:w="2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78,678</w:t>
            </w: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87,475</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(8,797)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pPr>
            <w:r>
              <w:rPr>
                <w:rFonts w:ascii="Times New Roman;sans-serif" w:hAnsi="Times New Roman;sans-serif"/>
                <w:b/>
                <w:color w:val="000000"/>
                <w:sz w:val="20"/>
              </w:rPr>
              <w:t>89,000</w:t>
            </w: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(10,322)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pPr>
      <w:r>
        <w:rPr>
          <w:rFonts w:ascii="Times New Roman;sans-serif" w:hAnsi="Times New Roman;sans-serif"/>
          <w:b w:val="false"/>
          <w:color w:val="000000"/>
          <w:sz w:val="20"/>
        </w:rPr>
        <w:t>Revenue in the Ships segment is comprised of operating lease revenue under time charters, fees for positioning and repositioning vessels as well as the reimbursement of certain vessel operating costs. Prior to the completion of the</w:t>
      </w:r>
      <w:r>
        <w:rPr>
          <w:color w:val="000000"/>
          <w:highlight w:val="white"/>
        </w:rPr>
        <w:t xml:space="preserve"> </w:t>
      </w:r>
      <w:r>
        <w:rPr>
          <w:rFonts w:ascii="Times New Roman;sans-serif" w:hAnsi="Times New Roman;sans-serif"/>
          <w:b w:val="false"/>
          <w:color w:val="000000"/>
          <w:sz w:val="20"/>
          <w:highlight w:val="white"/>
        </w:rPr>
        <w:t>Energos Formation Transaction</w:t>
      </w:r>
      <w:r>
        <w:rPr>
          <w:rFonts w:ascii="Times New Roman;sans-serif" w:hAnsi="Times New Roman;sans-serif"/>
          <w:b w:val="false"/>
          <w:color w:val="000000"/>
          <w:sz w:val="20"/>
        </w:rPr>
        <w:t xml:space="preserve">, we also recognized revenue related to the interest portion of lease payments and the operating and service agreements in connection with the sales-type lease of the </w:t>
      </w:r>
      <w:r>
        <w:rPr>
          <w:rFonts w:ascii="Times New Roman;sans-serif" w:hAnsi="Times New Roman;sans-serif"/>
          <w:b w:val="false"/>
          <w:i/>
          <w:color w:val="000000"/>
          <w:sz w:val="20"/>
        </w:rPr>
        <w:t>Nanook</w:t>
      </w:r>
      <w:r>
        <w:rPr>
          <w:rFonts w:ascii="Times New Roman;sans-serif" w:hAnsi="Times New Roman;sans-serif"/>
          <w:b w:val="false"/>
          <w:color w:val="000000"/>
          <w:sz w:val="20"/>
        </w:rPr>
        <w:t>. We included the interest income earned under sales-type leases as revenue as amounts earned under chartering and operating service agreements represented our ongoing ordinary busine</w:t>
      </w:r>
      <w:r>
        <w:rPr>
          <w:rFonts w:ascii="Times New Roman;sans-serif" w:hAnsi="Times New Roman;sans-serif"/>
          <w:b w:val="false"/>
          <w:color w:val="000000"/>
          <w:sz w:val="20"/>
          <w:highlight w:val="white"/>
        </w:rPr>
        <w:t>ss operations.</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 xml:space="preserve">During the first quarter of 2023, four FSRUs and four LNG carriers were leased to customers under long-term or spot arrangements. The </w:t>
      </w:r>
      <w:r>
        <w:rPr>
          <w:rFonts w:ascii="Times New Roman;sans-serif" w:hAnsi="Times New Roman;sans-serif"/>
          <w:b w:val="false"/>
          <w:i/>
          <w:color w:val="000000"/>
          <w:sz w:val="20"/>
          <w:highlight w:val="white"/>
        </w:rPr>
        <w:t>Spirit</w:t>
      </w:r>
      <w:r>
        <w:rPr>
          <w:color w:val="000000"/>
          <w:highlight w:val="white"/>
        </w:rPr>
        <w:t xml:space="preserve"> </w:t>
      </w:r>
      <w:r>
        <w:rPr>
          <w:rFonts w:ascii="Times New Roman;sans-serif" w:hAnsi="Times New Roman;sans-serif"/>
          <w:b w:val="false"/>
          <w:color w:val="000000"/>
          <w:sz w:val="20"/>
          <w:highlight w:val="white"/>
        </w:rPr>
        <w:t xml:space="preserve">and the </w:t>
      </w:r>
      <w:r>
        <w:rPr>
          <w:rFonts w:ascii="Times New Roman;sans-serif" w:hAnsi="Times New Roman;sans-serif"/>
          <w:b w:val="false"/>
          <w:i/>
          <w:color w:val="000000"/>
          <w:sz w:val="20"/>
          <w:highlight w:val="white"/>
        </w:rPr>
        <w:t>Mazo</w:t>
      </w:r>
      <w:r>
        <w:rPr>
          <w:color w:val="000000"/>
          <w:highlight w:val="white"/>
        </w:rPr>
        <w:t xml:space="preserve"> </w:t>
      </w:r>
      <w:r>
        <w:rPr>
          <w:rFonts w:ascii="Times New Roman;sans-serif" w:hAnsi="Times New Roman;sans-serif"/>
          <w:b w:val="false"/>
          <w:color w:val="000000"/>
          <w:sz w:val="20"/>
          <w:highlight w:val="white"/>
        </w:rPr>
        <w:t>continue to be in cold lay-up, and no vessel charter revenue was generated from these vessels.</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Total revenue</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Total revenue for the Ships segment decreased $9.1 million for the three months ended March 31, 2023 as compared to the three months ended December 31, 2022. One of our vessel charters was renewed at the beginning of 2023 at a lower rate; additionally the charters for two vessels concluded in the first quarter of 2023, lowering vessel revenue. We plan to utilize these vessels in our operations following conversion and other upgrades starting later in 2023.</w:t>
      </w:r>
    </w:p>
    <w:p>
      <w:pPr>
        <w:pStyle w:val="TextBody"/>
        <w:spacing w:lineRule="auto" w:line="288" w:before="240" w:after="283"/>
        <w:ind w:left="0" w:right="0" w:firstLine="360"/>
        <w:rPr/>
      </w:pPr>
      <w:r>
        <w:rPr>
          <w:rFonts w:ascii="Times New Roman;sans-serif" w:hAnsi="Times New Roman;sans-serif"/>
          <w:b w:val="false"/>
          <w:color w:val="000000"/>
          <w:sz w:val="20"/>
        </w:rPr>
        <w:t xml:space="preserve">Total revenue for the Ships segment decreased $17.0 million for the three months ended March 31, 2023 as compared to the three months ended March 31, 2022. </w:t>
      </w:r>
      <w:r>
        <w:rPr>
          <w:rFonts w:ascii="Times New Roman;sans-serif" w:hAnsi="Times New Roman;sans-serif"/>
          <w:b w:val="false"/>
          <w:color w:val="000000"/>
          <w:sz w:val="20"/>
          <w:highlight w:val="white"/>
        </w:rPr>
        <w:t xml:space="preserve">The decrease in revenue was primarily the result of the sale of the </w:t>
      </w:r>
      <w:r>
        <w:rPr>
          <w:rFonts w:ascii="Times New Roman;sans-serif" w:hAnsi="Times New Roman;sans-serif"/>
          <w:b w:val="false"/>
          <w:i/>
          <w:color w:val="000000"/>
          <w:sz w:val="20"/>
          <w:highlight w:val="white"/>
        </w:rPr>
        <w:t>Nanook</w:t>
      </w:r>
      <w:r>
        <w:rPr>
          <w:color w:val="000000"/>
          <w:highlight w:val="white"/>
        </w:rPr>
        <w:t xml:space="preserve"> </w:t>
      </w:r>
      <w:r>
        <w:rPr>
          <w:rFonts w:ascii="Times New Roman;sans-serif" w:hAnsi="Times New Roman;sans-serif"/>
          <w:b w:val="false"/>
          <w:color w:val="000000"/>
          <w:sz w:val="20"/>
          <w:highlight w:val="white"/>
        </w:rPr>
        <w:t xml:space="preserve">as part of the Energos Formation Transaction; we recognized revenue of $13.2 million related to the </w:t>
      </w:r>
      <w:r>
        <w:rPr>
          <w:rFonts w:ascii="Times New Roman;sans-serif" w:hAnsi="Times New Roman;sans-serif"/>
          <w:b w:val="false"/>
          <w:i/>
          <w:color w:val="000000"/>
          <w:sz w:val="20"/>
          <w:highlight w:val="white"/>
        </w:rPr>
        <w:t>Nanook</w:t>
      </w:r>
      <w:r>
        <w:rPr>
          <w:color w:val="000000"/>
          <w:highlight w:val="white"/>
        </w:rPr>
        <w:t xml:space="preserve"> </w:t>
      </w:r>
      <w:r>
        <w:rPr>
          <w:rFonts w:ascii="Times New Roman;sans-serif" w:hAnsi="Times New Roman;sans-serif"/>
          <w:b w:val="false"/>
          <w:color w:val="000000"/>
          <w:sz w:val="20"/>
          <w:highlight w:val="white"/>
        </w:rPr>
        <w:t>in the first quarter of 2022. One of our vessel charters was renewed at the beginning of 2023 at a lower rate; additionally the charters for two vessels concluded in the first quarter of 2023, lowering vessel revenue. We plan to utilize these vessels in our operations following conversion and other upgrades starting later in 2023.</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Vessel operating expenses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sans-serif" w:hAnsi="Times New Roman;sans-serif"/>
          <w:b w:val="false"/>
          <w:i/>
          <w:color w:val="000000"/>
          <w:sz w:val="20"/>
        </w:rPr>
        <w:t xml:space="preserve">Hilli </w:t>
      </w:r>
      <w:r>
        <w:rPr>
          <w:rFonts w:ascii="Times New Roman;sans-serif" w:hAnsi="Times New Roman;sans-serif"/>
          <w:b w:val="false"/>
          <w:color w:val="000000"/>
          <w:sz w:val="20"/>
        </w:rPr>
        <w:t xml:space="preserve">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 </w:t>
      </w:r>
    </w:p>
    <w:p>
      <w:pPr>
        <w:pStyle w:val="TextBody"/>
        <w:spacing w:lineRule="auto" w:line="288" w:before="240" w:after="283"/>
        <w:ind w:left="0" w:right="0" w:firstLine="396"/>
        <w:rPr>
          <w:rFonts w:ascii="Times New Roman;sans-serif" w:hAnsi="Times New Roman;sans-serif"/>
          <w:b w:val="false"/>
          <w:color w:val="000000"/>
          <w:sz w:val="20"/>
        </w:rPr>
      </w:pPr>
      <w:r>
        <w:rPr>
          <w:rFonts w:ascii="Times New Roman;sans-serif" w:hAnsi="Times New Roman;sans-serif"/>
          <w:b w:val="false"/>
          <w:color w:val="000000"/>
          <w:sz w:val="20"/>
        </w:rPr>
        <w:t xml:space="preserve">Vessel operating expenses for the three months ended March 31, 2023 were consistent with those incurred in the three months ended December 31, 2022. </w:t>
      </w:r>
    </w:p>
    <w:p>
      <w:pPr>
        <w:pStyle w:val="TextBody"/>
        <w:spacing w:lineRule="auto" w:line="288" w:before="240" w:after="283"/>
        <w:ind w:left="0" w:right="0" w:firstLine="396"/>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Vessel operating expenses decreased $6.7 million for the three months ended March 31, 2023 as compared to the three months ended March 31, 2022. We incurred lower vessel operating costs due to vessels that are currently not under charter and are not in service due to drydocking or to complete other improvements to the vessels. Certain of our LNGCs are being converted to operate as an FSRU or FSU or are currently out of service for other improvements to service future projects.</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jc w:val="both"/>
        <w:rPr>
          <w:rFonts w:ascii="Times New Roman;sans-serif" w:hAnsi="Times New Roman;sans-serif"/>
          <w:b/>
          <w:color w:val="000000"/>
          <w:sz w:val="20"/>
          <w:highlight w:val="white"/>
          <w:u w:val="single"/>
        </w:rPr>
      </w:pPr>
      <w:r>
        <w:rPr>
          <w:rFonts w:ascii="Times New Roman;sans-serif" w:hAnsi="Times New Roman;sans-serif"/>
          <w:b/>
          <w:color w:val="000000"/>
          <w:sz w:val="20"/>
          <w:highlight w:val="white"/>
          <w:u w:val="single"/>
        </w:rPr>
        <w:t>Other operating results</w:t>
      </w:r>
    </w:p>
    <w:tbl>
      <w:tblPr>
        <w:tblW w:w="10205" w:type="dxa"/>
        <w:jc w:val="left"/>
        <w:tblInd w:w="0" w:type="dxa"/>
        <w:tblCellMar>
          <w:top w:w="28" w:type="dxa"/>
          <w:left w:w="28" w:type="dxa"/>
          <w:bottom w:w="28" w:type="dxa"/>
          <w:right w:w="28" w:type="dxa"/>
        </w:tblCellMar>
      </w:tblPr>
      <w:tblGrid>
        <w:gridCol w:w="923"/>
        <w:gridCol w:w="700"/>
        <w:gridCol w:w="637"/>
        <w:gridCol w:w="221"/>
        <w:gridCol w:w="867"/>
        <w:gridCol w:w="114"/>
        <w:gridCol w:w="109"/>
        <w:gridCol w:w="109"/>
        <w:gridCol w:w="109"/>
        <w:gridCol w:w="238"/>
        <w:gridCol w:w="814"/>
        <w:gridCol w:w="122"/>
        <w:gridCol w:w="109"/>
        <w:gridCol w:w="109"/>
        <w:gridCol w:w="109"/>
        <w:gridCol w:w="211"/>
        <w:gridCol w:w="747"/>
        <w:gridCol w:w="109"/>
        <w:gridCol w:w="109"/>
        <w:gridCol w:w="109"/>
        <w:gridCol w:w="109"/>
        <w:gridCol w:w="109"/>
        <w:gridCol w:w="109"/>
        <w:gridCol w:w="221"/>
        <w:gridCol w:w="867"/>
        <w:gridCol w:w="114"/>
        <w:gridCol w:w="109"/>
        <w:gridCol w:w="109"/>
        <w:gridCol w:w="109"/>
        <w:gridCol w:w="211"/>
        <w:gridCol w:w="747"/>
        <w:gridCol w:w="109"/>
        <w:gridCol w:w="109"/>
        <w:gridCol w:w="109"/>
        <w:gridCol w:w="109"/>
        <w:gridCol w:w="109"/>
        <w:gridCol w:w="109"/>
        <w:gridCol w:w="162"/>
      </w:tblGrid>
      <w:tr>
        <w:trPr/>
        <w:tc>
          <w:tcPr>
            <w:tcW w:w="923"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4" w:type="dxa"/>
            <w:gridSpan w:val="2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707" w:type="dxa"/>
            <w:gridSpan w:val="6"/>
            <w:tcBorders/>
            <w:shd w:fill="auto" w:val="clear"/>
          </w:tcPr>
          <w:p>
            <w:pPr>
              <w:pStyle w:val="TableContents"/>
              <w:spacing w:before="0" w:after="283"/>
              <w:rPr>
                <w:sz w:val="4"/>
                <w:szCs w:val="4"/>
              </w:rPr>
            </w:pPr>
            <w:r>
              <w:rPr>
                <w:sz w:val="4"/>
                <w:szCs w:val="4"/>
              </w:rPr>
            </w:r>
          </w:p>
        </w:tc>
      </w:tr>
      <w:tr>
        <w:trPr/>
        <w:tc>
          <w:tcPr>
            <w:tcW w:w="2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of $)</w:t>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expense</w:t>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income </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267,224 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250,494 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from equity method investments and income taxes</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ind w:left="0" w:right="0" w:hanging="180"/>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method investments</w:t>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(117,793)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w:t>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151,566 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65,805 </w:t>
            </w:r>
          </w:p>
        </w:tc>
        <w:tc>
          <w:tcPr>
            <w:tcW w:w="1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241,181 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Selling, general and administrative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includes compensation expenses for our corporate employees, employee travel costs, insurance, professional fees for our advisors, and screening costs for projects that are in initial stages and development is not yet probable.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decreased $18.0 million for the three months ended March 31, 2023, compared to the three months ended December 31, 2022. The decrease was primarily attributable to a decrease in share-based compensation expense. In the fourth quarter of 2022, we determined that the performance metric associated with our performance share units granted in 2021 was probable of vesting, and we recognized $15.8 million of share-based compensation expense. No share-based compensation expense was recognized in the first quarter of 2023. We also incurred lower screening costs in the first quarter of 2023 compared to the fourth quarter of 2022.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increased by $4.1 million for three months ended March 31, 2023 as compared to the three months ended March 31, 2022; the increase was primarily due to increased payroll costs associated with the continued expansion of our operations. </w:t>
      </w:r>
    </w:p>
    <w:p>
      <w:pPr>
        <w:pStyle w:val="TextBody"/>
        <w:spacing w:lineRule="auto" w:line="288" w:before="240" w:after="283"/>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Transaction and integration costs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incurred $0.5 million for transaction and integration costs, as compared to $9.4 million for the three months ended December 31, 2022 and $1.9 million for the three months ended March 31, 2022. During the three months ended December 31, 2022, we incurred costs associated with the sale of our investment in CELSEPAR. Transaction and integration costs incurred in the first quarter of 2022 were primarily associated with our continued integrations of acquisitions completed in 2021.</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Depreciation and amortization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was relatively consistent for the each of the three months ended March 31, 2023, December 31, 2022 and March 31, 2022. Throughout 2022 and the first quarter of 2023 we have not placed significant assets into service, and as such, our depreciation and amortization expense has been consistent. </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Asset impairment expense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recognized long-lived assets associated with the expansion of the Sergipe Power Plant owned by CELSEPAR. In connection with the sale of our investment in CELSEPAR in the fourth quarter of 2022, we recognized asset impairment expense of $2.6 million. We did not recognize any impairment expense in the first quarter of 2023.</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expense</w:t>
      </w:r>
    </w:p>
    <w:p>
      <w:pPr>
        <w:pStyle w:val="TextBody"/>
        <w:spacing w:lineRule="auto" w:line="288" w:before="240" w:after="283"/>
        <w:ind w:left="0" w:right="0" w:firstLine="360"/>
        <w:rPr/>
      </w:pPr>
      <w:r>
        <w:rPr>
          <w:rFonts w:ascii="Times New Roman;sans-serif" w:hAnsi="Times New Roman;sans-serif"/>
          <w:b w:val="false"/>
          <w:color w:val="000000"/>
          <w:sz w:val="20"/>
        </w:rPr>
        <w:t>Interest expense decreased by $8.8 million for the three months ended March 31, 2023 as compared to the three months ended December 31, 2022. The decrease was primarily due to increases in capitalized interest, partially offset by increased interest expense due to borrowings under our expanded Revolving Credit Facility</w:t>
      </w:r>
      <w:r>
        <w:rPr>
          <w:rFonts w:ascii="Times New Roman;sans-serif" w:hAnsi="Times New Roman;sans-serif"/>
          <w:b w:val="false"/>
          <w:color w:val="000000"/>
          <w:sz w:val="20"/>
          <w:highlight w:val="white"/>
        </w:rPr>
        <w:t xml:space="preserve">. </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Interest expense increased by $26.8 million for the three months ended March 31, 2023, as compared to the three months ended March 31, 2022. The increase was primarily due to an increase in total principal outstanding due to additional principal balance outstanding, including obligations under the Energos Formation Transaction,</w:t>
      </w:r>
      <w:r>
        <w:rPr>
          <w:color w:val="000000"/>
        </w:rPr>
        <w:t xml:space="preserve"> </w:t>
      </w:r>
      <w:r>
        <w:rPr>
          <w:rFonts w:ascii="Times New Roman;sans-serif" w:hAnsi="Times New Roman;sans-serif"/>
          <w:b w:val="false"/>
          <w:color w:val="000000"/>
          <w:sz w:val="20"/>
        </w:rPr>
        <w:t xml:space="preserve">under which we incur higher borrowing costs. The total principal balance on outstanding facilities was $5.3 billion as of March 31, 2023 as compared to total outstanding debt of $4.0 billion as of March 31, 2022.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Other expense (income), net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was $25.0 million, $(16.4) million and $(19.7) million for the three months ended March 31, 2023, December 31, 2022 and March 31, 2022, respectively. </w:t>
      </w:r>
    </w:p>
    <w:p>
      <w:pPr>
        <w:pStyle w:val="TextBody"/>
        <w:spacing w:lineRule="auto" w:line="288" w:before="240" w:after="283"/>
        <w:ind w:left="0" w:right="0" w:firstLine="360"/>
        <w:rPr/>
      </w:pPr>
      <w:r>
        <w:rPr>
          <w:rFonts w:ascii="Times New Roman;sans-serif" w:hAnsi="Times New Roman;sans-serif"/>
          <w:b w:val="false"/>
          <w:color w:val="000000"/>
          <w:sz w:val="20"/>
        </w:rPr>
        <w:t>Other expense recognized in the three months</w:t>
      </w:r>
      <w:r>
        <w:rPr>
          <w:color w:val="000000"/>
          <w:highlight w:val="white"/>
        </w:rPr>
        <w:t xml:space="preserve"> </w:t>
      </w:r>
      <w:r>
        <w:rPr>
          <w:rFonts w:ascii="Times New Roman;sans-serif" w:hAnsi="Times New Roman;sans-serif"/>
          <w:b w:val="false"/>
          <w:color w:val="000000"/>
          <w:sz w:val="20"/>
          <w:highlight w:val="white"/>
        </w:rPr>
        <w:t>ended March 31, 2023</w:t>
      </w:r>
      <w:r>
        <w:rPr>
          <w:color w:val="000000"/>
        </w:rPr>
        <w:t xml:space="preserve"> </w:t>
      </w:r>
      <w:r>
        <w:rPr>
          <w:rFonts w:ascii="Times New Roman;sans-serif" w:hAnsi="Times New Roman;sans-serif"/>
          <w:b w:val="false"/>
          <w:color w:val="000000"/>
          <w:sz w:val="20"/>
        </w:rPr>
        <w:t xml:space="preserve">was primarily comprised of a </w:t>
      </w:r>
      <w:r>
        <w:rPr>
          <w:rFonts w:ascii="Times New Roman;sans-serif" w:hAnsi="Times New Roman;sans-serif"/>
          <w:b w:val="false"/>
          <w:color w:val="000000"/>
          <w:sz w:val="20"/>
          <w:highlight w:val="white"/>
        </w:rPr>
        <w:t xml:space="preserve">$37.4 million loss on disposal of Hilli equity method investment in the Hilli Exchange. This loss was partially offset by interest income, foreign currency remeasurment gains and gains on investments in equity securities. </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 xml:space="preserve">Other (income) expense, net recognized in the three months ended </w:t>
      </w:r>
      <w:r>
        <w:rPr>
          <w:rFonts w:ascii="Times New Roman;sans-serif" w:hAnsi="Times New Roman;sans-serif"/>
          <w:b w:val="false"/>
          <w:color w:val="000000"/>
          <w:sz w:val="20"/>
        </w:rPr>
        <w:t>December 31, 2022</w:t>
      </w:r>
      <w:r>
        <w:rPr>
          <w:color w:val="000000"/>
          <w:highlight w:val="white"/>
        </w:rPr>
        <w:t xml:space="preserve"> </w:t>
      </w:r>
      <w:r>
        <w:rPr>
          <w:rFonts w:ascii="Times New Roman;sans-serif" w:hAnsi="Times New Roman;sans-serif"/>
          <w:b w:val="false"/>
          <w:color w:val="000000"/>
          <w:sz w:val="20"/>
          <w:highlight w:val="white"/>
        </w:rPr>
        <w:t>was primarily comprised of</w:t>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$20.4 million gain related to the settlement of the foreign currency forward during the fourth quarter of 2022.</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Income recognized in the three months ended March 31, 2022 was primarily comprised of changes in the fair value of derivatives of $21.6 million.</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Tax provision</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tax provision for the three months ended March 31, 2023 of $29.0 million compared to a tax provision of $2.8 million for the three months ended December 31, 2022 and a tax benefit of $49.7 million for the three months ended March 31, 2022. The significant tax benefit recognized in the first quarter of 2022 was primarily driven by significant discrete items, including the remeasurement of a deferred tax liability in conjunction with an internal reorganization. We have not recognized any significant discrete items in the first quarter of 2023. </w:t>
      </w:r>
    </w:p>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Income (loss) from equity method investments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from our equity method investments of $10.0 million and loss of $117.8 million for the three months ended March 31, 2023 and December 31, 2022, respectively. We recognized income of $4.0 million from our equity method investment in Energos in the three months ended March 31, 2023 and $6.0 million of income from our investment in Hilli for the period prior to the completion of the Hilli Exchange. The loss in the fourth quarter of 2022 was primarily the result of the other-than-temporary impairment of our investment in Hilli of $118.6 million.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of $50.2 million from our equity method investments in the three months ended March 31, 2022. Our share of earnings from CELSEPAR included a significant foreign currency remeasurement gain of $42.5 million. CELSEPAR was not included in our results of operations following the sale of this investment in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Factors Impacting Comparability of Our Financial Results</w:t>
      </w:r>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historical results of operations and cash flows are not indicative of results of operations and cash flows to be expected in the future, principally for the following reasons:</w:t>
      </w:r>
    </w:p>
    <w:p>
      <w:pPr>
        <w:pStyle w:val="TextBody"/>
        <w:spacing w:lineRule="auto" w:line="288" w:before="240" w:after="283"/>
        <w:ind w:left="0" w:right="0" w:hanging="720"/>
        <w:rPr/>
      </w:pPr>
      <w:r>
        <w:rPr>
          <w:color w:val="000000"/>
          <w:highlight w:val="white"/>
        </w:rPr>
        <w:t>•</w:t>
      </w:r>
      <w:r>
        <w:rPr>
          <w:rFonts w:ascii="Times New Roman;sans-serif" w:hAnsi="Times New Roman;sans-serif"/>
          <w:b/>
          <w:i/>
          <w:color w:val="000000"/>
          <w:sz w:val="20"/>
        </w:rPr>
        <w:t xml:space="preserve">Our historical financial results do not reflect our Fast LNG solution that will lower the cost of our LNG supply. </w:t>
      </w:r>
      <w:r>
        <w:rPr>
          <w:rFonts w:ascii="Times New Roman;sans-serif" w:hAnsi="Times New Roman;sans-serif"/>
          <w:b w:val="false"/>
          <w:color w:val="000000"/>
          <w:sz w:val="20"/>
        </w:rPr>
        <w:t xml:space="preserve">We currently purchase the majority of our supply of LNG from third parties, sourcing approximately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pPr>
      <w:r>
        <w:rPr>
          <w:rFonts w:ascii="Times New Roman;sans-serif" w:hAnsi="Times New Roman;sans-serif"/>
          <w:b w:val="false"/>
          <w:color w:val="000000"/>
          <w:sz w:val="20"/>
        </w:rPr>
        <w:t>98% of our LNG volumes from third parties for the</w:t>
      </w:r>
      <w:r>
        <w:rPr>
          <w:color w:val="000000"/>
          <w:highlight w:val="white"/>
        </w:rPr>
        <w:t xml:space="preserve"> </w:t>
      </w:r>
      <w:r>
        <w:rPr>
          <w:rFonts w:ascii="Times New Roman;sans-serif" w:hAnsi="Times New Roman;sans-serif"/>
          <w:b w:val="false"/>
          <w:color w:val="000000"/>
          <w:sz w:val="20"/>
        </w:rPr>
        <w:t>three months ended March 31, 2023. We anticipate that the deployment of Fast LNG floating liquefaction facilities will significantly lower the cost of our LNG supply and reduce our dependence on third-party suppliers. We expect to deploy our first Fast LNG unit in the third quarter of 2023.</w:t>
      </w:r>
    </w:p>
    <w:p>
      <w:pPr>
        <w:pStyle w:val="TextBody"/>
        <w:spacing w:lineRule="auto" w:line="288" w:before="240" w:after="283"/>
        <w:ind w:left="0" w:right="0" w:hanging="720"/>
        <w:rPr/>
      </w:pPr>
      <w:r>
        <w:rPr>
          <w:color w:val="000000"/>
          <w:highlight w:val="white"/>
        </w:rPr>
        <w:t>•</w:t>
      </w:r>
      <w:r>
        <w:rPr>
          <w:rFonts w:ascii="Times New Roman;sans-serif" w:hAnsi="Times New Roman;sans-serif"/>
          <w:b/>
          <w:i/>
          <w:color w:val="000000"/>
          <w:sz w:val="20"/>
        </w:rPr>
        <w:t xml:space="preserve">Our historical financial results do not include significant projects that have recently been completed or are near completion. </w:t>
      </w:r>
      <w:r>
        <w:rPr>
          <w:rFonts w:ascii="Times New Roman;sans-serif" w:hAnsi="Times New Roman;sans-serif"/>
          <w:b w:val="false"/>
          <w:color w:val="000000"/>
          <w:sz w:val="20"/>
          <w:highlight w:val="white"/>
        </w:rPr>
        <w:t xml:space="preserve">Our results of operations for the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 xml:space="preserve">months ended </w:t>
      </w:r>
      <w:r>
        <w:rPr>
          <w:rFonts w:ascii="Times New Roman;sans-serif" w:hAnsi="Times New Roman;sans-serif"/>
          <w:b w:val="false"/>
          <w:color w:val="000000"/>
          <w:sz w:val="20"/>
        </w:rPr>
        <w:t xml:space="preserve">March 31, 2023 </w:t>
      </w:r>
      <w:r>
        <w:rPr>
          <w:rFonts w:ascii="Times New Roman;sans-serif" w:hAnsi="Times New Roman;sans-serif"/>
          <w:b w:val="false"/>
          <w:color w:val="000000"/>
          <w:sz w:val="20"/>
          <w:highlight w:val="white"/>
        </w:rPr>
        <w:t xml:space="preserve">include our Montego Bay Facility, Old Harbour Facility, San Juan Facility, certain industrial end-users and our Miami Facility. We have placed a portion of our La Paz Facility into service, and our revenue and results of operations have begun to be impacted by our operations in Mexico. We have executed short-form agreements to extend and amend our </w:t>
      </w:r>
      <w:r>
        <w:rPr>
          <w:rFonts w:ascii="Times New Roman;sans-serif" w:hAnsi="Times New Roman;sans-serif"/>
          <w:b w:val="false"/>
          <w:color w:val="000000"/>
          <w:sz w:val="20"/>
        </w:rPr>
        <w:t xml:space="preserve">supply of natural gas to multiple CFE power generation facilities in Baja California Sur and are in the process of finalizing long-form agreements to commemorate all binding terms. </w:t>
      </w:r>
      <w:r>
        <w:rPr>
          <w:rFonts w:ascii="Times New Roman;sans-serif" w:hAnsi="Times New Roman;sans-serif"/>
          <w:b w:val="false"/>
          <w:color w:val="000000"/>
          <w:sz w:val="20"/>
          <w:highlight w:val="white"/>
        </w:rPr>
        <w:t>We are also continuing to develop our Puerto Sandino Facility, and our current results do not include revenue and operating results from these projects. Our current results also exclude other developments, including the Barcarena Facility, Santa Catarina Facility and Ireland Facility.</w:t>
      </w:r>
    </w:p>
    <w:p>
      <w:pPr>
        <w:pStyle w:val="TextBody"/>
        <w:spacing w:lineRule="auto" w:line="288" w:before="240" w:after="283"/>
        <w:ind w:left="0" w:right="0" w:hanging="720"/>
        <w:rPr/>
      </w:pPr>
      <w:r>
        <w:rPr>
          <w:color w:val="000000"/>
          <w:highlight w:val="white"/>
        </w:rPr>
        <w:t>•</w:t>
      </w:r>
      <w:r>
        <w:rPr>
          <w:rFonts w:ascii="Times New Roman;sans-serif" w:hAnsi="Times New Roman;sans-serif"/>
          <w:b/>
          <w:i/>
          <w:color w:val="000000"/>
          <w:sz w:val="20"/>
        </w:rPr>
        <w:t xml:space="preserve">Our historical financial results include the results from our investments in the common units of Hilli LLC and CELSEPAR. </w:t>
      </w:r>
      <w:r>
        <w:rPr>
          <w:rFonts w:ascii="Times New Roman;sans-serif" w:hAnsi="Times New Roman;sans-serif"/>
          <w:b w:val="false"/>
          <w:color w:val="000000"/>
          <w:sz w:val="20"/>
          <w:highlight w:val="white"/>
        </w:rPr>
        <w:t xml:space="preserve">On March 15, 2023, we completed the Hilli Exchange, and in the fourth quarter of 2022, we sold our interest in CELSEPAR, the indirect owner of the Sergipe Power Plant in Brazil. As a result of these transactions, we no longer have any ownership interest in either the </w:t>
      </w:r>
      <w:r>
        <w:rPr>
          <w:rFonts w:ascii="Times New Roman;sans-serif" w:hAnsi="Times New Roman;sans-serif"/>
          <w:b w:val="false"/>
          <w:i/>
          <w:color w:val="000000"/>
          <w:sz w:val="20"/>
          <w:highlight w:val="white"/>
        </w:rPr>
        <w:t>Hilli</w:t>
      </w:r>
      <w:r>
        <w:rPr>
          <w:color w:val="000000"/>
          <w:highlight w:val="white"/>
        </w:rPr>
        <w:t xml:space="preserve"> </w:t>
      </w:r>
      <w:r>
        <w:rPr>
          <w:rFonts w:ascii="Times New Roman;sans-serif" w:hAnsi="Times New Roman;sans-serif"/>
          <w:b w:val="false"/>
          <w:color w:val="000000"/>
          <w:sz w:val="20"/>
          <w:highlight w:val="white"/>
        </w:rPr>
        <w:t xml:space="preserve">or the Sergipe Power Plant, and their results will no longer be included in NFE's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Liquidity and Capital Resources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We believe we will have sufficient liquidity from proceeds from recent borrowings, access to additional capital sources and cash flow from operations to fund our capital expenditures and working capital needs for the next 12 months and the reasonably foreseeable future. We expect to fund our current operations and continued development of additional facilities through cash on hand, borrowings under our debt facilities, </w:t>
      </w:r>
      <w:r>
        <w:rPr>
          <w:rFonts w:ascii="Times New Roman;sans-serif" w:hAnsi="Times New Roman;sans-serif"/>
          <w:b w:val="false"/>
          <w:color w:val="000000"/>
          <w:sz w:val="20"/>
          <w:highlight w:val="white"/>
        </w:rPr>
        <w:t>cash generated from certain sales and financing transactions and cash generated from operations</w:t>
      </w:r>
      <w:r>
        <w:rPr>
          <w:rFonts w:ascii="Times New Roman;sans-serif" w:hAnsi="Times New Roman;sans-serif"/>
          <w:b w:val="false"/>
          <w:color w:val="000000"/>
          <w:sz w:val="20"/>
        </w:rPr>
        <w:t xml:space="preserve">. We may also opportunistically elect to generate additional liquidity through future debt or equity issuances and asset sales to fund our developments and transactions. We have historically funded our developments through proceeds from our IPO, debt and equity financing, </w:t>
      </w:r>
      <w:r>
        <w:rPr>
          <w:rFonts w:ascii="Times New Roman;sans-serif" w:hAnsi="Times New Roman;sans-serif"/>
          <w:b w:val="false"/>
          <w:color w:val="000000"/>
          <w:sz w:val="20"/>
          <w:highlight w:val="white"/>
        </w:rPr>
        <w:t>asset sales and cash from operations, and these financing transactions have been described in detail in our Annual Report.</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assumed total committed expenditures for all completed and existing projects to be approximately $4,414 million, with approximately $3,152 million having already been spent through March 31, 2023. This estimate represents the committed expenditures for our Fast LNG project, as well as committed expenditures necessary to complete the La Paz Facility, Puerto Sandino Facility, Barcarena Facility, Barcarena Power Plant, Santa Catarina Facility and committed capital expenditures to support our grid stabilization project in Puerto Rico. We expect fully completed Fast LNG units to cost between $800 million and $1 billion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12, 2022, our Board of Directors approved an update to our dividend policy. In connection with the dividend policy update, the Board declared a dividend of $626.3 million, representing $3.00 per Class A share, which was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paid during the first quarter of 2023. Additionally, we declared and paid quarterly dividends totaling $20.8 million during the three months ended March 31, 2023, representing $0.10 per Class A share.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make cash payments in the future pursuant to certain contracts. The following table summarizes certain contractual obligations in place as of March 31, 2023. </w:t>
      </w:r>
    </w:p>
    <w:tbl>
      <w:tblPr>
        <w:tblW w:w="10205" w:type="dxa"/>
        <w:jc w:val="left"/>
        <w:tblInd w:w="0" w:type="dxa"/>
        <w:tblCellMar>
          <w:top w:w="28" w:type="dxa"/>
          <w:left w:w="28" w:type="dxa"/>
          <w:bottom w:w="28" w:type="dxa"/>
          <w:right w:w="28" w:type="dxa"/>
        </w:tblCellMar>
      </w:tblPr>
      <w:tblGrid>
        <w:gridCol w:w="740"/>
        <w:gridCol w:w="630"/>
        <w:gridCol w:w="632"/>
        <w:gridCol w:w="211"/>
        <w:gridCol w:w="1081"/>
        <w:gridCol w:w="109"/>
        <w:gridCol w:w="109"/>
        <w:gridCol w:w="109"/>
        <w:gridCol w:w="109"/>
        <w:gridCol w:w="236"/>
        <w:gridCol w:w="1096"/>
        <w:gridCol w:w="122"/>
        <w:gridCol w:w="109"/>
        <w:gridCol w:w="109"/>
        <w:gridCol w:w="109"/>
        <w:gridCol w:w="211"/>
        <w:gridCol w:w="976"/>
        <w:gridCol w:w="109"/>
        <w:gridCol w:w="109"/>
        <w:gridCol w:w="109"/>
        <w:gridCol w:w="109"/>
        <w:gridCol w:w="211"/>
        <w:gridCol w:w="976"/>
        <w:gridCol w:w="109"/>
        <w:gridCol w:w="109"/>
        <w:gridCol w:w="109"/>
        <w:gridCol w:w="109"/>
        <w:gridCol w:w="211"/>
        <w:gridCol w:w="1081"/>
        <w:gridCol w:w="156"/>
      </w:tblGrid>
      <w:tr>
        <w:trPr/>
        <w:tc>
          <w:tcPr>
            <w:tcW w:w="74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of $)</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Year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2 to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4 to 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5 years</w:t>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13,847,969 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1,501,951 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9,609,494 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21,925,064 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1,770,475 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12,326,625 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Long-term debt obligations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For information on our long-term debt obligations, </w:t>
      </w:r>
      <w:r>
        <w:rPr>
          <w:rFonts w:ascii="Times New Roman;sans-serif" w:hAnsi="Times New Roman;sans-serif"/>
          <w:b w:val="false"/>
          <w:color w:val="000000"/>
          <w:sz w:val="20"/>
          <w:highlight w:val="white"/>
        </w:rPr>
        <w:t>see “—Liquidity and Capital Resources—Long-Term Debt” in our Annual Report.</w:t>
      </w:r>
      <w:r>
        <w:rPr>
          <w:color w:val="000000"/>
        </w:rPr>
        <w:t xml:space="preserve"> </w:t>
      </w:r>
      <w:r>
        <w:rPr>
          <w:rFonts w:ascii="Times New Roman;sans-serif" w:hAnsi="Times New Roman;sans-serif"/>
          <w:b w:val="false"/>
          <w:color w:val="000000"/>
          <w:sz w:val="20"/>
        </w:rPr>
        <w:t xml:space="preserve">The amounts included in the table above are based on the total debt balance, scheduled maturities, and interest rates in effect as of March 31, 2023.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portion of debt service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Purchase obligations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March 31, 2023.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construction purchase commitments in connection with our development projects, including the La Paz Facility, Puerto Sandino Facility, Barcarena Facility, Santa Catarina Facility and committed capital expenditures to support our grid stabilization project in Puerto Rico. Commitments included in the table above include commitments under engineering, procurement and construction contracts where a notice to proceed has been issued.</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Lease obligations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gas turbines and a land lease.</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Cash Flows</w:t>
      </w:r>
    </w:p>
    <w:p>
      <w:pPr>
        <w:pStyle w:val="TextBody"/>
        <w:spacing w:lineRule="auto" w:line="288" w:before="240" w:after="283"/>
        <w:ind w:left="0" w:right="0" w:firstLine="360"/>
        <w:rPr/>
      </w:pPr>
      <w:r>
        <w:rPr>
          <w:rFonts w:ascii="Times New Roman;sans-serif" w:hAnsi="Times New Roman;sans-serif"/>
          <w:b w:val="false"/>
          <w:color w:val="000000"/>
          <w:sz w:val="20"/>
        </w:rPr>
        <w:t>The following table summarizes the changes to our cash flows for the three months ended March 31, 2023 and 2022, respectively</w:t>
      </w:r>
      <w:r>
        <w:rPr>
          <w:rFonts w:ascii="Times New Roman;sans-serif" w:hAnsi="Times New Roman;sans-serif"/>
          <w:b w:val="false"/>
          <w:color w:val="000000"/>
          <w:sz w:val="20"/>
          <w:highlight w:val="white"/>
        </w:rPr>
        <w:t>:</w:t>
      </w:r>
    </w:p>
    <w:tbl>
      <w:tblPr>
        <w:tblW w:w="9071" w:type="dxa"/>
        <w:jc w:val="left"/>
        <w:tblInd w:w="0" w:type="dxa"/>
        <w:tblCellMar>
          <w:top w:w="28" w:type="dxa"/>
          <w:left w:w="28" w:type="dxa"/>
          <w:bottom w:w="28" w:type="dxa"/>
          <w:right w:w="28" w:type="dxa"/>
        </w:tblCellMar>
      </w:tblPr>
      <w:tblGrid>
        <w:gridCol w:w="1732"/>
        <w:gridCol w:w="1523"/>
        <w:gridCol w:w="1529"/>
        <w:gridCol w:w="211"/>
        <w:gridCol w:w="901"/>
        <w:gridCol w:w="109"/>
        <w:gridCol w:w="109"/>
        <w:gridCol w:w="109"/>
        <w:gridCol w:w="109"/>
        <w:gridCol w:w="211"/>
        <w:gridCol w:w="826"/>
        <w:gridCol w:w="109"/>
        <w:gridCol w:w="109"/>
        <w:gridCol w:w="109"/>
        <w:gridCol w:w="109"/>
        <w:gridCol w:w="211"/>
        <w:gridCol w:w="901"/>
        <w:gridCol w:w="154"/>
      </w:tblGrid>
      <w:tr>
        <w:trPr/>
        <w:tc>
          <w:tcPr>
            <w:tcW w:w="1732" w:type="dxa"/>
            <w:tcBorders/>
            <w:shd w:fill="auto" w:val="clear"/>
            <w:vAlign w:val="center"/>
          </w:tcPr>
          <w:p>
            <w:pPr>
              <w:pStyle w:val="TableContents"/>
              <w:spacing w:before="0" w:after="283"/>
              <w:rPr>
                <w:sz w:val="4"/>
                <w:szCs w:val="4"/>
              </w:rPr>
            </w:pPr>
            <w:r>
              <w:rPr>
                <w:sz w:val="4"/>
                <w:szCs w:val="4"/>
              </w:rPr>
            </w:r>
          </w:p>
        </w:tc>
        <w:tc>
          <w:tcPr>
            <w:tcW w:w="1523"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 of $)</w:t>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w:t>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(181,904)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Cash provided by operating activities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cash flow provided by operating activities was $200.1 million for the three months ended March 31, 2023, which increased by $85.8 million from cash provided by operating activities of $114.4 million for the three months ended March 31, 2022. Our net income for the three months ended March 31, 2023, when adjusted for non-cash items, increased by $36.1 million from the three months ended March 31, 2022. The remaining increase for the first quarter of 2023 was driven by changes in working capital accounts.</w:t>
      </w:r>
    </w:p>
    <w:p>
      <w:pPr>
        <w:pStyle w:val="TextBody"/>
        <w:spacing w:lineRule="auto" w:line="288" w:before="240" w:after="283"/>
        <w:ind w:left="0" w:right="0" w:firstLine="360"/>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Cash used in investing activities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cash flow used in investing activities was $463.3 million for the three months ended March 31, 2023, which increased by $274.0 million from cash used in investing activities of $189.2 million for the three months ended March 31, 2022. Cash outflows for investing activities during the three months ended March 31, 2023 were used primarily for continued development of our Fast LNG project. Cash outflows were offset by proceeds of $100.0 million from the sale of our equity method investment in Hilli LLC in the Hilli Exchange.</w:t>
      </w:r>
    </w:p>
    <w:p>
      <w:pPr>
        <w:pStyle w:val="TextBody"/>
        <w:spacing w:lineRule="auto" w:line="288" w:before="240" w:after="283"/>
        <w:ind w:left="0" w:right="0" w:firstLine="396"/>
        <w:rPr>
          <w:rFonts w:ascii="Times New Roman;sans-serif" w:hAnsi="Times New Roman;sans-serif"/>
          <w:b w:val="false"/>
          <w:color w:val="000000"/>
          <w:sz w:val="20"/>
        </w:rPr>
      </w:pPr>
      <w:r>
        <w:rPr>
          <w:rFonts w:ascii="Times New Roman;sans-serif" w:hAnsi="Times New Roman;sans-serif"/>
          <w:b w:val="false"/>
          <w:color w:val="000000"/>
          <w:sz w:val="20"/>
        </w:rPr>
        <w:t xml:space="preserve">Cash outflows for investing activities during the three months ended March 31, 2022 were used for continued development of our Fast LNG project, Santa Catarina Facility, Barcarena Facility, as well as expenditures to complete our La Paz Facility and Puerto Sandino Facility. </w:t>
      </w:r>
    </w:p>
    <w:p>
      <w:pPr>
        <w:pStyle w:val="TextBody"/>
        <w:spacing w:lineRule="auto" w:line="288" w:before="240" w:after="283"/>
        <w:ind w:left="0" w:right="0" w:firstLine="396"/>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Cash provided by financing activities</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 provided by financing activities was $43.2 million for the three months ended March 31, 2023, which increased by $6.4 million from cash provided by financing activities of $36.8 million for the three months ended March 31, 2022. In December 2023, our Board of Directors approved and declared a dividend of $626.3 million, representing $3.00 per Class A share. such dividend payment was made in January 2023. Throughout the first quarter of 2023 we borrowed under our expanded Revolving Facility for total additional borrowings of $700.0 million, with such borrowings primarily used to fund the ongoing development of our Fast LNG project. </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three months ended March 31, 2022 was primarily due to proceeds from issuance of debt of $200.8 million, offset by repayments of debt of $123.7 million and payment of dividends of $23.8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Long-Term Debt and Preferred Stock</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terms of our debt instruments and associated obligations have been described in our Annual Report. There have been no significant changes to the terms of our outstanding debt, covenant requirements or payment obligations, other than described below.</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Revolving Facility</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we entered into an amendment of our Revolving Facility which increased the commitments by $301.7 million, for a total capacity of $741.7 million. The interest rate for borrowings under the Revolving Facility based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current usage of the facility has not changed, and no changes were made to the maturity date or covenants. In conjunction with the amendment, we incurred an additional $5.0 million in fees which have been capitalized within Other non-current assets. </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Debt and lease restrictions </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The Company was in compliance with all covenants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Critical Accounting Policies and Estimates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A complete discussion of our critical accounting policies and estimates is included in our Annual Report. As of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there have been no significant changes to our critical accounting estimates since our Annual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Recent Accounting Standards</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descriptions of recently issued accounting standards, see “Note 3. Adoption of new and revised standards” to our notes to condensed consolidated financial statements included elsewhere 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normal course of business, the Company encounters several significant types of market risks including commodity and interest rate risks.</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Commodity Price Risk</w:t>
      </w:r>
    </w:p>
    <w:p>
      <w:pPr>
        <w:pStyle w:val="TextBody"/>
        <w:spacing w:lineRule="auto" w:line="288" w:before="240" w:after="283"/>
        <w:ind w:left="0" w:right="0" w:firstLine="360"/>
        <w:rPr/>
      </w:pPr>
      <w:r>
        <w:rPr>
          <w:rFonts w:ascii="Times New Roman;sans-serif" w:hAnsi="Times New Roman;sans-serif"/>
          <w:b w:val="false"/>
          <w:color w:val="000000"/>
          <w:sz w:val="20"/>
        </w:rPr>
        <w:t xml:space="preserve">Commodity price risk is the risk of loss arising from adverse changes in market rates and prices. We are able to limit our exposure to fluctuations in natural gas prices as our pricing in contracts with </w:t>
      </w:r>
      <w:r>
        <w:rPr>
          <w:rFonts w:ascii="Times New Roman;sans-serif" w:hAnsi="Times New Roman;sans-serif"/>
          <w:b w:val="false"/>
          <w:color w:val="000000"/>
          <w:sz w:val="20"/>
          <w:highlight w:val="white"/>
        </w:rPr>
        <w:t>downstream</w:t>
      </w:r>
      <w:r>
        <w:rPr>
          <w:color w:val="000000"/>
        </w:rPr>
        <w:t xml:space="preserve"> </w:t>
      </w:r>
      <w:r>
        <w:rPr>
          <w:rFonts w:ascii="Times New Roman;sans-serif" w:hAnsi="Times New Roman;sans-serif"/>
          <w:b w:val="false"/>
          <w:color w:val="000000"/>
          <w:sz w:val="20"/>
        </w:rPr>
        <w:t xml:space="preserve">customers is largely based on the Henry Hub index price plus a contractual spread. Our exposure to market risk associated with LNG price changes may adversely impact our business. In 2022, we entered into a commodity swap transaction as an economic hedge to reduce the risks associated with commodity prices </w:t>
      </w:r>
      <w:r>
        <w:rPr>
          <w:rFonts w:ascii="Times New Roman;sans-serif" w:hAnsi="Times New Roman;sans-serif"/>
          <w:b w:val="false"/>
          <w:color w:val="000000"/>
          <w:sz w:val="20"/>
          <w:highlight w:val="white"/>
        </w:rPr>
        <w:t xml:space="preserve">which settled in the first quarter of 2023 </w:t>
      </w:r>
      <w:r>
        <w:rPr>
          <w:rFonts w:ascii="Times New Roman;sans-serif" w:hAnsi="Times New Roman;sans-serif"/>
          <w:b w:val="false"/>
          <w:color w:val="000000"/>
          <w:sz w:val="20"/>
        </w:rPr>
        <w:t>resulting in a realized gain of $146.1 million. In January 2023, we entered into a commodity swap transaction and we recognized an unrealized loss of $5.0 million in the first quarter of 2023. We currently do not have other derivative instruments to mitigate the effect of fluctuations in LNG prices on our operations; in the future we may enter into additional derivative instruments.</w:t>
      </w:r>
      <w:r>
        <w:rPr>
          <w:color w:val="000000"/>
          <w:highlight w:val="white"/>
        </w:rPr>
        <w:t xml:space="preserve"> </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Interest Rate Risk</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2025 Notes, 2026 Notes and South Power 2029 Bonds (each defined in our Annual Report) were issued with a fixed rate of interest, and as such, a change in interest rates would impact the fair value of the 2025 Notes, 2026 Notes and South Power 2029 Bonds but such a change would have no impact on our results of operations or cash flows. A 100-basis point increase or decrease in the market interest rate would decrease or increase the fair value of our fixed rate debt by approximately $79.0 million. The sensitivity analysis presented is based on certain simplifying assumptions, including instantaneous change in interest rate and parallel shifts in the yield curve.</w:t>
      </w:r>
    </w:p>
    <w:p>
      <w:pPr>
        <w:pStyle w:val="TextBody"/>
        <w:spacing w:lineRule="auto" w:line="288" w:before="24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under the Barcarena Term Loan has a component based on the Secured Overnight Financing Rate ("SOFR"). A 100-basis point increase or decrease in the market interest rate would decrease or increase our annual interest expense by approximately $2 million.</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Foreign Currency Exchange Risk</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firstLine="360"/>
        <w:rPr/>
      </w:pPr>
      <w:r>
        <w:rPr>
          <w:rFonts w:ascii="Times New Roman;sans-serif" w:hAnsi="Times New Roman;sans-serif"/>
          <w:b w:val="false"/>
          <w:color w:val="000000"/>
          <w:sz w:val="20"/>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w:t>
      </w:r>
      <w:r>
        <w:rPr>
          <w:rFonts w:ascii="Times New Roman;sans-serif" w:hAnsi="Times New Roman;sans-serif"/>
          <w:b w:val="false"/>
          <w:color w:val="000000"/>
          <w:sz w:val="20"/>
          <w:highlight w:val="white"/>
        </w:rPr>
        <w:t xml:space="preserve">e may enter into derivative or hedging transactions with third parties to manage our exposure to changes in foreign currency exchange risks as we expand our international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Evaluation of Disclosure Controls and Procedures</w:t>
      </w:r>
    </w:p>
    <w:p>
      <w:pPr>
        <w:pStyle w:val="TextBody"/>
        <w:spacing w:lineRule="auto" w:line="288" w:before="240" w:after="283"/>
        <w:ind w:left="0" w:right="0" w:firstLine="360"/>
        <w:rPr/>
      </w:pPr>
      <w:r>
        <w:rPr>
          <w:rFonts w:ascii="Times New Roman;sans-serif" w:hAnsi="Times New Roman;sans-serif"/>
          <w:b w:val="false"/>
          <w:color w:val="000000"/>
          <w:sz w:val="20"/>
        </w:rPr>
        <w:t xml:space="preserve">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w:t>
      </w:r>
      <w:r>
        <w:rPr>
          <w:rFonts w:ascii="Times New Roman;sans-serif" w:hAnsi="Times New Roman;sans-serif"/>
          <w:b w:val="false"/>
          <w:color w:val="000000"/>
          <w:sz w:val="20"/>
          <w:highlight w:val="white"/>
        </w:rPr>
        <w:t>March 31, 2023</w:t>
      </w:r>
      <w:r>
        <w:rPr>
          <w:rFonts w:ascii="Times New Roman;sans-serif" w:hAnsi="Times New Roman;sans-serif"/>
          <w:b w:val="false"/>
          <w:color w:val="000000"/>
          <w:sz w:val="20"/>
        </w:rPr>
        <w:t xml:space="preserve">.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at the reasonable assurance level.</w:t>
      </w:r>
    </w:p>
    <w:p>
      <w:pPr>
        <w:pStyle w:val="TextBody"/>
        <w:spacing w:lineRule="auto" w:line="288" w:before="240" w:after="283"/>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Changes in Internal Control over Financial Reporting</w:t>
      </w:r>
    </w:p>
    <w:p>
      <w:pPr>
        <w:pStyle w:val="TextBody"/>
        <w:spacing w:lineRule="auto" w:line="288" w:before="240" w:after="283"/>
        <w:ind w:left="0" w:right="0" w:firstLine="360"/>
        <w:rPr/>
      </w:pPr>
      <w:r>
        <w:rPr>
          <w:rFonts w:ascii="Times New Roman;sans-serif" w:hAnsi="Times New Roman;sans-serif"/>
          <w:b w:val="false"/>
          <w:color w:val="000000"/>
          <w:sz w:val="20"/>
        </w:rPr>
        <w:t xml:space="preserve">There has been no change in our internal control over financial reporting (as defined in Rule 13a-15(f) and Rule 15d-15(f) under the Exchange Act) that occurred during the quarter ended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that has materially affected, or is reasonably likely to materially affect, our internal control over financial reporting</w:t>
      </w:r>
      <w:r>
        <w:rPr>
          <w:rFonts w:ascii="Times New Roman;sans-serif" w:hAnsi="Times New Roman;sans-serif"/>
          <w:b w:val="false"/>
          <w:color w:val="000000"/>
          <w:sz w:val="20"/>
          <w:highlight w:val="white"/>
        </w:rPr>
        <w:t>.</w:t>
      </w:r>
    </w:p>
    <w:p>
      <w:pPr>
        <w:pStyle w:val="TextBody"/>
        <w:spacing w:before="24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PART II</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ind w:left="0" w:right="0" w:firstLine="360"/>
        <w:rPr/>
      </w:pPr>
      <w:r>
        <w:rPr/>
      </w:r>
    </w:p>
    <w:p>
      <w:pPr>
        <w:pStyle w:val="TextBody"/>
        <w:spacing w:lineRule="auto" w:line="268" w:before="0" w:after="0"/>
        <w:ind w:left="0" w:right="0" w:firstLine="360"/>
        <w:rPr/>
      </w:pPr>
      <w:r>
        <w:rPr>
          <w:rFonts w:ascii="Times New Roman;sans-serif" w:hAnsi="Times New Roman;sans-serif"/>
          <w:b w:val="false"/>
          <w:color w:val="000000"/>
          <w:sz w:val="20"/>
          <w:highlight w:val="white"/>
        </w:rPr>
        <w:t>W</w:t>
      </w:r>
      <w:r>
        <w:rPr>
          <w:rFonts w:ascii="Times New Roman;sans-serif" w:hAnsi="Times New Roman;sans-serif"/>
          <w:b w:val="false"/>
          <w:color w:val="000000"/>
          <w:sz w:val="20"/>
        </w:rPr>
        <w:t>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spacing w:lineRule="auto" w:line="288" w:before="240" w:after="283"/>
        <w:ind w:left="0" w:right="0" w:firstLine="362"/>
        <w:rPr>
          <w:rFonts w:ascii="Times New Roman;sans-serif" w:hAnsi="Times New Roman;sans-serif"/>
          <w:b/>
          <w:color w:val="000000"/>
          <w:sz w:val="20"/>
          <w:highlight w:val="white"/>
        </w:rPr>
      </w:pPr>
      <w:r>
        <w:rPr>
          <w:rFonts w:ascii="Times New Roman;sans-serif" w:hAnsi="Times New Roman;sans-serif"/>
          <w:b/>
          <w:color w:val="000000"/>
          <w:sz w:val="20"/>
          <w:highlight w:val="white"/>
        </w:rPr>
        <w:t>Summary Risk Factors</w:t>
      </w:r>
    </w:p>
    <w:p>
      <w:pPr>
        <w:pStyle w:val="TextBody"/>
        <w:spacing w:before="0" w:after="0"/>
        <w:ind w:left="0" w:right="0" w:firstLine="360"/>
        <w:rPr/>
      </w:pPr>
      <w:r>
        <w:rPr/>
      </w:r>
    </w:p>
    <w:p>
      <w:pPr>
        <w:pStyle w:val="TextBody"/>
        <w:spacing w:lineRule="auto" w:line="256" w:before="0" w:after="0"/>
        <w:ind w:left="0" w:right="0" w:firstLine="360"/>
        <w:rPr/>
      </w:pPr>
      <w:r>
        <w:rPr>
          <w:rFonts w:ascii="Times New Roman;sans-serif" w:hAnsi="Times New Roman;sans-serif"/>
          <w:b w:val="false"/>
          <w:color w:val="000000"/>
          <w:sz w:val="20"/>
        </w:rPr>
        <w:t>Some of the factors that could materially and adversely affect our business, financial condition, results of operations or prospects include the following</w:t>
      </w:r>
      <w:r>
        <w:rPr>
          <w:rFonts w:ascii="Times New Roman;sans-serif" w:hAnsi="Times New Roman;sans-serif"/>
          <w:b w:val="false"/>
          <w:color w:val="000000"/>
          <w:sz w:val="20"/>
          <w:highlight w:val="white"/>
        </w:rPr>
        <w:t>:</w:t>
      </w:r>
    </w:p>
    <w:p>
      <w:pPr>
        <w:pStyle w:val="TextBody"/>
        <w:spacing w:lineRule="auto" w:line="288" w:before="240" w:after="283"/>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Risks Related to Our Business</w:t>
      </w:r>
    </w:p>
    <w:p>
      <w:pPr>
        <w:pStyle w:val="TextBody"/>
        <w:spacing w:before="0" w:after="0"/>
        <w:rPr/>
      </w:pPr>
      <w:r>
        <w:rPr/>
      </w:r>
    </w:p>
    <w:p>
      <w:pPr>
        <w:pStyle w:val="TextBody"/>
        <w:spacing w:lineRule="auto" w:line="256" w:before="0" w:after="0"/>
        <w:ind w:left="0" w:right="0" w:hanging="360"/>
        <w:rPr/>
      </w:pPr>
      <w:r>
        <w:rPr>
          <w:color w:val="000000"/>
        </w:rPr>
        <w:t>•</w:t>
      </w:r>
      <w:r>
        <w:rPr>
          <w:rFonts w:ascii="Times New Roman;sans-serif" w:hAnsi="Times New Roman;sans-serif"/>
          <w:b w:val="false"/>
          <w:color w:val="000000"/>
          <w:sz w:val="20"/>
        </w:rPr>
        <w:t>We have a limited operating history, which may not be sufficient to evaluate our business and prospects;</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Our ability to implement our business strategy may be materially and adversely affected by many known and unknown factors;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are subject to various construction risks;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Operation of our infrastructure, facilities and vessels involves significant risks;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depend on third-party contractors, operators and suppliers;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Failure of LNG to be a competitive source of energy in the markets in which we operate, and seek to operate, could adversely affect our expansion strategy;</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operate in a highly regulated environment and our operations could be adversely affected by actions by governmental entities or changes to regulations and legislation;</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Failure to obtain and maintain permits, approvals and authorizations from governmental and regulatory agencies and third parties on favorable terms could impede operations and construction;</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Failure to maintain sufficient working capital could limit our growth and harm our business, financial condition and results of operations;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ability to generate revenues is substantially dependent on our current and future long-term agreements and the performance by customers under such agreements;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current lack of asset and geographic diversification could have an adverse effect on our business, contracts, financial condition, operating results, cash flow, liquidity and prospects;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Because we are currently dependent upon a limited number of customers, the loss of a significant customer could adversely affect our operating results;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may not be able to convert our anticipated customer pipeline into binding long-term contracts, and if we fail to convert potential sales into actual sales, we will not generate the revenues and profits we anticipate;</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contracts with our customers are subject to termination under certain circumstances;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Competition in the LNG industry is intense, and some of our competitors have greater financial, technological and other resources than we currently possess;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Cyclical or other changes in the demand for and price of LNG and natural gas may adversely affect our business and the performance of our customers;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risk management strategies cannot eliminate all LNG price and supply risks. In addition, any non-compliance with our risk management strategies could result in significant financial losses;</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are dependent on third-party LNG suppliers and the development of our own portfolio is subject to various risks and assumptions;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seek to develop innovative and new technologies as part of our strategy that are not yet proven and may not realize the time and cost savings we expect to achieve;</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Fast LNG technology is not yet proven and we may not be able to implement it as planned or at all;</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have incurred, and may in the future incur, a significant amount of debt;</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business is dependent upon obtaining substantial additional funding from various sources, which may not be available or may only be available on unfavorable terms;</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spacing w:before="0" w:after="0"/>
        <w:ind w:left="0" w:right="0" w:hanging="360"/>
        <w:rPr/>
      </w:pPr>
      <w:r>
        <w:rPr/>
      </w:r>
    </w:p>
    <w:p>
      <w:pPr>
        <w:pStyle w:val="TextBody"/>
        <w:spacing w:lineRule="auto" w:line="288" w:before="0" w:after="0"/>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Risks Related to the Jurisdictions in Which We Operate</w:t>
      </w:r>
    </w:p>
    <w:p>
      <w:pPr>
        <w:pStyle w:val="TextBody"/>
        <w:spacing w:before="0" w:after="0"/>
        <w:ind w:left="0" w:right="0" w:hanging="360"/>
        <w:rPr/>
      </w:pPr>
      <w:r>
        <w:rPr/>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We are subject to the economic, political, social and other conditions in the jurisdictions in which we operate;</w:t>
      </w:r>
    </w:p>
    <w:p>
      <w:pPr>
        <w:pStyle w:val="TextBody"/>
        <w:spacing w:lineRule="auto" w:line="288" w:before="0" w:after="0"/>
        <w:ind w:left="0" w:right="0" w:hanging="360"/>
        <w:rPr>
          <w:color w:val="000000"/>
          <w:highlight w:val="white"/>
        </w:rPr>
      </w:pPr>
      <w:r>
        <w:rPr>
          <w:color w:val="000000"/>
          <w:highlight w:val="white"/>
        </w:rPr>
        <w:t>•     </w:t>
      </w:r>
      <w:r>
        <w:rPr>
          <w:rFonts w:ascii="Times New Roman;sans-serif" w:hAnsi="Times New Roman;sans-serif"/>
          <w:b w:val="false"/>
          <w:color w:val="000000"/>
          <w:sz w:val="20"/>
          <w:highlight w:val="white"/>
        </w:rPr>
        <w:t>Our financial condition and operating results may be adversely affected by foreign exchange fluctuations;    </w:t>
      </w:r>
    </w:p>
    <w:p>
      <w:pPr>
        <w:pStyle w:val="TextBody"/>
        <w:spacing w:lineRule="auto" w:line="288" w:before="240" w:after="283"/>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Risks Related to Ownership of Our Class A Common Stock</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highlight w:val="white"/>
        </w:rPr>
        <w:t xml:space="preserve">A small number of our original investors have the ability to direct the voting of a majority of our stock, and their interests may conflict with those of our other stockholders;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highlight w:val="white"/>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spacing w:lineRule="auto" w:line="288" w:before="240" w:after="283"/>
        <w:rPr>
          <w:rFonts w:ascii="Times New Roman;sans-serif" w:hAnsi="Times New Roman;sans-serif"/>
          <w:b w:val="false"/>
          <w:color w:val="000000"/>
          <w:sz w:val="20"/>
          <w:highlight w:val="white"/>
          <w:u w:val="single"/>
        </w:rPr>
      </w:pPr>
      <w:r>
        <w:rPr>
          <w:rFonts w:ascii="Times New Roman;sans-serif" w:hAnsi="Times New Roman;sans-serif"/>
          <w:b w:val="false"/>
          <w:color w:val="000000"/>
          <w:sz w:val="20"/>
          <w:highlight w:val="white"/>
          <w:u w:val="single"/>
        </w:rPr>
        <w:t>General Risks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ans-serif" w:hAnsi="Times New Roman;sans-serif"/>
          <w:b w:val="false"/>
          <w:color w:val="000000"/>
          <w:sz w:val="20"/>
          <w:highlight w:val="white"/>
        </w:rPr>
        <w:t>;</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We may engage in mergers, sales and acquisitions, reorganizations or similar transactions related to our businesses or assets in the future and we may fail to successfully complete such transaction or to realize the expected value;</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and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 change in tax laws in any country in which we operate could adversely affect us.</w:t>
      </w:r>
    </w:p>
    <w:p>
      <w:pPr>
        <w:pStyle w:val="TextBody"/>
        <w:spacing w:lineRule="auto" w:line="288" w:before="240" w:after="283"/>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Related to Our Business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not be sufficient to evaluate our business and prospects.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We recognized income of $92.7 million in 2021 and $184.8 million in 2022.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 </w:t>
      </w:r>
    </w:p>
    <w:p>
      <w:pPr>
        <w:pStyle w:val="TextBody"/>
        <w:spacing w:before="0" w:after="0"/>
        <w:ind w:left="0" w:right="0" w:firstLine="36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ability to implement our business strategy may be materially and adversely affected by many known and unknown factors.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and expand our projects and operations to other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spacing w:before="0" w:after="0"/>
        <w:ind w:left="0" w:right="0" w:firstLine="360"/>
        <w:rPr/>
      </w:pPr>
      <w:r>
        <w:rPr/>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inability to achieve our target costs for the purchase, liquefaction and export of natural gas and/or LNG and our target pricing for long-term contracts;</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failure to develop strategic relationships;</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failure to obtain required governmental and regulatory approvals for the construction and operation of these projects and other relevant approvals;</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unfavorable laws and regulations, changes in laws or unfavorable interpretation or application of laws and regulations; and</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20"/>
        </w:rPr>
        <w:t>uncertainty regarding the timing, pace and extent of an economic recovery in the United States, the other jurisdictions in which we operate and elsewhere, which in turn will likely affect demand for crude oil and natural gas.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are subject to various construction risks.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engineering, environmental or geological problems;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shortages or delays in the delivery of equipment and supplies;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government or regulatory approvals, permits or other authorizations;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failure to meet technical specifications or adjustments being required based on testing or commissioning;</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construction accidents that could result in personal injury or loss of life;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lack of adequate and qualified personnel to execute the project;</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weather interference;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Operation of our infrastructure, facilities and vessels involves significant risks.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existing infrastructure, facilities and vessels and expected future operations and businesses face operational risks, including, but not limited to, the following:</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performing below expected levels of efficiency or capacity or required changes to specifications for continued operations;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breakdowns or failures of equipment or shortages or delays in the delivery of supplies;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operational errors by trucks, including trucking accidents while transporting natural gas, LNG or any other chemical or hazardous substance;</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risks related to operators and service providers of tankers or tugs used in our operations;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operational errors by us or any contracted facility, port or other operator of related third-party infrastructure;</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failure to maintain the required government or regulatory approvals, permits or other authorizations;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accidents, fires, explosions or other events or catastrophes;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lack of adequate and qualified personnel;</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potential labor shortages, work stoppages or labor union disputes;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weather-related or natural disaster interruptions of operations;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pollution, release of or exposure to toxic substances or environmental contamination affecting operation;</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inability, or failure, of any counterparty to any facility-related agreements to perform their contractual obligations;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decreased demand by our customers, including as a result of the COVID-19 pandemic;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planned and unplanned power outages or failures to supply due to scheduled or unscheduled maintenance.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particular, we are subject to risks related to the operation of power plants, liquefaction facilities, marine and other LNG operations with respect to our facilities, floating storage regasification units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depend on third-party contractors, operators and suppliers.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Failure of LNG to be a competitive source of energy in the markets in which we operate, and seek to operate, could adversely affect our expansion strategy.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Since August 2021, LNG prices have increased materially, and global events, such as the COVID-19 pandemic, Russia’s invasion of Ukraine and global inflationary pressures, have generated further energy pricing volatility, which can have an adverse effect on market pricing of LNG and global demand for our products, as well as our ability to remain competitive in the markets in which we operate.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spacing w:before="0" w:after="0"/>
        <w:ind w:left="0" w:right="0" w:firstLine="36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operate in a highly regulated environment and our operations could be adversely affected by actions by governmental entities or changes to regulations and legislation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Failure to obtain and maintain permits, approvals and authorizations from governmental and regulatory agencies and third parties on favorable terms could impede operations and construction.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In connection with our application to the U.S. Maritime Administration ("MARAD") related to our FLNG project off the coast of Louisiana,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assure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Failure to maintain sufficient working capital could limit our growth and harm our business, financial condition and results of operations.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capital, we may not be able to pursue our growth strategy, respond to competitive pressures or fund key strategic initiatives, such as the development of our facilities, which may harm our business, financial condition and results of operations.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ability to generate revenues is substantially dependent on our current and future long-term agreements and the performance by customers under such agreements.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 cover its financing costs for related vessels.</w:t>
      </w:r>
      <w:r>
        <w:rPr>
          <w:color w:val="000000"/>
        </w:rPr>
        <w:t xml:space="preserve"> </w:t>
      </w:r>
      <w:r>
        <w:rPr>
          <w:rFonts w:ascii="Times New Roman;sans-serif" w:hAnsi="Times New Roman;sans-serif"/>
          <w:b w:val="false"/>
          <w:color w:val="000000"/>
          <w:sz w:val="20"/>
        </w:rPr>
        <w:t>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current lack of asset and geographic diversification could have an adverse effect on our business, contracts, financial condition, operating results, cash flow, liquidity and prospects.</w:t>
      </w:r>
    </w:p>
    <w:p>
      <w:pPr>
        <w:pStyle w:val="TextBody"/>
        <w:spacing w:lineRule="auto" w:line="288" w:before="240" w:after="283"/>
        <w:ind w:left="0" w:right="0" w:firstLine="360"/>
        <w:rPr/>
      </w:pPr>
      <w:r>
        <w:rPr>
          <w:rFonts w:ascii="Times New Roman;sans-serif" w:hAnsi="Times New Roman;sans-serif"/>
          <w:b w:val="false"/>
          <w:color w:val="000000"/>
          <w:sz w:val="20"/>
          <w:highlight w:val="white"/>
        </w:rPr>
        <w:t>Our results of operations for the year ended December 31, 2022 and the three months ended March 31, 2023, include our Montego Bay Facility, Old Harbour Facility, San Juan Facility, certain industrial end-users and our Miami Facility. In addition, we placed a portion of our La Paz Facility into service in 2022, and our revenue and results of operations have begun to be impacted by operations in Mexico, including agreements with certain power generation facilities in Baja California Sur. Our results for 2022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sans-serif" w:hAnsi="Times New Roman;sans-serif"/>
          <w:b w:val="false"/>
          <w:i/>
          <w:color w:val="000000"/>
          <w:sz w:val="20"/>
          <w:highlight w:val="white"/>
        </w:rPr>
        <w:t>Risks Related to the Jurisdictions in Which We Operate—We are subject to the economic, political, social and other conditions in the jurisdictions in which we operate.</w:t>
      </w:r>
      <w:r>
        <w:rPr>
          <w:color w:val="000000"/>
          <w:highlight w:val="white"/>
        </w:rPr>
        <w:t xml:space="preserve">” </w:t>
      </w:r>
      <w:r>
        <w:rPr>
          <w:rFonts w:ascii="Times New Roman;sans-serif" w:hAnsi="Times New Roman;sans-serif"/>
          <w:b w:val="false"/>
          <w:color w:val="000000"/>
          <w:sz w:val="20"/>
          <w:highlight w:val="white"/>
        </w:rPr>
        <w:t xml:space="preserve">We may also be affected by trade restrictions, such as tariffs or other trade controls. Additionally, tourism is a significant driver of economic activity in these geographies and directly and indirectly affects local demand for our LNG and therefore </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Because we are currently dependent upon a limited number of customers, the loss of a significant customer could adversely affect our operating results.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contracts with our customers are subject to termination under certain circumstances.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upon the occurrence of certain events of force majeure;</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if we fail to make available specified scheduled cargo quantities;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occurrence of certain uncured payment defaults;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occurrence of an insolvency event;</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occurrence of certain uncured, material breaches;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if we fail to commence commercial operations or achieve financial close within the agreed timeframes.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Competition in the LNG industry is intense, and some of our competitors have greater financial, technological and other resources than we currently possess.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pStyle w:val="TextBody"/>
        <w:spacing w:before="0" w:after="0"/>
        <w:ind w:left="0" w:right="0" w:firstLine="36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increases in worldwide LNG production capacity and availability of LNG for market supply;</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increases in demand for natural gas but at levels below those required to maintain current price equilibrium with respect to supply;</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increases in the cost to supply natural gas feedstock to our liquefaction projects;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increases in the cost to supply LNG feedstock to our facilities;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decreases in the cost of competing sources of natural gas, LNG or alternate fuels such as coal, heavy fuel oil and automotive diesel oil (“ADO”);</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decreases in the price of LNG;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Cyclical or other changes in the demand for and price of LNG and natural gas may adversely affect our business and the performance of our customers.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additions to competitive regasification capacity in North America, Brazil, Europe, Asia and other markets, which could divert LNG or natural gas from our business;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imposition of tariffs by China or any other jurisdiction on imports of LNG from the United States;</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insufficient or oversupply of natural gas liquefaction or export capacity worldwide;</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insufficient LNG tanker capacity;</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weather conditions and natural disasters;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reduced demand and lower prices for natural gas;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increased natural gas production deliverable by pipelines, which could suppress demand for LNG;</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decreased oil and natural gas exploration activities, including shut-ins and possible proration, which may decrease the production of natural gas;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cost improvements that allow competitors to offer LNG regasification services at reduced prices;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changes in supplies of, and prices for, alternative energy sources, such as coal, oil, nuclear, hydroelectric, wind and solar energy, which may reduce the demand for natural gas;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political conditions in natural gas producing regions;</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adverse relative demand for LNG compared to other markets, which may decrease LNG imports into or exports from North America;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cyclical trends in general business and economic conditions that cause changes in the demand for natural gas.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current market conditions have increased LNG values to historically high levels. The elevated market values could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w:t>
      </w:r>
      <w:r>
        <w:rPr>
          <w:color w:val="000000"/>
        </w:rPr>
        <w:t xml:space="preserve"> </w:t>
      </w:r>
      <w:r>
        <w:rPr>
          <w:rFonts w:ascii="Times New Roman;sans-serif" w:hAnsi="Times New Roman;sans-serif"/>
          <w:b w:val="false"/>
          <w:color w:val="000000"/>
          <w:sz w:val="20"/>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risk management strategies cannot eliminate all LNG price and supply risks. In addition, any non-compliance with our risk management strategies could result in significant financial losses.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w:t>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material loss related to commodity price risks, it could have a material adverse effect on our financial position, results of operations and cash flows.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Any use of hedging arrangements may adversely affect our future operating results or liquidity.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spacing w:before="0" w:after="0"/>
        <w:ind w:left="0" w:right="0" w:firstLine="36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are dependent on third-party LNG suppliers and the development of our own portfolio is subject to various risks and assumptions.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supply agreements for the purchase of LNG between 2023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if,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pStyle w:val="TextBody"/>
        <w:spacing w:before="0" w:after="0"/>
        <w:ind w:left="0" w:right="0" w:firstLine="36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We may not be able to fully utilize the capacity of our FSRUs and other facilities.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LNG that is processed and/or stored on FSRUs and transported via pipeline is subject to risk of loss or damage.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operation of our vessels is dependent on our ability to deploy our vessels to an NFE terminal or to long-term charters.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strategy for our FSRU and LNG carriers is to provide steady and reliable shipping, regasification and offshore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rely on tankers and other vessels outside of our fleet for our LNG transportation and transfer.</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impact our ability to provide natural gas if LNG shipping capacity is adversely impacted and LNG transportation costs increase because we may bear the risk of such increases and may not be able to pass these increases on to our customers.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Hire rates for FSRUs and LNG carriers may fluctuate substantially. If rates are lower when we are seeking a new charter, our earnings may decline.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Vessel values may fluctuate substantially and, if these values are lower at a time when we are attempting to dispose of vessels, we may incur a loss.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Vessel values can fluctuate substantially over time due to a number of different factors, including:</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prevailing economic conditions in the natural gas and energy markets;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 substantial or extended decline in demand for LNG;</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increases in the supply of vessel capacity without a commensurate increase in demand;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size and age of a vessel;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cost of retrofitting, steel or modifying existing vessels, as a result of technological advances in vessel design or equipment, changes in applicable environmental or other regulations or standards, customer requirements or otherwise.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vessels for the year ended December 31, 2022,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Maritime claimants could arrest our vessels, which could interrupt our cash flow.</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seek to develop innovative and new technologies as part of our strategy that are not yet proven and may not realize the time and cost savings we expect to achieve.</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w:t>
      </w:r>
      <w:r>
        <w:rPr>
          <w:color w:val="000000"/>
        </w:rPr>
        <w:t xml:space="preserve"> </w:t>
      </w: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Technological innovation may impair the economic attractiveness of our projects.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Fast LNG technology is not yet proven and we may not be able to implement it as planned or at all.</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finalizing construction of our first Fast LNG solution, and are therefore subject to construction risks, risks associated with third-party contracting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have incurred, and may in the future incur, a significant amount of debt.</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On an ongoing basis, we engage with lenders and other financial institutions in an effort to improve our liquidity and capital resources. As of December 31, 2022 and March 31, 2023, we had approximately $4.5 billion and $5.3 billion, respectively,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w:t>
      </w:r>
      <w:r>
        <w:rPr>
          <w:color w:val="000000"/>
        </w:rPr>
        <w:t xml:space="preserve"> </w:t>
      </w:r>
      <w:r>
        <w:rPr>
          <w:rFonts w:ascii="Times New Roman;sans-serif" w:hAnsi="Times New Roman;sans-serif"/>
          <w:b w:val="false"/>
          <w:color w:val="000000"/>
          <w:sz w:val="20"/>
        </w:rPr>
        <w:t>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w:t>
      </w:r>
      <w:r>
        <w:rPr>
          <w:color w:val="000000"/>
        </w:rPr>
        <w:t xml:space="preserve"> </w:t>
      </w:r>
      <w:r>
        <w:rPr>
          <w:rFonts w:ascii="Times New Roman;sans-serif" w:hAnsi="Times New Roman;sans-serif"/>
          <w:b w:val="false"/>
          <w:color w:val="000000"/>
          <w:sz w:val="20"/>
        </w:rPr>
        <w:t>If we incur additional debt and other obligations, the risks associated with our substantial leverage and the ability to service such debt would increase, which could have a material adverse effect on our business, results of operation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business is dependent upon obtaining substantial additional funding from various sources, which may not be available or may only be available on unfavorable terms.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w:t>
      </w:r>
      <w:r>
        <w:rPr>
          <w:color w:val="000000"/>
        </w:rPr>
        <w:t xml:space="preserve"> </w:t>
      </w:r>
      <w:r>
        <w:rPr>
          <w:rFonts w:ascii="Times New Roman;sans-serif" w:hAnsi="Times New Roman;sans-serif"/>
          <w:b w:val="false"/>
          <w:color w:val="000000"/>
          <w:sz w:val="20"/>
        </w:rPr>
        <w:t>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w:t>
      </w:r>
      <w:r>
        <w:rPr>
          <w:color w:val="000000"/>
        </w:rPr>
        <w:t xml:space="preserve"> </w:t>
      </w:r>
      <w:r>
        <w:rPr>
          <w:rFonts w:ascii="Times New Roman;sans-serif" w:hAnsi="Times New Roman;sans-serif"/>
          <w:b w:val="false"/>
          <w:color w:val="000000"/>
          <w:sz w:val="20"/>
        </w:rPr>
        <w:t>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have entered into, and may in the future enter into or modify existing, joint ventures that might restrict our operational and corporate flexibility or require credit support.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and may in the future enter, into joint venture arrangements with third parties in respect of our projects and assets. In August 2022, we established Energos, as a joint venture platform with certain funds or investment vehicles managed by Apollo, for the development of a global marine infrastructure platform, of which we own 20%.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may incur impairments to long-lived assets.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condensed consolidated financial statements during a period in which such impairment is determined to exist, which may negatively impact our operating results.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w:t>
      </w:r>
      <w:r>
        <w:rPr>
          <w:color w:val="000000"/>
        </w:rPr>
        <w:t xml:space="preserve"> </w:t>
      </w:r>
      <w:r>
        <w:rPr>
          <w:rFonts w:ascii="Times New Roman;sans-serif" w:hAnsi="Times New Roman;sans-serif"/>
          <w:b w:val="false"/>
          <w:color w:val="000000"/>
          <w:sz w:val="20"/>
        </w:rPr>
        <w:t>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w:t>
      </w:r>
      <w:r>
        <w:rPr>
          <w:color w:val="000000"/>
        </w:rPr>
        <w:t xml:space="preserve"> </w:t>
      </w:r>
      <w:r>
        <w:rPr>
          <w:rFonts w:ascii="Times New Roman;sans-serif" w:hAnsi="Times New Roman;sans-serif"/>
          <w:b w:val="false"/>
          <w:color w:val="000000"/>
          <w:sz w:val="20"/>
        </w:rPr>
        <w:t>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i/>
          <w:color w:val="000000"/>
          <w:sz w:val="20"/>
        </w:rPr>
        <w:t>Greenhouse Gases/Climate Change</w:t>
      </w:r>
      <w:r>
        <w:rPr>
          <w:rFonts w:ascii="Times New Roman;sans-serif" w:hAnsi="Times New Roman;sans-serif"/>
          <w:b w:val="false"/>
          <w:color w:val="000000"/>
          <w:sz w:val="20"/>
        </w:rPr>
        <w:t>.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impaired ability to continue to operate in an economic manner. One or more of these developments could have a material adverse effect on our business, financial condition and results of operation.</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i/>
          <w:color w:val="000000"/>
          <w:sz w:val="20"/>
        </w:rPr>
        <w:t>Fossil Fuels.</w:t>
      </w:r>
      <w:r>
        <w:rPr>
          <w:color w:val="000000"/>
        </w:rPr>
        <w:t xml:space="preserve"> </w:t>
      </w:r>
      <w:r>
        <w:rPr>
          <w:rFonts w:ascii="Times New Roman;sans-serif" w:hAnsi="Times New Roman;sans-serif"/>
          <w:b w:val="false"/>
          <w:color w:val="000000"/>
          <w:sz w:val="20"/>
        </w:rPr>
        <w:t>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i/>
          <w:color w:val="000000"/>
          <w:sz w:val="20"/>
        </w:rPr>
        <w:t>Hydraulic Fracturing.</w:t>
      </w:r>
      <w:r>
        <w:rPr>
          <w:color w:val="000000"/>
        </w:rPr>
        <w:t xml:space="preserve"> </w:t>
      </w:r>
      <w:r>
        <w:rPr>
          <w:rFonts w:ascii="Times New Roman;sans-serif" w:hAnsi="Times New Roman;sans-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i/>
          <w:color w:val="000000"/>
          <w:sz w:val="20"/>
        </w:rPr>
        <w:t>Indigenous Communities</w:t>
      </w:r>
      <w:r>
        <w:rPr>
          <w:rFonts w:ascii="Times New Roman;sans-serif" w:hAnsi="Times New Roman;sans-serif"/>
          <w:b w:val="false"/>
          <w:color w:val="000000"/>
          <w:sz w:val="20"/>
        </w:rPr>
        <w:t xml:space="preserve">.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pPr>
      <w:r>
        <w:rPr>
          <w:rFonts w:ascii="Times New Roman;sans-serif" w:hAnsi="Times New Roman;sans-serif"/>
          <w:b w:val="false"/>
          <w:color w:val="000000"/>
          <w:sz w:val="20"/>
        </w:rPr>
        <w:t>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sans-serif" w:hAnsi="Times New Roman;sans-serif"/>
          <w:b w:val="false"/>
          <w:i/>
          <w:color w:val="000000"/>
          <w:sz w:val="20"/>
        </w:rPr>
        <w:t>Fundação Nacional do Índio</w:t>
      </w:r>
      <w:r>
        <w:rPr>
          <w:color w:val="000000"/>
        </w:rPr>
        <w:t xml:space="preserve"> </w:t>
      </w:r>
      <w:r>
        <w:rPr>
          <w:rFonts w:ascii="Times New Roman;sans-serif" w:hAnsi="Times New Roman;sans-serif"/>
          <w:b w:val="false"/>
          <w:color w:val="000000"/>
          <w:sz w:val="20"/>
        </w:rPr>
        <w:t>or “FUNAI”) (for indigenous people) or Palmares Cultural Foundation (</w:t>
      </w:r>
      <w:r>
        <w:rPr>
          <w:rFonts w:ascii="Times New Roman;sans-serif" w:hAnsi="Times New Roman;sans-serif"/>
          <w:b w:val="false"/>
          <w:i/>
          <w:color w:val="000000"/>
          <w:sz w:val="20"/>
        </w:rPr>
        <w:t>Fundação Cultural Palmares</w:t>
      </w:r>
      <w:r>
        <w:rPr>
          <w:rFonts w:ascii="Times New Roman;sans-serif" w:hAnsi="Times New Roman;sans-serif"/>
          <w:b w:val="false"/>
          <w:color w:val="000000"/>
          <w:sz w:val="20"/>
        </w:rPr>
        <w:t>) (for Quilombola communities).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i/>
          <w:color w:val="000000"/>
          <w:sz w:val="20"/>
        </w:rPr>
        <w:t>Offshore operations.</w:t>
      </w:r>
      <w:r>
        <w:rPr>
          <w:color w:val="000000"/>
        </w:rPr>
        <w:t xml:space="preserve"> </w:t>
      </w:r>
      <w:r>
        <w:rPr>
          <w:rFonts w:ascii="Times New Roman;sans-serif" w:hAnsi="Times New Roman;sans-serif"/>
          <w:b w:val="false"/>
          <w:color w:val="000000"/>
          <w:sz w:val="20"/>
        </w:rPr>
        <w:t>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In particular, development of offshore operations of natural gas and LNG are subject to extensive environmental, industry, maritime and social regulations. For example, any development and future operation of the potential Lakach project, which would be developed as a deepwater natural gas field in Mexico, as well as the development of a new FLNG hub off the coast of Altamira, State of Tamaulipas, would be subject to regulation by Mexico’s Ministry of Energy (</w:t>
      </w:r>
      <w:r>
        <w:rPr>
          <w:rFonts w:ascii="Times New Roman;sans-serif" w:hAnsi="Times New Roman;sans-serif"/>
          <w:b w:val="false"/>
          <w:i/>
          <w:color w:val="000000"/>
          <w:sz w:val="20"/>
        </w:rPr>
        <w:t>Secretaría de Energía</w:t>
      </w:r>
      <w:r>
        <w:rPr>
          <w:rFonts w:ascii="Times New Roman;sans-serif" w:hAnsi="Times New Roman;sans-serif"/>
          <w:b w:val="false"/>
          <w:color w:val="000000"/>
          <w:sz w:val="20"/>
        </w:rPr>
        <w:t xml:space="preserve">)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are subject to numerous governmental export laws, and trade and economic sanctions laws and regulations, and anti-corruption laws and regulation.</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 of Nicaragua and Venezuela. Following the invasion of Ukraine by Russia in 2022, U.S. and European governmental authorities imposed a number of sanctions against entities and individuals in Russia or connected to Russia, including sanctions specifically targeting the Russian oil and gas industry.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ind w:left="0" w:right="0" w:firstLine="360"/>
        <w:rPr/>
      </w:pPr>
      <w:r>
        <w:rPr>
          <w:rFonts w:ascii="Times New Roman;sans-serif" w:hAnsi="Times New Roman;sans-serif"/>
          <w:b w:val="false"/>
          <w:color w:val="000000"/>
          <w:sz w:val="20"/>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 adverse impact on our business, results of operations, financial condition, liquidity and future business prospects.</w:t>
      </w:r>
      <w:r>
        <w:rPr>
          <w:color w:val="000000"/>
        </w:rPr>
        <w:t xml:space="preserve"> </w:t>
      </w:r>
      <w:r>
        <w:rPr>
          <w:rFonts w:ascii="Times New Roman;sans-serif" w:hAnsi="Times New Roman;sans-serif"/>
          <w:b w:val="false"/>
          <w:color w:val="000000"/>
          <w:sz w:val="20"/>
        </w:rPr>
        <w:t>The U.S. sanctions and embargo laws and regulations vary in their application, as they do not all apply to the same covered persons or proscribe the same activities, and such sanctions and embargo laws and regulations may be amended or strengthened over time.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its business.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None of our vessels have called on ports located in countries subject to comprehensive sanctions and embargoes imposed by the U.S. government or countries identified by the U.S. government as state sponsors of terrorism.</w:t>
      </w:r>
      <w:r>
        <w:rPr>
          <w:color w:val="000000"/>
        </w:rPr>
        <w:t xml:space="preserve"> </w:t>
      </w:r>
      <w:r>
        <w:rPr>
          <w:rFonts w:ascii="Times New Roman;sans-serif" w:hAnsi="Times New Roman;sans-serif"/>
          <w:b w:val="false"/>
          <w:color w:val="000000"/>
          <w:sz w:val="20"/>
        </w:rPr>
        <w:t>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w:t>
      </w:r>
      <w:r>
        <w:rPr>
          <w:color w:val="000000"/>
        </w:rPr>
        <w:t xml:space="preserve"> </w:t>
      </w:r>
      <w:r>
        <w:rPr>
          <w:rFonts w:ascii="Times New Roman;sans-serif" w:hAnsi="Times New Roman;sans-serif"/>
          <w:b w:val="false"/>
          <w:color w:val="000000"/>
          <w:sz w:val="20"/>
        </w:rPr>
        <w:t>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Increasing transportation regulations may increase our costs and negatively impact our results of operations.</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w:t>
      </w:r>
      <w:r>
        <w:rPr>
          <w:color w:val="000000"/>
        </w:rPr>
        <w:t xml:space="preserve"> </w:t>
      </w:r>
      <w:r>
        <w:rPr>
          <w:rFonts w:ascii="Times New Roman;sans-serif" w:hAnsi="Times New Roman;sans-serif"/>
          <w:b w:val="false"/>
          <w:color w:val="000000"/>
          <w:sz w:val="20"/>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do not own the land on which our projects are located and are subject to leases, rights-of-ways, easements and other property rights for our operations.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could be negatively impacted by environmental, social, and governance (“ESG”) and sustainability-related matters.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Information technology failures and cyberattacks could affect us significantly.</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w:t>
      </w:r>
      <w:r>
        <w:rPr>
          <w:rFonts w:ascii="Times New Roman;sans-serif" w:hAnsi="Times New Roman;sans-serif"/>
          <w:b w:val="false"/>
          <w:color w:val="000000"/>
          <w:sz w:val="20"/>
          <w:highlight w:val="white"/>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insurance may be insufficient to cover losses that may occur to our property or result from our operations.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success depends on key members of our management, the loss of any of whom could disrupt our business operations.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pPr>
      <w:r>
        <w:rPr>
          <w:rFonts w:ascii="Times New Roman;sans-serif" w:hAnsi="Times New Roman;sans-serif"/>
          <w:b w:val="false"/>
          <w:color w:val="000000"/>
          <w:sz w:val="20"/>
        </w:rPr>
        <w:t>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w:t>
      </w:r>
      <w:r>
        <w:rPr>
          <w:color w:val="000000"/>
        </w:rPr>
        <w:t xml:space="preserve"> </w:t>
      </w:r>
      <w:r>
        <w:rPr>
          <w:rFonts w:ascii="Times New Roman;sans-serif" w:hAnsi="Times New Roman;sans-serif"/>
          <w:b w:val="false"/>
          <w:color w:val="000000"/>
          <w:sz w:val="20"/>
        </w:rPr>
        <w:t>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“—General Risks—We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business could be affected adversely by labor disputes, strikes or work stoppages.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Risks Related to the Jurisdictions in Which We Operate</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are subject to the economic, political, social and other conditions in the jurisdictions in which we operate.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could have a material adverse effect on our financial condition, results of operations and cash flows. Furthermore, we cannot predict how our relationship with PREPA could change given PREPA’s privatization of its transmission, distribution and power generation system. PREPA may seek to find alternative power sources or purchase substantially less natural gas from us than what we currently expect to sell to PREPA. In addition, we cannot predict how local sentiment and support for our subsidiaries’ operations in Puerto Rico could change following the privatization of Puerto Rico’s power generation systems.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which we operate. In addition, these jurisdictions, particularly emerging countries, are subject to risk of contagion from the economic, political and social developments in other emerging countries and markets.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Our financial condition and operating results may be adversely affected by foreign exchange fluctuations.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our condensed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Class A common stock may be volatile, which could result in rapid and substantial losses for our stockholders.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 shift in our investor base;</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quarterly or annual earnings, or those of other comparable companies;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actual or anticipated fluctuations in our operating results;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announcements by us or our competitors of significant investments, acquisitions or dispositions;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failure of securities analysts to cover our Class A common stock;</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changes in earnings estimates by securities analysts or our ability to meet those estimates;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operating and share price performance of other comparable companies;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overall market fluctuations;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general economic conditions;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developments in the markets and market sectors in which we participate.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Nasdaq rules and, as a result, qualify for and intend to rely on exemptions from certain corporate governance requirements.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March 31, 2023 hold approximately 12.5%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pStyle w:val="TextBody"/>
        <w:spacing w:before="0" w:after="0"/>
        <w:ind w:left="0" w:right="0" w:firstLine="36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 majority of the board of directors consist of independent directors as defined under the rules of Nasdaq;</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compensation committee be composed entirely of independent directors with a written charter addressing the committee’s purpose and responsibilities.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A small number of our original investors have the ability to direct the voting of a majority of our stock, and their interests may conflict with those of our other stockholders.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March 31, 2023, affiliates of the Founder Entities own an aggregate of approximately 87,136,768 shares of Class A common stock, representing approximately 42.6% of our voting power, and affiliates of Energy Transition Holdings LLC, party to the Shareholders' Agreement, own an aggregate of approximately 25,559,846 shares of our Class A common stock, representing approximately 12.5%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 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dividing our board of directors into three classes of directors, with each class serving staggered three-year terms;</w:t>
      </w:r>
    </w:p>
    <w:p>
      <w:pPr>
        <w:pStyle w:val="TextBody"/>
        <w:spacing w:lineRule="auto" w:line="268" w:before="0" w:after="0"/>
        <w:ind w:left="0" w:right="0" w:hanging="356"/>
        <w:rPr/>
      </w:pPr>
      <w:r>
        <w:rPr>
          <w:color w:val="000000"/>
        </w:rPr>
        <w:t>•</w:t>
      </w:r>
      <w:r>
        <w:rPr>
          <w:rFonts w:ascii="Times New Roman;sans-serif" w:hAnsi="Times New Roman;sans-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spacing w:lineRule="auto" w:line="268" w:before="0" w:after="0"/>
        <w:ind w:left="0" w:right="0" w:hanging="356"/>
        <w:rPr/>
      </w:pPr>
      <w:r>
        <w:rPr>
          <w:color w:val="000000"/>
        </w:rPr>
        <w:t>•</w:t>
      </w:r>
      <w:r>
        <w:rPr>
          <w:rFonts w:ascii="Times New Roman;sans-serif" w:hAnsi="Times New Roman;sans-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spacing w:lineRule="auto" w:line="268" w:before="0" w:after="0"/>
        <w:ind w:left="0" w:right="0" w:hanging="356"/>
        <w:rPr/>
      </w:pPr>
      <w:r>
        <w:rPr>
          <w:color w:val="000000"/>
        </w:rPr>
        <w:t>•</w:t>
      </w:r>
      <w:r>
        <w:rPr>
          <w:rFonts w:ascii="Times New Roman;sans-serif" w:hAnsi="Times New Roman;sans-serif"/>
          <w:b w:val="false"/>
          <w:color w:val="000000"/>
          <w:sz w:val="20"/>
        </w:rPr>
        <w:t>prohibiting cumulative voting in the election of directors;</w:t>
      </w:r>
    </w:p>
    <w:p>
      <w:pPr>
        <w:pStyle w:val="TextBody"/>
        <w:spacing w:lineRule="auto" w:line="268" w:before="0" w:after="0"/>
        <w:ind w:left="0" w:right="0" w:hanging="356"/>
        <w:rPr/>
      </w:pPr>
      <w:r>
        <w:rPr>
          <w:color w:val="000000"/>
        </w:rPr>
        <w:t>•</w:t>
      </w:r>
      <w:r>
        <w:rPr>
          <w:rFonts w:ascii="Times New Roman;sans-serif" w:hAnsi="Times New Roman;sans-serif"/>
          <w:b w:val="false"/>
          <w:color w:val="000000"/>
          <w:sz w:val="20"/>
        </w:rPr>
        <w:t>establishing advance notice provisions for stockholder proposals and nominations for elections to the board of directors to be acted upon at meetings of the stockholders; and</w:t>
      </w:r>
    </w:p>
    <w:p>
      <w:pPr>
        <w:pStyle w:val="TextBody"/>
        <w:spacing w:lineRule="auto" w:line="268" w:before="0" w:after="0"/>
        <w:ind w:left="0" w:right="0" w:hanging="356"/>
        <w:rPr/>
      </w:pPr>
      <w:r>
        <w:rPr>
          <w:color w:val="000000"/>
        </w:rPr>
        <w:t>•</w:t>
      </w:r>
      <w:r>
        <w:rPr>
          <w:rFonts w:ascii="Times New Roman;sans-serif" w:hAnsi="Times New Roman;sans-serif"/>
          <w:b w:val="false"/>
          <w:color w:val="000000"/>
          <w:sz w:val="20"/>
        </w:rPr>
        <w:t>providing that the board of directors is expressly authorized to adopt, or to alter or repeal our certain provisions of our organizational documents to the extent permitted by law.</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in the future incur or issue debt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We may issue preferred stock, the terms of which could adversely affect the voting power or value of our Class A common stock.</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Sales or issuances of our Class A common stock could adversely affect the market price of our Class A common stock.</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An active, liquid and orderly trading market for our Class A common stock may not be maintained and the price of our Class A common stock may fluctuate significantly.</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pStyle w:val="TextBody"/>
        <w:spacing w:before="0" w:after="0"/>
        <w:rPr/>
      </w:pPr>
      <w:r>
        <w:rPr/>
      </w:r>
    </w:p>
    <w:p>
      <w:pPr>
        <w:pStyle w:val="TextBody"/>
        <w:spacing w:lineRule="auto" w:line="268" w:before="0" w:after="0"/>
        <w:ind w:left="0" w:right="0" w:firstLine="2"/>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We may engage in mergers, sales and acquisitions, divestments, reorganizations or similar transactions related to our businesses or assets in the future and we may fail to successfully complete such transaction or to realize the expected value.</w:t>
      </w:r>
    </w:p>
    <w:p>
      <w:pPr>
        <w:pStyle w:val="TextBody"/>
        <w:spacing w:before="0" w:after="0"/>
        <w:rPr/>
      </w:pPr>
      <w:r>
        <w:rPr/>
      </w:r>
    </w:p>
    <w:p>
      <w:pPr>
        <w:pStyle w:val="TextBody"/>
        <w:spacing w:lineRule="auto" w:line="268" w:before="0" w:after="0"/>
        <w:ind w:left="0" w:right="0" w:firstLine="360"/>
        <w:rPr/>
      </w:pPr>
      <w:r>
        <w:rPr>
          <w:rFonts w:ascii="Times New Roman;sans-serif" w:hAnsi="Times New Roman;sans-serif"/>
          <w:b w:val="false"/>
          <w:color w:val="000000"/>
          <w:sz w:val="20"/>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w:t>
      </w:r>
      <w:r>
        <w:rPr>
          <w:color w:val="000000"/>
        </w:rPr>
        <w:t xml:space="preserve"> </w:t>
      </w:r>
      <w:r>
        <w:rPr>
          <w:rFonts w:ascii="Times New Roman;sans-serif" w:hAnsi="Times New Roman;sans-serif"/>
          <w:b w:val="false"/>
          <w:color w:val="000000"/>
          <w:sz w:val="20"/>
        </w:rPr>
        <w:t>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 xml:space="preserve">We are unable to predict the extent to which the global pandemics and health crisis, such as the COVID-19 pandemic, will negatively affect our operations, financial performance, nor our ability to achieve our strategic objectives. We are also unable to predict how this global pandemic may affect our customers and suppliers.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and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remains or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have been and continue to be taken in response to the COVID-19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have been subjected to the COVID-19 pandemic and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A change in tax laws in any country in which we operate could adversely affect us.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We have been and may be involved in legal proceedings and may experience unfavorable outcomes.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spacing w:before="0" w:after="0"/>
        <w:rPr/>
      </w:pPr>
      <w:r>
        <w:rPr/>
      </w:r>
    </w:p>
    <w:p>
      <w:pPr>
        <w:pStyle w:val="TextBody"/>
        <w:spacing w:lineRule="auto" w:line="268" w:before="0" w:after="0"/>
        <w:ind w:left="0" w:right="0" w:firstLine="2"/>
        <w:rPr>
          <w:rFonts w:ascii="Times New Roman;sans-serif" w:hAnsi="Times New Roman;sans-serif"/>
          <w:b/>
          <w:i/>
          <w:color w:val="000000"/>
          <w:sz w:val="20"/>
        </w:rPr>
      </w:pPr>
      <w:r>
        <w:rPr>
          <w:rFonts w:ascii="Times New Roman;sans-serif" w:hAnsi="Times New Roman;sans-serif"/>
          <w:b/>
          <w:i/>
          <w:color w:val="000000"/>
          <w:sz w:val="20"/>
        </w:rPr>
        <w:t xml:space="preserve">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 </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pStyle w:val="TextBody"/>
        <w:spacing w:before="0" w:after="0"/>
        <w:ind w:left="0" w:right="0" w:firstLine="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None.</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—Debt and lease restrictions.”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10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40" w:after="283"/>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94"/>
        <w:gridCol w:w="258"/>
        <w:gridCol w:w="259"/>
        <w:gridCol w:w="2799"/>
        <w:gridCol w:w="2721"/>
        <w:gridCol w:w="3874"/>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799"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3874"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9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Conversion of New Fortress Energy Inc. (incorporated by reference to Exhibit 3.1 to the Registrant’s Current Report on Form 8-K filed with the SEC on August 7, 2020).</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3.2</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Incorporation of New Fortress Energy Inc. (incorporated by reference to Exhibit 3.2 to the Registrant’s Current Report on Form 8-K filed with the SEC on August 7, 2020).</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3.3</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New Fortress Energy Inc. (incorporated by reference to Exhibit 3.3 to the Registrant’s Current Report on Form 8-K filed with the SEC on August 7, 2020).</w:t>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10.1†</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Fortress Energy LLC 2019 Omnibus Incentive Plan (incorporated by reference to Exhibit 4.4 to the Registrant’s Registration Statement on Form S-8, filed with the SEC on February 4, 2019).</w:t>
            </w:r>
          </w:p>
        </w:tc>
      </w:tr>
      <w:tr>
        <w:trPr/>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10.2†</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Restricted Share Unit Award Agreement (incorporated by reference to Exhibit 10.4 to the Registrant’s Registration Statement on Form S-1/A, filed with the SEC on December 24, 2018).</w:t>
            </w:r>
          </w:p>
        </w:tc>
      </w:tr>
      <w:tr>
        <w:trPr/>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10.3†</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r>
      <w:tr>
        <w:trPr/>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10.4</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r>
      <w:tr>
        <w:trPr/>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10.5</w:t>
              </w:r>
            </w:hyperlink>
          </w:p>
        </w:tc>
        <w:tc>
          <w:tcPr>
            <w:tcW w:w="9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r>
    </w:tbl>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76" w:before="0" w:after="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10205" w:type="dxa"/>
        <w:jc w:val="left"/>
        <w:tblInd w:w="0" w:type="dxa"/>
        <w:tblCellMar>
          <w:top w:w="28" w:type="dxa"/>
          <w:left w:w="28" w:type="dxa"/>
          <w:bottom w:w="28" w:type="dxa"/>
          <w:right w:w="28" w:type="dxa"/>
        </w:tblCellMar>
      </w:tblPr>
      <w:tblGrid>
        <w:gridCol w:w="222"/>
        <w:gridCol w:w="196"/>
        <w:gridCol w:w="199"/>
        <w:gridCol w:w="2804"/>
        <w:gridCol w:w="2804"/>
        <w:gridCol w:w="3980"/>
      </w:tblGrid>
      <w:tr>
        <w:trPr/>
        <w:tc>
          <w:tcPr>
            <w:tcW w:w="2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804" w:type="dxa"/>
            <w:tcBorders/>
            <w:shd w:fill="auto" w:val="clear"/>
            <w:vAlign w:val="center"/>
          </w:tcPr>
          <w:p>
            <w:pPr>
              <w:pStyle w:val="TableContents"/>
              <w:spacing w:before="0" w:after="283"/>
              <w:rPr>
                <w:sz w:val="4"/>
                <w:szCs w:val="4"/>
              </w:rPr>
            </w:pPr>
            <w:r>
              <w:rPr>
                <w:sz w:val="4"/>
                <w:szCs w:val="4"/>
              </w:rPr>
            </w:r>
          </w:p>
        </w:tc>
        <w:tc>
          <w:tcPr>
            <w:tcW w:w="2804" w:type="dxa"/>
            <w:tcBorders/>
            <w:shd w:fill="auto" w:val="clear"/>
            <w:vAlign w:val="center"/>
          </w:tcPr>
          <w:p>
            <w:pPr>
              <w:pStyle w:val="TableContents"/>
              <w:spacing w:before="0" w:after="283"/>
              <w:rPr>
                <w:sz w:val="4"/>
                <w:szCs w:val="4"/>
              </w:rPr>
            </w:pPr>
            <w:r>
              <w:rPr>
                <w:sz w:val="4"/>
                <w:szCs w:val="4"/>
              </w:rPr>
            </w:r>
          </w:p>
        </w:tc>
        <w:tc>
          <w:tcPr>
            <w:tcW w:w="3980" w:type="dxa"/>
            <w:tcBorders/>
            <w:shd w:fill="auto" w:val="clear"/>
            <w:vAlign w:val="center"/>
          </w:tcPr>
          <w:p>
            <w:pPr>
              <w:pStyle w:val="TableContents"/>
              <w:spacing w:before="0" w:after="283"/>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10.6†</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(Edens) (incorporated by reference to Exhibit 10.4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10.7†</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(Guinta) (incorporated by reference to Exhibit 10.5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10.8†</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(Catterall) (incorporated by reference to Exhibit 10.7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10.9†</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(Grain) (incorporated by reference to Exhibit 10.8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10.10†</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(Griffin) (incorporated by reference to Exhibit 10.9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10.11†</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(Mack) (incorporated by reference to Exhibit 10.10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10.12†</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(Nardone) (incorporated by reference to Exhibit 10.11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10.13†</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(Wanner) (incorporated by reference to Exhibit 10.12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10.14†</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(Wilkinson) (incorporated by reference to Exhibit 10.13 to the Registrant’s Current Report on Form 8-K, filed with the SEC on February 5,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ndemnificationagreement.htm">
              <w:r>
                <w:rPr>
                  <w:rStyle w:val="InternetLink"/>
                  <w:rFonts w:ascii="Times New Roman;sans-serif" w:hAnsi="Times New Roman;sans-serif"/>
                  <w:b w:val="false"/>
                  <w:color w:val="0000FF"/>
                  <w:sz w:val="20"/>
                  <w:u w:val="single"/>
                </w:rPr>
                <w:t>10.15</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(Jay ).</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10.16†</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Agreement, dated as of March 17, 2019, by and between New Fortress Energy LLC and Yunyoung Shin (incorporated by reference to Exhibit 10.29 to the Registrant’s Annual Report on Form 10-K, filed with the SEC on March 26, 2019).</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10.17</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December 3, 2019, by and between NFE Management LLC and Yunyoung Shin. (incorporated by reference to Exhibit 10.3 to the Registrant’s Quarterly Report on Form 10-Q, filed with the SEC on May 6, 2020).</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10.18</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10.19</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September 2, 2020, by and among the Company, the subsidiary guarantors from time to time party thereto, and U.S. Bank National Association, as trustee and as notes collateral agent (incorporated by reference to Exhibit 4.1 to the Registrant’s Current Report on Form 8-K, filed with the SEC on September 2, 2020).</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10.20</w:t>
              </w:r>
            </w:hyperlink>
          </w:p>
        </w:tc>
        <w:tc>
          <w:tcPr>
            <w:tcW w:w="9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September 2, 2020, by and among the Company, the subsidiary guarantors from time to time party thereto, and U.S. Bank National Association, as notes collateral agent (incorporated by reference to Exhibit 4.2 to the Registrant’s Current Report on Form 8-K, filed with the SEC on September 2, 2020).</w:t>
            </w:r>
          </w:p>
        </w:tc>
      </w:tr>
      <w:tr>
        <w:trPr/>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76" w:before="0" w:after="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10205" w:type="dxa"/>
        <w:jc w:val="left"/>
        <w:tblInd w:w="0" w:type="dxa"/>
        <w:tblCellMar>
          <w:top w:w="28" w:type="dxa"/>
          <w:left w:w="28" w:type="dxa"/>
          <w:bottom w:w="28" w:type="dxa"/>
          <w:right w:w="28" w:type="dxa"/>
        </w:tblCellMar>
      </w:tblPr>
      <w:tblGrid>
        <w:gridCol w:w="212"/>
        <w:gridCol w:w="186"/>
        <w:gridCol w:w="188"/>
        <w:gridCol w:w="2811"/>
        <w:gridCol w:w="2811"/>
        <w:gridCol w:w="3997"/>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c>
          <w:tcPr>
            <w:tcW w:w="3997"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10.21</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December 17, 2020, by and among the Company, the subsidiary guarantors from time to time party thereto and U.S. Bank National Association, as trustee and as notes collateral agent (incorporated by reference to Exhibit 4.1 to the Registrant’s Current Report on Form 8-K, filed with the SEC on December 18, 2020).</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10.22</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March 1, 2021, between NFE US Holdings LLC, as Guaranteeing Subsidiary, and U.S. Bank Trust Company, National Association (as successor in interest to U.S. Bank National Association), as trustee (incorporated by reference to Exhibit 10.21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10.23</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June 11, 2021, between Golar GP LLC (now known as NFE GP LLC), as Guaranteeing Subsidiary, and U.S. Bank Trust Company, National Association (as successor in interest to U.S. Bank National Association), as trustee (incorporated by reference to Exhibit 10.22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10.24</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10.23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10.25</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10.24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10.26</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10.25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10.27</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as of December 27, 2022, between NFE Andromeda Chartering LLC, as Guaranteeing Subsidiary, and U.S. Bank Trust Company, National Association (as successor in interest to U.S. Bank National Association), as trustee (as successor in interest to U.S. Bank National Association), as trustee (incorporated by reference to Exhibit 10.26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10.28</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April 12, 2021, by and among the Company, the subsidiary guarantors from time to time party thereto, and U.S. Bank National Association, as trustee and as notes collateral agent (incorporated by reference to Exhibit 4.1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10.29</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Pr>
                <w:t>10.3</w:t>
              </w:r>
            </w:hyperlink>
            <w:hyperlink r:id="rId34">
              <w:r>
                <w:rPr>
                  <w:rStyle w:val="InternetLink"/>
                </w:rPr>
                <w:t>0</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10.31</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76" w:before="0" w:after="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10205" w:type="dxa"/>
        <w:jc w:val="left"/>
        <w:tblInd w:w="0" w:type="dxa"/>
        <w:tblCellMar>
          <w:top w:w="28" w:type="dxa"/>
          <w:left w:w="28" w:type="dxa"/>
          <w:bottom w:w="28" w:type="dxa"/>
          <w:right w:w="28" w:type="dxa"/>
        </w:tblCellMar>
      </w:tblPr>
      <w:tblGrid>
        <w:gridCol w:w="212"/>
        <w:gridCol w:w="186"/>
        <w:gridCol w:w="188"/>
        <w:gridCol w:w="2836"/>
        <w:gridCol w:w="2801"/>
        <w:gridCol w:w="3982"/>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c>
          <w:tcPr>
            <w:tcW w:w="2801" w:type="dxa"/>
            <w:tcBorders/>
            <w:shd w:fill="auto" w:val="clear"/>
            <w:vAlign w:val="center"/>
          </w:tcPr>
          <w:p>
            <w:pPr>
              <w:pStyle w:val="TableContents"/>
              <w:spacing w:before="0" w:after="283"/>
              <w:rPr>
                <w:sz w:val="4"/>
                <w:szCs w:val="4"/>
              </w:rPr>
            </w:pPr>
            <w:r>
              <w:rPr>
                <w:sz w:val="4"/>
                <w:szCs w:val="4"/>
              </w:rPr>
            </w:r>
          </w:p>
        </w:tc>
        <w:tc>
          <w:tcPr>
            <w:tcW w:w="3982"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10.32</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10.33</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10.34</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Supplemental Indenture, dated as of December 27,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10.35</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10.36</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10.37</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10.38</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Annual Report on Form 10-Q, filed with the SEC on May 6, 2022). </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10.39</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FF"/>
                  <w:sz w:val="20"/>
                  <w:u w:val="single"/>
                </w:rPr>
                <w:t>10.40</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Omnibus Agreement, dated as of April 15, 2021, by and among the Company, GLNG and certain other parties thereto (incorporated by reference to Exhibit 10.30 to the Registrant’s Quarterly Report on Form 10-Q, filed with the SEC on May 7,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FF"/>
                  <w:sz w:val="20"/>
                  <w:u w:val="single"/>
                </w:rPr>
                <w:t>10.41</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 Agreement, dated as of April 15, 2021, by and among the Company, GLNG, and certain affiliates of Stonepeak (incorporated by reference to Exhibit 10.31 to the Registrant’s Quarterly Report on Form 10-Q, filed with the SEC on May 7,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10.42</w:t>
              </w:r>
            </w:hyperlink>
          </w:p>
        </w:tc>
        <w:tc>
          <w:tcPr>
            <w:tcW w:w="9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Omnibus Agreement, dated as of April 15, 2021, by and among the Company, GMLP, GLNG and certain parties thereto (incorporated by reference to Exhibit 10.32 to the Registrant’s Quarterly Report on Form 10-Q, filed with the SEC on May 7, 2021).</w:t>
            </w:r>
          </w:p>
        </w:tc>
      </w:tr>
      <w:tr>
        <w:trPr/>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76" w:before="0" w:after="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10205" w:type="dxa"/>
        <w:jc w:val="left"/>
        <w:tblInd w:w="0" w:type="dxa"/>
        <w:tblCellMar>
          <w:top w:w="28" w:type="dxa"/>
          <w:left w:w="28" w:type="dxa"/>
          <w:bottom w:w="28" w:type="dxa"/>
          <w:right w:w="28" w:type="dxa"/>
        </w:tblCellMar>
      </w:tblPr>
      <w:tblGrid>
        <w:gridCol w:w="268"/>
        <w:gridCol w:w="236"/>
        <w:gridCol w:w="215"/>
        <w:gridCol w:w="2774"/>
        <w:gridCol w:w="2774"/>
        <w:gridCol w:w="3938"/>
      </w:tblGrid>
      <w:tr>
        <w:trPr/>
        <w:tc>
          <w:tcPr>
            <w:tcW w:w="26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3938" w:type="dxa"/>
            <w:tcBorders/>
            <w:shd w:fill="auto" w:val="cle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FF"/>
                  <w:sz w:val="20"/>
                  <w:u w:val="single"/>
                </w:rPr>
                <w:t>10.43</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Indemnification Agreement, dated as of April 15, 2021, by and between NFE International and GLNG (incorporated by reference to Exhibit 10.33 to the Registrant’s Quarterly Report on Form 10-Q, filed with the SEC on May 7, 2021).</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Times New Roman;sans-serif" w:hAnsi="Times New Roman;sans-serif"/>
                  <w:b w:val="false"/>
                  <w:color w:val="0000FF"/>
                  <w:sz w:val="20"/>
                  <w:u w:val="single"/>
                </w:rPr>
                <w:t>10.44#</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Purchase Agreement, dated as of May 31, 2022, by and among LNG Power Limited, Ebrasil Energia Ltda., the individual DC Energia Sellers set forth therein, collectively as Sellers, Eneva S.A., as Buyer, and Eletricidade do Brasil S.A. -Ebrasil, as guarantor for the obligations of the DC Energia Sellers (incorporated by reference to Exhibit 10.38 to Registrant’s Quarterly Report on Form 10-Q, filed with the SEC on August 5, 2022). </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10.45</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 </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10.46</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Second Amendment to Uncommitted Letter of Credit and Reimbursement Agreement, dated July 27, 2022, by and among New Fortress Energy Inc., the guarantors party thereto, Natixis, New York Branch, as Administrative Agent, Natixis, New York Branch, as ULCA Collateral Agent, Natixis, New York Branch, and each of the other financial institutions party thereto, as Lenders and Issuing Banks (incorporated by reference to Exhibit 10.40 to Registrant’s Quarterly Report on Form 10-Q, filed with the SEC on August 5, 2022). </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Fonts w:ascii="Times New Roman;sans-serif" w:hAnsi="Times New Roman;sans-serif"/>
                  <w:b w:val="false"/>
                  <w:color w:val="0000FF"/>
                  <w:sz w:val="20"/>
                  <w:u w:val="single"/>
                </w:rPr>
                <w:t>10.47</w:t>
              </w:r>
            </w:hyperlink>
            <w:hyperlink r:id="rId52">
              <w:r>
                <w:rPr>
                  <w:rStyle w:val="InternetLink"/>
                  <w:rFonts w:ascii="Times New Roman;sans-serif" w:hAnsi="Times New Roman;sans-serif"/>
                  <w:b w:val="false"/>
                  <w:color w:val="0000FF"/>
                  <w:sz w:val="13"/>
                  <w:u w:val="single"/>
                </w:rPr>
                <w:t>1</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Joinder Agreement Regarding to Uncommitted Letter of Credit and Reimbursement Agreement, dated February 6, 2023, by and among New Fortress Energy Inc., the guarantors party thereto, Natixis, New York Branch, as Administrative Agent and as Issuing Bank, Credit Agricole Corporate and Investment Bank, as Issuing Bank, and Sumitomo Mitsui Banking Corporation, as Issuing Bank (incorporated by reference to Exhibit 10.45 to the Registrant’s Annual Report on Form 10-K, filed with the SEC on March 1, 2023).</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Times New Roman;sans-serif" w:hAnsi="Times New Roman;sans-serif"/>
                  <w:b w:val="false"/>
                  <w:color w:val="0000FF"/>
                  <w:sz w:val="20"/>
                  <w:u w:val="single"/>
                </w:rPr>
                <w:t>10.48</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Agreement, dated December 14, 2022, by and among New Fortress Energy Inc., Energy Transition Holdings LLC and J.P. Morgan Securities LLC (incorporated by reference to Exhibit 1.1 to the Registrant’s Current Report on Form 8-K, filed with the SEC on December 16, 2022).</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nfe-20230331xex311.htm">
              <w:r>
                <w:rPr>
                  <w:rStyle w:val="InternetLink"/>
                  <w:rFonts w:ascii="Times New Roman;sans-serif" w:hAnsi="Times New Roman;sans-serif"/>
                  <w:b w:val="false"/>
                  <w:color w:val="0000FF"/>
                  <w:sz w:val="20"/>
                  <w:u w:val="single"/>
                </w:rPr>
                <w:t>31.1*</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Executive Officer pursuant to Rules 13a-14(a) and 15d-14(a) of the Exchange Act, as adopted pursuant to Section 302 of the Sarbanes-Oxley Act of 2002.</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nfe-20230331xex312.htm">
              <w:r>
                <w:rPr>
                  <w:rStyle w:val="InternetLink"/>
                  <w:rFonts w:ascii="Times New Roman;sans-serif" w:hAnsi="Times New Roman;sans-serif"/>
                  <w:b w:val="false"/>
                  <w:color w:val="0000FF"/>
                  <w:sz w:val="20"/>
                  <w:u w:val="single"/>
                </w:rPr>
                <w:t>31.2</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Chief Financial Officer pursuant to Rules 13a-14(a) and 15d-14(a) of the Exchange Act, as adopted pursuant to Section 302 of the Sarbanes-Oxley Act of 2002.</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nfe-20230331xex321.htm">
              <w:r>
                <w:rPr>
                  <w:rStyle w:val="InternetLink"/>
                  <w:rFonts w:ascii="Times New Roman;sans-serif" w:hAnsi="Times New Roman;sans-serif"/>
                  <w:b w:val="false"/>
                  <w:color w:val="0000FF"/>
                  <w:sz w:val="20"/>
                  <w:u w:val="single"/>
                </w:rPr>
                <w:t>32.1*</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Executive Officer pursuant to Title 18 U.S.C. Section 1350, as adopted pursuant to Section 906 of the Sarbanes-Oxley Act of 2002.</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nfe-20230331xex322.htm">
              <w:r>
                <w:rPr>
                  <w:rStyle w:val="InternetLink"/>
                  <w:rFonts w:ascii="Times New Roman;sans-serif" w:hAnsi="Times New Roman;sans-serif"/>
                  <w:b w:val="false"/>
                  <w:color w:val="0000FF"/>
                  <w:sz w:val="20"/>
                  <w:u w:val="single"/>
                </w:rPr>
                <w:t>32.2**</w:t>
              </w:r>
            </w:hyperlink>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by Chief Financial Officer pursuant to Title 18 U.S.C. Section 1350, as adopted pursuant to Section 906 of the Sarbanes-Oxley Act of 2002.</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r>
      <w:tr>
        <w:trPr/>
        <w:tc>
          <w:tcPr>
            <w:tcW w:w="7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r>
    </w:tbl>
    <w:p>
      <w:pPr>
        <w:pStyle w:val="TextBody"/>
        <w:spacing w:lineRule="auto" w:line="276" w:before="0" w:after="0"/>
        <w:rPr/>
      </w:pPr>
      <w:r>
        <w:rPr>
          <w:rFonts w:ascii="Arial;sans-serif" w:hAnsi="Arial;sans-serif"/>
          <w:b w:val="false"/>
          <w:color w:val="000000"/>
          <w:sz w:val="16"/>
        </w:rPr>
        <w:t>1</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76" w:before="0" w:after="0"/>
        <w:rPr/>
      </w:pPr>
      <w:hyperlink w:anchor="i642bb8ab927b47d38c34420410c74429_7">
        <w:r>
          <w:rPr>
            <w:rStyle w:val="InternetLink"/>
          </w:rPr>
          <w:t xml:space="preserve">Table of </w:t>
        </w:r>
      </w:hyperlink>
      <w:hyperlink w:anchor="i642bb8ab927b47d38c34420410c74429_7">
        <w:r>
          <w:rPr>
            <w:rStyle w:val="InternetLink"/>
          </w:rPr>
          <w:t>Contents</w:t>
        </w:r>
      </w:hyperlink>
    </w:p>
    <w:tbl>
      <w:tblPr>
        <w:tblW w:w="8323" w:type="dxa"/>
        <w:jc w:val="left"/>
        <w:tblInd w:w="0" w:type="dxa"/>
        <w:tblCellMar>
          <w:top w:w="28" w:type="dxa"/>
          <w:left w:w="28" w:type="dxa"/>
          <w:bottom w:w="28" w:type="dxa"/>
          <w:right w:w="28" w:type="dxa"/>
        </w:tblCellMar>
      </w:tblPr>
      <w:tblGrid>
        <w:gridCol w:w="342"/>
        <w:gridCol w:w="300"/>
        <w:gridCol w:w="302"/>
        <w:gridCol w:w="2157"/>
        <w:gridCol w:w="2157"/>
        <w:gridCol w:w="306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r>
      <w:tr>
        <w:trPr/>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7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spacing w:lineRule="auto" w:line="288"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Filed as an exhibit to this Quarterly Report.</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Furnished as an exhibit to this Quarterly Report.</w:t>
      </w:r>
    </w:p>
    <w:p>
      <w:pPr>
        <w:pStyle w:val="TextBody"/>
        <w:spacing w:lineRule="auto" w:line="288" w:before="0" w:after="0"/>
        <w:rPr>
          <w:color w:val="000000"/>
          <w:highlight w:val="white"/>
        </w:rPr>
      </w:pPr>
      <w:r>
        <w:rPr>
          <w:color w:val="000000"/>
          <w:highlight w:val="white"/>
        </w:rPr>
        <w:t xml:space="preserve">† </w:t>
      </w:r>
      <w:r>
        <w:rPr>
          <w:rFonts w:ascii="Times New Roman;sans-serif" w:hAnsi="Times New Roman;sans-serif"/>
          <w:b w:val="false"/>
          <w:color w:val="000000"/>
          <w:sz w:val="20"/>
          <w:highlight w:val="white"/>
        </w:rPr>
        <w:t>Compensatory plan or arrangement.</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Portions of the exhibit (indicated by asterisks) have been omitted in pursuant to Item 601 (b)(10)(iv) of Regulation 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76" w:before="200" w:after="200"/>
        <w:rPr/>
      </w:pPr>
      <w:hyperlink w:anchor="i642bb8ab927b47d38c34420410c74429_7">
        <w:r>
          <w:rPr>
            <w:rStyle w:val="InternetLink"/>
          </w:rPr>
          <w:t xml:space="preserve">Table of </w:t>
        </w:r>
      </w:hyperlink>
      <w:hyperlink w:anchor="i642bb8ab927b47d38c34420410c74429_7">
        <w:r>
          <w:rPr>
            <w:rStyle w:val="InternetLink"/>
          </w:rPr>
          <w:t>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240" w:after="283"/>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the Securities Exchange Act of 1934, the registrant has duly caused this report to be signed on its behalf by the undersigned, thereunto duly authorized.</w:t>
      </w:r>
    </w:p>
    <w:tbl>
      <w:tblPr>
        <w:tblW w:w="6281" w:type="dxa"/>
        <w:jc w:val="left"/>
        <w:tblInd w:w="0" w:type="dxa"/>
        <w:tblCellMar>
          <w:top w:w="28" w:type="dxa"/>
          <w:left w:w="28" w:type="dxa"/>
          <w:bottom w:w="28" w:type="dxa"/>
          <w:right w:w="28" w:type="dxa"/>
        </w:tblCellMar>
      </w:tblPr>
      <w:tblGrid>
        <w:gridCol w:w="591"/>
        <w:gridCol w:w="520"/>
        <w:gridCol w:w="523"/>
        <w:gridCol w:w="464"/>
        <w:gridCol w:w="464"/>
        <w:gridCol w:w="464"/>
        <w:gridCol w:w="948"/>
        <w:gridCol w:w="948"/>
        <w:gridCol w:w="135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FORTRESS ENERGY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Yunyoung Shin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Yunyoung Shin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spacing w:before="0" w:after="0"/>
        <w:jc w:val="center"/>
        <w:rPr/>
      </w:pPr>
      <w:r>
        <w:br w:type="page"/>
      </w:r>
      <w:bookmarkStart w:id="0" w:name="indemnificationagreement.htm"/>
      <w:bookmarkStart w:id="1" w:name="ksindemnificationagreement"/>
      <w:bookmarkEnd w:id="0"/>
      <w:bookmarkEnd w:id="1"/>
      <w:r>
        <w:rPr/>
        <w:drawing>
          <wp:inline distT="0" distB="0" distL="0" distR="0">
            <wp:extent cx="10048875" cy="13001625"/>
            <wp:effectExtent l="0" t="0" r="0" b="0"/>
            <wp:docPr id="8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jc w:val="center"/>
        <w:rPr>
          <w:color w:val="FFFFFF"/>
          <w:sz w:val="2"/>
        </w:rPr>
      </w:pPr>
      <w:r>
        <w:rPr>
          <w:color w:val="FFFFFF"/>
          <w:sz w:val="2"/>
        </w:rPr>
        <w:t xml:space="preserve">INDEMNIFICATION AGREEMENT AGREEMENT, dated as of March 5, 2023 (this “Agreement”), between New Fortress Energy Inc., a Delaware corporation (the “Company”), and Timothy W. Jay (“Indemnitee”). WHEREAS, it is essential to the Company to retain and attract as directors and officers the most capable persons available; WHEREAS, Indemnitee is a director and/or officer of the Company; WHEREAS, both the Company and Indemnitee recognize the increased risk of litigation and other claims being asserted against directors and officers of public companies in today’s environment; WHEREAS, the Company’s By-Laws, as amended from time to time (“By-Laws”) requires the Company to indemnify and advance expenses to its directors and officers to the fullest extent permitted by law and the Indemnitee has been serving and continues to serve as a director and/or officer of the Company in part in reliance on such By-Laws; WHEREAS, uncertainties as to the availability of indemnification created by recent court decisions may increase the risk that the Company will be unable to retain and attract as directors and officers the most capable persons available; WHEREAS, the board of directors of the Company (“Board of Directors”) has determined that the inability of the Company to retain and attract as directors and officers the most capable persons would be detrimental to the interests of the Company and that the Company therefore should seek to assure such persons that indemnification and insurance coverage will be available in the future; WHEREAS, the parties intend that any rights the Indemnitee may have from Indemnitee-Related Entities (as defined herein) shall be secondary to the primary obligation of the Company to indemnify and hold harmless the Indemnitee under this Agreement; and WHEREAS, in recognition of Indemnitee’s need for protection against personal liability, and in part to provide Indemnitee with specific contractual assurance that the protection promised by the Company’s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for the continued coverage of Indemnitee under the directors’ and officers’ liability insurance policy of the Company.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NOW, THEREFORE, in consideration of the premises and of Indemnitee continuing to serve the Company directly or, at its request, another enterprise, and intending to be legally bound hereby, the parties hereto agree as follows: 1. Certain Definitions. In addition to terms defined elsewhere herein, the following terms have the following meanings when used in this Agreement: (a) Claim: means any threatened, asserted, pending or completed action, suit or proceeding, whether civil, criminal, administrative, investigative or other, including any arbitration or other alternative dispute resolution mechanism, or any appeal of any kind thereof, or any inquiry or investigation, whether instituted by (or in the right of) the Company or any governmental agency or any other person or entity, in which Indemnitee was, is, may be or will be involved as a party, witness or otherwise. (b) ERISA: means the Employee Retirement Income Security Act of 1974, as amended. (c) Expenses: include attorneys’ fees and all other direct or indirect costs, expenses and obligations, including judgments, fines, penalties, interest, appeal bonds, amounts paid in settlement with the approval of the Company, and counsel fees and disbursements (including, without limitation, experts’ fees, court costs, retainers, appeal bond premiums, transcript fees, duplicating, printing and binding costs, as well as telecommunications, postage and courier charges) paid or incurred in connection with investigating, prosecuting, defending, being a witness in or participating in (including on appeal), or preparing to investigate, prosecute, defend, be a witness in or participate in, any Claim relating to any Indemnifiable Event, and shall include (without limitation) all attorneys’ fees and all other expenses incurred by or on behalf of an Indemnitee in connection with preparing and submitting any requests or statements for indemnification, advancement or any other right provided by this Agreement (including, without limitation, such fees or expenses incurred in connection with legal proceedings contemplated by Section 2(d) hereof). (d) Indemnifiable Amounts: means (i) any and all liabilities, Expenses, damages, judgments, fines, penalties, ERISA excise taxes and amounts paid in settlement (including all interest, assessments and other charges paid or payable in connection with or in respect of such liabilities, Expenses, damages, judgments, fines, penalties, ERISA excise taxes or amounts paid in settlement) arising out of or resulting from any Claim relating to an Indemnifiable Event, (ii) any liability pursuant to a loan guaranty or otherwise, for any indebtedness of the Company or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subsidiary of the Company, including, without limitation, any indebtedness which the Company or any subsidiary of the Company has assumed or taken subject to, and (iii) any liabilities which an Indemnitee incurs as a result of acting on behalf of the Company (whether as a fiduciary or otherwise) in connection with the operation, administration or maintenance of an employee benefit plan or any related trust or funding mechanism (whether such liabilities are in the form of excise taxes assessed by the United States Internal Revenue Service, penalties assessed by the Department of Labor, restitutions to such a plan or trust or other funding mechanism or to a participant or beneficiary of such plan, trust or other funding mechanism, or otherwise). (e) Indemnifiable Event: means any event or occurrence, whether occurring before, on or after the date of this Agreement, related to the fact that Indemnitee is or was a director and/or officer or fiduciary of the Company, or is or was serving at the request of the Company as a director, officer, employee, manager, member, partner, tax matter partner, trustee, agent, fiduciary or similar capacity, of another company, corporation, limited liability company, partnership, joint venture, employee benefit plan, trust or other entity or enterprise, or by reason of anything done or not done by Indemnitee in any such capacity (in all cases whether or not Indemnitee is acting or serving in any such capacity or has such status at the time any Indemnifiable Amount is incurred for which indemnification, advancement or any other right can be provided by this Agreement). The term “Company,” where the context requires when used in this Agreement, may be construed to include such other company, corporation, limited liability company, partnership, joint venture, employee benefit plan, trust or other entity or enterprise. (f) Indemnitee-Related Entities: means any company, corporation, limited liability company, partnership, joint venture, trust, employee benefit plan or other entity or enterprise (other than the Company or any other company, corporation, limited liability company, partnership, joint venture, trust, employee benefit plan or other entity or enterprise Indemnitee has agreed, on behalf of the Company or at the Company’s request, to serve as a director, officer, employee or agent and which service is covered by the indemnity described in this Agreement) from whom an Indemnitee may be entitled to indemnification or advancement of Expenses with respect to which, in whole or in part, the Company may also have an indemnification or advancement obligation. (g) Jointly Indemnifiable Claim: means any Claim for which the Indemnitee may be entitled to indemnification from both 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Indemnitee-Related Entity and the Company pursuant to applicable law, any indemnification agreement or the certificate of incorporation, by-laws, partnership agreement, operating agreement, certificate of formation, certificate of limited partnership or comparable organizational documents of the Company and an Indemnitee-Related Entity. (h) Reviewing Party: means any appropriate person or body consisting of a member or members of the Board of Directors or any other person or body appointed by the Board of Directors who is not a party to the particular Claim for which Indemnitee is seeking indemnification. (i) Voting Securities: means any securities of the Company which vote generally in the election of directors. 2. Basic Indemnification Arrangement; Advancement of Expenses. (a) In the event Indemnitee was, is or becomes a party to or witness or other participant in, or is threatened to be made a party to or witness or other participant in, a Claim by reason of (or arising in part out of) an Indemnifiable Event, the Company shall indemnify Indemnitee, or cause Indemnitee to be indemnified, to the fullest extent permitted by law as soon as practicable but in any event no later than thirty (30) days after written demand is presented to the Company, and hold Indemnitee harmless against any and all Indemnifiable Amounts. (b) If so requested by Indemnitee, the Company shall advance, or cause to be advanced (within two business days of such request), any and all Expenses incurred by Indemnitee (an “Expense Advance”). The Company shall, in accordance with such request (but without duplication), either (i) pay, or cause to be paid, such Expenses on behalf of Indemnitee, or (ii) reimburse, or cause the reimbursement of, Indemnitee for such Expenses. Subject to Section 2(d), Indemnitee’s right to an Expense Advance is absolute and shall not be subject to any prior determination by the Reviewing Party that the Indemnitee has satisfied any applicable standard of conduct for indemnification. (c) Notwithstanding anything in this Agreement to the contrary, Indemnitee shall not be entitled to indemnification or advancement of Expenses pursuant to this Agreement in connection with any Claim initiated by Indemnitee unless (i) the Company has joined in or the Board of Directors has authorized or consented to the initiation of such Claim or (ii) the Claim is one to enforce Indemnitee’s rights under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(d) Notwithstanding the foregoing, (i) the indemnification obligations of the Company under Section 2(a) shall be subject to the condition that the Reviewing Party shall not have determined that Indemnitee would not be permitted to be indemnified under applicable law, and (ii) the obligation of the Company to make an Expense Advance pursuant to Section 2(b)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(it being understood and agreed that the foregoing agreement by Indemnitee shall be deemed to satisfy any requirement that Indemnitee provide the Company with an undertaking to repay any Expense Advance if it is ultimately determined that the Indemnitee is not entitled to indemnification under applicable law);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undertaking to repay such Expense Advances shall be unsecured and interest-free. The Reviewing Party shall be selected by the Board of Directors. If there has been no determination by the Reviewing Party within thirty (30) days after written demand is presented to the Company or if the Reviewing Party determines that Indemnitee would not be permitted to be indemnified in whole or in part under applicable law, Indemnitee shall have the right to commence litigation in any court in the State of New York or the State of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 3. Indemnification for Additional Expenses. The Company shall indemnify, or cause the indemnification of, Indemnitee against any and all Expenses and, if requested by Indemnitee, shall advance such Expenses to Indemnitee subject to and in accordance with Section 2(b), which are incurred by Indemnitee in connection with any action brought by Indemnitee for (i) indemnification or an Expense Advance by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Company under this Agreement or any provision of the Company’s By-Laws now or hereafter in effect and/or (ii) recovery under any directors’ and officers’ liability insurance policies maintained by the Company, regardless of whether Indemnitee ultimately is determined to be entitled to such indemnification, Expense Advance or insurance recovery, as the case may be; provided that Indemnitee shall be required to reimburse such Expenses in the event that a final judicial determination is made (as to which all rights of appeal therefrom have been exhausted or lapsed) that such action brought by Indemnitee, or the defense by Indemnitee of an action brought by the Company or any other person, as applicable, was frivolous or in bad faith. 4. Partial Indemnity, Etc. If Indemnitee is entitled under any provision of this Agreement to indemnification by the Company for some or a portion of the Expenses or other Indemnifiable Amounts in respect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 5. Burden of Proof, Etc. In connection with any determination by the Reviewing Party or otherwise as to whether Indemnitee is entitled to be indemnified hereunder the Reviewing Party, court, any finder of fact or other relevant person shall presume that the Indemnitee has satisfied the applicable standard of conduct and is entitled to indemnification, and the burden of proof shall be on the Company (or any other person or entity disputing such conclusions) to establish, by clear and convincing evidence, that Indemnitee is not so entitled. 6. Reliance as Safe Harbor. For purposes of this Agreement,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 7. No Other Presumptions.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 8. Nonexclusivity, Etc. The rights of the Indemnitee hereunder shall be in addition to any other rights Indemnitee may have under the Company’s By-Laws or otherwise. To the extent that a change in applicable law (whether by statute or judicial decision) permits greater indemnification by agreement than would be afforded currently under the Company’s By-Laws or this Agreement, it is the intent of the parties hereto that Indemnitee shall enjoy by this Agreement the greater benefits so afforded by such change. To the extent that there is a conflict or inconsistency between the terms of this Agreement or the Company’s By-Laws, it is the intent of the parties hereto that the Indemnitee shall enjoy the greater benefits regardless of whether contained herein or in the Company’s By-Laws. No amendment or alteration of the Company’s By-Laws or any other agreement shall adversely affect the rights provided to Indemnitee under this Agreement. 9. Liability Insurance. To the extent the Company maintains an insurance policy or policies providing directors’ and officers’ liability insurance, the Indemnitee shall be covered by such policy or policies in accordance with its or their terms to the maximum extent of the coverage available for the Company’s directors and officers. If the Company has such insurance in effect at the time the Company receives from Indemnitee any notice of the commencement of an action, suit or proceeding, the Company shall give prompt notice of the commencement of such action, suit or proceeding to the insurers in accordance with the procedures set forth in the policy. The Company shall thereafter take all necessary or desirable action to cause such insurers to pay, on behalf of Indemnitee, all amounts payable as a result of such proceeding in accordance with the terms of such policy. 10. 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 11. Amendments, Etc. No supplement, modification or amendment of this Agreement shall be binding unless executed in writing by both of the parties hereto. No waiver of any of the provisions of this Agreement shall be deemed or shall constitute a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waiver of any other provisions hereof (whether or not similar) nor shall such waiver constitute a continuing waiver. 12. Subrogation. Subject to Section 13 hereof, in the event of payment under this Agreement, the Company shall be subrogated to the extent of such payment to all of the rights of recovery of Indemnitee, who shall execute all papers reasonably required and shall do everything that may be reasonably necessary to secure such rights, including the execution of such documents necessary to enable the Company effectively to bring suit to enforce such rights. The Company shall pay or reimburse all Expenses actually and reasonably incurred by Indemnitee in connection with such subrogation. 13. Jointly Indemnifiable Claims. Given that certain Jointly Indemnifiable Claims may arise due to the relationship between the Indemnitee-Related Entities and the Company and the service of the Indemnitee as a director and/or officer of the Company at the request of the Indemnitee-Related Entities, the Company acknowledges and agrees that the Company shall be fully and primarily responsible for the payment to the Indemnitee in respect of indemnification and advancement of expenses in connection with any such Jointly Indemnifiable Claim, pursuant to and in accordance with the terms of this Agreement, irrespective of any right of recovery the Indemnitee may have from the Indemnitee-Related Entities. Under no circumstance shall the Company be entitled to any right of subrogation or contribution by the Indemnitee-Related Entities and no right of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Company agrees that such payment or advancement shall not extinguish or affect in any way the rights of the Indemnitee under this Agreement and further agrees that the Indemnitee-Related Entity making such payment shall be subrogated to the extent of such payment to all of the rights of recovery of the Indemnitee against the Company. Each of the Indemnitee-Related Entities shall be third-party beneficiaries with respect to this Section 13, entitled to enforce this Section 13 against the Company as though each such Indemnitee-Related Entity were a party to this Agreement. 14. No Duplication of Payments. Subject to Section 13 hereof, the Company shall not be liable under this Agreement to make any payment in connection with any Claim made against Indemnitee to the extent Indemnitee has otherwise actually received payment (under any insurance policy, or any provision of the Company’s By-Laws or otherwise) of the amounts otherwise indemnifiable hereunder. 15. Defense of Claims. The Company shall be entitled to participate in the defense of any Claim relating to an Indemnifiable Event or to assume the defense thereof, with counsel reasonably satisfactory to the Indemnitee; provided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both the Company, or any subsidiary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The Company shall not be liable to Indemnitee under this Agreement for any amounts paid in settlement of any Claim relating to an Indemnifiable Event effected without the Company’s prior written consent. The Company shall not, without the prior written consent of the Indemnitee, effect any settlement of any Claim relating to an Indemnifiable Event which the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condition or delay its or his or her consent to any proposed settlement; provided that Indemnitee may withhold consent to any settlement that does not provide a complete and unconditional release of Indemnitee. In no event shall Indemnitee be required to waive, prejudice or limit attorney-client privilege or work-product protection or other applicable privilege or protection. 16. No Adverse Settlement. The Company shall not seek, nor shall it agree to, consent to, support, or agree not to contest any settlement or other resolution of any Claim(s), or settlement or other resolution of any other claim, action, proceeding, demand, investigation or other matter that has the actual or purported effect of extinguishing, limiting or impairing Indemnitee’s rights hereunder, including without limitation the entry of any bar order or other order, decree or stipulation, pursuant to 15 U.S.C. § 78u-4 (the Private Securities Litigation Reform Act), or any similar foreign, federal or state statute, regulation, rule or law. 17. Binding Effect, Etc. This Agreement shall be binding upon and inure to the benefit of and be enforceable by the parties hereto and their respective successors, (including any direct or indirect successor or continuing company by purchase, merger, consolidation or otherwise to all or substantially all of the business and/or assets of the Company), assigns, spouses, heirs, executors and personal and legal representatives. The Company shall require and cause any successor (whether direct or indirect by purchase, merger, consolidation, or otherwise) to all or substantially all of the business and/or assets of the Company, by written agreement in form and substance satisfactory to Indemnitee and his or her counsel, expressly to assume and agree to perform this Agreement in the same manner and to the same extent that the Company would be required to perform if no such succession had taken place. This Agreement shall continue in effect regardless of whether Indemnitee continues to serve as an officer and/or director of the Company or of any other entity or enterprise at the Company’s request. 18. Security. To the extent requested by Indemnitee and approved by the Board of Directors, the Company may at any time and from time to time provide security to Indemnitee for the obligations of the Company hereunder through an irrevocable bank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line of credit, funded trust or other collateral or by other means. Any such security, once provided to Indemnitee, may not be revoked or released without the prior written consent of such Indemnitee. 19. Severability. If any provision or provisions of this Agreement shall be held to be invalid, illegal or unenforceable for any reason whatsoever, (a) the validity, legality and enforceability of the remaining provisions of this Agreement (including, without limitation, all portions of any paragraph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shall be construed so as to give effect to the intent manifested by the provision held invalid, illegal or unenforceable and to give effect to the terms of this Agreement. 20. Specific Performance, Etc.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or to obtain any relief or any combination of the foregoing as Indemnitee may elect to pursue. 21. Notices. All notices, requests, consents and other communications hereunder to any party shall be deemed to be sufficient if contained in a written document delivered in person or sent by nationally recognized overnight courier or personal delivery, addressed to such party at the address set forth below or such other address as may hereafter be designated on the signature pages of this Agreement or in writing by such party to the other parties: (a) If to the Company, to: New Fortress Energy Inc. 111 W. 19th Street, 8th Floor New York, New York 10011 Attention: Cameron D. MacDougall, Esq. Email: cmacdougall@fortress.com with a copy (which shall not constitute notice) to: Vinson &amp; Elkins L.L.P. 1001 Fannin Street, Suite 2500 Houston, Texas 77002 Fax: (713) 758-2346 Attn: David P. Oelman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E. Ramey Layne Email: doelman@velaw.com; rlayne@velaw.com (b) If to the Indemnitee, to the address set forth on the signature page hereto. All such notices, requests, consents and other communications shall be deemed to have been given or made if and when received (including by overnight courier) by the parties at the above addresses or sent by electronic transmission. Any notice delivered by any party hereto to any other party hereto shall also be delivered to each other party hereto simultaneously with delivery to the first party receiving such notice. 22. Counterparts.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23. Headings. The headings of the sections and paragraphs of this Agreement are inserted for convenience only and shall not be deemed to constitute part of this Agreement or to affect the construction or interpretation thereof. 24. Governing Law. This Agreement shall be governed by and construed and enforced in accordance with the laws of the State of Delaware applicable to contracts made and to be performed in such state without giving effect to the principles of conflicts of laws.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WITNESS WHEREOF, the parties hereto have executed this Agreement as of the date first above written. New Fortress Energy Inc. By: /s/ Christopher S. Guinta____________ Name: Christopher S. Guinta Title: Chief Financial Officer Indemnitee By: /s/ Timothy W. Jay________________ Name: Timothy W. Jay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Wesley R. Edens, certify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(the “report”) of New Fortress Energy Inc. (the “registrant”);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22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809"/>
        <w:gridCol w:w="809"/>
        <w:gridCol w:w="81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Christopher S. Guinta, certify that: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(the “report”) of New Fortress Energy Inc. (the “registrant”);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16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789"/>
        <w:gridCol w:w="789"/>
        <w:gridCol w:w="79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UNDER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New Fortress Energy Inc. (the “Company”) for the quarter ended March 31, 2023,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22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809"/>
        <w:gridCol w:w="809"/>
        <w:gridCol w:w="81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Wesley R. Edens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Wesley R. Edens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 UNDER SECTION 906</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 OXLEY ACT OF 2002, 18 U.S.C. § 1350</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New Fortress Energy Inc. (the “Company”) for the quarter ended March 31, 2023,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16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789"/>
        <w:gridCol w:w="789"/>
        <w:gridCol w:w="792"/>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S. Guinta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top w:val="single" w:sz="12"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S. Guinta</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9723/000114036120017367/brhc10013767_ex99-2.htm" TargetMode="External"/><Relationship Id="rId3" Type="http://schemas.openxmlformats.org/officeDocument/2006/relationships/hyperlink" Target="https://www.sec.gov/Archives/edgar/data/1749723/000114036120017367/brhc10013767_ex99-3.htm" TargetMode="External"/><Relationship Id="rId4" Type="http://schemas.openxmlformats.org/officeDocument/2006/relationships/hyperlink" Target="https://www.sec.gov/Archives/edgar/data/1749723/000114036120017367/brhc10013767_ex99-4.htm" TargetMode="External"/><Relationship Id="rId5" Type="http://schemas.openxmlformats.org/officeDocument/2006/relationships/hyperlink" Target="https://www.sec.gov/Archives/edgar/data/1749723/000114036119002438/s002392x19_ex4-4.htm" TargetMode="External"/><Relationship Id="rId6" Type="http://schemas.openxmlformats.org/officeDocument/2006/relationships/hyperlink" Target="https://www.sec.gov/Archives/edgar/data/1749723/000114036118045661/s002392x8_ex10-4.htm" TargetMode="External"/><Relationship Id="rId7" Type="http://schemas.openxmlformats.org/officeDocument/2006/relationships/hyperlink" Target="https://www.sec.gov/Archives/edgar/data/1749723/000174972322000028/exhibit6_psu.htm" TargetMode="External"/><Relationship Id="rId8" Type="http://schemas.openxmlformats.org/officeDocument/2006/relationships/hyperlink" Target="https://www.sec.gov/Archives/edgar/data/1749723/000114036119002493/s002392x20_ex4-1.htm" TargetMode="External"/><Relationship Id="rId9" Type="http://schemas.openxmlformats.org/officeDocument/2006/relationships/hyperlink" Target="https://www.sec.gov/Archives/edgar/data/1749723/000114036119002493/s002392x20_ex10-3.htm" TargetMode="External"/><Relationship Id="rId10" Type="http://schemas.openxmlformats.org/officeDocument/2006/relationships/hyperlink" Target="https://www.sec.gov/Archives/edgar/data/1749723/000114036119002493/s002392x20_ex10-4.htm" TargetMode="External"/><Relationship Id="rId11" Type="http://schemas.openxmlformats.org/officeDocument/2006/relationships/hyperlink" Target="https://www.sec.gov/Archives/edgar/data/1749723/000114036119002493/s002392x20_ex10-5.htm" TargetMode="External"/><Relationship Id="rId12" Type="http://schemas.openxmlformats.org/officeDocument/2006/relationships/hyperlink" Target="https://www.sec.gov/Archives/edgar/data/1749723/000114036119002493/s002392x20_ex10-7.htm" TargetMode="External"/><Relationship Id="rId13" Type="http://schemas.openxmlformats.org/officeDocument/2006/relationships/hyperlink" Target="https://www.sec.gov/Archives/edgar/data/1749723/000114036119002493/s002392x20_ex10-8.htm" TargetMode="External"/><Relationship Id="rId14" Type="http://schemas.openxmlformats.org/officeDocument/2006/relationships/hyperlink" Target="https://www.sec.gov/Archives/edgar/data/1749723/000114036119002493/s002392x20_ex10-9.htm" TargetMode="External"/><Relationship Id="rId15" Type="http://schemas.openxmlformats.org/officeDocument/2006/relationships/hyperlink" Target="https://www.sec.gov/Archives/edgar/data/1749723/000114036119002493/s002392x20_ex10-10.htm" TargetMode="External"/><Relationship Id="rId16" Type="http://schemas.openxmlformats.org/officeDocument/2006/relationships/hyperlink" Target="https://www.sec.gov/Archives/edgar/data/1749723/000114036119002493/s002392x20_ex10-11.htm" TargetMode="External"/><Relationship Id="rId17" Type="http://schemas.openxmlformats.org/officeDocument/2006/relationships/hyperlink" Target="https://www.sec.gov/Archives/edgar/data/1749723/000114036119002493/s002392x20_ex10-12.htm" TargetMode="External"/><Relationship Id="rId18" Type="http://schemas.openxmlformats.org/officeDocument/2006/relationships/hyperlink" Target="https://www.sec.gov/Archives/edgar/data/1749723/000114036119002493/s002392x20_ex10-13.htm" TargetMode="External"/><Relationship Id="rId19" Type="http://schemas.openxmlformats.org/officeDocument/2006/relationships/hyperlink" Target="https://www.sec.gov/Archives/edgar/data/1749723/000114036119005657/s002752x1_ex10-29.htm" TargetMode="External"/><Relationship Id="rId20" Type="http://schemas.openxmlformats.org/officeDocument/2006/relationships/hyperlink" Target="https://www.sec.gov/Archives/edgar/data/0001749723/000114036120010751/ex10_3.htm" TargetMode="External"/><Relationship Id="rId21" Type="http://schemas.openxmlformats.org/officeDocument/2006/relationships/hyperlink" Target="https://www.sec.gov/Archives/edgar/data/1749723/000174972323000010/a1017-christopherguintaxof.htm" TargetMode="External"/><Relationship Id="rId22" Type="http://schemas.openxmlformats.org/officeDocument/2006/relationships/hyperlink" Target="https://www.sec.gov/Archives/edgar/data/0001749723/000114036120019661/nc10014821x1_ex4-1.htm" TargetMode="External"/><Relationship Id="rId23" Type="http://schemas.openxmlformats.org/officeDocument/2006/relationships/hyperlink" Target="https://www.sec.gov/Archives/edgar/data/0001749723/000114036120019661/nc10014821x1_ex4-2.htm" TargetMode="External"/><Relationship Id="rId24" Type="http://schemas.openxmlformats.org/officeDocument/2006/relationships/hyperlink" Target="https://www.sec.gov/Archives/edgar/data/0001749723/000114036120028859/nt10017907x7_ex4-1.htm" TargetMode="External"/><Relationship Id="rId25" Type="http://schemas.openxmlformats.org/officeDocument/2006/relationships/hyperlink" Target="https://www.sec.gov/Archives/edgar/data/1749723/000174972323000010/a1021-2025notesxsecondsupp.htm" TargetMode="External"/><Relationship Id="rId26" Type="http://schemas.openxmlformats.org/officeDocument/2006/relationships/hyperlink" Target="https://www.sec.gov/Archives/edgar/data/1749723/000174972323000010/a1022-2025notesxthirdsuppl.htm" TargetMode="External"/><Relationship Id="rId27" Type="http://schemas.openxmlformats.org/officeDocument/2006/relationships/hyperlink" Target="https://www.sec.gov/Archives/edgar/data/1749723/000174972323000010/a1024-2025notesxfifthsuppl.htm" TargetMode="External"/><Relationship Id="rId28" Type="http://schemas.openxmlformats.org/officeDocument/2006/relationships/hyperlink" Target="https://www.sec.gov/Archives/edgar/data/1749723/000174972323000010/a1024-2025notesxfifthsuppl.htm" TargetMode="External"/><Relationship Id="rId29" Type="http://schemas.openxmlformats.org/officeDocument/2006/relationships/hyperlink" Target="https://www.sec.gov/Archives/edgar/data/1749723/000174972323000010/a1025-2025notesxsixthsuppl.htm" TargetMode="External"/><Relationship Id="rId30" Type="http://schemas.openxmlformats.org/officeDocument/2006/relationships/hyperlink" Target="https://www.sec.gov/Archives/edgar/data/1749723/000114036121012455/brhc10022997_ex4-1.htm" TargetMode="External"/><Relationship Id="rId31" Type="http://schemas.openxmlformats.org/officeDocument/2006/relationships/hyperlink" Target="https://www.sec.gov/Archives/edgar/data/0001749723/000114036121012455/brhc10022997_ex4-1.htm" TargetMode="External"/><Relationship Id="rId32" Type="http://schemas.openxmlformats.org/officeDocument/2006/relationships/hyperlink" Target="https://www.sec.gov/Archives/edgar/data/0001749723/000114036121012455/brhc10022997_ex4-2.htm" TargetMode="External"/><Relationship Id="rId33" Type="http://schemas.openxmlformats.org/officeDocument/2006/relationships/hyperlink" Target="https://www.sec.gov/Archives/edgar/data/1749723/000174972323000010/a1029-2026notesxfirstsuppl.htm" TargetMode="External"/><Relationship Id="rId34" Type="http://schemas.openxmlformats.org/officeDocument/2006/relationships/hyperlink" Target="https://www.sec.gov/Archives/edgar/data/1749723/000174972323000010/a1029-2026notesxfirstsuppl.htm" TargetMode="External"/><Relationship Id="rId35" Type="http://schemas.openxmlformats.org/officeDocument/2006/relationships/hyperlink" Target="https://www.sec.gov/Archives/edgar/data/1749723/000174972323000010/a1030-2026notesxsecondsupp.htm" TargetMode="External"/><Relationship Id="rId36" Type="http://schemas.openxmlformats.org/officeDocument/2006/relationships/hyperlink" Target="https://www.sec.gov/Archives/edgar/data/1749723/000174972323000010/a1031-2026notesxthirdsuppl.htm" TargetMode="External"/><Relationship Id="rId37" Type="http://schemas.openxmlformats.org/officeDocument/2006/relationships/hyperlink" Target="https://www.sec.gov/Archives/edgar/data/1749723/000174972323000010/a1032-2026notesxfourthsupp.htm" TargetMode="External"/><Relationship Id="rId38" Type="http://schemas.openxmlformats.org/officeDocument/2006/relationships/hyperlink" Target="https://www.sec.gov/Archives/edgar/data/1749723/000114036121013692/brhc10023371_ex10-2.htm" TargetMode="External"/><Relationship Id="rId39" Type="http://schemas.openxmlformats.org/officeDocument/2006/relationships/hyperlink" Target="https://www.sec.gov/Archives/edgar/data/0001749723/000114036121013692/brhc10023371_ex10-2.htm" TargetMode="External"/><Relationship Id="rId40" Type="http://schemas.openxmlformats.org/officeDocument/2006/relationships/hyperlink" Target="https://www.sec.gov/Archives/edgar/data/0001749723/000114036122007364/brhc10034476_ex10-30.htm" TargetMode="External"/><Relationship Id="rId41" Type="http://schemas.openxmlformats.org/officeDocument/2006/relationships/hyperlink" Target="https://www.sec.gov/Archives/edgar/data/0001749723/000114036122007364/brhc10034476_ex10-31.htm" TargetMode="External"/><Relationship Id="rId42" Type="http://schemas.openxmlformats.org/officeDocument/2006/relationships/hyperlink" Target="https://www.sec.gov/Archives/edgar/data/0001749723/000174972322000010/third_amendmentxtoxrcfxcre.htm" TargetMode="External"/><Relationship Id="rId43" Type="http://schemas.openxmlformats.org/officeDocument/2006/relationships/hyperlink" Target="https://www.sec.gov/Archives/edgar/data/1749723/000114036121016441/brhc10023949_ex10-30.htm" TargetMode="External"/><Relationship Id="rId44" Type="http://schemas.openxmlformats.org/officeDocument/2006/relationships/hyperlink" Target="https://www.sec.gov/Archives/edgar/data/1749723/000114036121016441/brhc10023949_ex10-30.htm" TargetMode="External"/><Relationship Id="rId45" Type="http://schemas.openxmlformats.org/officeDocument/2006/relationships/hyperlink" Target="https://www.sec.gov/Archives/edgar/data/1749723/000114036121016441/brhc10023949_ex10-31.htm" TargetMode="External"/><Relationship Id="rId46" Type="http://schemas.openxmlformats.org/officeDocument/2006/relationships/hyperlink" Target="https://www.sec.gov/Archives/edgar/data/1749723/000114036121016441/brhc10023949_ex10-32.htm" TargetMode="External"/><Relationship Id="rId47" Type="http://schemas.openxmlformats.org/officeDocument/2006/relationships/hyperlink" Target="https://www.sec.gov/Archives/edgar/data/1749723/000114036121016441/brhc10023949_ex10-33.htm" TargetMode="External"/><Relationship Id="rId48" Type="http://schemas.openxmlformats.org/officeDocument/2006/relationships/hyperlink" Target="https://www.sec.gov/Archives/edgar/data/1749723/000174972322000028/exhibit39_sergipespa.htm" TargetMode="External"/><Relationship Id="rId49" Type="http://schemas.openxmlformats.org/officeDocument/2006/relationships/hyperlink" Target="https://www.sec.gov/Archives/edgar/data/1749723/000174972322000028/exhibit40_apolloepca.htm" TargetMode="External"/><Relationship Id="rId50" Type="http://schemas.openxmlformats.org/officeDocument/2006/relationships/hyperlink" Target="https://www.sec.gov/Archives/edgar/data/1749723/000174972322000028/exhibit41_natixisamendme.htm" TargetMode="External"/><Relationship Id="rId51" Type="http://schemas.openxmlformats.org/officeDocument/2006/relationships/hyperlink" Target="https://www.sec.gov/Archives/edgar/data/1749723/000174972323000010/a1045-incrementaljoinderto.htm" TargetMode="External"/><Relationship Id="rId52" Type="http://schemas.openxmlformats.org/officeDocument/2006/relationships/hyperlink" Target="https://www.sec.gov/Archives/edgar/data/1749723/000174972323000010/a1045-incrementaljoinderto.htm" TargetMode="External"/><Relationship Id="rId53" Type="http://schemas.openxmlformats.org/officeDocument/2006/relationships/hyperlink" Target="https://www.sec.gov/Archives/edgar/data/1749723/000114036122045889/ny20005953x3_ex1-1.htm" TargetMode="External"/><Relationship Id="rId54" Type="http://schemas.openxmlformats.org/officeDocument/2006/relationships/image" Target="media/image1.jpeg"/><Relationship Id="rId55" Type="http://schemas.openxmlformats.org/officeDocument/2006/relationships/image" Target="media/image2.jpeg"/><Relationship Id="rId56" Type="http://schemas.openxmlformats.org/officeDocument/2006/relationships/image" Target="media/image3.jpeg"/><Relationship Id="rId57" Type="http://schemas.openxmlformats.org/officeDocument/2006/relationships/image" Target="media/image4.jpeg"/><Relationship Id="rId58" Type="http://schemas.openxmlformats.org/officeDocument/2006/relationships/image" Target="media/image5.jpeg"/><Relationship Id="rId59" Type="http://schemas.openxmlformats.org/officeDocument/2006/relationships/image" Target="media/image6.jpeg"/><Relationship Id="rId60" Type="http://schemas.openxmlformats.org/officeDocument/2006/relationships/image" Target="media/image7.jpeg"/><Relationship Id="rId61" Type="http://schemas.openxmlformats.org/officeDocument/2006/relationships/image" Target="media/image8.jpeg"/><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image" Target="media/image11.jpeg"/><Relationship Id="rId65" Type="http://schemas.openxmlformats.org/officeDocument/2006/relationships/image" Target="media/image12.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60526</Words>
  <CharactersWithSpaces>392242</CharactersWithSpaces>
  <Paragraphs>3179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indemnificationagreement</dc:title>
</cp:coreProperties>
</file>