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2022</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580" w:space="720"/>
            <w:col w:w="284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2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77"/>
        </w:trPr>
        <w:tc>
          <w:tcPr>
            <w:tcW w:w="2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1780" w:type="dxa"/>
            <w:vAlign w:val="bottom"/>
          </w:tcPr>
          <w:p>
            <w:pPr>
              <w:spacing w:after="0"/>
              <w:rPr>
                <w:sz w:val="24"/>
                <w:szCs w:val="24"/>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43"/>
        </w:trPr>
        <w:tc>
          <w:tcPr>
            <w:tcW w:w="352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20" w:type="dxa"/>
            <w:vAlign w:val="bottom"/>
          </w:tcPr>
          <w:p>
            <w:pPr>
              <w:spacing w:after="0"/>
              <w:rPr>
                <w:sz w:val="21"/>
                <w:szCs w:val="21"/>
                <w:color w:val="auto"/>
              </w:rPr>
            </w:pPr>
          </w:p>
        </w:tc>
      </w:tr>
    </w:tbl>
    <w:p>
      <w:pPr>
        <w:spacing w:after="0" w:line="319"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At the 2022 Annual Meeting of Stockholders (the “Annual Meeting”) held on June 15, 2022, the stockholders of New Fortress Energy Inc. (the “Company”) voted on the matters described below:</w:t>
      </w:r>
    </w:p>
    <w:p>
      <w:pPr>
        <w:spacing w:after="0" w:line="189" w:lineRule="exact"/>
        <w:rPr>
          <w:sz w:val="20"/>
          <w:szCs w:val="20"/>
          <w:color w:val="auto"/>
        </w:rPr>
      </w:pPr>
    </w:p>
    <w:p>
      <w:pPr>
        <w:ind w:left="660" w:right="40" w:hanging="328"/>
        <w:spacing w:after="0" w:line="24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three Class III directors, who comprise all the directors of such class, to serve until the 2025 Annual Meeting of Stockholders and until their respective successors are duly elected or appointed and qualified. The numbers of shares that voted for the election of such directors, withheld authority to vote for such directors, and represented broker non-votes with respect to this proposal are summarized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00" w:type="dxa"/>
            <w:vAlign w:val="bottom"/>
          </w:tcPr>
          <w:p>
            <w:pPr>
              <w:spacing w:after="0"/>
              <w:rPr>
                <w:sz w:val="20"/>
                <w:szCs w:val="2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134,239,385</w:t>
            </w:r>
          </w:p>
        </w:tc>
        <w:tc>
          <w:tcPr>
            <w:tcW w:w="1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18,291,750</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16,453,627</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135,785,293</w:t>
            </w: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16,745,842</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16,453,627</w:t>
            </w:r>
          </w:p>
        </w:tc>
      </w:tr>
      <w:tr>
        <w:trPr>
          <w:trHeight w:val="22"/>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137,474,496</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15,056,639</w:t>
            </w:r>
          </w:p>
        </w:tc>
        <w:tc>
          <w:tcPr>
            <w:tcW w:w="12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16,453,627</w:t>
            </w:r>
          </w:p>
        </w:tc>
      </w:tr>
      <w:tr>
        <w:trPr>
          <w:trHeight w:val="27"/>
        </w:trPr>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left="660" w:right="20" w:hanging="328"/>
        <w:spacing w:after="0" w:line="24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2022. The numbers of shares that voted for, against and abstained from voting for or against the ratification of the selection of Ernst &amp; Young LLP are summarized in the table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28"/>
        </w:trPr>
        <w:tc>
          <w:tcPr>
            <w:tcW w:w="5640" w:type="dxa"/>
            <w:vAlign w:val="bottom"/>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color w:val="auto"/>
              </w:rPr>
              <w:t>168,900,455</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79,773</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4,534</w:t>
            </w:r>
          </w:p>
        </w:tc>
      </w:tr>
      <w:tr>
        <w:trPr>
          <w:trHeight w:val="22"/>
        </w:trPr>
        <w:tc>
          <w:tcPr>
            <w:tcW w:w="5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right="100" w:firstLine="8"/>
        <w:spacing w:after="0" w:line="241"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the rules of the Nasdaq Global Select Market (“Nasdaq”) from voting on a particular matter. Under Nasdaq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2022</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2022-06-17T15:42:35Z</dcterms:created>
  <dcterms:modified xsi:type="dcterms:W3CDTF">2022-06-17T15:42:35Z</dcterms:modified>
</cp:coreProperties>
</file>