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92710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March 3, 2020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227965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520"/>
        <w:spacing w:after="0"/>
        <w:tabs>
          <w:tab w:leader="none" w:pos="5300" w:val="left"/>
          <w:tab w:leader="none" w:pos="90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001-38790</w:t>
      </w:r>
      <w:r>
        <w:rPr>
          <w:sz w:val="20"/>
          <w:szCs w:val="20"/>
          <w:color w:val="auto"/>
        </w:rPr>
        <w:tab/>
      </w:r>
      <w:r>
        <w:rPr>
          <w:rFonts w:ascii="Arial" w:cs="Arial" w:eastAsia="Arial" w:hAnsi="Arial"/>
          <w:sz w:val="16"/>
          <w:szCs w:val="16"/>
          <w:b w:val="1"/>
          <w:bCs w:val="1"/>
          <w:color w:val="auto"/>
        </w:rPr>
        <w:t>83-1482060</w:t>
      </w:r>
    </w:p>
    <w:p>
      <w:pPr>
        <w:spacing w:after="0" w:line="27" w:lineRule="exact"/>
        <w:rPr>
          <w:sz w:val="24"/>
          <w:szCs w:val="24"/>
          <w:color w:val="auto"/>
        </w:rPr>
      </w:pPr>
    </w:p>
    <w:p>
      <w:pPr>
        <w:ind w:left="280"/>
        <w:spacing w:after="0"/>
        <w:tabs>
          <w:tab w:leader="none" w:pos="4700" w:val="left"/>
          <w:tab w:leader="none" w:pos="828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7"/>
          <w:szCs w:val="17"/>
          <w:color w:val="auto"/>
        </w:rPr>
        <w:t>(IRS Employer Identification No.)</w:t>
      </w:r>
    </w:p>
    <w:p>
      <w:pPr>
        <w:spacing w:after="0" w:line="98"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3280"/>
        <w:spacing w:after="0"/>
        <w:tabs>
          <w:tab w:leader="none" w:pos="9300" w:val="left"/>
        </w:tabs>
        <w:rPr>
          <w:sz w:val="20"/>
          <w:szCs w:val="20"/>
          <w:color w:val="auto"/>
        </w:rPr>
      </w:pPr>
      <w:r>
        <w:rPr>
          <w:rFonts w:ascii="Arial" w:cs="Arial" w:eastAsia="Arial" w:hAnsi="Arial"/>
          <w:sz w:val="18"/>
          <w:szCs w:val="18"/>
          <w:b w:val="1"/>
          <w:bCs w:val="1"/>
          <w:color w:val="auto"/>
        </w:rPr>
        <w:t>New York, NY</w:t>
      </w:r>
      <w:r>
        <w:rPr>
          <w:sz w:val="20"/>
          <w:szCs w:val="20"/>
          <w:color w:val="auto"/>
        </w:rPr>
        <w:tab/>
      </w:r>
      <w:r>
        <w:rPr>
          <w:rFonts w:ascii="Arial" w:cs="Arial" w:eastAsia="Arial" w:hAnsi="Arial"/>
          <w:sz w:val="15"/>
          <w:szCs w:val="15"/>
          <w:b w:val="1"/>
          <w:bCs w:val="1"/>
          <w:color w:val="auto"/>
        </w:rPr>
        <w:t>10011</w:t>
      </w:r>
    </w:p>
    <w:p>
      <w:pPr>
        <w:spacing w:after="0" w:line="7" w:lineRule="exact"/>
        <w:rPr>
          <w:sz w:val="24"/>
          <w:szCs w:val="24"/>
          <w:color w:val="auto"/>
        </w:rPr>
      </w:pPr>
    </w:p>
    <w:p>
      <w:pPr>
        <w:ind w:left="2360"/>
        <w:spacing w:after="0"/>
        <w:tabs>
          <w:tab w:leader="none" w:pos="91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240665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234315</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220" w:type="dxa"/>
            <w:vAlign w:val="bottom"/>
          </w:tcPr>
          <w:p>
            <w:pPr>
              <w:spacing w:after="0"/>
              <w:rPr>
                <w:sz w:val="18"/>
                <w:szCs w:val="18"/>
                <w:color w:val="auto"/>
              </w:rPr>
            </w:pPr>
          </w:p>
        </w:tc>
        <w:tc>
          <w:tcPr>
            <w:tcW w:w="216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Trading Symbol(s)</w:t>
            </w: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52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Class A shares, representing limited liability company interests</w:t>
            </w:r>
          </w:p>
        </w:tc>
        <w:tc>
          <w:tcPr>
            <w:tcW w:w="4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“NFE”</w:t>
            </w:r>
          </w:p>
        </w:tc>
        <w:tc>
          <w:tcPr>
            <w:tcW w:w="340" w:type="dxa"/>
            <w:vAlign w:val="bottom"/>
          </w:tcPr>
          <w:p>
            <w:pPr>
              <w:spacing w:after="0"/>
              <w:rPr>
                <w:sz w:val="20"/>
                <w:szCs w:val="20"/>
                <w:color w:val="auto"/>
              </w:rPr>
            </w:pPr>
          </w:p>
        </w:tc>
        <w:tc>
          <w:tcPr>
            <w:tcW w:w="3180" w:type="dxa"/>
            <w:vAlign w:val="bottom"/>
          </w:tcPr>
          <w:p>
            <w:pPr>
              <w:ind w:left="46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2"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ectPr>
          <w:pgSz w:w="11900" w:h="16838" w:orient="portrait"/>
          <w:cols w:equalWidth="0" w:num="1">
            <w:col w:w="11340"/>
          </w:cols>
          <w:pgMar w:left="240" w:top="535" w:right="319" w:bottom="1440" w:gutter="0" w:footer="0" w:header="0"/>
        </w:sectPr>
      </w:pPr>
    </w:p>
    <w:p>
      <w:pPr>
        <w:spacing w:after="0" w:line="245" w:lineRule="exact"/>
        <w:rPr>
          <w:sz w:val="24"/>
          <w:szCs w:val="24"/>
          <w:color w:val="auto"/>
        </w:rPr>
      </w:pPr>
    </w:p>
    <w:p>
      <w:pPr>
        <w:ind w:right="2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jc w:val="both"/>
        <w:ind w:right="200" w:firstLine="324"/>
        <w:spacing w:after="0" w:line="238" w:lineRule="auto"/>
        <w:rPr>
          <w:sz w:val="20"/>
          <w:szCs w:val="20"/>
          <w:color w:val="auto"/>
        </w:rPr>
      </w:pPr>
      <w:r>
        <w:rPr>
          <w:rFonts w:ascii="Arial" w:cs="Arial" w:eastAsia="Arial" w:hAnsi="Arial"/>
          <w:sz w:val="22"/>
          <w:szCs w:val="22"/>
          <w:color w:val="auto"/>
        </w:rPr>
        <w:t>On March 3, 2019, New Fortress Energy LLC (“NFE” or the “Company”) issued a press release announcing the Company’s financial and operating results for its fiscal quarter and year ended December 31, 2019. A copy of the Company’s press release is attached to this Current Report on Form 8-K (the “Current Report”) as Exhibit 99.1 and is incorporated herein solely for purposes of this Item 2.02 disclosure.</w:t>
      </w:r>
    </w:p>
    <w:p>
      <w:pPr>
        <w:spacing w:after="0" w:line="212" w:lineRule="exact"/>
        <w:rPr>
          <w:sz w:val="20"/>
          <w:szCs w:val="20"/>
          <w:color w:val="auto"/>
        </w:rPr>
      </w:pPr>
    </w:p>
    <w:p>
      <w:pPr>
        <w:ind w:right="220" w:firstLine="324"/>
        <w:spacing w:after="0" w:line="287" w:lineRule="auto"/>
        <w:rPr>
          <w:sz w:val="20"/>
          <w:szCs w:val="20"/>
          <w:color w:val="auto"/>
        </w:rPr>
      </w:pPr>
      <w:r>
        <w:rPr>
          <w:rFonts w:ascii="Arial" w:cs="Arial" w:eastAsia="Arial" w:hAnsi="Arial"/>
          <w:sz w:val="19"/>
          <w:szCs w:val="19"/>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tcPr>
          <w:p>
            <w:pPr>
              <w:spacing w:after="0"/>
              <w:rPr>
                <w:sz w:val="18"/>
                <w:szCs w:val="18"/>
                <w:color w:val="auto"/>
              </w:rPr>
            </w:pPr>
          </w:p>
        </w:tc>
      </w:tr>
      <w:tr>
        <w:trPr>
          <w:trHeight w:val="241"/>
        </w:trPr>
        <w:tc>
          <w:tcPr>
            <w:tcW w:w="420" w:type="dxa"/>
            <w:vAlign w:val="bottom"/>
          </w:tcPr>
          <w:p>
            <w:pPr>
              <w:spacing w:after="0"/>
              <w:rPr>
                <w:sz w:val="20"/>
                <w:szCs w:val="20"/>
                <w:color w:val="auto"/>
              </w:rPr>
            </w:pPr>
          </w:p>
        </w:tc>
        <w:tc>
          <w:tcPr>
            <w:tcW w:w="9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6"/>
              </w:rPr>
              <w:t>No.</w:t>
            </w:r>
          </w:p>
        </w:tc>
        <w:tc>
          <w:tcPr>
            <w:tcW w:w="10040" w:type="dxa"/>
            <w:vAlign w:val="bottom"/>
          </w:tcPr>
          <w:p>
            <w:pPr>
              <w:jc w:val="right"/>
              <w:ind w:right="4496"/>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60" w:type="dxa"/>
            <w:vAlign w:val="bottom"/>
            <w:tcBorders>
              <w:top w:val="single" w:sz="8" w:color="auto"/>
            </w:tcBorders>
            <w:gridSpan w:val="3"/>
          </w:tcPr>
          <w:p>
            <w:pPr>
              <w:jc w:val="cente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hyperlink>
          </w:p>
        </w:tc>
        <w:tc>
          <w:tcPr>
            <w:tcW w:w="220" w:type="dxa"/>
            <w:vAlign w:val="bottom"/>
          </w:tcPr>
          <w:p>
            <w:pPr>
              <w:spacing w:after="0"/>
              <w:rPr>
                <w:sz w:val="15"/>
                <w:szCs w:val="15"/>
                <w:color w:val="auto"/>
              </w:rPr>
            </w:pPr>
          </w:p>
        </w:tc>
        <w:tc>
          <w:tcPr>
            <w:tcW w:w="10040" w:type="dxa"/>
            <w:vAlign w:val="bottom"/>
            <w:tcBorders>
              <w:top w:val="single" w:sz="8" w:color="auto"/>
            </w:tcBorders>
          </w:tcPr>
          <w:p>
            <w:pPr>
              <w:jc w:val="right"/>
              <w:ind w:right="4656"/>
              <w:spacing w:after="0" w:line="176" w:lineRule="exact"/>
              <w:rPr>
                <w:sz w:val="20"/>
                <w:szCs w:val="20"/>
                <w:color w:val="auto"/>
              </w:rPr>
            </w:pPr>
            <w:r>
              <w:rPr>
                <w:rFonts w:ascii="Arial" w:cs="Arial" w:eastAsia="Arial" w:hAnsi="Arial"/>
                <w:sz w:val="18"/>
                <w:szCs w:val="18"/>
                <w:color w:val="auto"/>
                <w:w w:val="89"/>
              </w:rPr>
              <w:t>Press Release, dated March 3, 2019, issued by New Fortress Energy LLC</w:t>
            </w:r>
          </w:p>
        </w:tc>
      </w:tr>
      <w:tr>
        <w:trPr>
          <w:trHeight w:val="603"/>
        </w:trPr>
        <w:tc>
          <w:tcPr>
            <w:tcW w:w="4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jc w:val="right"/>
              <w:ind w:right="5596"/>
              <w:spacing w:after="0"/>
              <w:rPr>
                <w:sz w:val="20"/>
                <w:szCs w:val="20"/>
                <w:color w:val="auto"/>
              </w:rPr>
            </w:pPr>
            <w:r>
              <w:rPr>
                <w:rFonts w:ascii="Arial" w:cs="Arial" w:eastAsia="Arial" w:hAnsi="Arial"/>
                <w:sz w:val="14"/>
                <w:szCs w:val="14"/>
                <w:color w:val="auto"/>
              </w:rPr>
              <w:t>2</w:t>
            </w:r>
          </w:p>
        </w:tc>
      </w:tr>
      <w:tr>
        <w:trPr>
          <w:trHeight w:val="46"/>
        </w:trPr>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spacing w:after="0"/>
        <w:tabs>
          <w:tab w:leader="none" w:pos="5640" w:val="left"/>
          <w:tab w:leader="none" w:pos="6300" w:val="left"/>
        </w:tabs>
        <w:rPr>
          <w:sz w:val="20"/>
          <w:szCs w:val="20"/>
          <w:color w:val="auto"/>
        </w:rPr>
      </w:pPr>
      <w:r>
        <w:rPr>
          <w:rFonts w:ascii="Arial" w:cs="Arial" w:eastAsia="Arial" w:hAnsi="Arial"/>
          <w:sz w:val="18"/>
          <w:szCs w:val="18"/>
          <w:color w:val="auto"/>
        </w:rPr>
        <w:t>March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1675" cy="1714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Name:</w:t>
        <w:tab/>
        <w:t>Christopher S. Guinta</w:t>
      </w:r>
    </w:p>
    <w:p>
      <w:pPr>
        <w:spacing w:after="0" w:line="23" w:lineRule="exact"/>
        <w:rPr>
          <w:sz w:val="20"/>
          <w:szCs w:val="20"/>
          <w:color w:val="auto"/>
        </w:rPr>
      </w:pPr>
    </w:p>
    <w:p>
      <w:pPr>
        <w:ind w:left="5660"/>
        <w:spacing w:after="0"/>
        <w:tabs>
          <w:tab w:leader="none" w:pos="6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1"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154368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Announces Fourth Quarter and Full Year 2019 Results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March 3, 2020</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NEW YORK -- New Fortress Energy LLC (NASDAQ: NFE) (“NFE” or the “Company”) today reported its financial results for the fourth quarter and full year ending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Highlights</w:t>
      </w:r>
    </w:p>
    <w:p>
      <w:pPr>
        <w:spacing w:after="0" w:line="19" w:lineRule="exact"/>
        <w:rPr>
          <w:sz w:val="20"/>
          <w:szCs w:val="20"/>
          <w:color w:val="auto"/>
        </w:rPr>
      </w:pPr>
    </w:p>
    <w:p>
      <w:pPr>
        <w:ind w:left="980" w:hanging="648"/>
        <w:spacing w:after="0" w:line="280" w:lineRule="auto"/>
        <w:tabs>
          <w:tab w:leader="none" w:pos="6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had its first quarter of positive Operating Margin as we continue to transform from a development company to an operating business o Volumes sold increased over 200,000 gallons per day (“GPD”) in Q4 2019 from Q3 2019 and are expected to increase to over 2,000,000</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GPD during Q2 2020</w:t>
      </w:r>
    </w:p>
    <w:p>
      <w:pPr>
        <w:spacing w:after="0" w:line="9" w:lineRule="exact"/>
        <w:rPr>
          <w:rFonts w:ascii="Arial" w:cs="Arial" w:eastAsia="Arial" w:hAnsi="Arial"/>
          <w:sz w:val="16"/>
          <w:szCs w:val="16"/>
          <w:color w:val="auto"/>
        </w:rPr>
      </w:pPr>
    </w:p>
    <w:p>
      <w:pPr>
        <w:ind w:left="1300" w:hanging="324"/>
        <w:spacing w:after="0" w:line="250" w:lineRule="auto"/>
        <w:rPr>
          <w:rFonts w:ascii="Arial" w:cs="Arial" w:eastAsia="Arial" w:hAnsi="Arial"/>
          <w:sz w:val="16"/>
          <w:szCs w:val="16"/>
          <w:color w:val="auto"/>
        </w:rPr>
      </w:pPr>
      <w:r>
        <w:rPr>
          <w:rFonts w:ascii="Arial" w:cs="Arial" w:eastAsia="Arial" w:hAnsi="Arial"/>
          <w:sz w:val="18"/>
          <w:szCs w:val="18"/>
          <w:color w:val="auto"/>
        </w:rPr>
        <w:t>o As development projects reach full commercial operations the Company expects Operating Margin to expand as asset utilization is enhanced</w:t>
      </w: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projects continue to approach completion</w:t>
      </w:r>
    </w:p>
    <w:p>
      <w:pPr>
        <w:ind w:left="1300" w:hanging="320"/>
        <w:spacing w:after="0" w:line="19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Jamalco CHP declared COD</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on March 3, 2020; we are now consistently delivering approximately 100 MW to the Jamaican grid from the Jamalco CHP</w:t>
      </w:r>
    </w:p>
    <w:p>
      <w:pPr>
        <w:ind w:left="1300" w:hanging="320"/>
        <w:spacing w:after="0" w:line="18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Puerto Rico Facility being commissioned; First Gas</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expected in Q1 2020; floating storage vessel arrived on February 24, 2020</w:t>
      </w:r>
    </w:p>
    <w:p>
      <w:pPr>
        <w:ind w:left="1300" w:hanging="320"/>
        <w:spacing w:after="0" w:line="24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 Paz terminal has received all necessary permits for the onshore construction of the power plant which is expected to produce approximately 135 MW</w:t>
      </w:r>
    </w:p>
    <w:p>
      <w:pPr>
        <w:ind w:left="1300" w:hanging="320"/>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 25-year, 300 MW PPA with an 85% take or pay requirement in Nicaragua under which we expect to supply approximately 700,000 GDP</w:t>
      </w:r>
    </w:p>
    <w:p>
      <w:pPr>
        <w:spacing w:after="0" w:line="1"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NFE executed a term loan facility on January 10, 2020 for $800mm (the “Apollo financing”); this facility repaid the Company’s existing $500mm term loan facility in full, provides additional liquidity, matures in 2023 and can be repaid at par</w:t>
      </w:r>
    </w:p>
    <w:p>
      <w:pPr>
        <w:ind w:left="1300" w:hanging="324"/>
        <w:spacing w:after="0" w:line="185" w:lineRule="auto"/>
        <w:rPr>
          <w:rFonts w:ascii="Arial" w:cs="Arial" w:eastAsia="Arial" w:hAnsi="Arial"/>
          <w:sz w:val="18"/>
          <w:szCs w:val="18"/>
          <w:color w:val="auto"/>
        </w:rPr>
      </w:pPr>
      <w:r>
        <w:rPr>
          <w:rFonts w:ascii="Arial" w:cs="Arial" w:eastAsia="Arial" w:hAnsi="Arial"/>
          <w:sz w:val="17"/>
          <w:szCs w:val="17"/>
          <w:color w:val="auto"/>
        </w:rPr>
        <w:t>o Closing Cash on hand</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on December 31, 2019 was $93mm which, when combined with the proceeds from the Apollo financing and the remaining proceeds under our Jamaica Senior Secured Bonds, provides over $400mm in cash available to fund all downstream Committed</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projects</w:t>
      </w:r>
    </w:p>
    <w:p>
      <w:pPr>
        <w:spacing w:after="0" w:line="2" w:lineRule="exact"/>
        <w:rPr>
          <w:rFonts w:ascii="Arial" w:cs="Arial" w:eastAsia="Arial" w:hAnsi="Arial"/>
          <w:sz w:val="18"/>
          <w:szCs w:val="18"/>
          <w:color w:val="auto"/>
        </w:rPr>
      </w:pPr>
    </w:p>
    <w:p>
      <w:pPr>
        <w:ind w:left="660" w:right="20" w:hanging="328"/>
        <w:spacing w:after="0" w:line="21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Executed long-term LNG supply agreement to secure significant volumes to supply certain of our Committed Volumes</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at historically low LNG prices; we expect to be able to continue to capitalize on the depressed LNG market to both expand and secure long-term operating margins</w:t>
      </w:r>
    </w:p>
    <w:p>
      <w:pPr>
        <w:spacing w:after="0" w:line="1" w:lineRule="exact"/>
        <w:rPr>
          <w:rFonts w:ascii="Arial" w:cs="Arial" w:eastAsia="Arial" w:hAnsi="Arial"/>
          <w:sz w:val="16"/>
          <w:szCs w:val="16"/>
          <w:color w:val="auto"/>
        </w:rPr>
      </w:pPr>
    </w:p>
    <w:p>
      <w:pPr>
        <w:ind w:left="660" w:hanging="328"/>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discussions continue to progress</w:t>
      </w:r>
    </w:p>
    <w:p>
      <w:pPr>
        <w:ind w:left="1300" w:right="20" w:hanging="320"/>
        <w:spacing w:after="0" w:line="20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Committed Volumes and In Discussion Volumes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increased approximately 58% as compared to December 31, 2018. Committed Volumes plus In Discussion Volumes are now approximately 20mm GPD</w:t>
      </w:r>
      <w:r>
        <w:rPr>
          <w:rFonts w:ascii="Arial" w:cs="Arial" w:eastAsia="Arial" w:hAnsi="Arial"/>
          <w:sz w:val="30"/>
          <w:szCs w:val="30"/>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Financial Overview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color w:val="auto"/>
                <w:w w:val="91"/>
              </w:rPr>
              <w:t>For the three months ended,</w:t>
            </w:r>
          </w:p>
        </w:tc>
      </w:tr>
      <w:tr>
        <w:trPr>
          <w:trHeight w:val="202"/>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80" w:type="dxa"/>
            <w:vAlign w:val="bottom"/>
            <w:tcBorders>
              <w:top w:val="single" w:sz="8" w:color="auto"/>
            </w:tcBorders>
            <w:gridSpan w:val="3"/>
          </w:tcPr>
          <w:p>
            <w:pPr>
              <w:jc w:val="right"/>
              <w:ind w:right="200"/>
              <w:spacing w:after="0" w:line="201" w:lineRule="exact"/>
              <w:rPr>
                <w:sz w:val="20"/>
                <w:szCs w:val="20"/>
                <w:color w:val="auto"/>
              </w:rPr>
            </w:pPr>
            <w:r>
              <w:rPr>
                <w:rFonts w:ascii="Arial" w:cs="Arial" w:eastAsia="Arial" w:hAnsi="Arial"/>
                <w:sz w:val="18"/>
                <w:szCs w:val="18"/>
                <w:color w:val="auto"/>
                <w:w w:val="89"/>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3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Average Volumes (k GPD)</w:t>
            </w: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r>
    </w:tbl>
    <w:p>
      <w:pPr>
        <w:spacing w:after="0" w:line="207"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i w:val="1"/>
          <w:iCs w:val="1"/>
          <w:color w:val="auto"/>
        </w:rPr>
        <w:t>*Operating margin is a non-GAAP financial measure. For definitions and reconciliations of non-GAAP results please refer to the exhibit to this press release.</w:t>
      </w:r>
    </w:p>
    <w:p>
      <w:pPr>
        <w:spacing w:after="0" w:line="207" w:lineRule="exact"/>
        <w:rPr>
          <w:sz w:val="20"/>
          <w:szCs w:val="20"/>
          <w:color w:val="auto"/>
        </w:rPr>
      </w:pPr>
    </w:p>
    <w:p>
      <w:pPr>
        <w:jc w:val="both"/>
        <w:ind w:left="1300" w:hanging="320"/>
        <w:spacing w:after="0" w:line="288"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for Q4 2019 increased from Q3 2019 primarily due to revenue generated from the Old Harbour terminal, increases in volumes sold to industrial end users in Jamaica, and additional sales at the Montego Bay terminal. The increase was also due to the recognition of revenue of $13.2mm for development services in Q4 2019, primarily attributable to the conversion of our customer’s infrastructure in Puerto Rico</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decrease in Net Loss resulted from positive Operating Margin in Q4 2019 as well as decreases in SG&amp;A expense</w:t>
      </w:r>
    </w:p>
    <w:p>
      <w:pPr>
        <w:spacing w:after="0" w:line="9" w:lineRule="exact"/>
        <w:rPr>
          <w:rFonts w:ascii="Arial" w:cs="Arial" w:eastAsia="Arial" w:hAnsi="Arial"/>
          <w:sz w:val="18"/>
          <w:szCs w:val="18"/>
          <w:color w:val="auto"/>
        </w:rPr>
      </w:pPr>
    </w:p>
    <w:p>
      <w:pPr>
        <w:ind w:left="1300" w:hanging="320"/>
        <w:spacing w:after="0" w:line="323"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recorded its first quarter of positive Operating Margin, which was $1.3mm in Q4 2019. The increase was due to the increase in volumes sold primarily from the Old Harbour terminal, recognition of development services revenue and the decrease in LNG costs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refer to our Q4 2019 Investor Presentation for further information about the following terms:</w:t>
      </w:r>
    </w:p>
    <w:p>
      <w:pPr>
        <w:spacing w:after="0" w:line="8" w:lineRule="exact"/>
        <w:rPr>
          <w:sz w:val="20"/>
          <w:szCs w:val="20"/>
          <w:color w:val="auto"/>
        </w:rPr>
      </w:pPr>
    </w:p>
    <w:p>
      <w:pPr>
        <w:ind w:firstLine="8"/>
        <w:spacing w:after="0" w:line="230" w:lineRule="auto"/>
        <w:tabs>
          <w:tab w:leader="none" w:pos="239"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“COD” means commercial operations date, as defined in the power purchase agreement between us and JPS, and as defined in the steam supply agreement between us and Jamalco.</w:t>
      </w:r>
    </w:p>
    <w:p>
      <w:pPr>
        <w:spacing w:after="0" w:line="1" w:lineRule="exact"/>
        <w:rPr>
          <w:rFonts w:ascii="Arial" w:cs="Arial" w:eastAsia="Arial" w:hAnsi="Arial"/>
          <w:sz w:val="22"/>
          <w:szCs w:val="22"/>
          <w:i w:val="1"/>
          <w:iCs w:val="1"/>
          <w:color w:val="auto"/>
        </w:rPr>
      </w:pPr>
    </w:p>
    <w:p>
      <w:pPr>
        <w:jc w:val="both"/>
        <w:ind w:firstLine="8"/>
        <w:spacing w:after="0" w:line="267" w:lineRule="auto"/>
        <w:tabs>
          <w:tab w:leader="none" w:pos="244"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“First Gas” means management’s current estimate of the date on which natural gas will first be made available to the relevant project. Full commercial operations of such projects will occur later than, and may occur substantially later than, the First Gas date. We cannot assure you if or when such projects will reach the date of delivery of First Gas, or full commercial operations. Actual results could differ materially from the illustration and there can be no assurance that we will achieve our goal.</w:t>
      </w:r>
    </w:p>
    <w:p>
      <w:pPr>
        <w:ind w:left="240" w:hanging="232"/>
        <w:spacing w:after="0" w:line="230" w:lineRule="auto"/>
        <w:tabs>
          <w:tab w:leader="none" w:pos="24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“Cash on hand” means the sum of Cash and cash equivalents and Restricted cash.</w:t>
      </w:r>
    </w:p>
    <w:p>
      <w:pPr>
        <w:jc w:val="both"/>
        <w:ind w:firstLine="8"/>
        <w:spacing w:after="0" w:line="267" w:lineRule="auto"/>
        <w:tabs>
          <w:tab w:leader="none" w:pos="260"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“Commitment” or “Committed” means that NFE management has made the internal decision to commit NFE to progress a project. This decision does not indicate that all preconditions to construction, commissioning and commercial operations have been met (including permissions or supporting contractual workstreams), and to the extent NFE’s internal decision is made prior to such preconditions being met, there can be no assurance that the construction, commissioning and commercial operations will be possible on the timeline we expect or at all. NFE may in its sole discretion reverse such internal decision due to such preconditions not being met on our expected timeline or at all, or for any other internal or external reason.</w:t>
      </w:r>
    </w:p>
    <w:p>
      <w:pPr>
        <w:jc w:val="both"/>
        <w:ind w:firstLine="8"/>
        <w:spacing w:after="0" w:line="267" w:lineRule="auto"/>
        <w:tabs>
          <w:tab w:leader="none" w:pos="243"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“Committed Volumes” means our expected volumes to be sold to customers under(i) binding contracts, (ii) non-binding letters of intent, (iii) non-binding memorandums of understanding, (iv) binding or non-binding term sheets or (v)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is substantially in excess of such minimum volume commitments.</w:t>
      </w:r>
    </w:p>
    <w:p>
      <w:pPr>
        <w:jc w:val="both"/>
        <w:ind w:firstLine="8"/>
        <w:spacing w:after="0" w:line="230" w:lineRule="auto"/>
        <w:tabs>
          <w:tab w:leader="none" w:pos="262"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is substantially in excess of potential minimum volume commitments.</w:t>
      </w:r>
    </w:p>
    <w:p>
      <w:pPr>
        <w:spacing w:after="0" w:line="4" w:lineRule="exact"/>
        <w:rPr>
          <w:rFonts w:ascii="Arial" w:cs="Arial" w:eastAsia="Arial" w:hAnsi="Arial"/>
          <w:sz w:val="22"/>
          <w:szCs w:val="22"/>
          <w:i w:val="1"/>
          <w:iCs w:val="1"/>
          <w:color w:val="auto"/>
        </w:rPr>
      </w:pPr>
    </w:p>
    <w:p>
      <w:pPr>
        <w:ind w:firstLine="8"/>
        <w:spacing w:after="0" w:line="237" w:lineRule="auto"/>
        <w:tabs>
          <w:tab w:leader="none" w:pos="246"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Based on Committed Volumes and In Discussion Volumes as of March 2, 2020 in total for all of Jamaica, Mexico, Puerto Rico and other countries with Committed Volumes and In Discussion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For additional information that management believes to be useful for investors, please refer to the presentation posted on the Investor Relations section of New Fortress Energy’s website, www.newfortressenergy.com, and the Company’s most recent Annual Report on Form 10-K, which will be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Conference Call</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Management will host a conference call on Wednesday, March 4, 2020 at 8:00 A.M. Eastern Time. The conference call may be accessed by dialing (866) 953-0778 (from within the U.S.) or (630) 652-5853 (from outside of the U.S.) ten minutes prior to the scheduled start of the call; please reference access code “New Fortress Energy Fourth Quarter 2019 Earnings Call”.</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replay of the conference call will also be available from 11:00 A.M. Eastern Time on Wednesday, March 4, 2020 through 11:00 P.M. Eastern Time on Wednesday, March 11, 2020 at (855) 859-2056 (from within the U.S.) or (404) 537-3406 (from outside of the U.S.); please reference access code “2566636”.</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New Fortress Energy LLC</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 New Fortress Energy is majority-owned by a fund managed by an affiliate of Fortress Investment Group.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w:t>
      </w:r>
    </w:p>
    <w:p>
      <w:pPr>
        <w:spacing w:after="0" w:line="14"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and regasification operations. This measure excludes items that have little or no significance on day-to-day performance of our current liquefaction and regasification operations, including our corporate SG&amp;A, loss on mitigation sales, and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right="120"/>
        <w:spacing w:after="0" w:line="282" w:lineRule="auto"/>
        <w:rPr>
          <w:sz w:val="20"/>
          <w:szCs w:val="20"/>
          <w:color w:val="auto"/>
        </w:rPr>
      </w:pPr>
      <w:r>
        <w:rPr>
          <w:rFonts w:ascii="Arial" w:cs="Arial" w:eastAsia="Arial" w:hAnsi="Arial"/>
          <w:sz w:val="19"/>
          <w:szCs w:val="19"/>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and regasification operations.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Cautionary Statement Concerning Forward-Looking Statements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Certain statements contained in this press release constitute “forward-looking statements” including our expected volumes of LNG or production of power in particular jurisdictions; our expected volumes for Committed Volumes and In Discussion Volumes; the expectation that we will continue to capitalize on the depressed LNG market to expand operating margins; our expected timing of First Gas; our expectation that we are able to fund Committed projects using current Cash on hand.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our expectations about the price at which we purchase LNG, the price at which we sell LNG, the cost at which we produce, ship and deliver LNG, and the margin that we receive for the LNG that we sell are not in line with our expectations, risks that our operating or other costs will increase and our expected funding of projects may not be possible, and risks that our downstream Committed projects costs are greater than we expect so the expected funding of such projects may not be possible. Accordingly, readers should not place undue reliance on forward-looking statements as a prediction of actual results.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IR:</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Alan Andreini</w:t>
      </w:r>
    </w:p>
    <w:p>
      <w:pPr>
        <w:ind w:right="8139" w:firstLine="8"/>
        <w:spacing w:after="0" w:line="308" w:lineRule="auto"/>
        <w:tabs>
          <w:tab w:leader="none" w:pos="522" w:val="left"/>
        </w:tabs>
        <w:numPr>
          <w:ilvl w:val="0"/>
          <w:numId w:val="9"/>
        </w:numPr>
        <w:rPr>
          <w:rFonts w:ascii="Arial" w:cs="Arial" w:eastAsia="Arial" w:hAnsi="Arial"/>
          <w:sz w:val="19"/>
          <w:szCs w:val="19"/>
          <w:color w:val="auto"/>
        </w:rPr>
      </w:pPr>
      <w:r>
        <w:rPr>
          <w:rFonts w:ascii="Arial" w:cs="Arial" w:eastAsia="Arial" w:hAnsi="Arial"/>
          <w:sz w:val="19"/>
          <w:szCs w:val="19"/>
          <w:color w:val="auto"/>
        </w:rPr>
        <w:t>798-6128 aandreini@fortress.com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Joshua Kane</w:t>
      </w:r>
    </w:p>
    <w:p>
      <w:pPr>
        <w:spacing w:after="0" w:line="8" w:lineRule="exact"/>
        <w:rPr>
          <w:sz w:val="20"/>
          <w:szCs w:val="20"/>
          <w:color w:val="auto"/>
        </w:rPr>
      </w:pPr>
    </w:p>
    <w:p>
      <w:pPr>
        <w:ind w:right="7539" w:firstLine="8"/>
        <w:spacing w:after="0" w:line="308" w:lineRule="auto"/>
        <w:tabs>
          <w:tab w:leader="none" w:pos="522" w:val="left"/>
        </w:tabs>
        <w:numPr>
          <w:ilvl w:val="0"/>
          <w:numId w:val="10"/>
        </w:numPr>
        <w:rPr>
          <w:rFonts w:ascii="Arial" w:cs="Arial" w:eastAsia="Arial" w:hAnsi="Arial"/>
          <w:sz w:val="19"/>
          <w:szCs w:val="19"/>
          <w:color w:val="auto"/>
        </w:rPr>
      </w:pPr>
      <w:r>
        <w:rPr>
          <w:rFonts w:ascii="Arial" w:cs="Arial" w:eastAsia="Arial" w:hAnsi="Arial"/>
          <w:sz w:val="19"/>
          <w:szCs w:val="19"/>
          <w:color w:val="auto"/>
        </w:rPr>
        <w:t>268-7455 jkane@newfortressenergy.com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Jake Suski</w:t>
      </w:r>
    </w:p>
    <w:p>
      <w:pPr>
        <w:ind w:right="7559" w:firstLine="8"/>
        <w:spacing w:after="0" w:line="308" w:lineRule="auto"/>
        <w:tabs>
          <w:tab w:leader="none" w:pos="522" w:val="left"/>
        </w:tabs>
        <w:numPr>
          <w:ilvl w:val="0"/>
          <w:numId w:val="11"/>
        </w:numPr>
        <w:rPr>
          <w:rFonts w:ascii="Arial" w:cs="Arial" w:eastAsia="Arial" w:hAnsi="Arial"/>
          <w:sz w:val="19"/>
          <w:szCs w:val="19"/>
          <w:color w:val="auto"/>
        </w:rPr>
      </w:pPr>
      <w:r>
        <w:rPr>
          <w:rFonts w:ascii="Arial" w:cs="Arial" w:eastAsia="Arial" w:hAnsi="Arial"/>
          <w:sz w:val="19"/>
          <w:szCs w:val="19"/>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Exhibits –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spacing w:after="0" w:line="14" w:lineRule="exact"/>
        <w:rPr>
          <w:sz w:val="20"/>
          <w:szCs w:val="20"/>
          <w:color w:val="auto"/>
        </w:rPr>
      </w:pPr>
    </w:p>
    <w:p>
      <w:pPr>
        <w:ind w:right="4260"/>
        <w:spacing w:after="0" w:line="308" w:lineRule="auto"/>
        <w:rPr>
          <w:sz w:val="20"/>
          <w:szCs w:val="20"/>
          <w:color w:val="auto"/>
        </w:rPr>
      </w:pPr>
      <w:r>
        <w:rPr>
          <w:rFonts w:ascii="Arial" w:cs="Arial" w:eastAsia="Arial" w:hAnsi="Arial"/>
          <w:sz w:val="19"/>
          <w:szCs w:val="19"/>
          <w:b w:val="1"/>
          <w:bCs w:val="1"/>
          <w:color w:val="auto"/>
        </w:rPr>
        <w:t>For the three months ended September 30, 2019 and December 31, 2019 (unaudited, in thousands of U.S. dollars, except share and per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tcBorders>
              <w:top w:val="single" w:sz="8" w:color="auto"/>
            </w:tcBorders>
            <w:gridSpan w:val="4"/>
          </w:tcPr>
          <w:p>
            <w:pPr>
              <w:jc w:val="right"/>
              <w:ind w:right="1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revenue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35,345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revenues</w:t>
            </w: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45,832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40,913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mitigation sales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loss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(47,726)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before taxes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Tax expense (benefit)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47,701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loss attributable to stockholders</w:t>
            </w:r>
          </w:p>
        </w:tc>
        <w:tc>
          <w:tcPr>
            <w:tcW w:w="1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22,692,104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24,330,516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(54,424)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currency translation adjustment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Unrealized loss (gain) on available-for-sale investment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(54,567)</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31,092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98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(6,742)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82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Non-GAAP Operating Margin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5"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We define non-GAAP operating margin as GAAP net loss, adjusted for selling, general and administrative expense, loss on mitigation sales, depreciation and amortization, interest expense, other expense (income), net and tax expense (benefit).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7"/>
              </w:rPr>
              <w:t>For the three months ended,</w:t>
            </w:r>
          </w:p>
        </w:tc>
      </w:tr>
      <w:tr>
        <w:trPr>
          <w:trHeight w:val="241"/>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5"/>
              </w:rPr>
              <w:t>September 30, 2019</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30,091</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Loss on mitigation sales</w:t>
            </w: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5,280</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4,955</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w:t>
            </w:r>
          </w:p>
        </w:tc>
      </w:tr>
      <w:tr>
        <w:trPr>
          <w:trHeight w:val="223"/>
        </w:trPr>
        <w:tc>
          <w:tcPr>
            <w:tcW w:w="20" w:type="dxa"/>
            <w:vAlign w:val="bottom"/>
          </w:tcPr>
          <w:p>
            <w:pPr>
              <w:spacing w:after="0"/>
              <w:rPr>
                <w:sz w:val="19"/>
                <w:szCs w:val="19"/>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57"/>
        </w:trPr>
        <w:tc>
          <w:tcPr>
            <w:tcW w:w="20" w:type="dxa"/>
            <w:vAlign w:val="bottom"/>
          </w:tcPr>
          <w:p>
            <w:pPr>
              <w:spacing w:after="0"/>
              <w:rPr>
                <w:sz w:val="22"/>
                <w:szCs w:val="22"/>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20" w:type="dxa"/>
            <w:vAlign w:val="bottom"/>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December 31, 2019 and 2018</w:t>
      </w:r>
    </w:p>
    <w:p>
      <w:pPr>
        <w:spacing w:after="0"/>
        <w:rPr>
          <w:sz w:val="20"/>
          <w:szCs w:val="20"/>
          <w:color w:val="auto"/>
        </w:rPr>
      </w:pPr>
      <w:r>
        <w:rPr>
          <w:rFonts w:ascii="Arial" w:cs="Arial" w:eastAsia="Arial" w:hAnsi="Arial"/>
          <w:sz w:val="22"/>
          <w:szCs w:val="22"/>
          <w:b w:val="1"/>
          <w:bCs w:val="1"/>
          <w:color w:val="auto"/>
        </w:rPr>
        <w:t>(in thousands of U.S. dollars,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 of allowances of $0 and $257,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Finance leases,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Investment in equity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81,626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facility</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Due to affiliates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736,490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6"/>
              </w:rPr>
              <w:t>Members’ capital, no par value, 500,000,000 shares authorized, 67,983,095 shares issued and outstanding as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December 31, 2018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426,741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Class A shares, 23,607,096 shares, issued and outstanding as of December 31, 2019;0 shares issued and outstanding</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of December 31, 2018</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0"/>
              </w:rPr>
              <w:t>Class B shares, 144,342,572 shares, issued and outstanding as of December 31, 2019;0 shares issued and outstanding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as of December 31, 2018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302,519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1,123,814</w:t>
            </w:r>
          </w:p>
        </w:tc>
        <w:tc>
          <w:tcPr>
            <w:tcW w:w="14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699,402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years ended December 31, 2019, 2018 and 2017</w:t>
      </w:r>
    </w:p>
    <w:p>
      <w:pPr>
        <w:spacing w:after="0"/>
        <w:rPr>
          <w:sz w:val="20"/>
          <w:szCs w:val="20"/>
          <w:color w:val="auto"/>
        </w:rPr>
      </w:pPr>
      <w:r>
        <w:rPr>
          <w:rFonts w:ascii="Arial" w:cs="Arial" w:eastAsia="Arial" w:hAnsi="Arial"/>
          <w:sz w:val="22"/>
          <w:szCs w:val="22"/>
          <w:b w:val="1"/>
          <w:bCs w:val="1"/>
          <w:color w:val="auto"/>
        </w:rPr>
        <w:t>(in thousands of U.S. dollars,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96,906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189,125</w:t>
            </w:r>
          </w:p>
        </w:tc>
        <w:tc>
          <w:tcPr>
            <w:tcW w:w="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183,359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95,742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mitigation sales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376,400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(2,807)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(203,880)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(78,520)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(204,319)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(78,182)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b w:val="1"/>
                <w:bCs w:val="1"/>
                <w:color w:val="auto"/>
              </w:rPr>
              <w:t>Net loss attributable to stockholders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(33,809)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(78,076)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1"/>
        </w:trPr>
        <w:tc>
          <w:tcPr>
            <w:tcW w:w="75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20,862,555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(78,182)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Unrealized loss on currency translation adjustment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available-for-sale investment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(204,538)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(80,859)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170,699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(33,839)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(80,753)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years ended December 31, 2019, 2018 and 2017</w:t>
      </w:r>
    </w:p>
    <w:p>
      <w:pPr>
        <w:spacing w:after="0"/>
        <w:rPr>
          <w:sz w:val="20"/>
          <w:szCs w:val="20"/>
          <w:color w:val="auto"/>
        </w:rPr>
      </w:pPr>
      <w:r>
        <w:rPr>
          <w:rFonts w:ascii="Arial" w:cs="Arial" w:eastAsia="Arial" w:hAnsi="Arial"/>
          <w:sz w:val="22"/>
          <w:szCs w:val="22"/>
          <w:b w:val="1"/>
          <w:bCs w:val="1"/>
          <w:color w:val="auto"/>
        </w:rPr>
        <w:t>(in thousands of U.S.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(78,182)</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for: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value of investment in equity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mitigation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receivables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in inventories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(50,345)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(39,344)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accounts payable/accrued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amounts due to affiliates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other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investment in equity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(377,051)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(181,151)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Principal payments received on finance lease,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consolidated subsidiary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(376,164)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(184,455)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borrowings of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280,600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(8,259)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IPO</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274,948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affiliate note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contributed from Members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stock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Collection of subscription receivable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100,853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118,331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189,121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Changes in accounts payable and accrued liabilities associated with construction in progress and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additions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(48,150)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74,280</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capitalized interest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paid for taxes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87"/>
        </w:trPr>
        <w:tc>
          <w:tcPr>
            <w:tcW w:w="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12"/>
    </w:lvl>
  </w:abstractNum>
  <w:abstractNum w:abstractNumId="9">
    <w:nsid w:val="216231B"/>
    <w:multiLevelType w:val="hybridMultilevel"/>
    <w:lvl w:ilvl="0">
      <w:lvlJc w:val="left"/>
      <w:lvlText w:val="(%1)"/>
      <w:numFmt w:val="decimal"/>
      <w:start w:val="516"/>
    </w:lvl>
  </w:abstractNum>
  <w:abstractNum w:abstractNumId="10">
    <w:nsid w:val="1F16E9E8"/>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2020-03-04T05:07:54Z</dcterms:created>
  <dcterms:modified xsi:type="dcterms:W3CDTF">2020-03-04T05:07:54Z</dcterms:modified>
</cp:coreProperties>
</file>