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May 4, 2020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40"/>
          </w:cols>
          <w:pgMar w:left="320" w:top="535" w:right="379" w:bottom="1440" w:gutter="0" w:footer="0" w:header="0"/>
          <w:type w:val="continuous"/>
        </w:sectPr>
      </w:pPr>
    </w:p>
    <w:p>
      <w:pPr>
        <w:spacing w:after="0" w:line="251"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Street, 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ind w:left="2200"/>
        <w:spacing w:after="0"/>
        <w:tabs>
          <w:tab w:leader="none" w:pos="826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9" w:lineRule="exact"/>
        <w:rPr>
          <w:sz w:val="24"/>
          <w:szCs w:val="24"/>
          <w:color w:val="auto"/>
        </w:rPr>
      </w:pPr>
    </w:p>
    <w:p>
      <w:pPr>
        <w:ind w:left="130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200"/>
          </w:cols>
          <w:pgMar w:left="320" w:top="535" w:right="379" w:bottom="1440" w:gutter="0" w:footer="0" w:header="0"/>
          <w:type w:val="continuous"/>
        </w:sect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80" w:type="dxa"/>
            <w:vAlign w:val="bottom"/>
          </w:tcPr>
          <w:p>
            <w:pPr>
              <w:spacing w:after="0"/>
              <w:rPr>
                <w:sz w:val="18"/>
                <w:szCs w:val="18"/>
                <w:color w:val="auto"/>
              </w:rPr>
            </w:pPr>
          </w:p>
        </w:tc>
      </w:tr>
      <w:tr>
        <w:trPr>
          <w:trHeight w:val="196"/>
        </w:trPr>
        <w:tc>
          <w:tcPr>
            <w:tcW w:w="1420" w:type="dxa"/>
            <w:vAlign w:val="bottom"/>
          </w:tcPr>
          <w:p>
            <w:pPr>
              <w:spacing w:after="0"/>
              <w:rPr>
                <w:sz w:val="17"/>
                <w:szCs w:val="17"/>
                <w:color w:val="auto"/>
              </w:rPr>
            </w:pPr>
          </w:p>
        </w:tc>
        <w:tc>
          <w:tcPr>
            <w:tcW w:w="3360" w:type="dxa"/>
            <w:vAlign w:val="bottom"/>
            <w:gridSpan w:val="2"/>
          </w:tcPr>
          <w:p>
            <w:pPr>
              <w:jc w:val="center"/>
              <w:ind w:right="2060"/>
              <w:spacing w:after="0" w:line="196" w:lineRule="exact"/>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1"/>
              </w:rPr>
              <w:t>Trading Symbol(s)</w:t>
            </w:r>
          </w:p>
        </w:tc>
        <w:tc>
          <w:tcPr>
            <w:tcW w:w="252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auto"/>
                <w:w w:val="89"/>
              </w:rPr>
              <w:t>registered</w:t>
            </w:r>
          </w:p>
        </w:tc>
      </w:tr>
      <w:tr>
        <w:trPr>
          <w:trHeight w:val="20"/>
        </w:trPr>
        <w:tc>
          <w:tcPr>
            <w:tcW w:w="1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47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Class A shares, representing limited liability company</w:t>
            </w:r>
          </w:p>
        </w:tc>
        <w:tc>
          <w:tcPr>
            <w:tcW w:w="28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9"/>
              </w:rPr>
              <w:t>“NFE”</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336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85"/>
              </w:rPr>
              <w:t>interests</w:t>
            </w: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2" w:lineRule="exact"/>
        <w:rPr>
          <w:sz w:val="24"/>
          <w:szCs w:val="24"/>
          <w:color w:val="auto"/>
        </w:rPr>
      </w:pPr>
    </w:p>
    <w:p>
      <w:pPr>
        <w:ind w:right="3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Emerging growth company</w:t>
      </w:r>
    </w:p>
    <w:p>
      <w:pPr>
        <w:spacing w:after="0" w:line="23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On May 4, 2020, New Fortress Energy LLC (“NFE” or the “Company”) issued a press release announcing the Company’s financial and operating results for its fiscal quarter ended March 31, 2020. A copy of the Company’s press release is attached to this Current Report on Form 8-K (the “Current Report”) as Exhibit 99.1 and is incorporated herein solely for purposes of this Item 2.02 disclosure.</w:t>
      </w:r>
    </w:p>
    <w:p>
      <w:pPr>
        <w:spacing w:after="0" w:line="212"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tcPr>
          <w:p>
            <w:pPr>
              <w:spacing w:after="0"/>
              <w:rPr>
                <w:sz w:val="18"/>
                <w:szCs w:val="18"/>
                <w:color w:val="auto"/>
              </w:rPr>
            </w:pPr>
          </w:p>
        </w:tc>
        <w:tc>
          <w:tcPr>
            <w:tcW w:w="98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9820" w:type="dxa"/>
            <w:vAlign w:val="bottom"/>
            <w:tcBorders>
              <w:bottom w:val="single" w:sz="8" w:color="auto"/>
            </w:tcBorders>
          </w:tcPr>
          <w:p>
            <w:pPr>
              <w:jc w:val="right"/>
              <w:ind w:right="437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200" w:type="dxa"/>
            <w:vAlign w:val="bottom"/>
          </w:tcPr>
          <w:p>
            <w:pPr>
              <w:jc w:val="center"/>
              <w:spacing w:after="0"/>
              <w:rPr>
                <w:rFonts w:ascii="Arial" w:cs="Arial" w:eastAsia="Arial" w:hAnsi="Arial"/>
                <w:sz w:val="18"/>
                <w:szCs w:val="18"/>
                <w:u w:val="single" w:color="auto"/>
                <w:color w:val="0000EE"/>
                <w:w w:val="85"/>
              </w:rPr>
            </w:pPr>
            <w:hyperlink w:anchor="page4">
              <w:r>
                <w:rPr>
                  <w:rFonts w:ascii="Arial" w:cs="Arial" w:eastAsia="Arial" w:hAnsi="Arial"/>
                  <w:sz w:val="18"/>
                  <w:szCs w:val="18"/>
                  <w:u w:val="single" w:color="auto"/>
                  <w:color w:val="0000EE"/>
                  <w:w w:val="85"/>
                </w:rPr>
                <w:t>99.1</w:t>
              </w:r>
            </w:hyperlink>
          </w:p>
        </w:tc>
        <w:tc>
          <w:tcPr>
            <w:tcW w:w="220" w:type="dxa"/>
            <w:vAlign w:val="bottom"/>
          </w:tcPr>
          <w:p>
            <w:pPr>
              <w:spacing w:after="0"/>
              <w:rPr>
                <w:sz w:val="20"/>
                <w:szCs w:val="20"/>
                <w:color w:val="auto"/>
              </w:rPr>
            </w:pPr>
          </w:p>
        </w:tc>
        <w:tc>
          <w:tcPr>
            <w:tcW w:w="9820" w:type="dxa"/>
            <w:vAlign w:val="bottom"/>
          </w:tcPr>
          <w:p>
            <w:pPr>
              <w:jc w:val="right"/>
              <w:ind w:right="4590"/>
              <w:spacing w:after="0"/>
              <w:rPr>
                <w:sz w:val="20"/>
                <w:szCs w:val="20"/>
                <w:color w:val="auto"/>
              </w:rPr>
            </w:pPr>
            <w:r>
              <w:rPr>
                <w:rFonts w:ascii="Arial" w:cs="Arial" w:eastAsia="Arial" w:hAnsi="Arial"/>
                <w:sz w:val="18"/>
                <w:szCs w:val="18"/>
                <w:color w:val="auto"/>
                <w:w w:val="89"/>
              </w:rPr>
              <w:t>Press Release, dated May 4, 2020, issued by New Fortress Energy LLC</w:t>
            </w:r>
          </w:p>
        </w:tc>
      </w:tr>
      <w:tr>
        <w:trPr>
          <w:trHeight w:val="568"/>
        </w:trPr>
        <w:tc>
          <w:tcPr>
            <w:tcW w:w="1200" w:type="dxa"/>
            <w:vAlign w:val="bottom"/>
          </w:tcPr>
          <w:p>
            <w:pPr>
              <w:spacing w:after="0"/>
              <w:rPr>
                <w:sz w:val="24"/>
                <w:szCs w:val="24"/>
                <w:color w:val="auto"/>
              </w:rPr>
            </w:pPr>
          </w:p>
        </w:tc>
        <w:tc>
          <w:tcPr>
            <w:tcW w:w="10040" w:type="dxa"/>
            <w:vAlign w:val="bottom"/>
            <w:gridSpan w:val="2"/>
          </w:tcPr>
          <w:p>
            <w:pPr>
              <w:jc w:val="right"/>
              <w:ind w:right="5490"/>
              <w:spacing w:after="0"/>
              <w:rPr>
                <w:sz w:val="20"/>
                <w:szCs w:val="20"/>
                <w:color w:val="auto"/>
              </w:rPr>
            </w:pPr>
            <w:r>
              <w:rPr>
                <w:rFonts w:ascii="Arial" w:cs="Arial" w:eastAsia="Arial" w:hAnsi="Arial"/>
                <w:sz w:val="14"/>
                <w:szCs w:val="14"/>
                <w:color w:val="auto"/>
              </w:rPr>
              <w:t>2</w:t>
            </w:r>
          </w:p>
        </w:tc>
      </w:tr>
      <w:tr>
        <w:trPr>
          <w:trHeight w:val="46"/>
        </w:trPr>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2"/>
          </w:tcPr>
          <w:p>
            <w:pPr>
              <w:ind w:left="2380"/>
              <w:spacing w:after="0"/>
              <w:rPr>
                <w:sz w:val="20"/>
                <w:szCs w:val="20"/>
                <w:color w:val="auto"/>
              </w:rPr>
            </w:pPr>
            <w:r>
              <w:rPr>
                <w:rFonts w:ascii="Arial" w:cs="Arial" w:eastAsia="Arial" w:hAnsi="Arial"/>
                <w:sz w:val="18"/>
                <w:szCs w:val="18"/>
                <w:b w:val="1"/>
                <w:bCs w:val="1"/>
                <w:color w:val="auto"/>
              </w:rPr>
              <w:t>NEW FORTRESS ENERGY LLC</w:t>
            </w:r>
          </w:p>
        </w:tc>
      </w:tr>
      <w:tr>
        <w:trPr>
          <w:trHeight w:val="439"/>
        </w:trPr>
        <w:tc>
          <w:tcPr>
            <w:tcW w:w="3260" w:type="dxa"/>
            <w:vAlign w:val="bottom"/>
          </w:tcPr>
          <w:p>
            <w:pPr>
              <w:spacing w:after="0"/>
              <w:rPr>
                <w:sz w:val="20"/>
                <w:szCs w:val="20"/>
                <w:color w:val="auto"/>
              </w:rPr>
            </w:pPr>
            <w:r>
              <w:rPr>
                <w:rFonts w:ascii="Arial" w:cs="Arial" w:eastAsia="Arial" w:hAnsi="Arial"/>
                <w:sz w:val="18"/>
                <w:szCs w:val="18"/>
                <w:color w:val="auto"/>
              </w:rPr>
              <w:t>May 5, 2020</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260" w:type="dxa"/>
            <w:vAlign w:val="bottom"/>
          </w:tcPr>
          <w:p>
            <w:pPr>
              <w:spacing w:after="0"/>
              <w:rPr>
                <w:sz w:val="17"/>
                <w:szCs w:val="17"/>
                <w:color w:val="auto"/>
              </w:rPr>
            </w:pPr>
          </w:p>
        </w:tc>
        <w:tc>
          <w:tcPr>
            <w:tcW w:w="2940" w:type="dxa"/>
            <w:vAlign w:val="bottom"/>
          </w:tcPr>
          <w:p>
            <w:pPr>
              <w:ind w:left="238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260" w:type="dxa"/>
            <w:vAlign w:val="bottom"/>
          </w:tcPr>
          <w:p>
            <w:pPr>
              <w:spacing w:after="0"/>
              <w:rPr>
                <w:sz w:val="20"/>
                <w:szCs w:val="20"/>
                <w:color w:val="auto"/>
              </w:rPr>
            </w:pPr>
          </w:p>
        </w:tc>
        <w:tc>
          <w:tcPr>
            <w:tcW w:w="2940" w:type="dxa"/>
            <w:vAlign w:val="bottom"/>
          </w:tcPr>
          <w:p>
            <w:pPr>
              <w:ind w:left="23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9"/>
        </w:trPr>
        <w:tc>
          <w:tcPr>
            <w:tcW w:w="3260" w:type="dxa"/>
            <w:vAlign w:val="bottom"/>
          </w:tcPr>
          <w:p>
            <w:pPr>
              <w:spacing w:after="0"/>
              <w:rPr>
                <w:sz w:val="24"/>
                <w:szCs w:val="24"/>
                <w:color w:val="auto"/>
              </w:rPr>
            </w:pPr>
          </w:p>
        </w:tc>
        <w:tc>
          <w:tcPr>
            <w:tcW w:w="2940" w:type="dxa"/>
            <w:vAlign w:val="bottom"/>
          </w:tcPr>
          <w:p>
            <w:pPr>
              <w:ind w:left="2320"/>
              <w:spacing w:after="0"/>
              <w:rPr>
                <w:sz w:val="20"/>
                <w:szCs w:val="20"/>
                <w:color w:val="auto"/>
              </w:rPr>
            </w:pPr>
            <w:r>
              <w:rPr>
                <w:rFonts w:ascii="Arial" w:cs="Arial" w:eastAsia="Arial" w:hAnsi="Arial"/>
                <w:sz w:val="14"/>
                <w:szCs w:val="14"/>
                <w:color w:val="auto"/>
              </w:rPr>
              <w:t>3</w:t>
            </w:r>
          </w:p>
        </w:tc>
        <w:tc>
          <w:tcPr>
            <w:tcW w:w="5040" w:type="dxa"/>
            <w:vAlign w:val="bottom"/>
          </w:tcPr>
          <w:p>
            <w:pPr>
              <w:spacing w:after="0"/>
              <w:rPr>
                <w:sz w:val="24"/>
                <w:szCs w:val="24"/>
                <w:color w:val="auto"/>
              </w:rPr>
            </w:pPr>
          </w:p>
        </w:tc>
      </w:tr>
      <w:tr>
        <w:trPr>
          <w:trHeight w:val="100"/>
        </w:trPr>
        <w:tc>
          <w:tcPr>
            <w:tcW w:w="326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4305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Announces First Quarter 2020 Results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May 4, 2020</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NEW YORK -- New Fortress Energy LLC (NASDAQ: NFE) (“NFE” or the “Company”) today reported its financial results for the first quarter ending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Highlights</w:t>
      </w:r>
    </w:p>
    <w:p>
      <w:pPr>
        <w:spacing w:after="0" w:line="19" w:lineRule="exact"/>
        <w:rPr>
          <w:sz w:val="20"/>
          <w:szCs w:val="20"/>
          <w:color w:val="auto"/>
        </w:rPr>
      </w:pPr>
    </w:p>
    <w:p>
      <w:pPr>
        <w:ind w:left="1300" w:right="920" w:hanging="968"/>
        <w:spacing w:after="0" w:line="281" w:lineRule="auto"/>
        <w:tabs>
          <w:tab w:leader="none" w:pos="65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Record volumes were achieved in the first quarter and for the first time exceeded 1,650,000 gallons per day (“GPD”) in April 2020 Average daily volumes sold in Q1 2020 were in excess of 750,000 gallons per day which is a 200,000 increase from Q4 2019 Gallons per day volumes are expected to be between 1,500,000 and 2,500,000 on average for the remainder of 2020</w:t>
      </w:r>
    </w:p>
    <w:p>
      <w:pPr>
        <w:spacing w:after="0" w:line="1" w:lineRule="exact"/>
        <w:rPr>
          <w:rFonts w:ascii="Arial" w:cs="Arial" w:eastAsia="Arial" w:hAnsi="Arial"/>
          <w:sz w:val="16"/>
          <w:szCs w:val="16"/>
          <w:color w:val="auto"/>
        </w:rPr>
      </w:pPr>
    </w:p>
    <w:p>
      <w:pPr>
        <w:ind w:left="1300"/>
        <w:spacing w:after="0" w:line="249" w:lineRule="auto"/>
        <w:rPr>
          <w:rFonts w:ascii="Arial" w:cs="Arial" w:eastAsia="Arial" w:hAnsi="Arial"/>
          <w:sz w:val="16"/>
          <w:szCs w:val="16"/>
          <w:color w:val="auto"/>
        </w:rPr>
      </w:pPr>
      <w:r>
        <w:rPr>
          <w:rFonts w:ascii="Arial" w:cs="Arial" w:eastAsia="Arial" w:hAnsi="Arial"/>
          <w:sz w:val="18"/>
          <w:szCs w:val="18"/>
          <w:color w:val="auto"/>
        </w:rPr>
        <w:t>As development projects reach full commercial operations, the Company expects Operating Margin to expand as asset utilization is enhanced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terminals in Jamaica and Puerto Rico are complete and fully operational</w:t>
      </w:r>
    </w:p>
    <w:p>
      <w:pPr>
        <w:spacing w:after="0" w:line="9" w:lineRule="exact"/>
        <w:rPr>
          <w:rFonts w:ascii="Arial" w:cs="Arial" w:eastAsia="Arial" w:hAnsi="Arial"/>
          <w:sz w:val="18"/>
          <w:szCs w:val="18"/>
          <w:color w:val="auto"/>
        </w:rPr>
      </w:pPr>
    </w:p>
    <w:p>
      <w:pPr>
        <w:ind w:left="1300"/>
        <w:spacing w:after="0" w:line="191" w:lineRule="auto"/>
        <w:rPr>
          <w:rFonts w:ascii="Arial" w:cs="Arial" w:eastAsia="Arial" w:hAnsi="Arial"/>
          <w:sz w:val="18"/>
          <w:szCs w:val="18"/>
          <w:color w:val="auto"/>
        </w:rPr>
      </w:pPr>
      <w:r>
        <w:rPr>
          <w:rFonts w:ascii="Arial" w:cs="Arial" w:eastAsia="Arial" w:hAnsi="Arial"/>
          <w:sz w:val="18"/>
          <w:szCs w:val="18"/>
          <w:color w:val="auto"/>
        </w:rPr>
        <w:t>Jamalco CHP Plant declared COD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on March 3, 2020; we are now consistently delivering approximately 100 MW of power to the Jamaican grid and 300 klbs per hour of steam to Jamalco from the Jamalco CHP Plant</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Our Puerto Rico Facility commenced delivering natural gas to San Juan Units 5 &amp; 6</w:t>
      </w:r>
    </w:p>
    <w:p>
      <w:pPr>
        <w:spacing w:after="0" w:line="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pipeline is very robust</w:t>
      </w:r>
    </w:p>
    <w:p>
      <w:pPr>
        <w:spacing w:after="0" w:line="7" w:lineRule="exact"/>
        <w:rPr>
          <w:rFonts w:ascii="Arial" w:cs="Arial" w:eastAsia="Arial" w:hAnsi="Arial"/>
          <w:sz w:val="18"/>
          <w:szCs w:val="18"/>
          <w:color w:val="auto"/>
        </w:rPr>
      </w:pPr>
    </w:p>
    <w:p>
      <w:pPr>
        <w:ind w:left="1300"/>
        <w:spacing w:after="0" w:line="200" w:lineRule="auto"/>
        <w:rPr>
          <w:rFonts w:ascii="Arial" w:cs="Arial" w:eastAsia="Arial" w:hAnsi="Arial"/>
          <w:sz w:val="18"/>
          <w:szCs w:val="18"/>
          <w:color w:val="auto"/>
        </w:rPr>
      </w:pPr>
      <w:r>
        <w:rPr>
          <w:rFonts w:ascii="Arial" w:cs="Arial" w:eastAsia="Arial" w:hAnsi="Arial"/>
          <w:sz w:val="17"/>
          <w:szCs w:val="17"/>
          <w:color w:val="auto"/>
        </w:rPr>
        <w:t>We continue to focus on 10 key markets with 5 of them having terminals that are either Operational</w:t>
      </w:r>
      <w:r>
        <w:rPr>
          <w:rFonts w:ascii="Arial" w:cs="Arial" w:eastAsia="Arial" w:hAnsi="Arial"/>
          <w:sz w:val="28"/>
          <w:szCs w:val="28"/>
          <w:color w:val="auto"/>
          <w:vertAlign w:val="superscript"/>
        </w:rPr>
        <w:t>(2)</w:t>
      </w:r>
      <w:r>
        <w:rPr>
          <w:rFonts w:ascii="Arial" w:cs="Arial" w:eastAsia="Arial" w:hAnsi="Arial"/>
          <w:sz w:val="17"/>
          <w:szCs w:val="17"/>
          <w:color w:val="auto"/>
        </w:rPr>
        <w:t>, Under Development</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or In Discussions</w:t>
      </w:r>
    </w:p>
    <w:p>
      <w:pPr>
        <w:ind w:left="980"/>
        <w:spacing w:after="0" w:line="181" w:lineRule="auto"/>
        <w:rPr>
          <w:rFonts w:ascii="Arial" w:cs="Arial" w:eastAsia="Arial" w:hAnsi="Arial"/>
          <w:sz w:val="18"/>
          <w:szCs w:val="18"/>
          <w:color w:val="auto"/>
        </w:rPr>
      </w:pPr>
      <w:r>
        <w:rPr>
          <w:rFonts w:ascii="Arial" w:cs="Arial" w:eastAsia="Arial" w:hAnsi="Arial"/>
          <w:sz w:val="16"/>
          <w:szCs w:val="16"/>
          <w:color w:val="auto"/>
        </w:rPr>
        <w:t>Total Committed Volumes</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and In Discussion Volumes</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continue to be over 19 million GPD</w:t>
      </w:r>
      <w:r>
        <w:rPr>
          <w:rFonts w:ascii="Arial" w:cs="Arial" w:eastAsia="Arial" w:hAnsi="Arial"/>
          <w:sz w:val="25"/>
          <w:szCs w:val="25"/>
          <w:color w:val="auto"/>
          <w:vertAlign w:val="superscript"/>
        </w:rPr>
        <w:t>(6)</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during Q1 2020 did not materially impact financial results</w:t>
      </w:r>
    </w:p>
    <w:p>
      <w:pPr>
        <w:spacing w:after="0" w:line="7" w:lineRule="exact"/>
        <w:rPr>
          <w:rFonts w:ascii="Arial" w:cs="Arial" w:eastAsia="Arial" w:hAnsi="Arial"/>
          <w:sz w:val="18"/>
          <w:szCs w:val="18"/>
          <w:color w:val="auto"/>
        </w:rPr>
      </w:pPr>
    </w:p>
    <w:p>
      <w:pPr>
        <w:ind w:left="1300"/>
        <w:spacing w:after="0" w:line="250" w:lineRule="auto"/>
        <w:rPr>
          <w:rFonts w:ascii="Arial" w:cs="Arial" w:eastAsia="Arial" w:hAnsi="Arial"/>
          <w:sz w:val="18"/>
          <w:szCs w:val="18"/>
          <w:color w:val="auto"/>
        </w:rPr>
      </w:pPr>
      <w:r>
        <w:rPr>
          <w:rFonts w:ascii="Arial" w:cs="Arial" w:eastAsia="Arial" w:hAnsi="Arial"/>
          <w:sz w:val="18"/>
          <w:szCs w:val="18"/>
          <w:color w:val="auto"/>
        </w:rPr>
        <w:t>While the coronavirus has affected our customers and electricity demand in the markets we serve, power and gas remain an essential good</w:t>
      </w:r>
    </w:p>
    <w:p>
      <w:pPr>
        <w:ind w:left="980"/>
        <w:spacing w:after="0"/>
        <w:rPr>
          <w:rFonts w:ascii="Arial" w:cs="Arial" w:eastAsia="Arial" w:hAnsi="Arial"/>
          <w:sz w:val="18"/>
          <w:szCs w:val="18"/>
          <w:color w:val="auto"/>
        </w:rPr>
      </w:pPr>
      <w:r>
        <w:rPr>
          <w:rFonts w:ascii="Arial" w:cs="Arial" w:eastAsia="Arial" w:hAnsi="Arial"/>
          <w:sz w:val="18"/>
          <w:szCs w:val="18"/>
          <w:color w:val="auto"/>
        </w:rPr>
        <w:t>Customer receivables remain current and the business has ample liquidity to support operational demands and growth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Overview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198"/>
        </w:trPr>
        <w:tc>
          <w:tcPr>
            <w:tcW w:w="864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7"/>
                <w:szCs w:val="17"/>
                <w:color w:val="auto"/>
              </w:rPr>
            </w:pPr>
          </w:p>
        </w:tc>
      </w:tr>
      <w:tr>
        <w:trPr>
          <w:trHeight w:val="241"/>
        </w:trPr>
        <w:tc>
          <w:tcPr>
            <w:tcW w:w="8640" w:type="dxa"/>
            <w:vAlign w:val="bottom"/>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Average Volumes (k GPD)</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bl>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*Operating Margin is a non-GAAP financial measure. For definitions and reconciliations of non-GAAP results please refer to the exhibit to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by $4.7mm from Q4 2019 driven by an increase in volumes due to Jamalco CHP Plant coming online, partially offset by a 22% lower price of Henry Hub for the quarter along with lower development services revenue.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loss increased $21.7mm from Q4 2019 primarily driven by $8.9mm additional interest expense incurred associated with additional debt outstanding and a $9.6mm loss recognized as a result of the extinguishment of the previous term loan facility.</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 was impacted by a reduced price of Henry Hub and increased logistics costs of gas acquired from third parties during Q1 2020 compared to Q4 2019.</w:t>
      </w: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was approximately $20mm when excluding non-cash share-based compensation expense and non-capitalizable development related expenses.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refer to our Q1 2020 Investor Presentation for further information about the following terms:</w:t>
      </w:r>
    </w:p>
    <w:p>
      <w:pPr>
        <w:spacing w:after="0" w:line="8" w:lineRule="exact"/>
        <w:rPr>
          <w:sz w:val="20"/>
          <w:szCs w:val="20"/>
          <w:color w:val="auto"/>
        </w:rPr>
      </w:pPr>
    </w:p>
    <w:p>
      <w:pPr>
        <w:ind w:firstLine="8"/>
        <w:spacing w:after="0" w:line="230" w:lineRule="auto"/>
        <w:tabs>
          <w:tab w:leader="none" w:pos="242" w:val="left"/>
        </w:tabs>
        <w:numPr>
          <w:ilvl w:val="0"/>
          <w:numId w:val="5"/>
        </w:numPr>
        <w:rPr>
          <w:rFonts w:ascii="Arial" w:cs="Arial" w:eastAsia="Arial" w:hAnsi="Arial"/>
          <w:sz w:val="22"/>
          <w:szCs w:val="22"/>
          <w:i w:val="1"/>
          <w:iCs w:val="1"/>
          <w:color w:val="auto"/>
        </w:rPr>
      </w:pPr>
      <w:r>
        <w:rPr>
          <w:rFonts w:ascii="Arial" w:cs="Arial" w:eastAsia="Arial" w:hAnsi="Arial"/>
          <w:sz w:val="22"/>
          <w:szCs w:val="22"/>
          <w:i w:val="1"/>
          <w:iCs w:val="1"/>
          <w:color w:val="auto"/>
        </w:rPr>
        <w:t>“COD” means commercial operations date, as defined in the power purchase agreement between us and JPS, and as defined in the steam supply agreement between us and Jamalco.</w:t>
      </w:r>
    </w:p>
    <w:p>
      <w:pPr>
        <w:spacing w:after="0" w:line="1" w:lineRule="exact"/>
        <w:rPr>
          <w:rFonts w:ascii="Arial" w:cs="Arial" w:eastAsia="Arial" w:hAnsi="Arial"/>
          <w:sz w:val="22"/>
          <w:szCs w:val="22"/>
          <w:i w:val="1"/>
          <w:iCs w:val="1"/>
          <w:color w:val="auto"/>
        </w:rPr>
      </w:pPr>
    </w:p>
    <w:p>
      <w:pPr>
        <w:jc w:val="both"/>
        <w:ind w:firstLine="8"/>
        <w:spacing w:after="0" w:line="241" w:lineRule="auto"/>
        <w:tabs>
          <w:tab w:leader="none" w:pos="242" w:val="left"/>
        </w:tabs>
        <w:numPr>
          <w:ilvl w:val="0"/>
          <w:numId w:val="5"/>
        </w:numPr>
        <w:rPr>
          <w:rFonts w:ascii="Arial" w:cs="Arial" w:eastAsia="Arial" w:hAnsi="Arial"/>
          <w:sz w:val="21"/>
          <w:szCs w:val="21"/>
          <w:i w:val="1"/>
          <w:iCs w:val="1"/>
          <w:color w:val="auto"/>
        </w:rPr>
      </w:pPr>
      <w:r>
        <w:rPr>
          <w:rFonts w:ascii="Arial" w:cs="Arial" w:eastAsia="Arial" w:hAnsi="Arial"/>
          <w:sz w:val="21"/>
          <w:szCs w:val="21"/>
          <w:i w:val="1"/>
          <w:iCs w:val="1"/>
          <w:color w:val="auto"/>
        </w:rPr>
        <w:t>“Operational”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We cannot assure you if or when such projects will reach full commercial operations. Actual results could differ materially from the illustrations reflected in this presentation and there can be no assurance we will achieve our goals.</w:t>
      </w:r>
    </w:p>
    <w:p>
      <w:pPr>
        <w:spacing w:after="0" w:line="3" w:lineRule="exact"/>
        <w:rPr>
          <w:rFonts w:ascii="Arial" w:cs="Arial" w:eastAsia="Arial" w:hAnsi="Arial"/>
          <w:sz w:val="21"/>
          <w:szCs w:val="21"/>
          <w:i w:val="1"/>
          <w:iCs w:val="1"/>
          <w:color w:val="auto"/>
        </w:rPr>
      </w:pPr>
    </w:p>
    <w:p>
      <w:pPr>
        <w:jc w:val="both"/>
        <w:ind w:firstLine="8"/>
        <w:spacing w:after="0" w:line="266" w:lineRule="auto"/>
        <w:tabs>
          <w:tab w:leader="none" w:pos="241" w:val="left"/>
        </w:tabs>
        <w:numPr>
          <w:ilvl w:val="0"/>
          <w:numId w:val="5"/>
        </w:numPr>
        <w:rPr>
          <w:rFonts w:ascii="Arial" w:cs="Arial" w:eastAsia="Arial" w:hAnsi="Arial"/>
          <w:sz w:val="19"/>
          <w:szCs w:val="19"/>
          <w:i w:val="1"/>
          <w:iCs w:val="1"/>
          <w:color w:val="auto"/>
        </w:rPr>
      </w:pPr>
      <w:r>
        <w:rPr>
          <w:rFonts w:ascii="Arial" w:cs="Arial" w:eastAsia="Arial" w:hAnsi="Arial"/>
          <w:sz w:val="19"/>
          <w:szCs w:val="19"/>
          <w:i w:val="1"/>
          <w:iCs w:val="1"/>
          <w:color w:val="auto"/>
        </w:rPr>
        <w:t>“Under Development” or similar statuses means that we have taken steps and invested money to develop a facility, including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w:t>
      </w:r>
    </w:p>
    <w:p>
      <w:pPr>
        <w:spacing w:after="0" w:line="5" w:lineRule="exact"/>
        <w:rPr>
          <w:rFonts w:ascii="Arial" w:cs="Arial" w:eastAsia="Arial" w:hAnsi="Arial"/>
          <w:sz w:val="19"/>
          <w:szCs w:val="19"/>
          <w:i w:val="1"/>
          <w:iCs w:val="1"/>
          <w:color w:val="auto"/>
        </w:rPr>
      </w:pPr>
    </w:p>
    <w:p>
      <w:pPr>
        <w:jc w:val="both"/>
        <w:ind w:firstLine="8"/>
        <w:spacing w:after="0" w:line="230" w:lineRule="auto"/>
        <w:tabs>
          <w:tab w:leader="none" w:pos="268" w:val="left"/>
        </w:tabs>
        <w:numPr>
          <w:ilvl w:val="0"/>
          <w:numId w:val="5"/>
        </w:numPr>
        <w:rPr>
          <w:rFonts w:ascii="Arial" w:cs="Arial" w:eastAsia="Arial" w:hAnsi="Arial"/>
          <w:sz w:val="22"/>
          <w:szCs w:val="22"/>
          <w:i w:val="1"/>
          <w:iCs w:val="1"/>
          <w:color w:val="auto"/>
        </w:rPr>
      </w:pPr>
      <w:r>
        <w:rPr>
          <w:rFonts w:ascii="Arial" w:cs="Arial" w:eastAsia="Arial" w:hAnsi="Arial"/>
          <w:sz w:val="22"/>
          <w:szCs w:val="22"/>
          <w:i w:val="1"/>
          <w:iCs w:val="1"/>
          <w:color w:val="auto"/>
        </w:rPr>
        <w:t>“Committed Volumes” means our expected volumes to be sold to customers under (i) binding contracts, (ii) non-binding letters of intent, (iii) non-binding memorandums of understanding, (iv) binding or non-binding term sheets or (v)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are substantially in excess of such minimum volume commitments.</w:t>
      </w:r>
    </w:p>
    <w:p>
      <w:pPr>
        <w:spacing w:after="0" w:line="4" w:lineRule="exact"/>
        <w:rPr>
          <w:rFonts w:ascii="Arial" w:cs="Arial" w:eastAsia="Arial" w:hAnsi="Arial"/>
          <w:sz w:val="22"/>
          <w:szCs w:val="22"/>
          <w:i w:val="1"/>
          <w:iCs w:val="1"/>
          <w:color w:val="auto"/>
        </w:rPr>
      </w:pPr>
    </w:p>
    <w:p>
      <w:pPr>
        <w:jc w:val="both"/>
        <w:ind w:firstLine="8"/>
        <w:spacing w:after="0" w:line="241" w:lineRule="auto"/>
        <w:tabs>
          <w:tab w:leader="none" w:pos="236" w:val="left"/>
        </w:tabs>
        <w:numPr>
          <w:ilvl w:val="0"/>
          <w:numId w:val="5"/>
        </w:numPr>
        <w:rPr>
          <w:rFonts w:ascii="Arial" w:cs="Arial" w:eastAsia="Arial" w:hAnsi="Arial"/>
          <w:sz w:val="21"/>
          <w:szCs w:val="21"/>
          <w:i w:val="1"/>
          <w:iCs w:val="1"/>
          <w:color w:val="auto"/>
        </w:rPr>
      </w:pPr>
      <w:r>
        <w:rPr>
          <w:rFonts w:ascii="Arial" w:cs="Arial" w:eastAsia="Arial" w:hAnsi="Arial"/>
          <w:sz w:val="21"/>
          <w:szCs w:val="21"/>
          <w:i w:val="1"/>
          <w:iCs w:val="1"/>
          <w:color w:val="auto"/>
        </w:rPr>
        <w:t>“In Discussion”, “In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are substantially in excess of potential minimum volume commitments.</w:t>
      </w:r>
    </w:p>
    <w:p>
      <w:pPr>
        <w:spacing w:after="0" w:line="3" w:lineRule="exact"/>
        <w:rPr>
          <w:rFonts w:ascii="Arial" w:cs="Arial" w:eastAsia="Arial" w:hAnsi="Arial"/>
          <w:sz w:val="21"/>
          <w:szCs w:val="21"/>
          <w:i w:val="1"/>
          <w:iCs w:val="1"/>
          <w:color w:val="auto"/>
        </w:rPr>
      </w:pPr>
    </w:p>
    <w:p>
      <w:pPr>
        <w:ind w:firstLine="8"/>
        <w:spacing w:after="0" w:line="236" w:lineRule="auto"/>
        <w:tabs>
          <w:tab w:leader="none" w:pos="246" w:val="left"/>
        </w:tabs>
        <w:numPr>
          <w:ilvl w:val="0"/>
          <w:numId w:val="5"/>
        </w:numPr>
        <w:rPr>
          <w:rFonts w:ascii="Arial" w:cs="Arial" w:eastAsia="Arial" w:hAnsi="Arial"/>
          <w:sz w:val="22"/>
          <w:szCs w:val="22"/>
          <w:i w:val="1"/>
          <w:iCs w:val="1"/>
          <w:color w:val="auto"/>
        </w:rPr>
      </w:pPr>
      <w:r>
        <w:rPr>
          <w:rFonts w:ascii="Arial" w:cs="Arial" w:eastAsia="Arial" w:hAnsi="Arial"/>
          <w:sz w:val="22"/>
          <w:szCs w:val="22"/>
          <w:i w:val="1"/>
          <w:iCs w:val="1"/>
          <w:color w:val="auto"/>
        </w:rPr>
        <w:t>Based on Committed Volumes and In Discussion Volumes as of May 1, 2020 in total for all of Jamaica, Mexico, Puerto Rico and other countries with Committed Volumes and In Discussion Volumes.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Earnings Conference Call</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will host a conference call on Tuesday, May 5, 2020 at 8:00 A.M. Eastern Time. The conference call may be accessed by dialing (866) 953-0778 (from within the U.S.) or (630) 652-5853 (from outside of the U.S.) fifteen minutes prior to the scheduled start of the call; please reference “NFE First Quarter 2020 Earnings Call.”</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replay of the conference call will also be available after 11:00 A.M. on Tuesday May 5, 2020 through 11:00 P.M. on Tuesday, May 12, 2020 at (855) 859-2056 (from within the U.S.) or (404) 537-3406 (from outside of the U.S.), Passcode: 3085606.</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New Fortress Energy LLC</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New Fortress Energy (NASDAQ: NFE) is a global energy infrastructure company founded to help accelerate the world’s transition to clean energy. The company funds, builds and operates natural gas infrastructure and logistics to rapidly deliver fully-integrated,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w:t>
      </w:r>
    </w:p>
    <w:p>
      <w:pPr>
        <w:spacing w:after="0" w:line="1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and regasification operations. This measure excludes items that have little or no significance on day-to-day performance of our current liquefaction and regasification operations, including our corporate SG&amp;A, loss on mitigation sales, loss on extinguishment of debt, net, and other (income) expense.</w:t>
      </w:r>
    </w:p>
    <w:p>
      <w:pPr>
        <w:spacing w:after="0" w:line="21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and regasification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2"/>
          <w:szCs w:val="22"/>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Cautionary Statement Concerning Forward-Looking Statements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Certain statements contained in this press release constitute “forward-looking statements” including our expected volumes of LNG or production of power in particular jurisdictions; our expected volumes for Committed Volumes and In Discussion Volumes; the expectation that we will continue to capitalize on the depressed LNG market to expand Operating Margins; our expectation that we are able to fund Committed projects using current Cash on hand.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and risks that our downstream Committed projects costs are greater than we expect so the expected funding of such projects may not be possible. Accordingly, readers should not place undue reliance on forward-looking statements as a prediction of actual results.</w:t>
      </w:r>
    </w:p>
    <w:p>
      <w:pPr>
        <w:spacing w:after="0" w:line="200" w:lineRule="exact"/>
        <w:rPr>
          <w:sz w:val="20"/>
          <w:szCs w:val="20"/>
          <w:color w:val="auto"/>
        </w:rPr>
      </w:pP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Alan Andreini</w:t>
      </w:r>
    </w:p>
    <w:p>
      <w:pPr>
        <w:ind w:right="9160" w:firstLine="8"/>
        <w:spacing w:after="0" w:line="308" w:lineRule="auto"/>
        <w:tabs>
          <w:tab w:leader="none" w:pos="522" w:val="left"/>
        </w:tabs>
        <w:numPr>
          <w:ilvl w:val="0"/>
          <w:numId w:val="6"/>
        </w:numPr>
        <w:rPr>
          <w:rFonts w:ascii="Arial" w:cs="Arial" w:eastAsia="Arial" w:hAnsi="Arial"/>
          <w:sz w:val="19"/>
          <w:szCs w:val="19"/>
          <w:color w:val="auto"/>
        </w:rPr>
      </w:pPr>
      <w:r>
        <w:rPr>
          <w:rFonts w:ascii="Arial" w:cs="Arial" w:eastAsia="Arial" w:hAnsi="Arial"/>
          <w:sz w:val="19"/>
          <w:szCs w:val="19"/>
          <w:color w:val="auto"/>
        </w:rPr>
        <w:t>798-6128 aandreini@fortress.com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Joshua Kane</w:t>
      </w:r>
    </w:p>
    <w:p>
      <w:pPr>
        <w:spacing w:after="0" w:line="8" w:lineRule="exact"/>
        <w:rPr>
          <w:sz w:val="20"/>
          <w:szCs w:val="20"/>
          <w:color w:val="auto"/>
        </w:rPr>
      </w:pPr>
    </w:p>
    <w:p>
      <w:pPr>
        <w:ind w:right="8560" w:firstLine="8"/>
        <w:spacing w:after="0" w:line="308" w:lineRule="auto"/>
        <w:tabs>
          <w:tab w:leader="none" w:pos="522" w:val="left"/>
        </w:tabs>
        <w:numPr>
          <w:ilvl w:val="0"/>
          <w:numId w:val="7"/>
        </w:numPr>
        <w:rPr>
          <w:rFonts w:ascii="Arial" w:cs="Arial" w:eastAsia="Arial" w:hAnsi="Arial"/>
          <w:sz w:val="19"/>
          <w:szCs w:val="19"/>
          <w:color w:val="auto"/>
        </w:rPr>
      </w:pPr>
      <w:r>
        <w:rPr>
          <w:rFonts w:ascii="Arial" w:cs="Arial" w:eastAsia="Arial" w:hAnsi="Arial"/>
          <w:sz w:val="19"/>
          <w:szCs w:val="19"/>
          <w:color w:val="auto"/>
        </w:rPr>
        <w:t>268-7455 jkane@newfortressenergy.com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Jake Suski</w:t>
      </w:r>
    </w:p>
    <w:p>
      <w:pPr>
        <w:ind w:right="8580" w:firstLine="8"/>
        <w:spacing w:after="0" w:line="308" w:lineRule="auto"/>
        <w:tabs>
          <w:tab w:leader="none" w:pos="522" w:val="left"/>
        </w:tabs>
        <w:numPr>
          <w:ilvl w:val="0"/>
          <w:numId w:val="8"/>
        </w:numPr>
        <w:rPr>
          <w:rFonts w:ascii="Arial" w:cs="Arial" w:eastAsia="Arial" w:hAnsi="Arial"/>
          <w:sz w:val="19"/>
          <w:szCs w:val="19"/>
          <w:color w:val="auto"/>
        </w:rPr>
      </w:pPr>
      <w:r>
        <w:rPr>
          <w:rFonts w:ascii="Arial" w:cs="Arial" w:eastAsia="Arial" w:hAnsi="Arial"/>
          <w:sz w:val="19"/>
          <w:szCs w:val="19"/>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Exhibits – Financial Statements</w:t>
      </w:r>
    </w:p>
    <w:p>
      <w:pPr>
        <w:spacing w:after="0" w:line="228" w:lineRule="exact"/>
        <w:rPr>
          <w:sz w:val="20"/>
          <w:szCs w:val="20"/>
          <w:color w:val="auto"/>
        </w:rPr>
      </w:pPr>
    </w:p>
    <w:p>
      <w:pPr>
        <w:ind w:right="4060"/>
        <w:spacing w:after="0" w:line="300" w:lineRule="auto"/>
        <w:rPr>
          <w:sz w:val="20"/>
          <w:szCs w:val="20"/>
          <w:color w:val="auto"/>
        </w:rPr>
      </w:pPr>
      <w:r>
        <w:rPr>
          <w:rFonts w:ascii="Arial" w:cs="Arial" w:eastAsia="Arial" w:hAnsi="Arial"/>
          <w:sz w:val="19"/>
          <w:szCs w:val="19"/>
          <w:b w:val="1"/>
          <w:bCs w:val="1"/>
          <w:color w:val="auto"/>
        </w:rPr>
        <w:t>Condensed Consolidated Statements of Operations and Comprehensive Loss For the three months ended December 31, 2019 and March 31, 2020 (Unaudited, in thousands of U.S. dollars,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11,028</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69,752</w:t>
            </w: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68,216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28,370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mitigation sales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(36,001)</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(38,268)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(60,059)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(38,370)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(8,298)</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24,330,516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26,029,492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Unrealized loss on currency translation adjustment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52,073</w:t>
            </w: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00" w:type="dxa"/>
            <w:vAlign w:val="bottom"/>
            <w:shd w:val="clear" w:color="auto" w:fill="CCEEFF"/>
          </w:tcPr>
          <w:p>
            <w:pPr>
              <w:spacing w:after="0"/>
              <w:rPr>
                <w:sz w:val="22"/>
                <w:szCs w:val="22"/>
                <w:color w:val="auto"/>
              </w:rPr>
            </w:pPr>
          </w:p>
        </w:tc>
      </w:tr>
      <w:tr>
        <w:trPr>
          <w:trHeight w:val="419"/>
        </w:trPr>
        <w:tc>
          <w:tcPr>
            <w:tcW w:w="8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Non-GAAP Operating Margin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define non-GAAP operating margin as GAAP net loss, adjusted for selling, general and administrative expense, loss on mitigation sales, depreciation and amortization, interest expense, other expense (income), loss on extinguishment of debt, net and tax expense (benefit).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4"/>
              </w:rPr>
              <w:t>For the three months ended,</w:t>
            </w:r>
          </w:p>
        </w:tc>
        <w:tc>
          <w:tcPr>
            <w:tcW w:w="1140" w:type="dxa"/>
            <w:vAlign w:val="bottom"/>
          </w:tcPr>
          <w:p>
            <w:pPr>
              <w:spacing w:after="0"/>
              <w:rPr>
                <w:sz w:val="20"/>
                <w:szCs w:val="20"/>
                <w:color w:val="auto"/>
              </w:rPr>
            </w:pPr>
          </w:p>
        </w:tc>
      </w:tr>
      <w:tr>
        <w:trPr>
          <w:trHeight w:val="223"/>
        </w:trPr>
        <w:tc>
          <w:tcPr>
            <w:tcW w:w="7060" w:type="dxa"/>
            <w:vAlign w:val="bottom"/>
          </w:tcPr>
          <w:p>
            <w:pPr>
              <w:spacing w:after="0"/>
              <w:rPr>
                <w:sz w:val="19"/>
                <w:szCs w:val="19"/>
                <w:color w:val="auto"/>
              </w:rPr>
            </w:pPr>
          </w:p>
        </w:tc>
        <w:tc>
          <w:tcPr>
            <w:tcW w:w="16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December 31, 2019</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28,370</w:t>
            </w:r>
          </w:p>
        </w:tc>
        <w:tc>
          <w:tcPr>
            <w:tcW w:w="11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Loss on mitigation sales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1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w:t>
            </w:r>
          </w:p>
        </w:tc>
        <w:tc>
          <w:tcPr>
            <w:tcW w:w="11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13,890</w:t>
            </w:r>
          </w:p>
        </w:tc>
        <w:tc>
          <w:tcPr>
            <w:tcW w:w="11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114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c>
          <w:tcPr>
            <w:tcW w:w="11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r>
      <w:tr>
        <w:trPr>
          <w:trHeight w:val="27"/>
        </w:trPr>
        <w:tc>
          <w:tcPr>
            <w:tcW w:w="7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114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7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March 31, 2020 and December 31, 2019</w:t>
      </w:r>
    </w:p>
    <w:p>
      <w:pPr>
        <w:spacing w:after="0"/>
        <w:rPr>
          <w:sz w:val="20"/>
          <w:szCs w:val="20"/>
          <w:color w:val="auto"/>
        </w:rPr>
      </w:pPr>
      <w:r>
        <w:rPr>
          <w:rFonts w:ascii="Arial" w:cs="Arial" w:eastAsia="Arial" w:hAnsi="Arial"/>
          <w:sz w:val="22"/>
          <w:szCs w:val="22"/>
          <w:b w:val="1"/>
          <w:bCs w:val="1"/>
          <w:color w:val="auto"/>
        </w:rPr>
        <w:t>(Unaudited, in thousands of U.S. dollars,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32,512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$0 and $0,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28,602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63,432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39,734</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414,614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211,120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192,222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42,276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74,027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81,626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68,529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54,943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10,252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25,475</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151,651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102,263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945,209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619,057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14,929</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1,174,925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736,490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Class A shares, 24,820,003 shares issued and 24,236,495 outstanding as of March 31, 2020; 23,607,096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as of December 31, 2019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Treasury shares, 583,508 shares as of March 31, 2020, at cost; 0 shares at December 31, 2019, at cost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Class B shares, 144,342,572 shares, issued and outstanding as of March 31, 2020 and December 31, 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(55,427)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(45,823)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84,805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387,324</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Condensed Consolidated Statements of Operations and Comprehensive Loss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months ended March 31, 2020 and 2019</w:t>
      </w:r>
    </w:p>
    <w:p>
      <w:pPr>
        <w:spacing w:after="0"/>
        <w:rPr>
          <w:sz w:val="20"/>
          <w:szCs w:val="20"/>
          <w:color w:val="auto"/>
        </w:rPr>
      </w:pPr>
      <w:r>
        <w:rPr>
          <w:rFonts w:ascii="Arial" w:cs="Arial" w:eastAsia="Arial" w:hAnsi="Arial"/>
          <w:sz w:val="22"/>
          <w:szCs w:val="22"/>
          <w:b w:val="1"/>
          <w:bCs w:val="1"/>
          <w:color w:val="auto"/>
        </w:rPr>
        <w:t>(Unaudited, in thousands of U.S. dollars,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26,138</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33,349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49,749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mitigation sales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(59,337)</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(2,575)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(60,059)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(60,046)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(60,055)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(60,292)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(13,557)</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26,029,492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14,094,534</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(60,292)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Unrealized loss on currency translation adjustment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46,735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months ended March 31, 2020 and 2019</w:t>
      </w: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(60,292)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value of investment in equity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(Increase) in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(3,102)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in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(54,080)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right-of-use asset,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accounts payable/accrued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amounts due to affiliates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 lease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(51,311)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(31,048)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(136,281)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Principal payments received on finance lease,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832,144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(506,402)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IPO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274,948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offering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(6,105)</w:t>
            </w: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305,589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483,193</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198,230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316,148</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100,853</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291,265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417,001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additions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(32,946)</w:t>
            </w:r>
          </w:p>
        </w:tc>
      </w:tr>
      <w:tr>
        <w:trPr>
          <w:trHeight w:val="601"/>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12"/>
    </w:lvl>
  </w:abstractNum>
  <w:abstractNum w:abstractNumId="6">
    <w:nsid w:val="79E2A9E3"/>
    <w:multiLevelType w:val="hybridMultilevel"/>
    <w:lvl w:ilvl="0">
      <w:lvlJc w:val="left"/>
      <w:lvlText w:val="(%1)"/>
      <w:numFmt w:val="decimal"/>
      <w:start w:val="516"/>
    </w:lvl>
  </w:abstractNum>
  <w:abstractNum w:abstractNumId="7">
    <w:nsid w:val="7545E146"/>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2020-05-05T05:59:39Z</dcterms:created>
  <dcterms:modified xsi:type="dcterms:W3CDTF">2020-05-05T05:59:39Z</dcterms:modified>
</cp:coreProperties>
</file>