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NFE SMRS Holdings LLC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09/15/2020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396,792</w:t>
            </w:r>
            <w:r>
              <w:rPr>
                <w:rFonts w:ascii="Times New Roman" w:cs="Times New Roman" w:eastAsia="Times New Roman" w:hAnsi="Times New Roman"/>
                <w:sz w:val="22"/>
                <w:szCs w:val="22"/>
                <w:color w:val="008000"/>
                <w:w w:val="91"/>
                <w:vertAlign w:val="superscript"/>
              </w:rPr>
              <w:t>(1)(2)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31.88</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34,982,552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09/15/2020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20,310</w:t>
            </w:r>
            <w:r>
              <w:rPr>
                <w:rFonts w:ascii="Times New Roman" w:cs="Times New Roman" w:eastAsia="Times New Roman" w:hAnsi="Times New Roman"/>
                <w:sz w:val="22"/>
                <w:szCs w:val="22"/>
                <w:color w:val="008000"/>
                <w:w w:val="91"/>
                <w:vertAlign w:val="superscript"/>
              </w:rPr>
              <w:t>(1)(2)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32.7</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34,962,242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09/17/2020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224,903</w:t>
            </w:r>
            <w:r>
              <w:rPr>
                <w:rFonts w:ascii="Times New Roman" w:cs="Times New Roman" w:eastAsia="Times New Roman" w:hAnsi="Times New Roman"/>
                <w:sz w:val="22"/>
                <w:szCs w:val="22"/>
                <w:color w:val="008000"/>
                <w:w w:val="91"/>
                <w:vertAlign w:val="superscript"/>
              </w:rPr>
              <w:t>(1)(2)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34.35</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34,737,339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43180</wp:posOffset>
            </wp:positionV>
            <wp:extent cx="7014845" cy="1438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4845" cy="1438275"/>
                    </a:xfrm>
                    <a:prstGeom prst="rect">
                      <a:avLst/>
                    </a:prstGeom>
                    <a:noFill/>
                  </pic:spPr>
                </pic:pic>
              </a:graphicData>
            </a:graphic>
          </wp:anchor>
        </w:drawing>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NFE SMRS Holdings LLC</w:t>
              </w:r>
            </w:hyperlink>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Great Mountain Partners LLC</w:t>
              </w:r>
            </w:hyperlink>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Thomson Alexander</w:t>
              </w:r>
            </w:hyperlink>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-3952240</wp:posOffset>
            </wp:positionV>
            <wp:extent cx="2783840" cy="4323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83840" cy="432371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400" w:type="dxa"/>
            <w:vAlign w:val="bottom"/>
          </w:tcPr>
          <w:p>
            <w:pPr>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Rotolo Jonathan</w:t>
              </w:r>
            </w:hyperlink>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-2209165</wp:posOffset>
            </wp:positionV>
            <wp:extent cx="2783840" cy="2276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pacing w:after="0" w:line="20"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(1) on September 15, 2020 at prices ranging from $31.40 to $32.39 for the sale of 396,792 shares and a range of $32.40 to $33.15 for the sale of 20,310 shares and (2) on September 17, 2020 at prices ranging from $34.00 to $34.545. The undersigned undertakes to provide New Fortress Energy Inc. ("NFE"), any security holder of NFE or the staff of the Securities and Exchange Commission, upon request, full information regarding the number of shares sold at each separate price within the ranges set forth in footnote (3) to this Form 4.</w:t>
      </w:r>
    </w:p>
    <w:p>
      <w:pPr>
        <w:sectPr>
          <w:pgSz w:w="11900" w:h="16838" w:orient="portrait"/>
          <w:cols w:equalWidth="0" w:num="1">
            <w:col w:w="10860"/>
          </w:cols>
          <w:pgMar w:left="480" w:top="121" w:right="55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5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4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00"/>
          </w:cols>
          <w:pgMar w:left="480" w:top="121"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13" Type="http://schemas.openxmlformats.org/officeDocument/2006/relationships/hyperlink" Target="http://www.sec.gov/cgi-bin/browse-edgar?action=getcompany&amp;CIK=0001815418" TargetMode="External"/><Relationship Id="rId14" Type="http://schemas.openxmlformats.org/officeDocument/2006/relationships/hyperlink" Target="http://www.sec.gov/cgi-bin/browse-edgar?action=getcompany&amp;CIK=0001749723" TargetMode="External"/><Relationship Id="rId18" Type="http://schemas.openxmlformats.org/officeDocument/2006/relationships/hyperlink" Target="http://www.sec.gov/cgi-bin/browse-edgar?action=getcompany&amp;CIK=0001815467" TargetMode="External"/><Relationship Id="rId19" Type="http://schemas.openxmlformats.org/officeDocument/2006/relationships/hyperlink" Target="http://www.sec.gov/cgi-bin/browse-edgar?action=getcompany&amp;CIK=0001815423" TargetMode="External"/><Relationship Id="rId22"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2020-09-17T18:40:39Z</dcterms:created>
  <dcterms:modified xsi:type="dcterms:W3CDTF">2020-09-17T18:40:39Z</dcterms:modified>
</cp:coreProperties>
</file>