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26, 2021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509" w:lineRule="auto"/>
        <w:tabs>
          <w:tab w:leader="none" w:pos="28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0"/>
        </w:trPr>
        <w:tc>
          <w:tcPr>
            <w:tcW w:w="35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b w:val="1"/>
                <w:bCs w:val="1"/>
                <w:color w:val="auto"/>
              </w:rPr>
              <w:t>Title of each class</w:t>
            </w:r>
          </w:p>
        </w:tc>
        <w:tc>
          <w:tcPr>
            <w:tcW w:w="200" w:type="dxa"/>
            <w:vAlign w:val="bottom"/>
          </w:tcPr>
          <w:p>
            <w:pPr>
              <w:spacing w:after="0"/>
              <w:rPr>
                <w:sz w:val="20"/>
                <w:szCs w:val="20"/>
                <w:color w:val="auto"/>
              </w:rPr>
            </w:pPr>
          </w:p>
        </w:tc>
        <w:tc>
          <w:tcPr>
            <w:tcW w:w="3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9"/>
              </w:rPr>
              <w:t>Class A Common Stock, par value $0.01 per</w:t>
            </w:r>
          </w:p>
        </w:tc>
        <w:tc>
          <w:tcPr>
            <w:tcW w:w="200" w:type="dxa"/>
            <w:vAlign w:val="bottom"/>
          </w:tcPr>
          <w:p>
            <w:pPr>
              <w:spacing w:after="0"/>
              <w:rPr>
                <w:sz w:val="17"/>
                <w:szCs w:val="17"/>
                <w:color w:val="auto"/>
              </w:rPr>
            </w:pPr>
          </w:p>
        </w:tc>
        <w:tc>
          <w:tcPr>
            <w:tcW w:w="3820" w:type="dxa"/>
            <w:vAlign w:val="bottom"/>
          </w:tcPr>
          <w:p>
            <w:pPr>
              <w:jc w:val="center"/>
              <w:spacing w:after="0" w:line="201" w:lineRule="exact"/>
              <w:rPr>
                <w:sz w:val="20"/>
                <w:szCs w:val="20"/>
                <w:color w:val="auto"/>
              </w:rPr>
            </w:pPr>
            <w:r>
              <w:rPr>
                <w:rFonts w:ascii="Arial" w:cs="Arial" w:eastAsia="Arial" w:hAnsi="Arial"/>
                <w:sz w:val="18"/>
                <w:szCs w:val="18"/>
                <w:color w:val="auto"/>
                <w:w w:val="94"/>
              </w:rPr>
              <w:t>NFE</w:t>
            </w:r>
          </w:p>
        </w:tc>
        <w:tc>
          <w:tcPr>
            <w:tcW w:w="220" w:type="dxa"/>
            <w:vAlign w:val="bottom"/>
          </w:tcPr>
          <w:p>
            <w:pPr>
              <w:spacing w:after="0"/>
              <w:rPr>
                <w:sz w:val="17"/>
                <w:szCs w:val="17"/>
                <w:color w:val="auto"/>
              </w:rPr>
            </w:pPr>
          </w:p>
        </w:tc>
        <w:tc>
          <w:tcPr>
            <w:tcW w:w="346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Global Select Market</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left="80" w:right="60"/>
        <w:spacing w:after="0" w:line="301" w:lineRule="auto"/>
        <w:rPr>
          <w:sz w:val="20"/>
          <w:szCs w:val="20"/>
          <w:color w:val="auto"/>
        </w:rPr>
      </w:pPr>
      <w:r>
        <w:rPr>
          <w:rFonts w:ascii="Arial" w:cs="Arial" w:eastAsia="Arial" w:hAnsi="Arial"/>
          <w:sz w:val="16"/>
          <w:szCs w:val="16"/>
          <w:color w:val="auto"/>
        </w:rPr>
        <w:t>On March 26, 2021, New Fortress Energy Inc. (the “Company”) announced the pricing of its previously announced private offering of $1.5 billion aggregate principal amount of senior secured notes due 2026 (the “Notes”). The Company intends to use a portion of the net proceeds from this offering to fund the cash consideration for its previously announced acquisition of Golar LNG Partners L.P. and pay related fees and expenses. The Company intends to use any remaining proceeds from this offering for general corporate purposes, including making investments in developing projects.</w:t>
      </w:r>
    </w:p>
    <w:p>
      <w:pPr>
        <w:spacing w:after="0" w:line="157" w:lineRule="exact"/>
        <w:rPr>
          <w:sz w:val="20"/>
          <w:szCs w:val="20"/>
          <w:color w:val="auto"/>
        </w:rPr>
      </w:pPr>
    </w:p>
    <w:p>
      <w:pPr>
        <w:jc w:val="both"/>
        <w:ind w:left="80" w:right="80"/>
        <w:spacing w:after="0" w:line="263" w:lineRule="auto"/>
        <w:rPr>
          <w:sz w:val="20"/>
          <w:szCs w:val="20"/>
          <w:color w:val="auto"/>
        </w:rPr>
      </w:pPr>
      <w:r>
        <w:rPr>
          <w:rFonts w:ascii="Arial" w:cs="Arial" w:eastAsia="Arial" w:hAnsi="Arial"/>
          <w:sz w:val="18"/>
          <w:szCs w:val="18"/>
          <w:color w:val="auto"/>
        </w:rPr>
        <w:t>A copy of the press release is attached hereto as exhibit 99.1, and is incorporated into this Item 8.01 by reference. The Notes and the guarantees thereof will not be registered under the Securities Act of 1933, as amended, or any state securities laws, and may not be offered or sold in the United States absent registration or an applicable exemption from registration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ind w:left="80"/>
              <w:spacing w:after="0"/>
              <w:rPr>
                <w:sz w:val="20"/>
                <w:szCs w:val="20"/>
                <w:color w:val="auto"/>
              </w:rPr>
            </w:pPr>
            <w:r>
              <w:rPr>
                <w:rFonts w:ascii="Arial" w:cs="Arial" w:eastAsia="Arial" w:hAnsi="Arial"/>
                <w:sz w:val="18"/>
                <w:szCs w:val="18"/>
                <w:color w:val="auto"/>
              </w:rPr>
              <w:t>(d) Exhibits.</w:t>
            </w:r>
          </w:p>
        </w:tc>
        <w:tc>
          <w:tcPr>
            <w:tcW w:w="9780" w:type="dxa"/>
            <w:vAlign w:val="bottom"/>
          </w:tcPr>
          <w:p>
            <w:pPr>
              <w:spacing w:after="0"/>
              <w:rPr>
                <w:sz w:val="20"/>
                <w:szCs w:val="20"/>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46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780" w:type="dxa"/>
            <w:vAlign w:val="bottom"/>
          </w:tcPr>
          <w:p>
            <w:pPr>
              <w:ind w:left="160"/>
              <w:spacing w:after="0" w:line="190" w:lineRule="exact"/>
              <w:rPr>
                <w:sz w:val="20"/>
                <w:szCs w:val="20"/>
                <w:color w:val="auto"/>
              </w:rPr>
            </w:pPr>
            <w:r>
              <w:rPr>
                <w:rFonts w:ascii="Arial" w:cs="Arial" w:eastAsia="Arial" w:hAnsi="Arial"/>
                <w:sz w:val="18"/>
                <w:szCs w:val="18"/>
                <w:color w:val="auto"/>
              </w:rPr>
              <w:t>Press release, dated March 26, 2021.</w:t>
            </w:r>
          </w:p>
        </w:tc>
      </w:tr>
      <w:tr>
        <w:trPr>
          <w:trHeight w:val="237"/>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114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5"/>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NEW FORTRESS ENERGY INC.</w:t>
            </w:r>
          </w:p>
        </w:tc>
      </w:tr>
      <w:tr>
        <w:trPr>
          <w:trHeight w:val="251"/>
        </w:trPr>
        <w:tc>
          <w:tcPr>
            <w:tcW w:w="3620" w:type="dxa"/>
            <w:vAlign w:val="bottom"/>
          </w:tcPr>
          <w:p>
            <w:pPr>
              <w:spacing w:after="0"/>
              <w:rPr>
                <w:sz w:val="20"/>
                <w:szCs w:val="20"/>
                <w:color w:val="auto"/>
              </w:rPr>
            </w:pPr>
            <w:r>
              <w:rPr>
                <w:rFonts w:ascii="Arial" w:cs="Arial" w:eastAsia="Arial" w:hAnsi="Arial"/>
                <w:sz w:val="18"/>
                <w:szCs w:val="18"/>
                <w:color w:val="auto"/>
              </w:rPr>
              <w:t>Date: March 26,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62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FORTRESS ENERGY ANNOUNCES PRICING OF $1.5 BILLION OF SENIOR SECURED NOTES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YORK--(BUSINESS WIRE)—March 26, 2021--New Fortress Energy Inc. (NASDAQ: NFE) (the “Company”) announced today the pricing of its previously announced private offering of $1.5 billion aggregate principal amount of senior secured notes due 2026 (the “Notes”). The Notes will bear interest at 6.500% per annum and will be issued at an issue price equal to 100% of principal, plus accrued interest, if any, from April 12, 2021. The closing of the offering is subject to certain limited conditions.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certain exceptions and thresholds, the Notes will be guaranteed on a senior secured basis by each domestic subsidiary and foreign subsidiary that is a wholly-owned restricted subsidiary of the Company that is a guarantor under its existing senior secured notes. The Notes will be secured by substantially the same collateral as the Company’s existing first lien obligations under its existing senior secured notes.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intends to use a portion of the net proceeds from this offering to fund the cash consideration for its previously announced acquisition of Golar LNG Partners L.P. and pay related fees and expenses. The offering is not contingent on the completion of the acquisition. The Company intends to use any remaining proceeds from this offering for general corporate purposes, including making investments in developing projects. The Notes will be subject to a special mandatory redemption. If the acquisition is not consummated on or prior to October 13, 2021, the Notes will be redeemed at a price equal to 100% of the aggregate principal amount of the Notes, plus accrued and unpaid interest on the principal amount of the Notes to, but not including, the special mandatory redemption 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and the guarantees thereof were offered in the United States to qualified institutional buyers under Rule 144A under the Securities Act of 1933, as amended (the “Securities Act”), and to persons outside of the United States under Regulation S under the Securities Act. The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Inc.</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consummation of the offering or the Company’s anticipated use of the net proceeds from the offering. All statements contained in this press release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Andreini</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798-6128 </w:t>
      </w:r>
      <w:r>
        <w:rPr>
          <w:rFonts w:ascii="Arial" w:cs="Arial" w:eastAsia="Arial" w:hAnsi="Arial"/>
          <w:sz w:val="16"/>
          <w:szCs w:val="16"/>
          <w:u w:val="single" w:color="auto"/>
          <w:color w:val="auto"/>
        </w:rPr>
        <w:t>aandreini@fortress.com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90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268-7455 </w:t>
      </w:r>
      <w:r>
        <w:rPr>
          <w:rFonts w:ascii="Arial" w:cs="Arial" w:eastAsia="Arial" w:hAnsi="Arial"/>
          <w:sz w:val="16"/>
          <w:szCs w:val="16"/>
          <w:u w:val="single" w:color="auto"/>
          <w:color w:val="auto"/>
        </w:rPr>
        <w:t>jkane@newfortressenergy.com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902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268-7403 </w:t>
      </w:r>
      <w:r>
        <w:rPr>
          <w:rFonts w:ascii="Arial" w:cs="Arial" w:eastAsia="Arial" w:hAnsi="Arial"/>
          <w:sz w:val="16"/>
          <w:szCs w:val="16"/>
          <w:u w:val="single" w:color="auto"/>
          <w:color w:val="auto"/>
        </w:rPr>
        <w:t>press@newfortressenergy.com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516"/>
    </w:lvl>
  </w:abstractNum>
  <w:abstractNum w:abstractNumId="3">
    <w:nsid w:val="625558E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2021-03-29T05:19:59Z</dcterms:created>
  <dcterms:modified xsi:type="dcterms:W3CDTF">2021-03-29T05:19:59Z</dcterms:modified>
</cp:coreProperties>
</file>