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9, 2021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New Fortress Energy Inc.</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859" w:right="339" w:bottom="1440" w:gutter="0" w:footer="0" w:header="0"/>
        </w:sectPr>
      </w:pPr>
    </w:p>
    <w:p>
      <w:pPr>
        <w:spacing w:after="0" w:line="20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660" w:space="720"/>
            <w:col w:w="3260"/>
          </w:cols>
          <w:pgMar w:left="320" w:top="859" w:right="339" w:bottom="1440" w:gutter="0" w:footer="0" w:header="0"/>
          <w:type w:val="continuous"/>
        </w:sectPr>
      </w:pPr>
    </w:p>
    <w:p>
      <w:pPr>
        <w:spacing w:after="0" w:line="30"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New York, New York, 10011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(516) 268-7400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80" w:hanging="642"/>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80" w:hanging="642"/>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80" w:hanging="642"/>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420" w:firstLine="138"/>
        <w:spacing w:after="0" w:line="509" w:lineRule="auto"/>
        <w:tabs>
          <w:tab w:leader="none" w:pos="77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0"/>
        </w:trPr>
        <w:tc>
          <w:tcPr>
            <w:tcW w:w="3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0" w:type="dxa"/>
            <w:vAlign w:val="bottom"/>
          </w:tcPr>
          <w:p>
            <w:pPr>
              <w:spacing w:after="0"/>
              <w:rPr>
                <w:sz w:val="20"/>
                <w:szCs w:val="20"/>
                <w:color w:val="auto"/>
              </w:rPr>
            </w:pPr>
          </w:p>
        </w:tc>
        <w:tc>
          <w:tcPr>
            <w:tcW w:w="3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0"/>
                <w:szCs w:val="20"/>
                <w:color w:val="auto"/>
              </w:rPr>
            </w:pPr>
          </w:p>
        </w:tc>
        <w:tc>
          <w:tcPr>
            <w:tcW w:w="39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91"/>
              </w:rPr>
              <w:t>Name of each exchange on which registered</w:t>
            </w:r>
          </w:p>
        </w:tc>
      </w:tr>
      <w:tr>
        <w:trPr>
          <w:trHeight w:val="198"/>
        </w:trPr>
        <w:tc>
          <w:tcPr>
            <w:tcW w:w="35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Class A Common Stock, par value $0.01 per</w:t>
            </w:r>
          </w:p>
        </w:tc>
        <w:tc>
          <w:tcPr>
            <w:tcW w:w="200" w:type="dxa"/>
            <w:vAlign w:val="bottom"/>
          </w:tcPr>
          <w:p>
            <w:pPr>
              <w:spacing w:after="0"/>
              <w:rPr>
                <w:sz w:val="17"/>
                <w:szCs w:val="17"/>
                <w:color w:val="auto"/>
              </w:rPr>
            </w:pPr>
          </w:p>
        </w:tc>
        <w:tc>
          <w:tcPr>
            <w:tcW w:w="3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NFE</w:t>
            </w:r>
          </w:p>
        </w:tc>
        <w:tc>
          <w:tcPr>
            <w:tcW w:w="220" w:type="dxa"/>
            <w:vAlign w:val="bottom"/>
          </w:tcPr>
          <w:p>
            <w:pPr>
              <w:spacing w:after="0"/>
              <w:rPr>
                <w:sz w:val="17"/>
                <w:szCs w:val="17"/>
                <w:color w:val="auto"/>
              </w:rPr>
            </w:pPr>
          </w:p>
        </w:tc>
        <w:tc>
          <w:tcPr>
            <w:tcW w:w="3980" w:type="dxa"/>
            <w:vAlign w:val="bottom"/>
          </w:tcPr>
          <w:p>
            <w:pPr>
              <w:ind w:left="680"/>
              <w:spacing w:after="0" w:line="198" w:lineRule="exact"/>
              <w:rPr>
                <w:sz w:val="20"/>
                <w:szCs w:val="20"/>
                <w:color w:val="auto"/>
              </w:rPr>
            </w:pPr>
            <w:r>
              <w:rPr>
                <w:rFonts w:ascii="Arial" w:cs="Arial" w:eastAsia="Arial" w:hAnsi="Arial"/>
                <w:sz w:val="18"/>
                <w:szCs w:val="18"/>
                <w:b w:val="1"/>
                <w:bCs w:val="1"/>
                <w:color w:val="auto"/>
              </w:rPr>
              <w:t>The Nasdaq Global Select Market</w:t>
            </w:r>
          </w:p>
        </w:tc>
      </w:tr>
      <w:tr>
        <w:trPr>
          <w:trHeight w:val="234"/>
        </w:trPr>
        <w:tc>
          <w:tcPr>
            <w:tcW w:w="3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6883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68834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340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9, 2021, New Fortress Energy Inc. (the “Company”) filed with the Securities and Exchange Commission a prospectus supplement (the “Resale Prospectus Supplement”) to the prospectus dated March 18, 2021 included in the Company’s automatic shelf registration statement on Form S-3ASR (No. 333-254469). The Resale Prospectus Supplement was filed for the purpose of registering the sale from time to time by certain selling stockholders (collectively, the “Selling Stockholders”) of up to 29,599,403 shares of the Company’s Class A common stock, par value $0.01 per share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not receive any of the proceeds from the sale of Common Stock by the Selling Stockholders.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filing of the Resale Prospectus Supplement, the Company is filing an opinion of its counsel, Skadden, Arps, Slate, Meagher &amp; Flom LLP, regarding the legality of the securities being registered, which opinion is attached as Exhibit 5.1 to this Current Report on Form 8-K.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620" w:type="dxa"/>
            <w:vAlign w:val="bottom"/>
          </w:tcPr>
          <w:p>
            <w:pPr>
              <w:spacing w:after="0"/>
              <w:rPr>
                <w:sz w:val="20"/>
                <w:szCs w:val="20"/>
                <w:color w:val="auto"/>
              </w:rPr>
            </w:pPr>
          </w:p>
        </w:tc>
      </w:tr>
      <w:tr>
        <w:trPr>
          <w:trHeight w:val="418"/>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620" w:type="dxa"/>
            <w:vAlign w:val="bottom"/>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40" w:type="dxa"/>
            <w:vAlign w:val="bottom"/>
            <w:tcBorders>
              <w:bottom w:val="single" w:sz="8" w:color="0000EE"/>
            </w:tcBorders>
          </w:tcPr>
          <w:p>
            <w:pPr>
              <w:spacing w:after="0" w:line="190"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620" w:type="dxa"/>
            <w:vAlign w:val="bottom"/>
          </w:tcPr>
          <w:p>
            <w:pPr>
              <w:ind w:left="340"/>
              <w:spacing w:after="0" w:line="190" w:lineRule="exact"/>
              <w:rPr>
                <w:sz w:val="20"/>
                <w:szCs w:val="20"/>
                <w:color w:val="auto"/>
              </w:rPr>
            </w:pPr>
            <w:r>
              <w:rPr>
                <w:rFonts w:ascii="Arial" w:cs="Arial" w:eastAsia="Arial" w:hAnsi="Arial"/>
                <w:sz w:val="18"/>
                <w:szCs w:val="18"/>
                <w:color w:val="auto"/>
              </w:rPr>
              <w:t>Opinion of Skadden, Arps, Slate, Meagher &amp; Flom LLP relating to the Resale Prospectus Supplement.</w:t>
            </w:r>
          </w:p>
        </w:tc>
      </w:tr>
      <w:tr>
        <w:trPr>
          <w:trHeight w:val="196"/>
        </w:trPr>
        <w:tc>
          <w:tcPr>
            <w:tcW w:w="162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9620" w:type="dxa"/>
            <w:vAlign w:val="bottom"/>
          </w:tcPr>
          <w:p>
            <w:pPr>
              <w:ind w:left="340"/>
              <w:spacing w:after="0" w:line="196" w:lineRule="exact"/>
              <w:rPr>
                <w:sz w:val="20"/>
                <w:szCs w:val="20"/>
                <w:color w:val="auto"/>
              </w:rPr>
            </w:pPr>
            <w:r>
              <w:rPr>
                <w:rFonts w:ascii="Arial" w:cs="Arial" w:eastAsia="Arial" w:hAnsi="Arial"/>
                <w:sz w:val="18"/>
                <w:szCs w:val="18"/>
                <w:color w:val="auto"/>
              </w:rPr>
              <w:t>Consent of Skadden, Arps, Slate, Meagher &amp; Flom LLP (included in Exhibit 5.1).</w:t>
            </w:r>
          </w:p>
        </w:tc>
      </w:tr>
      <w:tr>
        <w:trPr>
          <w:trHeight w:val="237"/>
        </w:trPr>
        <w:tc>
          <w:tcPr>
            <w:tcW w:w="3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9"/>
              </w:rPr>
              <w:t>104</w:t>
            </w:r>
          </w:p>
        </w:tc>
        <w:tc>
          <w:tcPr>
            <w:tcW w:w="1300" w:type="dxa"/>
            <w:vAlign w:val="bottom"/>
          </w:tcPr>
          <w:p>
            <w:pPr>
              <w:spacing w:after="0"/>
              <w:rPr>
                <w:sz w:val="20"/>
                <w:szCs w:val="20"/>
                <w:color w:val="auto"/>
              </w:rPr>
            </w:pPr>
          </w:p>
        </w:tc>
        <w:tc>
          <w:tcPr>
            <w:tcW w:w="9620" w:type="dxa"/>
            <w:vAlign w:val="bottom"/>
          </w:tcPr>
          <w:p>
            <w:pPr>
              <w:ind w:left="3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2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80" w:right="14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19"/>
                <w:szCs w:val="19"/>
                <w:color w:val="auto"/>
              </w:rPr>
            </w:pPr>
          </w:p>
        </w:tc>
        <w:tc>
          <w:tcPr>
            <w:tcW w:w="7820" w:type="dxa"/>
            <w:vAlign w:val="bottom"/>
            <w:gridSpan w:val="2"/>
          </w:tcPr>
          <w:p>
            <w:pPr>
              <w:ind w:left="2100"/>
              <w:spacing w:after="0"/>
              <w:rPr>
                <w:sz w:val="20"/>
                <w:szCs w:val="20"/>
                <w:color w:val="auto"/>
              </w:rPr>
            </w:pPr>
            <w:r>
              <w:rPr>
                <w:rFonts w:ascii="Arial" w:cs="Arial" w:eastAsia="Arial" w:hAnsi="Arial"/>
                <w:sz w:val="18"/>
                <w:szCs w:val="18"/>
                <w:b w:val="1"/>
                <w:bCs w:val="1"/>
                <w:color w:val="auto"/>
              </w:rPr>
              <w:t>NEW FORTRESS ENERGY INC.</w:t>
            </w:r>
          </w:p>
        </w:tc>
      </w:tr>
      <w:tr>
        <w:trPr>
          <w:trHeight w:val="237"/>
        </w:trPr>
        <w:tc>
          <w:tcPr>
            <w:tcW w:w="3420" w:type="dxa"/>
            <w:vAlign w:val="bottom"/>
          </w:tcPr>
          <w:p>
            <w:pPr>
              <w:spacing w:after="0"/>
              <w:rPr>
                <w:sz w:val="20"/>
                <w:szCs w:val="20"/>
                <w:color w:val="auto"/>
              </w:rPr>
            </w:pPr>
            <w:r>
              <w:rPr>
                <w:rFonts w:ascii="Arial" w:cs="Arial" w:eastAsia="Arial" w:hAnsi="Arial"/>
                <w:sz w:val="18"/>
                <w:szCs w:val="18"/>
                <w:color w:val="auto"/>
              </w:rPr>
              <w:t>Date: July 9, 2021</w:t>
            </w:r>
          </w:p>
        </w:tc>
        <w:tc>
          <w:tcPr>
            <w:tcW w:w="2620" w:type="dxa"/>
            <w:vAlign w:val="bottom"/>
          </w:tcPr>
          <w:p>
            <w:pPr>
              <w:ind w:left="210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420" w:type="dxa"/>
            <w:vAlign w:val="bottom"/>
          </w:tcPr>
          <w:p>
            <w:pPr>
              <w:spacing w:after="0"/>
              <w:rPr>
                <w:sz w:val="17"/>
                <w:szCs w:val="17"/>
                <w:color w:val="auto"/>
              </w:rPr>
            </w:pPr>
          </w:p>
        </w:tc>
        <w:tc>
          <w:tcPr>
            <w:tcW w:w="2620" w:type="dxa"/>
            <w:vAlign w:val="bottom"/>
          </w:tcPr>
          <w:p>
            <w:pPr>
              <w:ind w:left="2100"/>
              <w:spacing w:after="0" w:line="201" w:lineRule="exact"/>
              <w:rPr>
                <w:sz w:val="20"/>
                <w:szCs w:val="20"/>
                <w:color w:val="auto"/>
              </w:rPr>
            </w:pPr>
            <w:r>
              <w:rPr>
                <w:rFonts w:ascii="Arial" w:cs="Arial" w:eastAsia="Arial" w:hAnsi="Arial"/>
                <w:sz w:val="18"/>
                <w:szCs w:val="18"/>
                <w:color w:val="auto"/>
                <w:w w:val="94"/>
              </w:rPr>
              <w:t>Name:</w:t>
            </w: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420" w:type="dxa"/>
            <w:vAlign w:val="bottom"/>
          </w:tcPr>
          <w:p>
            <w:pPr>
              <w:spacing w:after="0"/>
              <w:rPr>
                <w:sz w:val="20"/>
                <w:szCs w:val="20"/>
                <w:color w:val="auto"/>
              </w:rPr>
            </w:pPr>
          </w:p>
        </w:tc>
        <w:tc>
          <w:tcPr>
            <w:tcW w:w="2620" w:type="dxa"/>
            <w:vAlign w:val="bottom"/>
          </w:tcPr>
          <w:p>
            <w:pPr>
              <w:ind w:left="2100"/>
              <w:spacing w:after="0"/>
              <w:rPr>
                <w:sz w:val="20"/>
                <w:szCs w:val="20"/>
                <w:color w:val="auto"/>
              </w:rPr>
            </w:pPr>
            <w:r>
              <w:rPr>
                <w:rFonts w:ascii="Arial" w:cs="Arial" w:eastAsia="Arial" w:hAnsi="Arial"/>
                <w:sz w:val="18"/>
                <w:szCs w:val="18"/>
                <w:color w:val="auto"/>
              </w:rPr>
              <w:t>Title:</w:t>
            </w: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44"/>
        </w:trPr>
        <w:tc>
          <w:tcPr>
            <w:tcW w:w="34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165100</wp:posOffset>
            </wp:positionV>
            <wp:extent cx="4029075" cy="2211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2907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July 9,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Fortress Energy Inc.</w:t>
      </w:r>
    </w:p>
    <w:p>
      <w:pPr>
        <w:spacing w:after="0" w:line="186" w:lineRule="auto"/>
        <w:rPr>
          <w:sz w:val="20"/>
          <w:szCs w:val="20"/>
          <w:color w:val="auto"/>
        </w:rPr>
      </w:pPr>
      <w:r>
        <w:rPr>
          <w:rFonts w:ascii="Arial" w:cs="Arial" w:eastAsia="Arial" w:hAnsi="Arial"/>
          <w:sz w:val="17"/>
          <w:szCs w:val="17"/>
          <w:color w:val="auto"/>
        </w:rPr>
        <w:t>111 W. 19</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Street, 8</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spacing w:after="0"/>
        <w:rPr>
          <w:sz w:val="20"/>
          <w:szCs w:val="20"/>
          <w:color w:val="auto"/>
        </w:rPr>
      </w:pPr>
      <w:r>
        <w:rPr>
          <w:rFonts w:ascii="Arial" w:cs="Arial" w:eastAsia="Arial" w:hAnsi="Arial"/>
          <w:sz w:val="18"/>
          <w:szCs w:val="18"/>
          <w:color w:val="auto"/>
        </w:rPr>
        <w:t>New York, New York 10011</w:t>
      </w:r>
    </w:p>
    <w:p>
      <w:pPr>
        <w:spacing w:after="0" w:line="263"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New Fortress Energy Inc.—Prospectus Supplement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340" w:firstLine="1296"/>
        <w:spacing w:after="0" w:line="301" w:lineRule="auto"/>
        <w:rPr>
          <w:sz w:val="20"/>
          <w:szCs w:val="20"/>
          <w:color w:val="auto"/>
        </w:rPr>
      </w:pPr>
      <w:r>
        <w:rPr>
          <w:rFonts w:ascii="Arial" w:cs="Arial" w:eastAsia="Arial" w:hAnsi="Arial"/>
          <w:sz w:val="16"/>
          <w:szCs w:val="16"/>
          <w:color w:val="auto"/>
        </w:rPr>
        <w:t>We have acted as special United States counsel to New Fortress Energy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resale by Golar LNG Limited (“</w:t>
      </w:r>
      <w:r>
        <w:rPr>
          <w:rFonts w:ascii="Arial" w:cs="Arial" w:eastAsia="Arial" w:hAnsi="Arial"/>
          <w:sz w:val="16"/>
          <w:szCs w:val="16"/>
          <w:u w:val="single" w:color="auto"/>
          <w:color w:val="auto"/>
        </w:rPr>
        <w:t>GLNG</w:t>
      </w:r>
      <w:r>
        <w:rPr>
          <w:rFonts w:ascii="Arial" w:cs="Arial" w:eastAsia="Arial" w:hAnsi="Arial"/>
          <w:sz w:val="16"/>
          <w:szCs w:val="16"/>
          <w:color w:val="auto"/>
        </w:rPr>
        <w:t>”) and Stonepeak Infrastructure Fund II Cayman (G) Ltd. (“</w:t>
      </w:r>
      <w:r>
        <w:rPr>
          <w:rFonts w:ascii="Arial" w:cs="Arial" w:eastAsia="Arial" w:hAnsi="Arial"/>
          <w:sz w:val="16"/>
          <w:szCs w:val="16"/>
          <w:u w:val="single" w:color="auto"/>
          <w:color w:val="auto"/>
        </w:rPr>
        <w:t>Stonepeak</w:t>
      </w:r>
      <w:r>
        <w:rPr>
          <w:rFonts w:ascii="Arial" w:cs="Arial" w:eastAsia="Arial" w:hAnsi="Arial"/>
          <w:sz w:val="16"/>
          <w:szCs w:val="16"/>
          <w:color w:val="auto"/>
        </w:rPr>
        <w:t>” and together with GLNG, the “</w:t>
      </w:r>
      <w:r>
        <w:rPr>
          <w:rFonts w:ascii="Arial" w:cs="Arial" w:eastAsia="Arial" w:hAnsi="Arial"/>
          <w:sz w:val="16"/>
          <w:szCs w:val="16"/>
          <w:u w:val="single" w:color="auto"/>
          <w:color w:val="auto"/>
        </w:rPr>
        <w:t>Selling Stockholders</w:t>
      </w:r>
      <w:r>
        <w:rPr>
          <w:rFonts w:ascii="Arial" w:cs="Arial" w:eastAsia="Arial" w:hAnsi="Arial"/>
          <w:sz w:val="16"/>
          <w:szCs w:val="16"/>
          <w:color w:val="auto"/>
        </w:rPr>
        <w:t>”) of up to 29,599,403 shares of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We have been advised that the Shares were issued pursuant to the Agreement and Plan of Merger, dated as of January 13, 2021, between the Company and the Selling Stockholders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w:t>
      </w:r>
    </w:p>
    <w:p>
      <w:pPr>
        <w:spacing w:after="0" w:line="184"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rendering the opinion stated herein, we have examined and relied upon the following:</w:t>
      </w:r>
    </w:p>
    <w:p>
      <w:pPr>
        <w:spacing w:after="0" w:line="279" w:lineRule="exact"/>
        <w:rPr>
          <w:sz w:val="20"/>
          <w:szCs w:val="20"/>
          <w:color w:val="auto"/>
        </w:rPr>
      </w:pPr>
    </w:p>
    <w:p>
      <w:pPr>
        <w:ind w:right="140" w:firstLine="1304"/>
        <w:spacing w:after="0" w:line="257" w:lineRule="auto"/>
        <w:tabs>
          <w:tab w:leader="none" w:pos="20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on Form S-3ASR (File No. 333-254469) of the Company relating to Common Stock and other securities of the Company, filed on March 18, 2021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allowing for delayed offerings pursuant to Rule 415 of the General Rules and Regulations under the Securities Act (the “Rules and Regulations”), including the information deemed to be a part of the registration statement pursuant to Rule 430B of the Rules and Regulations (such registration statement being hereinafter referred to as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New Fortess Energy Inc.</w:t>
      </w:r>
    </w:p>
    <w:p>
      <w:pPr>
        <w:spacing w:after="0" w:line="238" w:lineRule="auto"/>
        <w:rPr>
          <w:sz w:val="20"/>
          <w:szCs w:val="20"/>
          <w:color w:val="auto"/>
        </w:rPr>
      </w:pPr>
      <w:r>
        <w:rPr>
          <w:rFonts w:ascii="Arial" w:cs="Arial" w:eastAsia="Arial" w:hAnsi="Arial"/>
          <w:sz w:val="22"/>
          <w:szCs w:val="22"/>
          <w:color w:val="auto"/>
        </w:rPr>
        <w:t>July 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49" w:lineRule="exact"/>
        <w:rPr>
          <w:sz w:val="20"/>
          <w:szCs w:val="20"/>
          <w:color w:val="auto"/>
        </w:rPr>
      </w:pPr>
    </w:p>
    <w:p>
      <w:pPr>
        <w:ind w:left="2060" w:hanging="756"/>
        <w:spacing w:after="0"/>
        <w:tabs>
          <w:tab w:leader="none" w:pos="2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prospectus, dated March 18, 2021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which forms a part of and is included in the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65" w:lineRule="exact"/>
        <w:rPr>
          <w:sz w:val="20"/>
          <w:szCs w:val="20"/>
          <w:color w:val="auto"/>
        </w:rPr>
      </w:pPr>
    </w:p>
    <w:p>
      <w:pPr>
        <w:ind w:right="160" w:firstLine="1304"/>
        <w:spacing w:after="0" w:line="277" w:lineRule="auto"/>
        <w:tabs>
          <w:tab w:leader="none" w:pos="203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prospectus supplement, dated July 9, 2021 (together with the Base Prospectus, the “</w:t>
      </w:r>
      <w:r>
        <w:rPr>
          <w:rFonts w:ascii="Arial" w:cs="Arial" w:eastAsia="Arial" w:hAnsi="Arial"/>
          <w:sz w:val="18"/>
          <w:szCs w:val="18"/>
          <w:u w:val="single" w:color="auto"/>
          <w:color w:val="auto"/>
        </w:rPr>
        <w:t>Prospectus</w:t>
      </w:r>
      <w:r>
        <w:rPr>
          <w:rFonts w:ascii="Arial" w:cs="Arial" w:eastAsia="Arial" w:hAnsi="Arial"/>
          <w:sz w:val="18"/>
          <w:szCs w:val="18"/>
          <w:color w:val="auto"/>
        </w:rPr>
        <w:t>”), relating to the resale of the Shares, in the form filed with the Commission pursuant to Rule 424(b) of the Rules and Regulations;</w:t>
      </w:r>
    </w:p>
    <w:p>
      <w:pPr>
        <w:spacing w:after="0" w:line="224" w:lineRule="exact"/>
        <w:rPr>
          <w:rFonts w:ascii="Arial" w:cs="Arial" w:eastAsia="Arial" w:hAnsi="Arial"/>
          <w:sz w:val="18"/>
          <w:szCs w:val="18"/>
          <w:color w:val="auto"/>
        </w:rPr>
      </w:pPr>
    </w:p>
    <w:p>
      <w:pPr>
        <w:ind w:left="2060" w:hanging="756"/>
        <w:spacing w:after="0"/>
        <w:tabs>
          <w:tab w:leader="none" w:pos="2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executed copy of the Merger Agreement;</w:t>
      </w:r>
    </w:p>
    <w:p>
      <w:pPr>
        <w:spacing w:after="0" w:line="279" w:lineRule="exact"/>
        <w:rPr>
          <w:rFonts w:ascii="Arial" w:cs="Arial" w:eastAsia="Arial" w:hAnsi="Arial"/>
          <w:sz w:val="18"/>
          <w:szCs w:val="18"/>
          <w:color w:val="auto"/>
        </w:rPr>
      </w:pPr>
    </w:p>
    <w:p>
      <w:pPr>
        <w:ind w:left="2040" w:hanging="736"/>
        <w:spacing w:after="0"/>
        <w:tabs>
          <w:tab w:leader="none" w:pos="2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executed copy of a certificate of Cameron D. MacDougall, Secretary of the Company, dated the date hereof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w:t>
      </w:r>
    </w:p>
    <w:p>
      <w:pPr>
        <w:spacing w:after="0" w:line="265" w:lineRule="exact"/>
        <w:rPr>
          <w:sz w:val="20"/>
          <w:szCs w:val="20"/>
          <w:color w:val="auto"/>
        </w:rPr>
      </w:pPr>
    </w:p>
    <w:p>
      <w:pPr>
        <w:ind w:right="140" w:firstLine="1304"/>
        <w:spacing w:after="0" w:line="277" w:lineRule="auto"/>
        <w:tabs>
          <w:tab w:leader="none" w:pos="2016"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Company’s Certificate of Incorporation certified by the Secretary of State of the State of Delaware as of July 9, 2021, and certified pursuant to the Secretary’s Certificate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460" w:firstLine="1304"/>
        <w:spacing w:after="0" w:line="277" w:lineRule="auto"/>
        <w:tabs>
          <w:tab w:leader="none" w:pos="2046"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the Company’s bylaws, as amended and in effect as of the date hereof and certified pursuant to the Secretary’s Certificate (the “</w:t>
      </w:r>
      <w:r>
        <w:rPr>
          <w:rFonts w:ascii="Arial" w:cs="Arial" w:eastAsia="Arial" w:hAnsi="Arial"/>
          <w:sz w:val="18"/>
          <w:szCs w:val="18"/>
          <w:u w:val="single" w:color="auto"/>
          <w:color w:val="auto"/>
        </w:rPr>
        <w:t>Bylaws</w:t>
      </w:r>
      <w:r>
        <w:rPr>
          <w:rFonts w:ascii="Arial" w:cs="Arial" w:eastAsia="Arial" w:hAnsi="Arial"/>
          <w:sz w:val="18"/>
          <w:szCs w:val="18"/>
          <w:color w:val="auto"/>
        </w:rPr>
        <w:t>”); and</w:t>
      </w:r>
    </w:p>
    <w:p>
      <w:pPr>
        <w:spacing w:after="0" w:line="224" w:lineRule="exact"/>
        <w:rPr>
          <w:rFonts w:ascii="Arial" w:cs="Arial" w:eastAsia="Arial" w:hAnsi="Arial"/>
          <w:sz w:val="18"/>
          <w:szCs w:val="18"/>
          <w:color w:val="auto"/>
        </w:rPr>
      </w:pPr>
    </w:p>
    <w:p>
      <w:pPr>
        <w:ind w:left="2060" w:hanging="756"/>
        <w:spacing w:after="0"/>
        <w:tabs>
          <w:tab w:leader="none" w:pos="2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copy of certain resolutions of the Board of Directors of the Company adopted on January 12, 2021, certified pursuant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Secretary’s Certificate.</w:t>
      </w:r>
    </w:p>
    <w:p>
      <w:pPr>
        <w:spacing w:after="0" w:line="238" w:lineRule="exact"/>
        <w:rPr>
          <w:sz w:val="20"/>
          <w:szCs w:val="20"/>
          <w:color w:val="auto"/>
        </w:rPr>
      </w:pPr>
    </w:p>
    <w:p>
      <w:pPr>
        <w:jc w:val="both"/>
        <w:ind w:right="100" w:firstLine="1296"/>
        <w:spacing w:after="0" w:line="259"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the Selling Stockholders and such agreements, certificates and receipts of public officials, certificates of officers or other representatives of the Company, the Selling Stockholders and others, and such other documents as we have deemed necessary or appropriate as a basis for the opinion stated below, including the facts and conclusions set forth in the Secretary’s Certificate.</w:t>
      </w:r>
    </w:p>
    <w:p>
      <w:pPr>
        <w:spacing w:after="0" w:line="214"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With respect to our opinion set forth below, we have assumed that (i) the Company received in full the consideration for the Shares set forth in the Merger Agreement and the applicable resolutions of the Board of Directors of the Company approving the issuance of all such Shares, (ii) the issuance of the Shares has been registered in the Company’s share registry and (iii) the issuance of the Shares did not violate or conflict with any agreement or instrument binding on the Company (except that we do not make this assumption with respect to the Certificate of Incorporation, the Bylaws or those agreements or instruments expressed to be governed by the laws of the State of New York which are listed in Part II of the Registration Statement or the Company’s most recent Annual Report on Form 10-K for the year ended December 31, 2020). As to any facts relevant to the opinion stated herein that we did not independently establish or verify, we have relied upon statements and representations of officers and other representatives of the Company and the Selling Stockholders and others and of public officials.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New Fortess Energy Inc.</w:t>
      </w:r>
    </w:p>
    <w:p>
      <w:pPr>
        <w:spacing w:after="0" w:line="238" w:lineRule="auto"/>
        <w:rPr>
          <w:sz w:val="20"/>
          <w:szCs w:val="20"/>
          <w:color w:val="auto"/>
        </w:rPr>
      </w:pPr>
      <w:r>
        <w:rPr>
          <w:rFonts w:ascii="Arial" w:cs="Arial" w:eastAsia="Arial" w:hAnsi="Arial"/>
          <w:sz w:val="22"/>
          <w:szCs w:val="22"/>
          <w:color w:val="auto"/>
        </w:rPr>
        <w:t>July 9, 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22"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9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Based upon the foregoing and subject to the qualifications and assumptions stated herein, we are of the opinion that the Shares to be sold by the Selling Stockholders have been duly authorized by all requisite corporate action on the part of the Company under the DGCL and have been validly issued and are fully paid and nonassessable.</w:t>
      </w:r>
    </w:p>
    <w:p>
      <w:pPr>
        <w:spacing w:after="0" w:line="211"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We hereby consent to the reference to our firm under the heading “Legal Matters” in the Prospectus. We also hereby consent to the filing of this opinion with the Commission as an exhibit to the Company’s Current Report on Form 8-K being filed on the date hereof and incorporated by reference into the Registration Statement. In giving this consent, we do not thereby admit that we are within the category of persons whose consent is required under Section 7 of the Securities Act or the Rules and Regulations.</w:t>
      </w: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Skadden, Arps, Slate, Meagher &amp; Flom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2021-07-09T15:39:33Z</dcterms:created>
  <dcterms:modified xsi:type="dcterms:W3CDTF">2021-07-09T15:39:33Z</dcterms:modified>
</cp:coreProperties>
</file>