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644393100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14,964,622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14,964,622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14,964,622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60" w:hanging="647"/>
        <w:spacing w:after="0"/>
        <w:tabs>
          <w:tab w:leader="none" w:pos="15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Fortress Energy Inc.</w:t>
      </w:r>
    </w:p>
    <w:p>
      <w:pPr>
        <w:spacing w:after="0" w:line="97" w:lineRule="exact"/>
        <w:rPr>
          <w:rFonts w:ascii="Times New Roman" w:cs="Times New Roman" w:eastAsia="Times New Roman" w:hAnsi="Times New Roman"/>
          <w:sz w:val="22"/>
          <w:szCs w:val="22"/>
          <w:b w:val="1"/>
          <w:bCs w:val="1"/>
          <w:color w:val="auto"/>
        </w:rPr>
      </w:pPr>
    </w:p>
    <w:p>
      <w:pPr>
        <w:ind w:left="1560" w:hanging="647"/>
        <w:spacing w:after="0"/>
        <w:tabs>
          <w:tab w:leader="none" w:pos="15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111 West 19th Street, 8th floor, New York, NY 10011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560" w:right="740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560" w:hanging="647"/>
        <w:spacing w:after="0"/>
        <w:tabs>
          <w:tab w:leader="none" w:pos="15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15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333 SOUTH HOPE STREET, 55TH FLOOR, LOS ANGELES, CALIFORNIA 90071</w:t>
      </w:r>
    </w:p>
    <w:p>
      <w:pPr>
        <w:spacing w:after="0" w:line="97" w:lineRule="exact"/>
        <w:rPr>
          <w:rFonts w:ascii="Times New Roman" w:cs="Times New Roman" w:eastAsia="Times New Roman" w:hAnsi="Times New Roman"/>
          <w:sz w:val="22"/>
          <w:szCs w:val="22"/>
          <w:b w:val="1"/>
          <w:bCs w:val="1"/>
          <w:color w:val="auto"/>
        </w:rPr>
      </w:pPr>
    </w:p>
    <w:p>
      <w:pPr>
        <w:ind w:left="1560" w:right="842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560" w:right="7060" w:hanging="647"/>
        <w:spacing w:after="0" w:line="262" w:lineRule="auto"/>
        <w:tabs>
          <w:tab w:leader="none" w:pos="15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60" w:right="7980" w:hanging="647"/>
        <w:spacing w:after="0" w:line="286" w:lineRule="auto"/>
        <w:tabs>
          <w:tab w:leader="none" w:pos="15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644393100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20"/>
            <w:col w:w="872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14,964,622 **</w:t>
      </w:r>
    </w:p>
    <w:p>
      <w:pPr>
        <w:spacing w:after="0" w:line="125" w:lineRule="exact"/>
        <w:rPr>
          <w:rFonts w:ascii="Times New Roman" w:cs="Times New Roman" w:eastAsia="Times New Roman" w:hAnsi="Times New Roman"/>
          <w:sz w:val="22"/>
          <w:szCs w:val="22"/>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w:t>
      </w:r>
    </w:p>
    <w:p>
      <w:pPr>
        <w:spacing w:after="0" w:line="125" w:lineRule="exact"/>
        <w:rPr>
          <w:rFonts w:ascii="Times New Roman" w:cs="Times New Roman" w:eastAsia="Times New Roman" w:hAnsi="Times New Roman"/>
          <w:sz w:val="22"/>
          <w:szCs w:val="22"/>
          <w:color w:val="auto"/>
        </w:rPr>
      </w:pPr>
    </w:p>
    <w:p>
      <w:pPr>
        <w:ind w:left="1560" w:hanging="647"/>
        <w:spacing w:after="0"/>
        <w:tabs>
          <w:tab w:leader="none" w:pos="15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00" w:hanging="739"/>
        <w:spacing w:after="0"/>
        <w:tabs>
          <w:tab w:leader="none" w:pos="2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00" w:hanging="739"/>
        <w:spacing w:after="0"/>
        <w:tabs>
          <w:tab w:leader="none" w:pos="2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00" w:hanging="739"/>
        <w:spacing w:after="0"/>
        <w:tabs>
          <w:tab w:leader="none" w:pos="230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00" w:right="800" w:hanging="739"/>
        <w:spacing w:after="0" w:line="185" w:lineRule="auto"/>
        <w:tabs>
          <w:tab w:leader="none" w:pos="2300" w:val="left"/>
        </w:tabs>
        <w:numPr>
          <w:ilvl w:val="1"/>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14,964,622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14,964,622</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500" w:space="260"/>
            <w:col w:w="4260"/>
          </w:cols>
          <w:pgMar w:left="400" w:top="419" w:right="479" w:bottom="0" w:gutter="0" w:footer="0" w:header="0"/>
          <w:type w:val="continuous"/>
        </w:sectPr>
      </w:pPr>
    </w:p>
    <w:p>
      <w:pPr>
        <w:ind w:right="80"/>
        <w:spacing w:after="0" w:line="251"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40"/>
        <w:spacing w:after="0" w:line="259" w:lineRule="auto"/>
        <w:rPr>
          <w:sz w:val="20"/>
          <w:szCs w:val="20"/>
          <w:color w:val="auto"/>
        </w:rPr>
      </w:pPr>
      <w:r>
        <w:rPr>
          <w:rFonts w:ascii="Times New Roman" w:cs="Times New Roman" w:eastAsia="Times New Roman" w:hAnsi="Times New Roman"/>
          <w:sz w:val="22"/>
          <w:szCs w:val="22"/>
          <w:color w:val="auto"/>
        </w:rPr>
        <w:t>"Capital World Investors." CWI is deemed to be the beneficial owner of 14,964,622 shares or 7.3% of the 205,031,406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Erik A. Vayntrub</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2024-02-09T17:28:55Z</dcterms:created>
  <dcterms:modified xsi:type="dcterms:W3CDTF">2024-02-09T17:28:55Z</dcterms:modified>
</cp:coreProperties>
</file>