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August 9,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On August 9, 2024, New Fortress Energy Inc. (“NFE” or the “Company”) issued a press release announcing the Company’s financial and operating results for its fiscal quarter ended June 30, 2024.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August 9, 2024,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80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August 9, 2024</w:t>
            </w:r>
          </w:p>
        </w:tc>
        <w:tc>
          <w:tcPr>
            <w:tcW w:w="2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180" w:type="dxa"/>
            <w:vAlign w:val="bottom"/>
          </w:tcPr>
          <w:p>
            <w:pPr>
              <w:spacing w:after="0"/>
              <w:rPr>
                <w:sz w:val="21"/>
                <w:szCs w:val="21"/>
                <w:color w:val="auto"/>
              </w:rPr>
            </w:pPr>
          </w:p>
        </w:tc>
        <w:tc>
          <w:tcPr>
            <w:tcW w:w="2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180" w:type="dxa"/>
            <w:vAlign w:val="bottom"/>
          </w:tcPr>
          <w:p>
            <w:pPr>
              <w:spacing w:after="0"/>
              <w:rPr>
                <w:sz w:val="22"/>
                <w:szCs w:val="22"/>
                <w:color w:val="auto"/>
              </w:rPr>
            </w:pPr>
          </w:p>
        </w:tc>
        <w:tc>
          <w:tcPr>
            <w:tcW w:w="27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Second Quarter 2024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second quarter of 2024.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6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$120 million in the second quarter of 2024</w:t>
      </w:r>
    </w:p>
    <w:p>
      <w:pPr>
        <w:spacing w:after="0" w:line="49" w:lineRule="exact"/>
        <w:rPr>
          <w:rFonts w:ascii="Times New Roman" w:cs="Times New Roman" w:eastAsia="Times New Roman" w:hAnsi="Times New Roman"/>
          <w:sz w:val="18"/>
          <w:szCs w:val="18"/>
          <w:b w:val="1"/>
          <w:bCs w:val="1"/>
          <w:color w:val="auto"/>
        </w:rPr>
      </w:pPr>
    </w:p>
    <w:p>
      <w:pPr>
        <w:ind w:left="260" w:hanging="252"/>
        <w:spacing w:after="0" w:line="234"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Second quarter results do not include $107 million of contracted LNG sales during the quarter, which will be included in Adjusted EBITDA and earnings in the second half of 2024</w:t>
      </w:r>
    </w:p>
    <w:p>
      <w:pPr>
        <w:spacing w:after="0" w:line="1"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$87 million in the second quarter of 2024</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$(0.41) on a fully diluted basis in the second quarter of 2024</w:t>
      </w:r>
    </w:p>
    <w:p>
      <w:pPr>
        <w:spacing w:after="0" w:line="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$(0.44) on a fully diluted basis in the second quarter of 2024</w:t>
      </w:r>
    </w:p>
    <w:p>
      <w:pPr>
        <w:spacing w:after="0" w:line="4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per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$(0.23) on a fully diluted basis in the second quarter of 2024</w:t>
      </w:r>
    </w:p>
    <w:p>
      <w:pPr>
        <w:spacing w:after="0" w:line="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Illustrative Adjusted EBITDA Goal</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of $1.4-1.5 billion in the full year 2024 and $1.3 billion in the full year 2025</w:t>
      </w:r>
    </w:p>
    <w:p>
      <w:pPr>
        <w:spacing w:after="0" w:line="5" w:lineRule="exact"/>
        <w:rPr>
          <w:rFonts w:ascii="Times New Roman" w:cs="Times New Roman" w:eastAsia="Times New Roman" w:hAnsi="Times New Roman"/>
          <w:sz w:val="18"/>
          <w:szCs w:val="18"/>
          <w:i w:val="1"/>
          <w:i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FLNG 1 project complete with First Cargo</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expected in August 2024</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Adjusted EBITDA in the second quarter of $120 million was well below our expectation of $275 million. This was largely the result of delays in placing our FLNG 1 project into service, which was originally expected to occur at the beginning of the second quarter. As detailed in our earnings presentation, the cost of this delay is approximately $150 million per quarter in lost operating margin, which represents the vast majority of the Adjusted EBITDA shortfall for the quarter.</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pleased to report that FLNG 1 is now in service as of July 19 and performing as expected. While we are disappointed in the delay, we believe this project is by far the fastest LNG facility ever built and positions the Company well to take advantage of the current market for LNG.</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Adjusted EBITDA in the second quarter does not include $107 million of contracted LNG sales completed during the quarter, of which $90 million has been received to date. These sales will be reflected in Adjusted EBITDA and earnings in the second half of this year. For the full calendar year 2024 and 2025, we are forecasting Adjusted EBITDA of $1.4-1.5 billion, inclusive of the expected resolution of our outstanding early termination claims on our FEMA contracts, and $1.3 billion, respectively.</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large and expanding business, with a broad and robust portfolio and customers. While we are disappointed in the delay in placing FLNG 1 into service, it is now operational and we are very excited about the future of our business,” said Wes Edens, Chairman and CEO of New Fortress Energy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generated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$120 million in the second quarter of 2024, the majority of which was generated by contracted downstream assets.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the second quarter of 2024 reflects the completed sale of the power plants that we developed for FEMA in Puerto Rico and concurrent 80 TBtu island-wide gas contract awarded in March 2024. These transformative transactions pave the way for significant expansion of our business in Puerto Rico, supporting expected growth in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Growth is expected to further accelerate upon the completion of our Nicaragua terminal and power asset in the fourth quarter of 2024 and our 2.2 GW power asset in Barcarena in 2025 and 2026.</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completed our initial Fast LNG asset located offshore Altamira, Mexico, following the achievement of First LNG in July 2024. With a production capacity of 1.4 MTPA, or approximately 70 TBtus per annum, FLNG 1 completes the vertical integration of NFE’s LNG portfolio and will play a pivotal role in supplying low-cost, clean LNG to the Company’s downstream terminal customers with First Cargo</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expected in August 2024. The completion of FLNG 1</w:t>
      </w:r>
    </w:p>
    <w:p>
      <w:pPr>
        <w:sectPr>
          <w:pgSz w:w="11900" w:h="16838" w:orient="portrait"/>
          <w:cols w:equalWidth="0" w:num="1">
            <w:col w:w="11240"/>
          </w:cols>
          <w:pgMar w:left="320" w:top="927"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marks a significant milestone for the Company, establishing itself as the fastest large-scale LNG project ever developed and enabling significant reductions in future capital expenditures.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8, 2024, NFE’s Board of Directors approved a dividend of $0.10 per share, with a record date of September 13, 2024 and a payment date of September 27,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98"/>
        </w:trPr>
        <w:tc>
          <w:tcPr>
            <w:tcW w:w="12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57"/>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6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57"/>
        </w:trPr>
        <w:tc>
          <w:tcPr>
            <w:tcW w:w="5620" w:type="dxa"/>
            <w:vAlign w:val="bottom"/>
            <w:gridSpan w:val="2"/>
          </w:tcPr>
          <w:p>
            <w:pPr>
              <w:ind w:left="40"/>
              <w:spacing w:after="0" w:line="256"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3"/>
                <w:szCs w:val="23"/>
                <w:color w:val="auto"/>
                <w:vertAlign w:val="superscript"/>
              </w:rPr>
              <w:t>(7)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57"/>
        </w:trPr>
        <w:tc>
          <w:tcPr>
            <w:tcW w:w="56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57"/>
        </w:trPr>
        <w:tc>
          <w:tcPr>
            <w:tcW w:w="562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57"/>
        </w:trPr>
        <w:tc>
          <w:tcPr>
            <w:tcW w:w="562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56"/>
        </w:trPr>
        <w:tc>
          <w:tcPr>
            <w:tcW w:w="56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57"/>
        </w:trPr>
        <w:tc>
          <w:tcPr>
            <w:tcW w:w="562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refinance all its 6.75% senior secured notes due September 2025 in the near term.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Q2 2024 Investor Presentation (the “Presentation”) for further information about the following terms: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1)“Adjusted EBITDA,” see definition and reconciliation of this non-GAAP measure in the exhibits to this press release.</w:t>
      </w:r>
    </w:p>
    <w:p>
      <w:pPr>
        <w:jc w:val="both"/>
        <w:ind w:firstLine="8"/>
        <w:spacing w:after="0" w:line="237" w:lineRule="auto"/>
        <w:tabs>
          <w:tab w:leader="none" w:pos="21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is not a measurement of financial performance under GAAP and should not be considered in isolation or as an alternative to any measure of performance or liquidity derived in accordance with GAAP. We calculate Adjusted EPS as Adjusted Net Income (Note 7 below) divided by the weighted average shares outstanding on a fully diluted basis for the period indicated. We believe this non-GAAP measure, as we have defined it, offers a useful supplemental view of the overall evaluation of the Company in a manner that is consistent with metrics used for management’s evaluation of the Company’s overall performance. Adjusted EPS does not have a standardized meaning, and different companies may use different definitions. Therefore, this term may not be necessarily comparable to similarly titled measures reported by other companies.</w:t>
      </w:r>
    </w:p>
    <w:p>
      <w:pPr>
        <w:spacing w:after="0" w:line="2" w:lineRule="exact"/>
        <w:rPr>
          <w:rFonts w:ascii="Times New Roman" w:cs="Times New Roman" w:eastAsia="Times New Roman" w:hAnsi="Times New Roman"/>
          <w:sz w:val="18"/>
          <w:szCs w:val="18"/>
          <w:i w:val="1"/>
          <w:iCs w:val="1"/>
          <w:color w:val="auto"/>
        </w:rPr>
      </w:pPr>
    </w:p>
    <w:p>
      <w:pPr>
        <w:ind w:right="20" w:firstLine="8"/>
        <w:spacing w:after="0" w:line="225"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“Funds From Operations per share” means net income attributable to stockholders, computed in accordance with GAAP, excluding gains or losses from sales of assets, depreciation and amortization and impairment charges </w:t>
      </w:r>
      <w:r>
        <w:rPr>
          <w:rFonts w:ascii="Times New Roman" w:cs="Times New Roman" w:eastAsia="Times New Roman" w:hAnsi="Times New Roman"/>
          <w:sz w:val="18"/>
          <w:szCs w:val="18"/>
          <w:color w:val="auto"/>
        </w:rPr>
        <w:t>divided by the weighted average shares outstanding on a fully diluted basis</w:t>
      </w:r>
      <w:r>
        <w:rPr>
          <w:rFonts w:ascii="Times New Roman" w:cs="Times New Roman" w:eastAsia="Times New Roman" w:hAnsi="Times New Roman"/>
          <w:sz w:val="18"/>
          <w:szCs w:val="18"/>
          <w:i w:val="1"/>
          <w:iCs w:val="1"/>
          <w:color w:val="auto"/>
        </w:rPr>
        <w:t xml:space="preserve">. We compute FFO in accordance with our interpretation of standards established by the National Association of Real Estate Investment Trusts (“NAREIT”), which may not be comparable to FFO reported by REITs that do not define the term in accordance with the current NAREIT definition or that interpret the current NAREIT definition differently than we do. We believe that FFO is helpful to investors as supplemental measures of the performance of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xml:space="preserve"> infrastructure investments. We believe that FFO can facilitate comparisons of operating performance between periods by excluding the effect of depreciation and amortization related to our infrastructure investments and impairment charges, which are based on historical costs and may be of limited relevance in evaluating current performance. Our definitions and calculations of these Non-GAAP financial and operating measures and other terms may differ from the definitions and methodologies used by other registrants and accordingly, may not be comparable. These Non-GAAP financial and operating measures do not represent cash generated from operating activities in accordance with GAAP, nor do they represent cash available to pay distributions and they should not be considered as an alternative to net income attributable to stockholders, determined in accordance with GAAP, as an indication of our financial performance, or to cash flows from operating activities, determined in accordance with GAAP, as a measure of our liquidity, nor is it indicative of funds available to fund our cash needs, including our ability to make cash distributions.</w:t>
      </w:r>
    </w:p>
    <w:p>
      <w:pPr>
        <w:ind w:firstLine="8"/>
        <w:spacing w:after="0" w:line="234"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i w:val="1"/>
          <w:iCs w:val="1"/>
          <w:color w:val="auto"/>
        </w:rPr>
        <w:t>Illustrative Adjusted EBITDA Goal” for the second half of 2024 and full year 2024 and 2025 means our forward-looking goal for Adjusted EBITDA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i w:val="1"/>
          <w:iCs w:val="1"/>
          <w:color w:val="auto"/>
        </w:rPr>
        <w:t>the relevant period and is based on the "Illustrative Total Segment Operating Margin Goal" less illustrative Core SGA assumed to be at approximately $66 million for the second half of 2024 and $100 million for 2025, including the pro rata share of Core SG&amp;A from unconsolidated entities. Management is pursuing a $659 million request for equitable adjustment related to the early termination of our contracts to provide emergency power services in Puerto Rico. The actual amount of any such adjustment and the timing of any related payments may be materially different than management’s current estimate. As a result, the Company cannot offer any assurance as to the actual amount that may be recovered pursuant to such request or subsequent claim, if any.</w:t>
      </w:r>
    </w:p>
    <w:p>
      <w:pPr>
        <w:sectPr>
          <w:pgSz w:w="11900" w:h="16838" w:orient="portrait"/>
          <w:cols w:equalWidth="0" w:num="1">
            <w:col w:w="11240"/>
          </w:cols>
          <w:pgMar w:left="320" w:top="1147" w:right="339" w:bottom="1440" w:gutter="0" w:footer="0" w:header="0"/>
        </w:sectPr>
      </w:pPr>
    </w:p>
    <w:bookmarkStart w:id="5" w:name="page6"/>
    <w:bookmarkEnd w:id="5"/>
    <w:p>
      <w:pPr>
        <w:ind w:right="20"/>
        <w:spacing w:after="0" w:line="225" w:lineRule="auto"/>
        <w:rPr>
          <w:sz w:val="20"/>
          <w:szCs w:val="20"/>
          <w:color w:val="auto"/>
        </w:rPr>
      </w:pPr>
      <w:r>
        <w:rPr>
          <w:rFonts w:ascii="Times New Roman" w:cs="Times New Roman" w:eastAsia="Times New Roman" w:hAnsi="Times New Roman"/>
          <w:sz w:val="18"/>
          <w:szCs w:val="18"/>
          <w:i w:val="1"/>
          <w:iCs w:val="1"/>
          <w:color w:val="auto"/>
        </w:rPr>
        <w:t>For the purpose of this presentation, we have assumed an average Total Segment Operating Margin between $5.96 and $28.82 per MMBtu for all downstream terminal economics in the second half of 2024 and between $5.96 and $9.10 per MMBtu in 2025 because we assume that (i) we purchase delivered gas at a weighted average of $6.69 in 2024 and $6.81 in 2025 (ii) our volumes increase over time, and (iii) we will have costs related to shipping, logistics and regasification similar to our current operations which will be reduced when our First FLNG facility is in full production, and those costs will be distributed over the larger volumes. We assume all Brazil terminals and power plants are Operational and earning revenue through fuel sales and capacity charges or other fixed fees. For Vessels chartered to third parties, this measure reflects the revenue from those charters,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$147k per day per vessel. For Fast LNG, this measure reflects the difference between the delivered cost of open LNG and the delivered cost of open market LNG less Fast LNG production cost.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is higher than the cost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Actual circumstances could differ materially from the assumptions, and actual performance and results could differ materially from, and there can be no assurance that they will reflect, our corporate goal.</w:t>
      </w:r>
    </w:p>
    <w:p>
      <w:pPr>
        <w:spacing w:after="0" w:line="4" w:lineRule="exact"/>
        <w:rPr>
          <w:sz w:val="20"/>
          <w:szCs w:val="20"/>
          <w:color w:val="auto"/>
        </w:rPr>
      </w:pPr>
    </w:p>
    <w:p>
      <w:pPr>
        <w:ind w:right="40" w:firstLine="8"/>
        <w:spacing w:after="0" w:line="219"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Cargo” refers to management's current estimate of the date on which LNG cargo sales are expected for a project. Full commercial operation of such project will occur later than, and may occur substantially later than, the date of First Cargo. We cannot assure you if or when such projects will reach the date of delivery of First Cargo, or full commercial operations.</w:t>
      </w:r>
    </w:p>
    <w:p>
      <w:pPr>
        <w:ind w:left="200" w:hanging="192"/>
        <w:spacing w:after="0" w:line="234" w:lineRule="auto"/>
        <w:tabs>
          <w:tab w:leader="none" w:pos="2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Reserved.</w:t>
      </w:r>
    </w:p>
    <w:p>
      <w:pPr>
        <w:ind w:firstLine="8"/>
        <w:spacing w:after="0" w:line="226" w:lineRule="auto"/>
        <w:tabs>
          <w:tab w:leader="none" w:pos="202"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means Net Income attributable to stockholders as presented in the relevant Form 10-K or Form 10-Q for the relevant financial period as adjusted by non-cash impairment charges and gains or losses on disposal of our assets.</w:t>
      </w:r>
    </w:p>
    <w:p>
      <w:pPr>
        <w:spacing w:after="0" w:line="1" w:lineRule="exact"/>
        <w:rPr>
          <w:rFonts w:ascii="Times New Roman" w:cs="Times New Roman" w:eastAsia="Times New Roman" w:hAnsi="Times New Roman"/>
          <w:sz w:val="18"/>
          <w:szCs w:val="18"/>
          <w:i w:val="1"/>
          <w:iCs w:val="1"/>
          <w:color w:val="auto"/>
        </w:rPr>
      </w:pPr>
    </w:p>
    <w:p>
      <w:pPr>
        <w:ind w:right="220" w:firstLine="8"/>
        <w:spacing w:after="0" w:line="233"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Our segment measure also excludes unrealized mark-to-market gains or losses on derivative instruments and certain contract acquisition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on Friday, August 9, 2024 at 8:00 A.M. Eastern Time. The conference call may be accessed by dialing (888) 224-1005 (toll-free from within the U.S.) or +1-323-794-2575 (from outside of the U.S.) fifteen minutes prior to the scheduled start of the call; please reference “NFE Second Quarter 2024 Earnings Call” or conference code 3695554.</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under the Investors section within “Events &amp; Presentations.” Please allow time prior to the call to visit the site and download any necessary software required to listen to the internet broadcast. A replay of the conference call will be available at the same website location shortly after the conclusion of the live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ectPr>
          <w:pgSz w:w="11900" w:h="16838" w:orient="portrait"/>
          <w:cols w:equalWidth="0" w:num="1">
            <w:col w:w="11240"/>
          </w:cols>
          <w:pgMar w:left="320" w:top="916" w:right="33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our expectation regarding our Illustrative Adjusted EBITDA Goals for 2024 and 2025; the successful development, construction, completion, operation and/or deployment of facilities and the timing of first LNG cargo, including our Brazil, Nicaragua and Puerto Rico projects, on time, within budget and within the expected specifications, capacity and design; our expectation regarding the growth of our businesses in Puerto Rico, Brazil and Nicaragua, our expectation regarding our ability to refinance our Senior Secured Notes due 2025, and future strategic plans.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proposed transactions, including any financing or refinancing transactions may not be completed in a timely manner or at all, inability to successfully develop and implement our technological solutions, including our Fast LNG technology, or that we do not receive the benefits we expect from the Fast LNG technology; cyclical or other changes in the LNG and natural gas industries; competition in the energy industry;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adverse regional, national, or international economic conditions, adverse capital market conditions and adverse political developments; and the impact of public health crises, such as pandemics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Porritt</w:t>
      </w:r>
    </w:p>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pacing w:after="0"/>
        <w:rPr>
          <w:sz w:val="20"/>
          <w:szCs w:val="20"/>
          <w:color w:val="auto"/>
        </w:rPr>
      </w:pPr>
      <w:r>
        <w:rPr>
          <w:rFonts w:ascii="Times New Roman" w:cs="Times New Roman" w:eastAsia="Times New Roman" w:hAnsi="Times New Roman"/>
          <w:sz w:val="18"/>
          <w:szCs w:val="18"/>
          <w:b w:val="1"/>
          <w:bCs w:val="1"/>
          <w:color w:val="auto"/>
        </w:rPr>
        <w:t>Source: New Fortress Energy Inc.</w:t>
      </w:r>
    </w:p>
    <w:p>
      <w:pPr>
        <w:sectPr>
          <w:pgSz w:w="11900" w:h="16838" w:orient="portrait"/>
          <w:cols w:equalWidth="0" w:num="1">
            <w:col w:w="11240"/>
          </w:cols>
          <w:pgMar w:left="320" w:top="11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June 30, 2024</w:t>
      </w: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291,222</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52,416</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r>
      <w:tr>
        <w:trPr>
          <w:trHeight w:val="26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428,006</w:t>
            </w:r>
          </w:p>
        </w:tc>
      </w:tr>
      <w:tr>
        <w:trPr>
          <w:trHeight w:val="243"/>
        </w:trPr>
        <w:tc>
          <w:tcPr>
            <w:tcW w:w="7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221,860</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39,292</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70,578</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8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6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383,678</w:t>
            </w:r>
          </w:p>
        </w:tc>
      </w:tr>
      <w:tr>
        <w:trPr>
          <w:trHeight w:val="23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44,328</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r>
      <w:tr>
        <w:trPr>
          <w:trHeight w:val="25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before income from equity method investments and income taxes</w:t>
            </w:r>
          </w:p>
        </w:tc>
        <w:tc>
          <w:tcPr>
            <w:tcW w:w="2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(83,425)</w:t>
            </w:r>
          </w:p>
        </w:tc>
      </w:tr>
      <w:tr>
        <w:trPr>
          <w:trHeight w:val="27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37"/>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(86,860)</w:t>
            </w:r>
          </w:p>
        </w:tc>
      </w:tr>
      <w:tr>
        <w:trPr>
          <w:trHeight w:val="25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5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2"/>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8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205,061,967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205,070,756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205,977,720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205,851,364</w:t>
            </w:r>
          </w:p>
        </w:tc>
      </w:tr>
      <w:tr>
        <w:trPr>
          <w:trHeight w:val="20"/>
        </w:trPr>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minus deferred earnings for which a prepayment was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(loss) to Adjusted EBITDA for the three months ended June 30, 2023, March 31, 2024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Margin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Core SG&amp;A (see definition above)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Deferred earnings from contracted sales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80" w:type="dxa"/>
            <w:vAlign w:val="bottom"/>
          </w:tcPr>
          <w:p>
            <w:pPr>
              <w:spacing w:after="0"/>
              <w:rPr>
                <w:sz w:val="17"/>
                <w:szCs w:val="17"/>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03"/>
        </w:trPr>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7"/>
                <w:szCs w:val="17"/>
                <w:color w:val="auto"/>
              </w:rPr>
            </w:pPr>
          </w:p>
        </w:tc>
        <w:tc>
          <w:tcPr>
            <w:tcW w:w="15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7"/>
                <w:szCs w:val="17"/>
                <w:color w:val="auto"/>
              </w:rPr>
            </w:pPr>
          </w:p>
        </w:tc>
        <w:tc>
          <w:tcPr>
            <w:tcW w:w="142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34"/>
        </w:trPr>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293,834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248,351</w:t>
            </w:r>
          </w:p>
        </w:tc>
      </w:tr>
      <w:tr>
        <w:trPr>
          <w:trHeight w:val="257"/>
        </w:trPr>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38,190</w:t>
            </w:r>
          </w:p>
        </w:tc>
      </w:tr>
      <w:tr>
        <w:trPr>
          <w:trHeight w:val="277"/>
        </w:trPr>
        <w:tc>
          <w:tcPr>
            <w:tcW w:w="16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4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246,453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340,148</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-668020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-334010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8255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4940"/>
          </w:cols>
          <w:pgMar w:left="320" w:top="931" w:right="339" w:bottom="1440" w:gutter="0" w:footer="0" w:header="0"/>
          <w:type w:val="continuous"/>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120,100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56,670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(86,860)</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80,399</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Tax provision</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Asset impairment expense</w:t>
            </w:r>
          </w:p>
        </w:tc>
        <w:tc>
          <w:tcPr>
            <w:tcW w:w="5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SG&amp;A items excluded from Core SG&amp;A (see definition above)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Transaction and integration costs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r>
      <w:tr>
        <w:trPr>
          <w:trHeight w:val="21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Changes in fair value of non-hedge derivative instruments and contingent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8"/>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Loss on extinguishment of debt, net</w:t>
            </w:r>
          </w:p>
        </w:tc>
        <w:tc>
          <w:tcPr>
            <w:tcW w:w="5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Loss on sale of assets, net</w:t>
            </w:r>
          </w:p>
        </w:tc>
        <w:tc>
          <w:tcPr>
            <w:tcW w:w="5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(Income) from equity method investments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Contract acquisition cost</w:t>
            </w: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6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246,453</w:t>
            </w:r>
          </w:p>
        </w:tc>
        <w:tc>
          <w:tcPr>
            <w:tcW w:w="10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340,148</w:t>
            </w:r>
          </w:p>
        </w:tc>
        <w:tc>
          <w:tcPr>
            <w:tcW w:w="80" w:type="dxa"/>
            <w:vAlign w:val="bottom"/>
            <w:tcBorders>
              <w:top w:val="single" w:sz="8" w:color="CCEEFF"/>
            </w:tcBorders>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120,161</w:t>
            </w:r>
          </w:p>
        </w:tc>
      </w:tr>
    </w:tbl>
    <w:p>
      <w:pPr>
        <w:sectPr>
          <w:pgSz w:w="11900" w:h="16838" w:orient="portrait"/>
          <w:cols w:equalWidth="0" w:num="1">
            <w:col w:w="11240"/>
          </w:cols>
          <w:pgMar w:left="320" w:top="93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loss on asset sales, interest expense, other (income) expense, loss on extinguishment of debt, net, (income) loss from equity method investments and tax (benefit) provision. Consolidated Segment Operating Margin is mathematically equivalent to Revenue minus Cost of sales minus Operations and maintenance minus Vessel operating expenses, each as reported in our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20" w:type="dxa"/>
            <w:vAlign w:val="bottom"/>
          </w:tcPr>
          <w:p>
            <w:pPr>
              <w:spacing w:after="0"/>
              <w:rPr>
                <w:sz w:val="24"/>
                <w:szCs w:val="24"/>
                <w:color w:val="auto"/>
              </w:rPr>
            </w:pPr>
          </w:p>
        </w:tc>
        <w:tc>
          <w:tcPr>
            <w:tcW w:w="14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300" w:type="dxa"/>
            <w:vAlign w:val="bottom"/>
          </w:tcPr>
          <w:p>
            <w:pPr>
              <w:spacing w:after="0"/>
              <w:rPr>
                <w:sz w:val="24"/>
                <w:szCs w:val="24"/>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2"/>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Infrastructure </w:t>
            </w:r>
            <w:r>
              <w:rPr>
                <w:rFonts w:ascii="Times New Roman" w:cs="Times New Roman" w:eastAsia="Times New Roman" w:hAnsi="Times New Roman"/>
                <w:sz w:val="20"/>
                <w:szCs w:val="20"/>
                <w:b w:val="1"/>
                <w:bCs w:val="1"/>
                <w:color w:val="auto"/>
                <w:vertAlign w:val="superscript"/>
              </w:rPr>
              <w:t>(1)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214,276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34,075</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248,351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158,351</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0" w:type="dxa"/>
            <w:vAlign w:val="bottom"/>
          </w:tcPr>
          <w:p>
            <w:pPr>
              <w:spacing w:after="0"/>
              <w:rPr>
                <w:sz w:val="1"/>
                <w:szCs w:val="1"/>
                <w:color w:val="auto"/>
              </w:rPr>
            </w:pPr>
          </w:p>
        </w:tc>
      </w:tr>
      <w:tr>
        <w:trPr>
          <w:trHeight w:val="884"/>
        </w:trPr>
        <w:tc>
          <w:tcPr>
            <w:tcW w:w="3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20" w:type="dxa"/>
            <w:vAlign w:val="bottom"/>
          </w:tcPr>
          <w:p>
            <w:pPr>
              <w:spacing w:after="0"/>
              <w:rPr>
                <w:sz w:val="24"/>
                <w:szCs w:val="24"/>
                <w:color w:val="auto"/>
              </w:rPr>
            </w:pPr>
          </w:p>
        </w:tc>
        <w:tc>
          <w:tcPr>
            <w:tcW w:w="148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0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92"/>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Infrastructure</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350,072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34,188</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8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-4491990</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86" w:lineRule="exact"/>
        <w:rPr>
          <w:sz w:val="20"/>
          <w:szCs w:val="20"/>
          <w:color w:val="auto"/>
        </w:rPr>
      </w:pPr>
    </w:p>
    <w:p>
      <w:pPr>
        <w:ind w:left="340" w:right="20" w:hanging="332"/>
        <w:spacing w:after="0" w:line="231" w:lineRule="auto"/>
        <w:tabs>
          <w:tab w:leader="none" w:pos="328" w:val="left"/>
        </w:tabs>
        <w:numPr>
          <w:ilvl w:val="0"/>
          <w:numId w:val="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Terminals and Infrastructure includes deferred earnings from contracted sales that were contracted in the current period, and prepayment for these sales was received. Revenue will be recognized in the Condensed Consolidated Statements of Operations and Comprehensive Income (Loss) when delivery under these forward sales transactions is completed in the third and fourth quarters of 2024. Consolidation and Other adjusts for the inclusion of deferred earnings from contracted sales in Total Segment Operating Margin of $90,000.</w:t>
      </w:r>
    </w:p>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120" w:type="dxa"/>
            <w:vAlign w:val="bottom"/>
          </w:tcPr>
          <w:p>
            <w:pPr>
              <w:spacing w:after="0"/>
              <w:rPr>
                <w:sz w:val="24"/>
                <w:szCs w:val="24"/>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Infrastructure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239,436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54,398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293,834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290,437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42,115</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-1808480</wp:posOffset>
            </wp:positionV>
            <wp:extent cx="10604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5779770</wp:posOffset>
            </wp:positionH>
            <wp:positionV relativeFrom="paragraph">
              <wp:posOffset>-1808480</wp:posOffset>
            </wp:positionV>
            <wp:extent cx="10604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3" w:lineRule="exact"/>
        <w:rPr>
          <w:sz w:val="20"/>
          <w:szCs w:val="20"/>
          <w:color w:val="auto"/>
        </w:rPr>
      </w:pPr>
    </w:p>
    <w:p>
      <w:pPr>
        <w:ind w:left="340" w:right="260" w:hanging="332"/>
        <w:spacing w:after="0" w:line="231"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has excluded contract acquisition costs that do not meet the criteria for capitalization from the segment measure. Contract acquisition costs of $6,232 for the three months ended June 30, 2023 reconcile Cost of sales in the segment measure to Cost of sales in the Condensed Consolidated Statements of Operations and Comprehensive Income (Loss). Consolidation and Other also adjusts for the exclusion of the unrealized mark-to-market gain or loss on derivative instruments in our segment measure.</w:t>
      </w:r>
    </w:p>
    <w:p>
      <w:pPr>
        <w:sectPr>
          <w:pgSz w:w="11900" w:h="16838" w:orient="portrait"/>
          <w:cols w:equalWidth="0" w:num="1">
            <w:col w:w="11240"/>
          </w:cols>
          <w:pgMar w:left="320" w:top="981" w:right="339" w:bottom="1440" w:gutter="0" w:footer="0" w:header="0"/>
        </w:sectPr>
      </w:pPr>
    </w:p>
    <w:bookmarkStart w:id="12" w:name="page13"/>
    <w:bookmarkEnd w:id="12"/>
    <w:p>
      <w:pPr>
        <w:spacing w:after="0" w:line="231" w:lineRule="auto"/>
        <w:tabs>
          <w:tab w:leader="none" w:pos="328"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earnings per share adjusted for non-cash impairment charges and losses on disposals of assets.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2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r>
      <w:tr>
        <w:trPr>
          <w:trHeight w:val="238"/>
        </w:trPr>
        <w:tc>
          <w:tcPr>
            <w:tcW w:w="4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r>
      <w:tr>
        <w:trPr>
          <w:trHeight w:val="25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w:t>
            </w:r>
          </w:p>
        </w:tc>
      </w:tr>
      <w:tr>
        <w:trPr>
          <w:trHeight w:val="25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120" w:type="dxa"/>
            <w:vAlign w:val="bottom"/>
          </w:tcPr>
          <w:p>
            <w:pPr>
              <w:spacing w:after="0"/>
              <w:rPr>
                <w:sz w:val="22"/>
                <w:szCs w:val="22"/>
                <w:color w:val="auto"/>
              </w:rPr>
            </w:pP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w:t>
            </w:r>
          </w:p>
        </w:tc>
        <w:tc>
          <w:tcPr>
            <w:tcW w:w="1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equity method investment</w:t>
            </w:r>
          </w:p>
        </w:tc>
        <w:tc>
          <w:tcPr>
            <w:tcW w:w="120" w:type="dxa"/>
            <w:vAlign w:val="bottom"/>
          </w:tcPr>
          <w:p>
            <w:pPr>
              <w:spacing w:after="0"/>
              <w:rPr>
                <w:sz w:val="19"/>
                <w:szCs w:val="19"/>
                <w:color w:val="auto"/>
              </w:rPr>
            </w:pPr>
          </w:p>
        </w:tc>
        <w:tc>
          <w:tcPr>
            <w:tcW w:w="2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205,711,467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205,977,720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205,851,364</w:t>
            </w: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5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3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Funds from operations ("FFO") and FFO per share. We have defined FFO as net income attributable to stockholders, adjusted by depreciation and amortization, gains or losses from the sale of assets and impairment charges, each as reported in our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r>
      <w:tr>
        <w:trPr>
          <w:trHeight w:val="241"/>
        </w:trPr>
        <w:tc>
          <w:tcPr>
            <w:tcW w:w="90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30, 2024</w:t>
            </w:r>
          </w:p>
        </w:tc>
      </w:tr>
      <w:tr>
        <w:trPr>
          <w:trHeight w:val="225"/>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equity method investment</w:t>
            </w:r>
          </w:p>
        </w:tc>
        <w:tc>
          <w:tcPr>
            <w:tcW w:w="4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(47,169)</w:t>
            </w: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4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205,851,364</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9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2024 and December 31,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0"/>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132,960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155,414</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$10,025 and $1,158,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342,371</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113,684</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213,104</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1,124,333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979,973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6,301,162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5,348,294</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2,144,838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2,481,415</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137,793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588,385</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 net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11,408,377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236,147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292,625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572,746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549,489</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471,675</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164,548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227,951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1,564,800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1,706,288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7,392,811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6,510,523</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406,494</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9,623,264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8,723,376</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convertible preferred stock, $0.01 par value, 96,746 shares authorized, issued and outstanding as of June 30, 2024 (0 as of</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2023); aggregate liquidation preference of $96,746 and $0 at June 30, 2024 and December 31, 2023</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205.1 million issued and outstanding as of June 30, 2024; 205.0</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million issued and outstanding as of December 31, 2023</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1,063,426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1,038,530</w:t>
            </w:r>
          </w:p>
        </w:tc>
        <w:tc>
          <w:tcPr>
            <w:tcW w:w="0" w:type="dxa"/>
            <w:vAlign w:val="bottom"/>
          </w:tcPr>
          <w:p>
            <w:pPr>
              <w:spacing w:after="0"/>
              <w:rPr>
                <w:sz w:val="1"/>
                <w:szCs w:val="1"/>
                <w:color w:val="auto"/>
              </w:rPr>
            </w:pPr>
          </w:p>
        </w:tc>
      </w:tr>
      <w:tr>
        <w:trPr>
          <w:trHeight w:val="193"/>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527,986</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71,528</w:t>
            </w:r>
          </w:p>
        </w:tc>
        <w:tc>
          <w:tcPr>
            <w:tcW w:w="0" w:type="dxa"/>
            <w:vAlign w:val="bottom"/>
          </w:tcPr>
          <w:p>
            <w:pPr>
              <w:spacing w:after="0"/>
              <w:rPr>
                <w:sz w:val="1"/>
                <w:szCs w:val="1"/>
                <w:color w:val="auto"/>
              </w:rPr>
            </w:pPr>
          </w:p>
        </w:tc>
      </w:tr>
      <w:tr>
        <w:trPr>
          <w:trHeight w:val="18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1,640,094</w:t>
            </w: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1,687,268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1,777,869</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convertible preferred stock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11,408,377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996,307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428,006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1,140,476</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shown separately below)</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450,977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410,706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889,495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682,287</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458,189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62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Income (loss) before income from equity method</w:t>
            </w: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and income taxes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303,699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205,070,756</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205,045,121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205,066,362</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206,867,828</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205,851,364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205,711,467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205,846,970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207,534,174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1"/>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0"/>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271,666</w:t>
            </w: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for: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76,949</w:t>
            </w:r>
          </w:p>
        </w:tc>
        <w:tc>
          <w:tcPr>
            <w:tcW w:w="0" w:type="dxa"/>
            <w:vAlign w:val="bottom"/>
          </w:tcPr>
          <w:p>
            <w:pPr>
              <w:spacing w:after="0"/>
              <w:rPr>
                <w:sz w:val="1"/>
                <w:szCs w:val="1"/>
                <w:color w:val="auto"/>
              </w:rPr>
            </w:pPr>
          </w:p>
        </w:tc>
      </w:tr>
      <w:tr>
        <w:trPr>
          <w:trHeight w:val="195"/>
        </w:trPr>
        <w:tc>
          <w:tcPr>
            <w:tcW w:w="8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0" w:type="dxa"/>
            <w:vAlign w:val="bottom"/>
          </w:tcPr>
          <w:p>
            <w:pPr>
              <w:spacing w:after="0"/>
              <w:rPr>
                <w:sz w:val="1"/>
                <w:szCs w:val="1"/>
                <w:color w:val="auto"/>
              </w:rPr>
            </w:pPr>
          </w:p>
        </w:tc>
      </w:tr>
      <w:tr>
        <w:trPr>
          <w:trHeight w:val="195"/>
        </w:trPr>
        <w:tc>
          <w:tcPr>
            <w:tcW w:w="8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Movement in credit loss allowances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Loss on asset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(71,536)</w:t>
            </w:r>
          </w:p>
        </w:tc>
        <w:tc>
          <w:tcPr>
            <w:tcW w:w="0" w:type="dxa"/>
            <w:vAlign w:val="bottom"/>
          </w:tcPr>
          <w:p>
            <w:pPr>
              <w:spacing w:after="0"/>
              <w:rPr>
                <w:sz w:val="1"/>
                <w:szCs w:val="1"/>
                <w:color w:val="auto"/>
              </w:rPr>
            </w:pPr>
          </w:p>
        </w:tc>
      </w:tr>
      <w:tr>
        <w:trPr>
          <w:trHeight w:val="195"/>
        </w:trPr>
        <w:tc>
          <w:tcPr>
            <w:tcW w:w="8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the disposal of equity method investment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 impairment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receivables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in 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(60,710)</w:t>
            </w: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63,576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40,655</w:t>
            </w: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accounts payable/accrued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75,746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(38,885)</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Increase in other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116,959</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162,968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503,877</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(1,346,385)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(1,465,642)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 of equity method investment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sales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0" w:type="dxa"/>
            <w:vAlign w:val="bottom"/>
          </w:tcPr>
          <w:p>
            <w:pPr>
              <w:spacing w:after="0"/>
              <w:rPr>
                <w:sz w:val="1"/>
                <w:szCs w:val="1"/>
                <w:color w:val="auto"/>
              </w:rPr>
            </w:pPr>
          </w:p>
        </w:tc>
      </w:tr>
      <w:tr>
        <w:trPr>
          <w:trHeight w:val="176"/>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(882,715)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(1,367,092)</w:t>
            </w: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3,037,127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919,625</w:t>
            </w: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dividends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(676,918)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(13,465)</w:t>
            </w:r>
          </w:p>
        </w:tc>
        <w:tc>
          <w:tcPr>
            <w:tcW w:w="0" w:type="dxa"/>
            <w:vAlign w:val="bottom"/>
          </w:tcPr>
          <w:p>
            <w:pPr>
              <w:spacing w:after="0"/>
              <w:rPr>
                <w:sz w:val="1"/>
                <w:szCs w:val="1"/>
                <w:color w:val="auto"/>
              </w:rPr>
            </w:pPr>
          </w:p>
        </w:tc>
      </w:tr>
      <w:tr>
        <w:trPr>
          <w:trHeight w:val="176"/>
        </w:trPr>
        <w:tc>
          <w:tcPr>
            <w:tcW w:w="82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735,679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222,583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(639,024)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855,083</w:t>
            </w:r>
          </w:p>
        </w:tc>
        <w:tc>
          <w:tcPr>
            <w:tcW w:w="0" w:type="dxa"/>
            <w:vAlign w:val="bottom"/>
          </w:tcPr>
          <w:p>
            <w:pPr>
              <w:spacing w:after="0"/>
              <w:rPr>
                <w:sz w:val="1"/>
                <w:szCs w:val="1"/>
                <w:color w:val="auto"/>
              </w:rPr>
            </w:pP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297,848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216,059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2024-08-09T06:08:38Z</dcterms:created>
  <dcterms:modified xsi:type="dcterms:W3CDTF">2024-08-09T06:08:38Z</dcterms:modified>
</cp:coreProperties>
</file>