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160"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to_______</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001-38790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83-1482060</w:t>
            </w:r>
          </w:p>
        </w:tc>
        <w:tc>
          <w:tcPr>
            <w:tcW w:w="0" w:type="dxa"/>
            <w:vAlign w:val="bottom"/>
          </w:tcPr>
          <w:p>
            <w:pPr>
              <w:spacing w:after="0"/>
              <w:rPr>
                <w:sz w:val="1"/>
                <w:szCs w:val="1"/>
                <w:color w:val="auto"/>
              </w:rPr>
            </w:pPr>
          </w:p>
        </w:tc>
      </w:tr>
      <w:tr>
        <w:trPr>
          <w:trHeight w:val="256"/>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1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111 W. 19th Street, 8th Floor</w:t>
            </w:r>
          </w:p>
        </w:tc>
        <w:tc>
          <w:tcPr>
            <w:tcW w:w="37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10011</w:t>
            </w:r>
          </w:p>
        </w:tc>
        <w:tc>
          <w:tcPr>
            <w:tcW w:w="0" w:type="dxa"/>
            <w:vAlign w:val="bottom"/>
          </w:tcPr>
          <w:p>
            <w:pPr>
              <w:spacing w:after="0"/>
              <w:rPr>
                <w:sz w:val="1"/>
                <w:szCs w:val="1"/>
                <w:color w:val="auto"/>
              </w:rPr>
            </w:pPr>
          </w:p>
        </w:tc>
      </w:tr>
      <w:tr>
        <w:trPr>
          <w:trHeight w:val="238"/>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(516) 268-7400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0"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62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1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0"/>
        </w:trPr>
        <w:tc>
          <w:tcPr>
            <w:tcW w:w="284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100" w:type="dxa"/>
            <w:vAlign w:val="bottom"/>
          </w:tcPr>
          <w:p>
            <w:pPr>
              <w:spacing w:after="0"/>
              <w:rPr>
                <w:sz w:val="23"/>
                <w:szCs w:val="23"/>
                <w:color w:val="auto"/>
              </w:rPr>
            </w:pPr>
          </w:p>
        </w:tc>
        <w:tc>
          <w:tcPr>
            <w:tcW w:w="2080" w:type="dxa"/>
            <w:vAlign w:val="bottom"/>
            <w:tcBorders>
              <w:top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740" w:type="dxa"/>
            <w:vAlign w:val="bottom"/>
          </w:tcPr>
          <w:p>
            <w:pPr>
              <w:spacing w:after="0"/>
              <w:rPr>
                <w:sz w:val="23"/>
                <w:szCs w:val="23"/>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9" w:orient="portrait"/>
          <w:cols w:equalWidth="0" w:num="1">
            <w:col w:w="11220"/>
          </w:cols>
          <w:pgMar w:left="320" w:top="290" w:right="359" w:bottom="0" w:gutter="0" w:footer="0" w:header="0"/>
        </w:sectPr>
      </w:pPr>
    </w:p>
    <w:p>
      <w:pPr>
        <w:spacing w:after="0" w:line="21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    </w:t>
      </w:r>
      <w:r>
        <w:rPr>
          <w:rFonts w:ascii="Wingdings" w:cs="Wingdings" w:eastAsia="Wingdings" w:hAnsi="Wingdings"/>
          <w:sz w:val="17"/>
          <w:szCs w:val="17"/>
          <w:b w:val="1"/>
          <w:bCs w:val="1"/>
          <w:color w:val="auto"/>
        </w:rPr>
        <w:t>o</w:t>
      </w:r>
    </w:p>
    <w:p>
      <w:pPr>
        <w:spacing w:after="0" w:line="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Accelerated filer  </w:t>
      </w:r>
      <w:r>
        <w:rPr>
          <w:rFonts w:ascii="Wingdings" w:cs="Wingdings" w:eastAsia="Wingdings" w:hAnsi="Wingdings"/>
          <w:sz w:val="18"/>
          <w:szCs w:val="18"/>
          <w:b w:val="1"/>
          <w:bCs w:val="1"/>
          <w:color w:val="auto"/>
        </w:rPr>
        <w:t>x</w:t>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Smaller reporting company  </w:t>
      </w:r>
      <w:r>
        <w:rPr>
          <w:rFonts w:ascii="MS PGothic" w:cs="MS PGothic" w:eastAsia="MS PGothic" w:hAnsi="MS PGothic"/>
          <w:sz w:val="17"/>
          <w:szCs w:val="17"/>
          <w:color w:val="auto"/>
        </w:rPr>
        <w:t>☐</w:t>
      </w:r>
    </w:p>
    <w:p>
      <w:pPr>
        <w:spacing w:after="0" w:line="49"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49" w:orient="portrait"/>
          <w:cols w:equalWidth="0" w:num="2">
            <w:col w:w="8300" w:space="720"/>
            <w:col w:w="2200"/>
          </w:cols>
          <w:pgMar w:left="320" w:top="290" w:right="359" w:bottom="0" w:gutter="0" w:footer="0" w:header="0"/>
          <w:type w:val="continuous"/>
        </w:sectPr>
      </w:pPr>
    </w:p>
    <w:p>
      <w:pPr>
        <w:spacing w:after="0" w:line="98" w:lineRule="exact"/>
        <w:rPr>
          <w:sz w:val="24"/>
          <w:szCs w:val="24"/>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176" w:lineRule="exact"/>
        <w:rPr>
          <w:sz w:val="24"/>
          <w:szCs w:val="24"/>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x</w:t>
      </w:r>
    </w:p>
    <w:p>
      <w:pPr>
        <w:ind w:right="80" w:firstLine="648"/>
        <w:spacing w:after="0" w:line="233"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8"/>
          <w:szCs w:val="18"/>
          <w:color w:val="333333"/>
        </w:rPr>
        <w:t>§240.10D-1(b)</w:t>
      </w:r>
      <w:r>
        <w:rPr>
          <w:rFonts w:ascii="Times New Roman" w:cs="Times New Roman" w:eastAsia="Times New Roman" w:hAnsi="Times New Roman"/>
          <w:sz w:val="18"/>
          <w:szCs w:val="18"/>
          <w:color w:val="auto"/>
        </w:rPr>
        <w:t>. </w:t>
      </w:r>
      <w:r>
        <w:rPr>
          <w:rFonts w:ascii="Wingdings" w:cs="Wingdings" w:eastAsia="Wingdings" w:hAnsi="Wingdings"/>
          <w:sz w:val="18"/>
          <w:szCs w:val="18"/>
          <w:b w:val="1"/>
          <w:bCs w:val="1"/>
          <w:color w:val="auto"/>
        </w:rPr>
        <w:t>o</w:t>
      </w:r>
    </w:p>
    <w:p>
      <w:pPr>
        <w:sectPr>
          <w:pgSz w:w="11900" w:h="16849" w:orient="portrait"/>
          <w:cols w:equalWidth="0" w:num="1">
            <w:col w:w="11220"/>
          </w:cols>
          <w:pgMar w:left="320" w:top="290" w:right="359" w:bottom="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computed as of June 30, 2025 (the last business day of the registrant’s most recently completed second fiscal quarter), based on the closing price of the Class A common stock on the Nasdaq Global Select Market, was $557.5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April 30, 2026, the registrant had 285,634,650 shares of Class A common stock outstanding.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Documents Incorporated By Reference</w:t>
      </w:r>
      <w:r>
        <w:rPr>
          <w:rFonts w:ascii="Times New Roman" w:cs="Times New Roman" w:eastAsia="Times New Roman" w:hAnsi="Times New Roman"/>
          <w:sz w:val="18"/>
          <w:szCs w:val="18"/>
          <w:color w:val="auto"/>
          <w:highlight w:val="white"/>
        </w:rPr>
        <w: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New Fortress Energy Inc. (“NFE,” together with its subsidiaries, the “Company”) is filing this Amendment No. 1 on Form 10-K/A (this "Amendment No. 1") to its Annual Report on Form 10-K for the year ended December 31, 2025, originally filed with the Securities and Exchange Commission ("SEC") on April 13, 2026 (the "Original Form 10-K) to make certain changes as described below.</w:t>
      </w:r>
    </w:p>
    <w:p>
      <w:pPr>
        <w:spacing w:after="0" w:line="19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Original Form 10-K omitted Part III, Items 10 (Directors, Executive Officers and Corporate Governance), 11 (Executive Compensation), 12 (Security Ownership of Certain Beneficial Owners and Management and Related Stockholder Matters), 13 (Certain Relationships and Related Transactions, and Director Independence) and 14 (Principal Accountant Fees and Services) in reliance on General Instruction G(3) to Form 10-K, which provides that such information may be either incorporated by reference from the registrant’s definitive proxy statement or included in an amendment to Form 10-K, in either case filed with the SEC not later than 120 days after the end of the fiscal year. We currently expect that our definitive proxy statement for the 2026 annual meeting of stockholders will be filed later than the 120th day after the end of the last fiscal year. Accordingly, this Amendment No. 1 is being filed solely to:</w:t>
      </w:r>
    </w:p>
    <w:p>
      <w:pPr>
        <w:spacing w:after="0" w:line="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Part III, Items 10, 11, 12, 13 and 14 of the Original Form 10-K to include the information required by such Items;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the reference on the cover of the Original Form 10-K to include the information required by such Items;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40" w:hanging="328"/>
        <w:spacing w:after="0" w:line="24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new certifications of our principal executive officer and principal financial officer as exhibits to this Amendment No. 1 under Item 15 of Part IV hereof, pursuant to Section 302 of the Sarbanes-Oxley Act of 2002 and Rule 12b-15 under the Securities Exchange Act of 1934, as amended (the “Exchange Act”).</w:t>
      </w:r>
    </w:p>
    <w:p>
      <w:pPr>
        <w:spacing w:after="0" w:line="239" w:lineRule="auto"/>
        <w:rPr>
          <w:sz w:val="20"/>
          <w:szCs w:val="20"/>
          <w:color w:val="auto"/>
        </w:rPr>
      </w:pPr>
      <w:r>
        <w:rPr>
          <w:rFonts w:ascii="Times New Roman" w:cs="Times New Roman" w:eastAsia="Times New Roman" w:hAnsi="Times New Roman"/>
          <w:sz w:val="18"/>
          <w:szCs w:val="18"/>
          <w:color w:val="auto"/>
        </w:rPr>
        <w:t>Because no financial statements have been included in this Amendment No. 1 and this Amendment No. 1 does not contain or amend any disclosure with respect to Items 307 and 308 of Regulation S-K, paragraphs 3, 4, and 5 of the certifications have been omitted. We are not including the certifications under Section 906 of the Sarbanes-Oxley Act of 2002 as no financial statements are being filed with this Amendment No. 1. This Amendment No. 1 also amends Part IV to add the foregoing certifications.</w:t>
      </w:r>
    </w:p>
    <w:p>
      <w:pPr>
        <w:spacing w:after="0" w:line="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No other changes have been made to the Original Form 10-K other than those described above. This Amendment No. 1 does not reflect subsequent events occurring after the original filing date of the Original Form 10-K or modify or update in any way the financial statements, consents or any other items or disclosures made in the Original Form 10-K in any way other than as required to reflect the amendments discussed above. Accordingly, this Amendment No. 1 should be read in conjunction with the Original Form 10-K and our other filings with the SEC subsequent to the filing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6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09"/>
        </w:trPr>
        <w:tc>
          <w:tcPr>
            <w:tcW w:w="20" w:type="dxa"/>
            <w:vAlign w:val="bottom"/>
            <w:shd w:val="clear" w:color="auto" w:fill="CCEEFF"/>
          </w:tcPr>
          <w:p>
            <w:pPr>
              <w:spacing w:after="0"/>
              <w:rPr>
                <w:sz w:val="18"/>
                <w:szCs w:val="18"/>
                <w:color w:val="auto"/>
              </w:rPr>
            </w:pPr>
          </w:p>
        </w:tc>
        <w:tc>
          <w:tcPr>
            <w:tcW w:w="910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CAUTIONARY STATEMENT ON FORWARD-LOOKING STATEMENTS</w:t>
            </w:r>
          </w:p>
        </w:tc>
        <w:tc>
          <w:tcPr>
            <w:tcW w:w="2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PART III</w:t>
            </w:r>
          </w:p>
        </w:tc>
        <w:tc>
          <w:tcPr>
            <w:tcW w:w="1800" w:type="dxa"/>
            <w:vAlign w:val="bottom"/>
            <w:tcBorders>
              <w:top w:val="single" w:sz="8" w:color="0000FF"/>
            </w:tcBorders>
          </w:tcPr>
          <w:p>
            <w:pPr>
              <w:spacing w:after="0"/>
              <w:rPr>
                <w:sz w:val="16"/>
                <w:szCs w:val="16"/>
                <w:color w:val="auto"/>
              </w:rPr>
            </w:pPr>
          </w:p>
        </w:tc>
        <w:tc>
          <w:tcPr>
            <w:tcW w:w="1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84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4"/>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200" w:type="dxa"/>
            <w:vAlign w:val="bottom"/>
            <w:tcBorders>
              <w:bottom w:val="single" w:sz="8" w:color="CCEEFF"/>
            </w:tcBorders>
            <w:gridSpan w:val="2"/>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189"/>
        </w:trPr>
        <w:tc>
          <w:tcPr>
            <w:tcW w:w="20" w:type="dxa"/>
            <w:vAlign w:val="bottom"/>
          </w:tcPr>
          <w:p>
            <w:pPr>
              <w:spacing w:after="0"/>
              <w:rPr>
                <w:sz w:val="16"/>
                <w:szCs w:val="16"/>
                <w:color w:val="auto"/>
              </w:rPr>
            </w:pPr>
          </w:p>
        </w:tc>
        <w:tc>
          <w:tcPr>
            <w:tcW w:w="1760" w:type="dxa"/>
            <w:vAlign w:val="bottom"/>
            <w:gridSpan w:val="4"/>
          </w:tcPr>
          <w:p>
            <w:pPr>
              <w:ind w:left="34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73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2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4"/>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734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1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r>
      <w:tr>
        <w:trPr>
          <w:trHeight w:val="189"/>
        </w:trPr>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gridSpan w:val="4"/>
          </w:tcPr>
          <w:p>
            <w:pPr>
              <w:ind w:left="34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7340" w:type="dxa"/>
            <w:vAlign w:val="bottom"/>
            <w:tcBorders>
              <w:top w:val="single" w:sz="8" w:color="CCEE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1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73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189"/>
        </w:trPr>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PART IV</w:t>
            </w:r>
          </w:p>
        </w:tc>
        <w:tc>
          <w:tcPr>
            <w:tcW w:w="1800" w:type="dxa"/>
            <w:vAlign w:val="bottom"/>
            <w:tcBorders>
              <w:top w:val="single" w:sz="8" w:color="0000FF"/>
            </w:tcBorders>
          </w:tcPr>
          <w:p>
            <w:pPr>
              <w:spacing w:after="0"/>
              <w:rPr>
                <w:sz w:val="16"/>
                <w:szCs w:val="16"/>
                <w:color w:val="auto"/>
              </w:rPr>
            </w:pPr>
          </w:p>
        </w:tc>
        <w:tc>
          <w:tcPr>
            <w:tcW w:w="1100" w:type="dxa"/>
            <w:vAlign w:val="bottom"/>
            <w:tcBorders>
              <w:top w:val="single" w:sz="8" w:color="0000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84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73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2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20" w:type="dxa"/>
            <w:vAlign w:val="bottom"/>
            <w:tcBorders>
              <w:top w:val="single" w:sz="8" w:color="CCEEFF"/>
            </w:tcBorders>
          </w:tcPr>
          <w:p>
            <w:pPr>
              <w:spacing w:after="0"/>
              <w:rPr>
                <w:sz w:val="16"/>
                <w:szCs w:val="16"/>
                <w:color w:val="auto"/>
              </w:rPr>
            </w:pPr>
          </w:p>
        </w:tc>
        <w:tc>
          <w:tcPr>
            <w:tcW w:w="1760" w:type="dxa"/>
            <w:vAlign w:val="bottom"/>
            <w:tcBorders>
              <w:top w:val="single" w:sz="8" w:color="CCEE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0" w:type="dxa"/>
            <w:vAlign w:val="bottom"/>
            <w:tcBorders>
              <w:top w:val="single" w:sz="8" w:color="0000FF"/>
            </w:tcBorders>
          </w:tcPr>
          <w:p>
            <w:pPr>
              <w:spacing w:after="0"/>
              <w:rPr>
                <w:sz w:val="16"/>
                <w:szCs w:val="16"/>
                <w:color w:val="auto"/>
              </w:rPr>
            </w:pPr>
          </w:p>
        </w:tc>
        <w:tc>
          <w:tcPr>
            <w:tcW w:w="1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84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r>
      <w:tr>
        <w:trPr>
          <w:trHeight w:val="1040"/>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10-K/A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“could,” “should,” “expects,” “intends,”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92" w:lineRule="exact"/>
        <w:rPr>
          <w:sz w:val="20"/>
          <w:szCs w:val="20"/>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addressing the substantial doubt as to our ability to continue as a going concern and satisfy our liquidity needs, including the consummation of certain items that management expects to occur and other transactions intended to enhance our liquidity;</w:t>
      </w:r>
    </w:p>
    <w:p>
      <w:pPr>
        <w:spacing w:after="0" w:line="161"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the Restructuring Transaction (as defined herein), on the timeline contemplated or at all, and our ability to realize the intended benefits of such transaction;</w:t>
      </w:r>
    </w:p>
    <w:p>
      <w:pPr>
        <w:spacing w:after="0" w:line="161"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implementation of the Restructuring Transaction, including diverting management’s attention and resources, increased costs, and adverse effects on our relationships with customers, suppliers, employees, and other stakeholders;</w:t>
      </w:r>
    </w:p>
    <w:p>
      <w:pPr>
        <w:spacing w:after="0" w:line="161" w:lineRule="exact"/>
        <w:rPr>
          <w:rFonts w:ascii="Times New Roman" w:cs="Times New Roman" w:eastAsia="Times New Roman" w:hAnsi="Times New Roman"/>
          <w:sz w:val="18"/>
          <w:szCs w:val="18"/>
          <w:color w:val="auto"/>
        </w:rPr>
      </w:pPr>
    </w:p>
    <w:p>
      <w:pPr>
        <w:ind w:left="340" w:right="8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financial, tax and other risks related to the separation of the Company into two independent entities as part of the Restructuring Transaction;</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 and disclosure controls and procedures, including our ability to remediate our material weaknesses in our internal control over financial reporting and the timing of any such remediation;</w:t>
      </w:r>
    </w:p>
    <w:p>
      <w:pPr>
        <w:spacing w:after="0" w:line="161" w:lineRule="exact"/>
        <w:rPr>
          <w:rFonts w:ascii="Times New Roman" w:cs="Times New Roman" w:eastAsia="Times New Roman" w:hAnsi="Times New Roman"/>
          <w:sz w:val="18"/>
          <w:szCs w:val="18"/>
          <w:color w:val="auto"/>
        </w:rPr>
      </w:pPr>
    </w:p>
    <w:p>
      <w:pPr>
        <w:ind w:left="340" w:right="82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LNG or natural gas to be a competitive source of energy in the markets in which we operate, and seek to operate;</w:t>
      </w:r>
    </w:p>
    <w:p>
      <w:pPr>
        <w:spacing w:after="0" w:line="22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sufficient working capital for the development and operation of our business and assets;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2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the listing of our Class A common stock on the Nasdaq stock market or another national securities exchange;</w:t>
      </w:r>
    </w:p>
    <w:p>
      <w:pPr>
        <w:spacing w:after="0" w:line="225"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 including the anticipated benefits from the sale of our Jamaica Business (as defined below) and our strategy and plans for the remaining portion of the Company, including the structure, form, timing and nature of potential actions with respect to the Company’s business in the future and characteristics of the business going forward;</w:t>
      </w:r>
    </w:p>
    <w:p>
      <w:pPr>
        <w:spacing w:after="0" w:line="1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or any other major health and safety incident;</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economic and financial conditions, including the effect of the tax treatment of, or changes in tax laws applicable to, us or our business or of an investment in our Class A common stock, and changing trade policies and tariffs and the related uncertainty thereof; and</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this Annual Report.</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Annual Report. 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Our Directors</w:t>
      </w:r>
    </w:p>
    <w:p>
      <w:pPr>
        <w:spacing w:after="0" w:line="229"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certain biographical information for our directors, including the director nominees, as well as the month and year each person was first elected as one of our directors.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Wesley R. Edens (Age 64)</w:t>
      </w:r>
    </w:p>
    <w:p>
      <w:pPr>
        <w:sectPr>
          <w:pgSz w:w="11900" w:h="16838" w:orient="portrait"/>
          <w:cols w:equalWidth="0" w:num="1">
            <w:col w:w="11200"/>
          </w:cols>
          <w:pgMar w:left="320" w:top="290" w:right="379" w:bottom="1440" w:gutter="0" w:footer="0" w:header="0"/>
        </w:sectPr>
      </w:pPr>
    </w:p>
    <w:p>
      <w:pPr>
        <w:spacing w:after="0" w:line="229" w:lineRule="exact"/>
        <w:rPr>
          <w:sz w:val="20"/>
          <w:szCs w:val="20"/>
          <w:color w:val="auto"/>
        </w:rPr>
      </w:pPr>
    </w:p>
    <w:p>
      <w:pPr>
        <w:ind w:left="680"/>
        <w:spacing w:after="0" w:line="237" w:lineRule="auto"/>
        <w:rPr>
          <w:sz w:val="20"/>
          <w:szCs w:val="20"/>
          <w:color w:val="auto"/>
        </w:rPr>
      </w:pPr>
      <w:r>
        <w:rPr>
          <w:rFonts w:ascii="Times New Roman" w:cs="Times New Roman" w:eastAsia="Times New Roman" w:hAnsi="Times New Roman"/>
          <w:sz w:val="18"/>
          <w:szCs w:val="18"/>
          <w:color w:val="auto"/>
        </w:rPr>
        <w:t>Founder, Chief Executive Officer and Chairman since 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Desmond Iain Catterall (Age 69)</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auto"/>
        </w:rPr>
        <w:t>Mr. Edens has been our Chief Executive Officer and the Chairman of our board of directors since August 2018.</w:t>
      </w:r>
    </w:p>
    <w:p>
      <w:pPr>
        <w:spacing w:after="0" w:line="1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Mr. Edens was the Co-Chief Executive Officer of Fortress and was a member of the board of directors of Fortress from November 2006 to May 2024. Mr. Edens was a member of the Management Committee of Fortress since co-founding Fortress in May 1998 to May 2024. Mr. Edens has primary investment oversight of Fortress’ private equity and publicly traded alternative businesses.</w:t>
      </w:r>
    </w:p>
    <w:p>
      <w:pPr>
        <w:spacing w:after="0" w:line="2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pacing w:after="0" w:line="23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Iain Catterall became a member of our Board of Directors in January 2019.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w:t>
      </w:r>
    </w:p>
    <w:p>
      <w:pPr>
        <w:spacing w:after="0" w:line="2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Catterall holds a Bachelor of Commerce degree from the University of Natal (Durban). We believe that Mr. Catterall’s extensive experience in emerging markets, capital markets and financial services brings valuable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633730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140" w:space="200"/>
            <w:col w:w="6860"/>
          </w:cols>
          <w:pgMar w:left="320" w:top="290"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David J. Grain (Age 63)    </w:t>
      </w:r>
      <w:r>
        <w:rPr>
          <w:rFonts w:ascii="Times New Roman" w:cs="Times New Roman" w:eastAsia="Times New Roman" w:hAnsi="Times New Roman"/>
          <w:sz w:val="17"/>
          <w:szCs w:val="17"/>
          <w:color w:val="auto"/>
        </w:rPr>
        <w:t xml:space="preserve">           </w:t>
      </w:r>
    </w:p>
    <w:p>
      <w:pPr>
        <w:spacing w:after="0" w:line="227"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 William Griffin (Age 75)</w:t>
      </w:r>
    </w:p>
    <w:p>
      <w:pPr>
        <w:spacing w:after="0" w:line="216"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David Grain became a member of our Board of Directors in January 2019. Mr. Grain currently serves as the Chief Executive Officer of Grain Management, LLC, a private equity firm focused on investments in the media and communications sectors, which he founded in 2007. Prior to founding Grain Management, LLC, from January 2003 to December 2005, Mr. Grain served as</w:t>
      </w:r>
    </w:p>
    <w:p>
      <w:pPr>
        <w:spacing w:after="0" w:line="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w:t>
      </w:r>
    </w:p>
    <w:p>
      <w:pPr>
        <w:spacing w:after="0" w:line="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the region. Prior to leading AT&amp;T Broadband' s New England operations, Mr. Grain spent more than a decade in the financial services industry, most recently at Morgan Stanley &amp; Co. LLC, a financial services company, in New York from 1992 to 2000 where he focused primarily on telecommunications, media and technology companies. Mr. Grain serves on the Board of Directors of The Southern Company (NYSE: SO), a gas and electric utility company, and of Dell</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Technologies (NYSE: DELL), a multinational technology company, Vice Chair of the Advisory Council of the National Museum of African American History and Culture, and Board Chair of the Martha's Vineyard Museum. He is also a Lifetime Member of the Council on Foreign Relations, and was appointed as a member of the National Infrastructure Advisory Council in 2011 and again in 2024.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brings valuable skills and leadership to our Board of Directors.</w:t>
      </w:r>
    </w:p>
    <w:p>
      <w:pPr>
        <w:spacing w:after="0" w:line="200" w:lineRule="exact"/>
        <w:rPr>
          <w:sz w:val="20"/>
          <w:szCs w:val="20"/>
          <w:color w:val="auto"/>
        </w:rPr>
      </w:pPr>
    </w:p>
    <w:p>
      <w:pPr>
        <w:spacing w:after="0" w:line="2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Bill Griffin became a member of our Board of Directors in January 2019. Mr. Griffin has more than 45 years of experience in financial services. Mr. Griffin currently serves as Executive Chairman of ServiceMac, a privately held financial services company specializing in mortgage sub-servicing. He previously served as Executive Vice President, Enterprise Strategy of ServiceLink, LLC, helping deliver end-to-end solutions to large financial institutions from January 2017 until mid-2019.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w:t>
      </w:r>
    </w:p>
    <w:p>
      <w:pPr>
        <w:spacing w:after="0" w:line="3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bring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617855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20" w:space="720"/>
            <w:col w:w="6880"/>
          </w:cols>
          <w:pgMar w:left="320" w:top="29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Timothy W. Jay (Age 66)</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Director since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Charles M. Sledge (Age 60)</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Director since April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Randal A. Nardone (Age 70)</w:t>
      </w:r>
    </w:p>
    <w:p>
      <w:pPr>
        <w:spacing w:after="0" w:line="216"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18"/>
          <w:szCs w:val="18"/>
          <w:color w:val="auto"/>
        </w:rPr>
        <w:t>Director since August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Timothy W. Jay became a member of our Board of Directors in March 2023. Mr. Jay has worked as Head of Government Bond Sales and Rates Trader at CRT Capital Group LLC, a financial services firm, from 2009 until his retirement in 2016. From 2005 to 2006, he served as Co-Managing Partner at Rockridge Advisors LLC, a multi-strategy hedge fund. Prior to 2005, he worked for Lehman Brothers as a Government Bond Trader, Head of Global Government Bond Business and a Liquid Markets Head Trader. During the same time, from 1996 to 2006, he served as both Chairman and Vice Chairman of the Treasury Borrowing Advisory Committee, which regularly advised the U.S. Treasury and the Federal Reserve Board on policy. He also served as a director of Intrawest Holdings from 2013 to 2017. We believe that Mr. Jay's significant knowledge of real estate and operational and financial development brings significant value to our Board of Directors.</w:t>
      </w:r>
    </w:p>
    <w:p>
      <w:pPr>
        <w:spacing w:after="0" w:line="2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Charles M. Sledge became a member of our Board of Directors in April 2025. Mr. Sledge currently serves as the Non-Executive Chairman of the board of directors of Noble Holding Corporation plc and serves a position he has held since February 2021. Mr. Sledge has also served as a member of the board of directors of Talos Energy Inc. since May 2018 and currently chairs the Audit Committee of Talos Energy Inc. Additionally, he currently serves on the board of Weatherford International plc, where he serves as chairman since June 2018. Mr. Sledge previously served on the board of directors of Vine Energy, Inc. (which was acquired by Chesapeake Energy Corporation). 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Mr. Sledge received his Bachelor of Science in Accounting at Louisiana State University and is a graduate of the Advanced Management Program at Harvard University. We believe that Mr. Sledge's significant knowledge of the energy space and extensive financial experience will bring significant value to our Board of Directors.</w:t>
      </w:r>
    </w:p>
    <w:p>
      <w:pPr>
        <w:spacing w:after="0" w:line="25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Randal Nardone has been a member of our Board of Directors since August 2018. A co-founder of Fortress in May 1998, he was also a member of its management committee from May 1998 to May 2024, as well as a member of its board of directors from November 2006 to May 2024. Mr. Nardone served as Fortress’s Chief Executive Officer from July 2013 through December 2017, after serving as its Interim Chief Executive Officer from December 2011 to July 2013. Prior to founding Fortress in 1998, Mr. Nardone was a principal of BlackRock Financial Management, Inc. Prior to joining BlackRock Financial Management, Inc., Mr. Nardone was a partner and a member of the executive committee at the law firm of Thacher Proffitt &amp; Wood. Mr. Nardone received a Bachelor of Arts from the University of Connecticut and received a Juris Doctor from Boston University School of Law. We believe that Mr. Nardone’s leadership, management experience and experience with corporate and securities law bring valuable experience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633730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20" w:space="720"/>
            <w:col w:w="6880"/>
          </w:cols>
          <w:pgMar w:left="320" w:top="29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Katherine E. Wanner (Age 58)</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Policies and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Katherine Wanner became a member of our Board of Directors in January 2019.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currently with $65 billion in assets under its management and offices in 15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w:t>
      </w:r>
    </w:p>
    <w:p>
      <w:pPr>
        <w:spacing w:after="0" w:line="1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Post Ms. Wanner’s retirement from Adams Street Partners in 2015, Ms. Wanner has served as an Operating Partner at Abundant Venture Partners from 2016 to April 2018. Since April 2018 and through December 2019, Ms. Wanner served as an Advisor at Abundant Venture Partners. Ms. Wanner is currently a Senior Advisor and was a founding partner in 2020 at Fairway Capital Management, an institutional venture capital investment manager. Since 2024, Kathy Wanner is an Executive Partner with Shore Capital Partners, a lower middle-market private equity firm focused on partnering with companies that have between $1 to $10 million of EBITDA. Kathy focuses on supporting the firm’s strategic initiatives and supporting its funds and portfolio companies.</w:t>
      </w:r>
    </w:p>
    <w:p>
      <w:pPr>
        <w:spacing w:after="0" w:line="18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Since 1998, Ms. Wanner has served on many private equity and venture capital advisory boards and completed many primary investments across several sectors, and was 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 LLC.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brings significant value to our Board of Directors.</w:t>
      </w:r>
    </w:p>
    <w:p>
      <w:pPr>
        <w:spacing w:after="0" w:line="693" w:lineRule="exact"/>
        <w:rPr>
          <w:sz w:val="20"/>
          <w:szCs w:val="20"/>
          <w:color w:val="auto"/>
        </w:rPr>
      </w:pPr>
    </w:p>
    <w:p>
      <w:pPr>
        <w:sectPr>
          <w:pgSz w:w="11900" w:h="16838" w:orient="portrait"/>
          <w:cols w:equalWidth="0" w:num="2">
            <w:col w:w="3620" w:space="720"/>
            <w:col w:w="6900"/>
          </w:cols>
          <w:pgMar w:left="320" w:top="290" w:right="339" w:bottom="1440" w:gutter="0" w:footer="0" w:header="0"/>
        </w:sectPr>
      </w:pPr>
    </w:p>
    <w:p>
      <w:pPr>
        <w:spacing w:after="0" w:line="4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adopted an insider trading policy that governs the purchase, sale and other dispositions of our securities by our directors, officers and employees, which we believe is reasonably designed to promote compliance with applicable insider trading laws, rules and regulations and listing standards. A copy of our insider trading policy is filed as Exhibit 19.1 to our Annual Report on Form 10-K for the year ended December 31, 2024. In addition, with regard to the Company’s trading in its own securities, it is the Company’s policy to comply with the federal securities laws and the applicable exchange listing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mentioned above, the Board of Directors has adopted the Code of Conduct, which is available on our website, that applies to all of our officers, directors and employees, including our principal executive officer and principal financial officer. The purpose of the Code of Conduct is to promote, among other things:</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accurate financial records and adherence to applicable accounting rules and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Conduct and the reporting of violations thereof.</w:t>
      </w:r>
    </w:p>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Company intends to disclose any changes in or waivers from our Code of Conduct, as required by applicable U.S. federal securities laws and the corporate governance rules of Nasdaq, by posting such information on our website at the address and location specified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320"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executive officers of the Company: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4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shd w:val="clear" w:color="auto" w:fill="CCEEFF"/>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Lowe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shd w:val="clear" w:color="auto" w:fill="CCEEFF"/>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-445135</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-445135</wp:posOffset>
            </wp:positionV>
            <wp:extent cx="102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70"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Wesley R. Edens. </w:t>
      </w:r>
      <w:r>
        <w:rPr>
          <w:rFonts w:ascii="Times New Roman" w:cs="Times New Roman" w:eastAsia="Times New Roman" w:hAnsi="Times New Roman"/>
          <w:sz w:val="18"/>
          <w:szCs w:val="18"/>
          <w:color w:val="auto"/>
        </w:rPr>
        <w:t>Wesley Edens is our founder and has served as our Chief Executive Officer and the Chairman of our Board of Directors since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w:t>
      </w:r>
    </w:p>
    <w:p>
      <w:pPr>
        <w:spacing w:after="0" w:line="15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Christopher S. Guinta. </w:t>
      </w:r>
      <w:r>
        <w:rPr>
          <w:rFonts w:ascii="Times New Roman" w:cs="Times New Roman" w:eastAsia="Times New Roman" w:hAnsi="Times New Roman"/>
          <w:sz w:val="18"/>
          <w:szCs w:val="18"/>
          <w:color w:val="auto"/>
        </w:rPr>
        <w:t>Mr. Guinta has served as our Chief Financial Officer since August 2018, and the Chief Financial Officer of New Fortress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Michael Lowe </w:t>
      </w:r>
      <w:r>
        <w:rPr>
          <w:rFonts w:ascii="Times New Roman" w:cs="Times New Roman" w:eastAsia="Times New Roman" w:hAnsi="Times New Roman"/>
          <w:sz w:val="18"/>
          <w:szCs w:val="18"/>
          <w:color w:val="auto"/>
        </w:rPr>
        <w:t>Mr. Lowe began serving as our Chief Accounting Officer on April 29, 2025. Since 2019, Mr. Lowe has been a Senior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accounting team, responsible for all financial reporting and technical accounting matters. Prior to joining NFE, Mr. Lowe was a Director in PwC's Capital Markets and Accounting Advisory Services practice, advising clients on capital markets transactions and complex accounting issues. Mr. Lowe began his career with PwC and served in various roles from 2008 to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directors, executive officers and persons beneficially owning more than ten percent of a registered class of a company’s equity securities to file reports of ownership and changes in ownership on Forms 3, 4, and 5 with the SEC. To our knowledge, based solely on review of the copies of such reports filed with the SEC, or written representations from such persons, all reports required to be filed by our directors, executive officers and greater-than-ten-percent owners with respect to the year ended December 31, 2025 were timely filed in compliance with the Section 16(a) filing requirements, except for one Form 4 filed by Yunyoung Shin in April 2025, reporting one late transaction made in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Discussion and Analysis that follows provides a description of our compensation program for each of the individuals listed below. We refer to these individuals throughout the Compensation Discussion and Analysis and the tables that follow as our named executive officers. For 2025, our named executive officers were as follows:</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Wesley R. Edens,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 Guinta, Chief Financial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Lowe, Chief Accounting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Yunyoung Shin, Former Chief Accounting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29, 2025, Ms. Shin ceased serving as our Chief Accounting Officer and Mr. Lowe began serving as our Chief Accounting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in Executive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our Compensation Committee’s responsibility to:</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design of our executive compensation programs, policies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types and amounts of compensation for our executive officers; and</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adoption, termination and amendment of, and to administer and, as appropriate, make recommendations to the Board regarding, our incentive compensation plans.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objective is to provide a market-based executive compensation program tied to performance and aligned with the interests of our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256" w:lineRule="exact"/>
        <w:rPr>
          <w:sz w:val="20"/>
          <w:szCs w:val="20"/>
          <w:color w:val="auto"/>
        </w:rPr>
      </w:pPr>
    </w:p>
    <w:p>
      <w:pPr>
        <w:ind w:right="40" w:firstLine="324"/>
        <w:spacing w:after="0" w:line="246" w:lineRule="auto"/>
        <w:rPr>
          <w:sz w:val="20"/>
          <w:szCs w:val="20"/>
          <w:color w:val="auto"/>
        </w:rPr>
      </w:pPr>
      <w:r>
        <w:rPr>
          <w:rFonts w:ascii="Times New Roman" w:cs="Times New Roman" w:eastAsia="Times New Roman" w:hAnsi="Times New Roman"/>
          <w:sz w:val="18"/>
          <w:szCs w:val="18"/>
          <w:color w:val="auto"/>
        </w:rPr>
        <w:t>During the summer of 2025, our Compensation Committee retained Lyons, Benenson &amp; Company Inc. (“LB&amp;Co.”) as its independent compensation consultant to advise on the 2025 Cash Retention Program (as described below in this Compensation Discussion and Analysis) and our new Director Compensation Program, which is described in the “Director Compensation” section of this Annual Report. LB&amp;Co. does not provide any other services to the Company. Following a review of the relationship between the Company and LB&amp;Co. during 2025, the Compensation Committee concluded that LB&amp;Co.’s work did not raise any conflicts of interest.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Determining Compensation for our Executive Compensation</w:t>
      </w:r>
    </w:p>
    <w:p>
      <w:pPr>
        <w:spacing w:after="0" w:line="243" w:lineRule="exact"/>
        <w:rPr>
          <w:sz w:val="20"/>
          <w:szCs w:val="20"/>
          <w:color w:val="auto"/>
        </w:rPr>
      </w:pPr>
    </w:p>
    <w:p>
      <w:pPr>
        <w:ind w:right="880" w:firstLine="324"/>
        <w:spacing w:after="0" w:line="266" w:lineRule="auto"/>
        <w:rPr>
          <w:sz w:val="20"/>
          <w:szCs w:val="20"/>
          <w:color w:val="auto"/>
        </w:rPr>
      </w:pPr>
      <w:r>
        <w:rPr>
          <w:rFonts w:ascii="Times New Roman" w:cs="Times New Roman" w:eastAsia="Times New Roman" w:hAnsi="Times New Roman"/>
          <w:sz w:val="18"/>
          <w:szCs w:val="18"/>
          <w:color w:val="auto"/>
        </w:rPr>
        <w:t>Prior to October 1, 2024, Messrs. Edens and Nardone served as the members of our Compensation Committee. As of October 1, 2024, our Compensation Committee has been composed entirely of independent directors.</w:t>
      </w:r>
    </w:p>
    <w:p>
      <w:pPr>
        <w:spacing w:after="0" w:line="2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a member of our Compensation Committee until October 1, 2024, Mr. Edens was involved in all decisions regarding the compensation of our named executive officers prior to that date. As described more fully below, Mr. Edens does not receive any regular annual compensation from any party for services rendered to us.</w:t>
      </w:r>
    </w:p>
    <w:p>
      <w:pPr>
        <w:spacing w:after="0" w:line="16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our 2024 Annual Meeting of Stockholders, we held a non-binding advisory stockholder vote on the compensation of our named executive officers for the year ended December 31, 2023 (the “2024 Say-on-Pay” vote). Our stockholders approved the compensation of our named executive officers, with approximately 99.5% of the votes cast in favor of our 2024 Say-on-Pay resolution. We currently hold our “say-on-pay” advisory vote every three years and expect the next such vote will be held at our 2027 annual meeting of stockholders. Our Compensation Committee will consider the outcome of the Company’s say-on-pay votes and other feedback from stockholders when making future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Executive Compensation Program</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Mr. Edens has elected to serve as our CEO without regular annual compensation, primarily due to his substantial ownership stake in us. Mr. Edens is compensated by FIG LLC for services performed for the benefit of Fortress and certain other Fortress entities. However, none of the compensation received by Mr. Edens from FIG LLC is compensation for services rendered to us. As such, regular annual compensation information for Mr. Edens is not included below.</w:t>
      </w:r>
    </w:p>
    <w:p>
      <w:pPr>
        <w:spacing w:after="0" w:line="17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salary is a fixed component of our executive compensation for each year, which may be increased from time to time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performance and other factors as determined by our Compensation Committee. Base salaries were originally set pursuant to negotiations with our named executive officers at the time of hire, and are intended to reflect the position, duties and responsibilities of each executive. As previously noted, Mr. Edens does not receive regular annual compensation from us. For 2025, annual base salaries for Mr. Guinta and Mr. Lowe were $350,000 (which was unchanged from 2024) and $325,000, respectively.</w:t>
      </w:r>
    </w:p>
    <w:p>
      <w:pPr>
        <w:spacing w:after="0" w:line="18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Annual Cash Bonuses</w:t>
      </w:r>
      <w:r>
        <w:rPr>
          <w:rFonts w:ascii="Times New Roman" w:cs="Times New Roman" w:eastAsia="Times New Roman" w:hAnsi="Times New Roman"/>
          <w:sz w:val="18"/>
          <w:szCs w:val="18"/>
          <w:color w:val="auto"/>
        </w:rPr>
        <w:t>. Our named executive officers are eligible to receive annual cash bonuses. We consider annual cash incentive bonuses to be “at-risk” compensation. For 2025, Mr. Guinta had a target bonus opportunity equal to 125% of his annual base salary. For 2025, Mr. Lowe was eligible to receive a discretionary annual bonus. Mr. Guinta and Mr. Lowe must be actively employed at, and not have given or received notice of termination prior to, the time of the bonus payment in order to receive the bonus. As previously noted, Mr. Edens does not receive regular annual compensation from us. The Compensation Committee determined that no annual cash bonuses would be paid to the Company's executive officers for 2025 and instead determined to provide cash retention awards as discussed below.</w:t>
      </w:r>
    </w:p>
    <w:p>
      <w:pPr>
        <w:spacing w:after="0" w:line="184"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Historically, we have not used pre-established performance goals in our evaluation of performance with respect to the annual incentive payment. Instead, we considered many factors in our decision-making process relating to the amount, if any, of the annual incentive payment. The factors have generally involved the following:</w:t>
      </w:r>
    </w:p>
    <w:p>
      <w:pPr>
        <w:spacing w:after="0" w:line="174" w:lineRule="exact"/>
        <w:rPr>
          <w:sz w:val="20"/>
          <w:szCs w:val="20"/>
          <w:color w:val="auto"/>
        </w:rPr>
      </w:pPr>
    </w:p>
    <w:p>
      <w:pPr>
        <w:ind w:left="660" w:right="260" w:hanging="328"/>
        <w:spacing w:after="0" w:line="315"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Reviewing Company performance</w:t>
      </w:r>
      <w:r>
        <w:rPr>
          <w:rFonts w:ascii="Times New Roman" w:cs="Times New Roman" w:eastAsia="Times New Roman" w:hAnsi="Times New Roman"/>
          <w:sz w:val="17"/>
          <w:szCs w:val="17"/>
          <w:color w:val="auto"/>
        </w:rPr>
        <w:t>. We review all aspects of financial and operational performance of the Company, and also assesses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in relation to the direction of the Company’s business, taking into account changing economic and market environments.</w:t>
      </w:r>
    </w:p>
    <w:p>
      <w:pPr>
        <w:spacing w:after="0" w:line="134" w:lineRule="exact"/>
        <w:rPr>
          <w:rFonts w:ascii="Times New Roman" w:cs="Times New Roman" w:eastAsia="Times New Roman" w:hAnsi="Times New Roman"/>
          <w:sz w:val="17"/>
          <w:szCs w:val="17"/>
          <w:color w:val="auto"/>
        </w:rPr>
      </w:pPr>
    </w:p>
    <w:p>
      <w:pPr>
        <w:ind w:left="660" w:right="80" w:hanging="328"/>
        <w:spacing w:after="0" w:line="290"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Individual performance</w:t>
      </w:r>
      <w:r>
        <w:rPr>
          <w:rFonts w:ascii="Times New Roman" w:cs="Times New Roman" w:eastAsia="Times New Roman" w:hAnsi="Times New Roman"/>
          <w:sz w:val="17"/>
          <w:szCs w:val="17"/>
          <w:color w:val="auto"/>
        </w:rPr>
        <w:t>. We also evaluate individual performance beyond purely financial measures, including, generally, one or any combination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following: exceptional performance of the individual’s functional responsibilities; leadership; creativity; innovation; collaboration; development and implementation of growth initiatives; and other activities that are critical to driving long-term value for shareholders.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the end of the fiscal year, we review both Company and individual performance to determine actual bonus payouts for the applicable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we have not applied a pre-established formula for determining the relative importance of the factors discussed above.</w:t>
      </w:r>
    </w:p>
    <w:p>
      <w:pPr>
        <w:spacing w:after="0" w:line="20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Long-Term Incentive Awards</w:t>
      </w:r>
      <w:r>
        <w:rPr>
          <w:rFonts w:ascii="Times New Roman" w:cs="Times New Roman" w:eastAsia="Times New Roman" w:hAnsi="Times New Roman"/>
          <w:sz w:val="18"/>
          <w:szCs w:val="18"/>
          <w:color w:val="auto"/>
        </w:rPr>
        <w:t>. In 2019, in connection with our initial public offering, we adopted the Incentive Plan. Under the Incentive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issue options, share appreciation rights, restricted shares, restricted share units (“RSUs”) and performance share units (“PSUs”), share bonuses or other share-based awards to selected officers, employees, non-employee directors and select non-employees of NFE or its affiliates. We did not grant any equity awards to our named executive officers during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Perquisites and Personal Benefits</w:t>
      </w:r>
      <w:r>
        <w:rPr>
          <w:rFonts w:ascii="Times New Roman" w:cs="Times New Roman" w:eastAsia="Times New Roman" w:hAnsi="Times New Roman"/>
          <w:sz w:val="18"/>
          <w:szCs w:val="18"/>
          <w:color w:val="auto"/>
        </w:rPr>
        <w:t>. We did not provide any perquisites or personal benefits to our named executive officers in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Cash Retention Program</w:t>
      </w:r>
    </w:p>
    <w:p>
      <w:pPr>
        <w:spacing w:after="0" w:line="22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the fall of 2025, our Compensation Committee reviewed and approved a cash retention program (the “2025 Cash Retention Program”), in consultation with LB&amp;Co., to retain and incentivize certain critical executives and senior management employees of the Company (including each of our named executive officers other than Ms. Shin) during a period critical to the Company’s ongoing operations and corporate strategy. Each of Messrs. Edens, Guinta and Lowe received an award under the 2025 Cash Retention Program, the terms of which were set forth in a retention award agreement. The material terms of the retention award agreements entered into with Messrs. Edens, Guinta and Lowe are summarized below. Please see the section of this Annual Report entitled “Director Compensation” for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information about the retention award agreement entered into with Mr. Nardone. The Company has not granted a retention award to any other non-employee director.</w:t>
      </w:r>
    </w:p>
    <w:p>
      <w:pPr>
        <w:spacing w:after="0" w:line="16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Edens Retention Agreement</w:t>
      </w:r>
      <w:r>
        <w:rPr>
          <w:rFonts w:ascii="Times New Roman" w:cs="Times New Roman" w:eastAsia="Times New Roman" w:hAnsi="Times New Roman"/>
          <w:sz w:val="18"/>
          <w:szCs w:val="18"/>
          <w:color w:val="auto"/>
        </w:rPr>
        <w:t>. In October 2025, the Company entered into a retention award agreement with Mr. Edens providing for the following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retention payments: (i) a service retention payment equal to $3,125,000 (“Service Retention Payment”), (ii) a transaction resolution retention payment equal to $1,875,000 (“Transaction Retention Payment”) and (iii) a restructuring incentive payment equal to $2,500,000 (“Restructuring Incentive Payment”). Mr. Edens’ Service Retention Payment was paid upfront, subject to a clawback provision that lapses (and did lapse) on March 15, 2026 or, if earlier, upon Mr. Edens termination of employment by the Company without cause or due to his death or permanent disability (“Qualifying Termination”). Mr. Edens’ Transaction Retention Payment was also paid upfront, subject to a clawback provision that lapses (and did lapse) upon the negotiation and close of a contract in a key operating jurisdiction (or a comparable contract elsewhere) or, if earlier, upon a Qualifying Termination. Such contract was executed in late 2025. Mr. Edens’ Restructuring Incentive Payment is payable upon the successful completion of the Company’s financial restructuring, provided that upon a Qualifying Termination prior to a financial restructuring, the Restructuring Incentive Payment will be paid if the financial restructuring is successfully completed within three months following such Qualifying Termination.</w:t>
      </w:r>
    </w:p>
    <w:p>
      <w:pPr>
        <w:spacing w:after="0" w:line="18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Guinta Retention Agreemen</w:t>
      </w:r>
      <w:r>
        <w:rPr>
          <w:rFonts w:ascii="Times New Roman" w:cs="Times New Roman" w:eastAsia="Times New Roman" w:hAnsi="Times New Roman"/>
          <w:sz w:val="18"/>
          <w:szCs w:val="18"/>
          <w:color w:val="auto"/>
        </w:rPr>
        <w:t>t. In September 2025, the Company entered into a retention award agreement with Mr. Guinta providing for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retention payments: (i) a $3,000,000 Service Retention Payment and (ii) a $3,000,000 Restructuring Incentive Payment. Mr. Guinta’s Service Retention Payment was paid upfront, subject to a clawback provision that lapses (and did lapse) on March 15, 2026 or, if earlier, upon a Qualifying Termination. Mr. Gunita’s Restructuring Incentive Payment is payable on the earlier of the completion of a Restructuring or, if the Restructuring Incentive Payment had not been paid by January 1, 2026, on January 1, 2026, in each case, subject to Mr. Guinta’s continued employment on the payment date. The Restructuring Incentive Payment was paid on January 1, 2026, subject to the same repayment obligation as his Service Retention Payment.</w:t>
      </w:r>
    </w:p>
    <w:p>
      <w:pPr>
        <w:spacing w:after="0" w:line="182" w:lineRule="exact"/>
        <w:rPr>
          <w:sz w:val="20"/>
          <w:szCs w:val="20"/>
          <w:color w:val="auto"/>
        </w:rPr>
      </w:pPr>
    </w:p>
    <w:p>
      <w:pPr>
        <w:ind w:right="3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Lowe Retention Agreement</w:t>
      </w:r>
      <w:r>
        <w:rPr>
          <w:rFonts w:ascii="Times New Roman" w:cs="Times New Roman" w:eastAsia="Times New Roman" w:hAnsi="Times New Roman"/>
          <w:sz w:val="18"/>
          <w:szCs w:val="18"/>
          <w:color w:val="auto"/>
        </w:rPr>
        <w:t>. In September 2025, the Company entered into a retention award agreement with Mr. Lowe providing for a $875,000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Retention Payment, which was paid upfront, subject to a clawback provision that lapses (and did lapse) on March 15, 2026 or, if earlier, upon a Qualifying Termination.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Bonuses</w:t>
      </w:r>
    </w:p>
    <w:p>
      <w:pPr>
        <w:spacing w:after="0" w:line="227"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Jamaica Transaction Bonuses</w:t>
      </w:r>
      <w:r>
        <w:rPr>
          <w:rFonts w:ascii="Times New Roman" w:cs="Times New Roman" w:eastAsia="Times New Roman" w:hAnsi="Times New Roman"/>
          <w:sz w:val="18"/>
          <w:szCs w:val="18"/>
          <w:color w:val="auto"/>
        </w:rPr>
        <w:t>. In May 2025, we completed the sale of the Company’s Jamaica business to Excelerate Energy, Inc. (the “Jamaica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 recognition of their efforts in connection with the completion of the Jamaica Transaction, Mr. Guinta received a cash bonus of $5,000,000 and Mr. Lowe received a cash bonus of $750,000, in each case, payable in two installments in 2025.</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Energos Ship Sale Transaction Bonuses</w:t>
      </w:r>
      <w:r>
        <w:rPr>
          <w:rFonts w:ascii="Times New Roman" w:cs="Times New Roman" w:eastAsia="Times New Roman" w:hAnsi="Times New Roman"/>
          <w:sz w:val="18"/>
          <w:szCs w:val="18"/>
          <w:color w:val="auto"/>
        </w:rPr>
        <w:t>. In November 2025, we completed a transaction with Energos, pursuant to which the Company early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the long-term charter agreements with Energos for certain vessels and novated associated sub-charter agreements for these vessels to Energos, in exchange for cash consideration of $150.0 million (the “Energos Ship Sale Transaction”). In recognition of their efforts in connection with the completion of the Energos Ship Sale Transaction, Mr. Guinta received a cash bonus of $750,000 and Mr. Lowe received a cash bonus of $112,500, in each case, payable in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entered into offer letters with Mr. Guinta and Mr. Lowe. We have not entered into an offer letter or employment agreement with Mr. Edens.</w:t>
      </w:r>
    </w:p>
    <w:p>
      <w:pPr>
        <w:spacing w:after="0" w:line="223"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Guinta Offer Letter</w:t>
      </w:r>
      <w:r>
        <w:rPr>
          <w:rFonts w:ascii="Times New Roman" w:cs="Times New Roman" w:eastAsia="Times New Roman" w:hAnsi="Times New Roman"/>
          <w:sz w:val="18"/>
          <w:szCs w:val="18"/>
          <w:color w:val="auto"/>
        </w:rPr>
        <w:t>. On March 14, 2017, NFE Management, LLC entered into an offer letter (the “Guinta Offer Letter”) with Mr. Guinta. The Guinta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Letter provides Mr. Guinta with an annualized base salary of $350,000, a discretionary target bonus opportunity equal to 125% of annual base salary and eligibility to participate in our broad-based employee benefit plans, as may be adopted from time to time, subject to the eligibility requirements of such employee benefit plans. The Guinta Offer Letter also contains certain restrictive covenants, including (a) non-competition and non-solicitation covenants that are applicable during Mr. Guinta’s term of employment, and for twelve months following his resignation or termination of his employment for cause (as defined below) and (b) restrictions on disclosure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Lowe Offer Letter. </w:t>
      </w:r>
      <w:r>
        <w:rPr>
          <w:rFonts w:ascii="Times New Roman" w:cs="Times New Roman" w:eastAsia="Times New Roman" w:hAnsi="Times New Roman"/>
          <w:sz w:val="18"/>
          <w:szCs w:val="18"/>
          <w:color w:val="auto"/>
        </w:rPr>
        <w:t>On June 10, 2019, NFE Management, LLC entered into an offer letter (the “Lowe Offer Letter”) with Mr. Lowe. The Lowe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provided Mr. Lowe with an annualized base salary of $250,000, eligibility to receive a discretionary bonus and eligibility to participate in our broad-based employee benefit plans, as may be adopted from time to time, subject to the eligibility requirements of such employee benefit plans. The Lowe Offer Letter also contains certain restrictive covenants, including (a) non-competition and non-solicitation covenants that are applicable during Mr. Lowe’s term of employment, and for twelve months following his resignation or termination of his employment for cause (as defined below) and (b) restrictions on disclosure of confidential information. Mr. Lowe's annual base salary for 2025 was $325,000.</w:t>
      </w:r>
    </w:p>
    <w:p>
      <w:pPr>
        <w:spacing w:after="0" w:line="18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used in the Guinta Offer Letter and Lowe Offer Letter, “cause” generally means the executive’s (i) willful misconduct or gross negligence in the performance of his duties; (ii) failure to perform his duties or to follow the lawful directives of our Board;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general matter, we consider the various tax and accounting implications of our existing and proposed compensation programs. We consider the tax-deductibility of compensation in designing our compensation programs, but it is not our sole consideration and we retain the discretion to award compensation that is non-deductible. Section 162(m) of the Internal Revenue Code limits to $1 million per year the federal income tax deduction available to public corporations for compensation paid for any fiscal year to the CEO and other named executive officers. As a result, compensation paid in excess of $1 million to each of our other named executive officers will generally not be deductible.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Policy</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exceptions (as described below), our insider trading policy expressly prohibits transactions involving hedging, margining or pledging of shares of our Common Stock and other equity securities and derivatives by officers, directors and employees of the Company (“Insiders”), as well as any such Insider’s spouse, minor children, adult family members sharing the same household on a continuous basis, financial dependents, and any other person or entity over whom the Insider exercises substantial influence or control over his, her or its securities trading decisions, and any other trust or other estate in which an Insider has a substantial beneficial interest or as to which he or she serves as trustee or in a similar capacity.</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policy provides limited exceptions in the event of prior approval by the Company's insider trading compliance officer, securities that are margined and are sold by a broker without the customer's consent if the customer fails to meet a margin call, transactions made pursuant to a written trading plan designed and entered into in accordance with Rule 10b5-1 of the Exchange Act, exercises of share options where no shares of the Company are sold in the market to fund the option exercise price or related taxes, the exercise of a tax withholding right pursuant to which a person has elected to have the Company withhold shares subject to an option to satisfy tax withholding requirements, vesting of restricted shares or the exercise of a tax withholding right in connection with restricted shares or other equity awards pursuant to which such person has elected to have the Company withhold shares to satisfy tax withholding requirements upon the vesting of any restricted shares or other award, and purchases of Company shares in any present or future 401(k) plan resulting from a person’s periodic contributions to the plan pursuant to that person’s payroll deduction election.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Effective December 1, 2023, we adopted the New Fortress Energy Inc. Clawback Policy, which is included as Exhibit 97.1 to our Original Form 10-K for our most recently completed fiscal year, covering our executive officers. Our Clawback Policy provides that in the event of a required accounting restatement, our Compensation Committee will seek reimbursement of the portion of any incentive-based compensation that would not have been paid had our financial statements been correctly 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do not grant equity in the form of stock options, stock appreciation rights, or similar option-like instruments. As such, we do not currently have any policies or practices in place with respect to the timing of such awards in relation to the disclosure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reviewed and discussed the 2025 Compensation Discussion and Analysis required by Item 402(b) of Regulation S-K with the Company’s management.</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Based on this review and their discussions, the Compensation Committee has recommended to the Board of Directors that the 2025 Compensation Discussion and Analysis be included in the Annual Report and the Proxy Statement for the 2026 Annual Meeting of Stockholders to be filed with the SEC.</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David J. Grain</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William Griffin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Charles M. Sledge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2025</w:t>
      </w:r>
    </w:p>
    <w:p>
      <w:pPr>
        <w:spacing w:after="0" w:line="229" w:lineRule="exact"/>
        <w:rPr>
          <w:sz w:val="20"/>
          <w:szCs w:val="20"/>
          <w:color w:val="auto"/>
        </w:rPr>
      </w:pPr>
    </w:p>
    <w:p>
      <w:pPr>
        <w:ind w:right="16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named executive officers in respect of the applicable fiscal years set forth below.</w:t>
      </w: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5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00" w:type="dxa"/>
            <w:vAlign w:val="bottom"/>
            <w:gridSpan w:val="2"/>
          </w:tcPr>
          <w:p>
            <w:pPr>
              <w:jc w:val="center"/>
              <w:ind w:right="160"/>
              <w:spacing w:after="0" w:line="190"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520" w:type="dxa"/>
            <w:vAlign w:val="bottom"/>
            <w:gridSpan w:val="2"/>
          </w:tcPr>
          <w:p>
            <w:pPr>
              <w:jc w:val="center"/>
              <w:ind w:right="180"/>
              <w:spacing w:after="0" w:line="190"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3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8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50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5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0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40" w:type="dxa"/>
            <w:vAlign w:val="bottom"/>
          </w:tcPr>
          <w:p>
            <w:pPr>
              <w:jc w:val="right"/>
              <w:ind w:right="410"/>
              <w:spacing w:after="0" w:line="23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19"/>
                <w:szCs w:val="19"/>
                <w:color w:val="auto"/>
              </w:rPr>
            </w:pPr>
          </w:p>
        </w:tc>
        <w:tc>
          <w:tcPr>
            <w:tcW w:w="13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2820" w:type="dxa"/>
            <w:vAlign w:val="bottom"/>
            <w:tcBorders>
              <w:top w:val="single" w:sz="8" w:color="auto"/>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Wesley R. Edens </w:t>
            </w: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5,000,000</w:t>
            </w:r>
          </w:p>
        </w:tc>
        <w:tc>
          <w:tcPr>
            <w:tcW w:w="16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ind w:left="1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36"/>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30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Christopher S. Guinta </w:t>
            </w:r>
            <w:r>
              <w:rPr>
                <w:rFonts w:ascii="Times New Roman" w:cs="Times New Roman" w:eastAsia="Times New Roman" w:hAnsi="Times New Roman"/>
                <w:sz w:val="18"/>
                <w:szCs w:val="18"/>
                <w:color w:val="auto"/>
              </w:rPr>
              <w:t>—</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350,000</w:t>
            </w:r>
          </w:p>
        </w:tc>
        <w:tc>
          <w:tcPr>
            <w:tcW w:w="16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8,750,000</w:t>
            </w:r>
          </w:p>
        </w:tc>
        <w:tc>
          <w:tcPr>
            <w:tcW w:w="160" w:type="dxa"/>
            <w:vAlign w:val="bottom"/>
          </w:tcPr>
          <w:p>
            <w:pPr>
              <w:spacing w:after="0"/>
              <w:rPr>
                <w:sz w:val="15"/>
                <w:szCs w:val="15"/>
                <w:color w:val="auto"/>
              </w:rPr>
            </w:pPr>
          </w:p>
        </w:tc>
        <w:tc>
          <w:tcPr>
            <w:tcW w:w="150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9,100,000</w:t>
            </w:r>
          </w:p>
        </w:tc>
        <w:tc>
          <w:tcPr>
            <w:tcW w:w="0" w:type="dxa"/>
            <w:vAlign w:val="bottom"/>
          </w:tcPr>
          <w:p>
            <w:pPr>
              <w:spacing w:after="0"/>
              <w:rPr>
                <w:sz w:val="1"/>
                <w:szCs w:val="1"/>
                <w:color w:val="auto"/>
              </w:rPr>
            </w:pPr>
          </w:p>
        </w:tc>
      </w:tr>
      <w:tr>
        <w:trPr>
          <w:trHeight w:val="236"/>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5,300,718</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11,650,718</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1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182"/>
        </w:trPr>
        <w:tc>
          <w:tcPr>
            <w:tcW w:w="3000" w:type="dxa"/>
            <w:vAlign w:val="bottom"/>
            <w:gridSpan w:val="2"/>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Yunyoung Shin </w:t>
            </w: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85,256</w:t>
            </w: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85,256</w:t>
            </w:r>
          </w:p>
        </w:tc>
        <w:tc>
          <w:tcPr>
            <w:tcW w:w="0" w:type="dxa"/>
            <w:vAlign w:val="bottom"/>
          </w:tcPr>
          <w:p>
            <w:pPr>
              <w:spacing w:after="0"/>
              <w:rPr>
                <w:sz w:val="1"/>
                <w:szCs w:val="1"/>
                <w:color w:val="auto"/>
              </w:rPr>
            </w:pPr>
          </w:p>
        </w:tc>
      </w:tr>
      <w:tr>
        <w:trPr>
          <w:trHeight w:val="236"/>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3,636,299</w:t>
            </w:r>
          </w:p>
        </w:tc>
        <w:tc>
          <w:tcPr>
            <w:tcW w:w="16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5,386,299</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182"/>
        </w:trPr>
        <w:tc>
          <w:tcPr>
            <w:tcW w:w="30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Michael Lowe </w:t>
            </w:r>
            <w:r>
              <w:rPr>
                <w:rFonts w:ascii="Times New Roman" w:cs="Times New Roman" w:eastAsia="Times New Roman" w:hAnsi="Times New Roman"/>
                <w:sz w:val="18"/>
                <w:szCs w:val="18"/>
                <w:color w:val="auto"/>
              </w:rPr>
              <w:t>—</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325,000</w:t>
            </w:r>
          </w:p>
        </w:tc>
        <w:tc>
          <w:tcPr>
            <w:tcW w:w="16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1,737,500</w:t>
            </w:r>
          </w:p>
        </w:tc>
        <w:tc>
          <w:tcPr>
            <w:tcW w:w="160" w:type="dxa"/>
            <w:vAlign w:val="bottom"/>
          </w:tcPr>
          <w:p>
            <w:pPr>
              <w:spacing w:after="0"/>
              <w:rPr>
                <w:sz w:val="15"/>
                <w:szCs w:val="15"/>
                <w:color w:val="auto"/>
              </w:rPr>
            </w:pPr>
          </w:p>
        </w:tc>
        <w:tc>
          <w:tcPr>
            <w:tcW w:w="150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2,062,500</w:t>
            </w:r>
          </w:p>
        </w:tc>
        <w:tc>
          <w:tcPr>
            <w:tcW w:w="0" w:type="dxa"/>
            <w:vAlign w:val="bottom"/>
          </w:tcPr>
          <w:p>
            <w:pPr>
              <w:spacing w:after="0"/>
              <w:rPr>
                <w:sz w:val="1"/>
                <w:szCs w:val="1"/>
                <w:color w:val="auto"/>
              </w:rPr>
            </w:pPr>
          </w:p>
        </w:tc>
      </w:tr>
      <w:tr>
        <w:trPr>
          <w:trHeight w:val="236"/>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40" w:right="40" w:hanging="414"/>
        <w:spacing w:after="0" w:line="211" w:lineRule="auto"/>
        <w:tabs>
          <w:tab w:leader="none" w:pos="4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fiscal years 2023 and 2024, the amounts in this column represent the cash discretionary annual bonuses for the respective periods awarded pursuant to our discretionary annual cash bonus program. For fiscal year 2025, the amounts in this column represent: (i) for Mr. Edens, the portion of his cash retention award paid in 2025 ($5,000,000); (ii) for Mr. Guinta, the portion of his cash retention award paid in 2025 ($3,000,000), his Jamaica Transaction bonus ($5,000,000) and his Energos Ship Sale Transaction bonus ($750,000); (iii) for Mr. Lowe, his cash retention award paid in 2025 ($875,000), his Jamaica transaction bonus ($750,000) and his Energos Ship Sale Transaction bonus ($112,500). For additional information regarding the cash retention awards, the Jamaica Transaction bonuses and the Energos Ship Sale Transaction bonuses, see "2025 Cash Retention Program", "Jamaica Transaction Bonuses" and "Energos Ship Sale Transaction Bonuses" in the Compensation Discussion and Analysis above.</w:t>
      </w:r>
    </w:p>
    <w:p>
      <w:pPr>
        <w:spacing w:after="0" w:line="139" w:lineRule="exact"/>
        <w:rPr>
          <w:rFonts w:ascii="Times New Roman" w:cs="Times New Roman" w:eastAsia="Times New Roman" w:hAnsi="Times New Roman"/>
          <w:sz w:val="19"/>
          <w:szCs w:val="19"/>
          <w:color w:val="auto"/>
          <w:vertAlign w:val="superscript"/>
        </w:rPr>
      </w:pPr>
    </w:p>
    <w:p>
      <w:pPr>
        <w:ind w:left="440" w:right="100" w:hanging="414"/>
        <w:spacing w:after="0" w:line="209" w:lineRule="auto"/>
        <w:tabs>
          <w:tab w:leader="none" w:pos="4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amounts in this column reflect the aggregate grant date value of awards made during the applicable calendar year computed in accordance with FASB ASC Topic 718. None of the named executive officers were granted equity awards in fiscal year 2025. Based on the closing price of $1.37 for our Class A common stock on February 3, 2026 (the date all of the Class A common stock underlying the RSUs was delivered to Mr. Guinta), the market value of the RSUs that he was granted on March 11, 2024 was $222,351.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grant any incentive plan awards to our named executive officers during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unvested RSU awards held by each of the named executive officers as of December 31, 2025.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 units</w:t>
            </w:r>
          </w:p>
        </w:tc>
      </w:tr>
      <w:tr>
        <w:trPr>
          <w:trHeight w:val="173"/>
        </w:trPr>
        <w:tc>
          <w:tcPr>
            <w:tcW w:w="5000" w:type="dxa"/>
            <w:vAlign w:val="bottom"/>
          </w:tcPr>
          <w:p>
            <w:pPr>
              <w:spacing w:after="0"/>
              <w:rPr>
                <w:sz w:val="15"/>
                <w:szCs w:val="15"/>
                <w:color w:val="auto"/>
              </w:rPr>
            </w:pPr>
          </w:p>
        </w:tc>
        <w:tc>
          <w:tcPr>
            <w:tcW w:w="4880" w:type="dxa"/>
            <w:vAlign w:val="bottom"/>
            <w:gridSpan w:val="2"/>
          </w:tcPr>
          <w:p>
            <w:pPr>
              <w:jc w:val="center"/>
              <w:ind w:left="3098"/>
              <w:spacing w:after="0"/>
              <w:rPr>
                <w:sz w:val="20"/>
                <w:szCs w:val="20"/>
                <w:color w:val="auto"/>
              </w:rPr>
            </w:pPr>
            <w:r>
              <w:rPr>
                <w:rFonts w:ascii="Times New Roman" w:cs="Times New Roman" w:eastAsia="Times New Roman" w:hAnsi="Times New Roman"/>
                <w:sz w:val="14"/>
                <w:szCs w:val="14"/>
                <w:b w:val="1"/>
                <w:bCs w:val="1"/>
                <w:color w:val="auto"/>
              </w:rPr>
              <w:t>Number of units that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 not</w:t>
            </w:r>
          </w:p>
        </w:tc>
      </w:tr>
      <w:tr>
        <w:trPr>
          <w:trHeight w:val="232"/>
        </w:trPr>
        <w:tc>
          <w:tcPr>
            <w:tcW w:w="5000" w:type="dxa"/>
            <w:vAlign w:val="bottom"/>
          </w:tcPr>
          <w:p>
            <w:pPr>
              <w:spacing w:after="0"/>
              <w:rPr>
                <w:sz w:val="20"/>
                <w:szCs w:val="20"/>
                <w:color w:val="auto"/>
              </w:rPr>
            </w:pPr>
          </w:p>
        </w:tc>
        <w:tc>
          <w:tcPr>
            <w:tcW w:w="4880" w:type="dxa"/>
            <w:vAlign w:val="bottom"/>
            <w:gridSpan w:val="2"/>
          </w:tcPr>
          <w:p>
            <w:pPr>
              <w:jc w:val="center"/>
              <w:ind w:left="3098"/>
              <w:spacing w:after="0"/>
              <w:rPr>
                <w:sz w:val="20"/>
                <w:szCs w:val="20"/>
                <w:color w:val="auto"/>
              </w:rPr>
            </w:pPr>
            <w:r>
              <w:rPr>
                <w:rFonts w:ascii="Times New Roman" w:cs="Times New Roman" w:eastAsia="Times New Roman" w:hAnsi="Times New Roman"/>
                <w:sz w:val="14"/>
                <w:szCs w:val="14"/>
                <w:b w:val="1"/>
                <w:bCs w:val="1"/>
                <w:color w:val="auto"/>
              </w:rPr>
              <w:t>have not vested</w:t>
            </w:r>
            <w:r>
              <w:rPr>
                <w:rFonts w:ascii="Times New Roman" w:cs="Times New Roman" w:eastAsia="Times New Roman" w:hAnsi="Times New Roman"/>
                <w:sz w:val="9"/>
                <w:szCs w:val="9"/>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r>
              <w:rPr>
                <w:rFonts w:ascii="Times New Roman" w:cs="Times New Roman" w:eastAsia="Times New Roman" w:hAnsi="Times New Roman"/>
                <w:sz w:val="18"/>
                <w:szCs w:val="18"/>
                <w:b w:val="1"/>
                <w:bCs w:val="1"/>
                <w:color w:val="auto"/>
                <w:w w:val="93"/>
                <w:vertAlign w:val="superscript"/>
              </w:rPr>
              <w:t>(2)</w:t>
            </w:r>
          </w:p>
        </w:tc>
      </w:tr>
      <w:tr>
        <w:trPr>
          <w:trHeight w:val="204"/>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20" w:type="dxa"/>
            <w:vAlign w:val="bottom"/>
          </w:tcPr>
          <w:p>
            <w:pPr>
              <w:jc w:val="center"/>
              <w:ind w:left="325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500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4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50,295</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Lowe</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Yunyoung Shin</w:t>
            </w:r>
          </w:p>
        </w:tc>
        <w:tc>
          <w:tcPr>
            <w:tcW w:w="4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-593725</wp:posOffset>
            </wp:positionV>
            <wp:extent cx="102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44" w:lineRule="exact"/>
        <w:rPr>
          <w:sz w:val="20"/>
          <w:szCs w:val="20"/>
          <w:color w:val="auto"/>
        </w:rPr>
      </w:pPr>
    </w:p>
    <w:p>
      <w:pPr>
        <w:ind w:left="440" w:hanging="414"/>
        <w:spacing w:after="0"/>
        <w:tabs>
          <w:tab w:leader="none" w:pos="4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RSUs vested on January 2, 2026.</w:t>
      </w:r>
    </w:p>
    <w:p>
      <w:pPr>
        <w:spacing w:after="0" w:line="30" w:lineRule="exact"/>
        <w:rPr>
          <w:rFonts w:ascii="Times New Roman" w:cs="Times New Roman" w:eastAsia="Times New Roman" w:hAnsi="Times New Roman"/>
          <w:sz w:val="19"/>
          <w:szCs w:val="19"/>
          <w:color w:val="auto"/>
          <w:vertAlign w:val="superscript"/>
        </w:rPr>
      </w:pPr>
    </w:p>
    <w:p>
      <w:pPr>
        <w:ind w:left="440" w:right="240" w:hanging="414"/>
        <w:spacing w:after="0" w:line="202" w:lineRule="auto"/>
        <w:tabs>
          <w:tab w:leader="none" w:pos="4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market value of the RSUs shown in this column represents the per share closing price of our Class A Common Stock as of December 31, 2025, which was $1.14, multiplied by the number of unvested RSUs outstanding.</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2025</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the RSUs held by our named executive officers that vested during 2025. We had no stock options that were exercised during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80" w:type="dxa"/>
            <w:vAlign w:val="bottom"/>
            <w:gridSpan w:val="2"/>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3"/>
        </w:trPr>
        <w:tc>
          <w:tcPr>
            <w:tcW w:w="83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0"/>
        </w:trPr>
        <w:tc>
          <w:tcPr>
            <w:tcW w:w="8360" w:type="dxa"/>
            <w:vAlign w:val="bottom"/>
          </w:tcPr>
          <w:p>
            <w:pPr>
              <w:spacing w:after="0"/>
              <w:rPr>
                <w:sz w:val="20"/>
                <w:szCs w:val="20"/>
                <w:color w:val="auto"/>
              </w:rPr>
            </w:pPr>
          </w:p>
        </w:tc>
        <w:tc>
          <w:tcPr>
            <w:tcW w:w="15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spacing w:after="0"/>
              <w:rPr>
                <w:sz w:val="20"/>
                <w:szCs w:val="20"/>
                <w:color w:val="auto"/>
              </w:rPr>
            </w:pPr>
          </w:p>
        </w:tc>
      </w:tr>
      <w:tr>
        <w:trPr>
          <w:trHeight w:val="216"/>
        </w:trPr>
        <w:tc>
          <w:tcPr>
            <w:tcW w:w="8360" w:type="dxa"/>
            <w:vAlign w:val="bottom"/>
          </w:tcPr>
          <w:p>
            <w:pPr>
              <w:spacing w:after="0"/>
              <w:rPr>
                <w:sz w:val="18"/>
                <w:szCs w:val="18"/>
                <w:color w:val="auto"/>
              </w:rPr>
            </w:pPr>
          </w:p>
        </w:tc>
        <w:tc>
          <w:tcPr>
            <w:tcW w:w="15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Acquired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216"/>
        </w:trPr>
        <w:tc>
          <w:tcPr>
            <w:tcW w:w="8360" w:type="dxa"/>
            <w:vAlign w:val="bottom"/>
          </w:tcPr>
          <w:p>
            <w:pPr>
              <w:spacing w:after="0"/>
              <w:rPr>
                <w:sz w:val="18"/>
                <w:szCs w:val="18"/>
                <w:color w:val="auto"/>
              </w:rPr>
            </w:pPr>
          </w:p>
        </w:tc>
        <w:tc>
          <w:tcPr>
            <w:tcW w:w="15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on Vesting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Vesting</w:t>
            </w:r>
          </w:p>
        </w:tc>
      </w:tr>
      <w:tr>
        <w:trPr>
          <w:trHeight w:val="216"/>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8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auto"/>
              </w:rPr>
              <w:t>118,182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1,926,367</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Lowe</w:t>
            </w:r>
          </w:p>
        </w:tc>
        <w:tc>
          <w:tcPr>
            <w:tcW w:w="1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16,289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265,511</w:t>
            </w:r>
          </w:p>
        </w:tc>
      </w:tr>
      <w:tr>
        <w:trPr>
          <w:trHeight w:val="234"/>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Yunyoung Shin</w:t>
            </w: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auto"/>
              </w:rPr>
              <w:t>80,455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1,311,417</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maintain any nonqualified deferred compensation plans in which any of our named executive officers participate.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Change-in-Control or Termination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generally do not have any employment agreements, offer letters, severance plans or change in control plans that provide for any cash payment to any of our named executive officers in connection with a termination of employment or a change in control of the Company. None of our named executive officers would have been entitled to any cash payments if their employment with the Company was terminated for any reason in 2025. Ms. Shin’s employment with the Company terminated on April 29, 2025, and she did not receive any severance payments or benefits in connection with her termination of employment.</w:t>
      </w:r>
    </w:p>
    <w:p>
      <w:pPr>
        <w:spacing w:after="0" w:line="18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the Incentive Plan, unless otherwise determined by our Board of Directors or our Compensation Committee prior to a change in control or evidenced in an award agreement, outstanding and unvested RSUs will fully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upon a termination of employment by the Company without cause or by the participant for “good reason” (to the extent a “good reason” concept is provided in a participant’s applicable award agreement or individual employment or severance agreement) within 12 months following a change in control, with any performance conditions deemed to be fully achieved. Mr. Guinta’s and Mr. Lowe's RSU award agreements and offer letters do not provide for a “good reason” concept.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addition, Mr. Edens, Mr. Guinta and Mr. Lowe would be entitled to certain payments or benefits under their respective retention award agreements if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employment is terminated by the Company without cause or upon death or permanent disability. The following describes the payments and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 would receive under their respective retention award agreements if such termination of employment occurred on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For Mr. Edens, he would receive his Restructuring Incentive Payment ($2,500,000), to the extent then unpaid, if the Company completed its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within three months following such termination of employment and the repayment obligation related to his Service Retention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($3,125,000) and Transaction Retention Payment ($1,875,000) would lapse (these repayment obligations have already lapsed in the ordinary course).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Guinta, he would receive, to the extent not yet paid, his Restructuring Incentive Payment ($3,000,000) if the Company completed its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prior to June 30, 2026 and the repayment obligation related to his Service Retention Payment ($3,000,000) would lapse (this 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lapsed in the ordinary course on March 15, 2026). Mr. Guinta’s Restructuring Incentive Payment was paid on January 1, 2026 and was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repayment obligation that lapsed on March 15, 2026. For Mr. Lowe, the repayment obligation with respect to his Service Retention Payment ($875,000)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lapse (this repayment obligation lapsed in the ordinary course on March 15, 2026). The payments and benefits described above are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 execution and non-revocation of a general release of claims (unless the termination of employment occurred following a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control) and continued compliance with applicable restrictive 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43"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As required by SEC rules, we are providing the information below to explain the relationship between the annual total compensation of Mr. Edens, who served as our Chief Executive Officer and the Chairman of our Board of Directors in 2025, and the annual total compensation of our median employee, excluding our CEO. Mr. Edens has elected to serve as our CEO without regular annual compensation and, in 2025, the only compensation Mr. Edens received was payment with respect to a portion of his cash retention award ($5,000,000). For 2025, the ratio of the annual total compensation of our CEO’s to the median annual total compensation of all employees was 73:1.</w:t>
      </w:r>
    </w:p>
    <w:p>
      <w:pPr>
        <w:spacing w:after="0" w:line="19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2025 annual total compensation of our median employee (other than our CEO), calculated in accordance with Item 402(c) of Regulation S-K, was $68,520. This reflects an analysis of our workforce of 1,301 employees as of December 31, 2025, including part-time employees. We did not include independent contractors in our determination. To identify our median employee, we reviewed the W-2 Box 1 for US employees and pay stub data for any non-US employee compensation for all of our employees, which measure was consistently applied to all our employees included in the calculation. We did not make any cost-of-living adjustments in identifying our median employee for 2025.</w:t>
      </w:r>
    </w:p>
    <w:p>
      <w:pPr>
        <w:spacing w:after="0" w:line="183"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Once we identified our median employee for 2025 using the methodology described above, we determined the median employee’s annual total compensation for 2025 in accordance with the requirements of Item 402(c) of Regulation S-K consistent with the calculation of the 2025 annual total compensation of our named executive officers as reported in the Summary Compensation Table for 2025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2025, the Board, with the support of its compensation consultant, LB&amp;Co., adopted a non-employee director compensation program (the "Director Compensation Program"). The Director Compensation Program is designed to achieve three goals: (1) fairly compensate directors for their service to the Company given its size and the complexity of its operations and structure; (2) align the directors’ interests with the long-term interests of our stockholders; and (3) incentivize the directors to continue to serve as board members. Under the Director Compensation Program, our non-employee directors are eligible to receive cash retainers (payable quarterly) and an annual equity retainer as set forth below. Until the Company completes its restructuring, the annual equity retainer will be paid in cash. Mr. Nardone does not receive regular fees for his service as a director.</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the Board adopted a special service fee for non-employee directors in connection with the Company’s restructuring. Non-employee directors (other than Mr. Nardone) who are materially involved in the restructuring (as determined by Mr. Nardone) may receive a special service fee equal to $25,000 per month until the completion of the Company’s restructuring. The special service fee is paid monthly in advance.</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Mr. Nardone received a cash retention award pursuant to the 2025 Cash Retention Program. In October 2025, the Company entered into a retention award agreement with Mr. Nardone providing for the following cash retention payments: (i) a Service Retention Payment equal to $1,875,000, (ii) a Transaction Retention Payment equal to $1,875,000 and (iii) a Restructuring Incentive Payment equal to $3,750,000. Mr. Nardone’s Service Retention Payment was paid upfront, subject to a clawback provision that lapses (and did lapse) on March 15, 2026 or, if earlier, upon a Qualifying Termination. Mr. Nardone’s Transaction Retention Payment was also paid upfront, subject to a clawback provision that lapses (and did lapse) upon the negotiation and close of a contract in a key operating jurisdiction (or a comparable contract elsewhere) or, if earlier, upon a Qualifying Termination. Such contract was executed in late 2025. Mr. Nardone’s Restructuring Incentive Payment is payable upon the successful completion of the Company’s financial restructuring, provided that upon a Qualifying Termination prior to a financial restructuring, the Restructuring Incentive Payment will be paid if the financial restructuring is successfully completed within three months following such Qualifying Termination.</w:t>
      </w:r>
    </w:p>
    <w:tbl>
      <w:tblPr>
        <w:tblLayout w:type="fixed"/>
        <w:tblInd w:w="0" w:type="dxa"/>
        <w:tblCellMar>
          <w:top w:w="0" w:type="dxa"/>
          <w:left w:w="0" w:type="dxa"/>
          <w:bottom w:w="0" w:type="dxa"/>
          <w:right w:w="0" w:type="dxa"/>
        </w:tblCellMar>
      </w:tblPr>
      <w:tr>
        <w:trPr>
          <w:trHeight w:val="155"/>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2900" w:type="dxa"/>
            <w:vAlign w:val="bottom"/>
          </w:tcPr>
          <w:p>
            <w:pPr>
              <w:spacing w:after="0"/>
              <w:rPr>
                <w:sz w:val="13"/>
                <w:szCs w:val="13"/>
                <w:color w:val="auto"/>
              </w:rPr>
            </w:pPr>
          </w:p>
        </w:tc>
        <w:tc>
          <w:tcPr>
            <w:tcW w:w="1200" w:type="dxa"/>
            <w:vAlign w:val="bottom"/>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95"/>
        </w:trPr>
        <w:tc>
          <w:tcPr>
            <w:tcW w:w="714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non-employee directors Annual Cash Retainer</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non-employee directors Annual Equity Retainer</w:t>
            </w:r>
          </w:p>
        </w:tc>
        <w:tc>
          <w:tcPr>
            <w:tcW w:w="29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of the Audit Committee Cash Fee</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Compensation Committee Cash Fee</w:t>
            </w:r>
          </w:p>
        </w:tc>
        <w:tc>
          <w:tcPr>
            <w:tcW w:w="29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 Member (other than Chairperson)</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0" w:type="dxa"/>
            <w:vAlign w:val="bottom"/>
          </w:tcPr>
          <w:p>
            <w:pPr>
              <w:spacing w:after="0"/>
              <w:rPr>
                <w:sz w:val="1"/>
                <w:szCs w:val="1"/>
                <w:color w:val="auto"/>
              </w:rPr>
            </w:pPr>
          </w:p>
        </w:tc>
      </w:t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p>
        </w:tc>
        <w:tc>
          <w:tcPr>
            <w:tcW w:w="29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for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maintain any defined benefit pension plans in which any of our named executive officers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additional information on the compensation we paid to our non-employee directors in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6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9"/>
                <w:szCs w:val="9"/>
                <w:b w:val="1"/>
                <w:bCs w:val="1"/>
                <w:color w:val="auto"/>
              </w:rPr>
              <w:t>(1)</w:t>
            </w:r>
          </w:p>
        </w:tc>
        <w:tc>
          <w:tcPr>
            <w:tcW w:w="16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352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154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 A. Nardone</w:t>
            </w:r>
          </w:p>
        </w:tc>
        <w:tc>
          <w:tcPr>
            <w:tcW w:w="2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3,750,000</w:t>
            </w: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Desmond Iain Catterall</w:t>
            </w:r>
          </w:p>
        </w:tc>
        <w:tc>
          <w:tcPr>
            <w:tcW w:w="20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150,000</w:t>
            </w:r>
          </w:p>
        </w:tc>
        <w:tc>
          <w:tcPr>
            <w:tcW w:w="1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Grain</w:t>
            </w:r>
          </w:p>
        </w:tc>
        <w:tc>
          <w:tcPr>
            <w:tcW w:w="20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157,917</w:t>
            </w: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157,917</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William Griffin</w:t>
            </w:r>
          </w:p>
        </w:tc>
        <w:tc>
          <w:tcPr>
            <w:tcW w:w="20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157,917</w:t>
            </w:r>
          </w:p>
        </w:tc>
        <w:tc>
          <w:tcPr>
            <w:tcW w:w="1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157,917</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W. Jay</w:t>
            </w:r>
          </w:p>
        </w:tc>
        <w:tc>
          <w:tcPr>
            <w:tcW w:w="20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150,000</w:t>
            </w: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J. Mack</w:t>
            </w:r>
          </w:p>
        </w:tc>
        <w:tc>
          <w:tcPr>
            <w:tcW w:w="20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31,389</w:t>
            </w:r>
          </w:p>
        </w:tc>
        <w:tc>
          <w:tcPr>
            <w:tcW w:w="1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E. Wanner</w:t>
            </w:r>
          </w:p>
        </w:tc>
        <w:tc>
          <w:tcPr>
            <w:tcW w:w="20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265,833</w:t>
            </w: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265,833</w:t>
            </w: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M. Sledge</w:t>
            </w:r>
          </w:p>
        </w:tc>
        <w:tc>
          <w:tcPr>
            <w:tcW w:w="2040" w:type="dxa"/>
            <w:vAlign w:val="bottom"/>
          </w:tcPr>
          <w:p>
            <w:pPr>
              <w:spacing w:after="0"/>
              <w:rPr>
                <w:sz w:val="20"/>
                <w:szCs w:val="20"/>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220,833</w:t>
            </w:r>
          </w:p>
        </w:tc>
        <w:tc>
          <w:tcPr>
            <w:tcW w:w="15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220,833</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80" w:hanging="154"/>
        <w:spacing w:after="0"/>
        <w:tabs>
          <w:tab w:leader="none" w:pos="18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2025, none of our non-employee directors held any unvested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shares of Common Stock issued and outstanding as of April 30, 2026 by:</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the address for each beneficial owner listed below is 111 W. 19th Street, 8th Floor, New York, New York 10011. As of April 30, 2026, we had 285,634,650 shares of Common Stock outstanding.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3"/>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66"/>
        </w:trPr>
        <w:tc>
          <w:tcPr>
            <w:tcW w:w="7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0" w:type="dxa"/>
            <w:vAlign w:val="bottom"/>
          </w:tcPr>
          <w:p>
            <w:pPr>
              <w:spacing w:after="0"/>
              <w:rPr>
                <w:sz w:val="23"/>
                <w:szCs w:val="23"/>
                <w:color w:val="auto"/>
              </w:rPr>
            </w:pPr>
          </w:p>
        </w:tc>
      </w:tr>
      <w:tr>
        <w:trPr>
          <w:trHeight w:val="217"/>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Beneficially Owned</w:t>
            </w:r>
            <w:r>
              <w:rPr>
                <w:rFonts w:ascii="Times New Roman" w:cs="Times New Roman" w:eastAsia="Times New Roman" w:hAnsi="Times New Roman"/>
                <w:sz w:val="18"/>
                <w:szCs w:val="18"/>
                <w:b w:val="1"/>
                <w:bCs w:val="1"/>
                <w:color w:val="auto"/>
                <w:w w:val="99"/>
                <w:vertAlign w:val="superscript"/>
              </w:rPr>
              <w:t>(1)</w:t>
            </w:r>
          </w:p>
        </w:tc>
        <w:tc>
          <w:tcPr>
            <w:tcW w:w="1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Percentage of Class</w:t>
            </w:r>
          </w:p>
        </w:tc>
      </w:tr>
      <w:tr>
        <w:trPr>
          <w:trHeight w:val="223"/>
        </w:trPr>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Shareholders:</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311"/>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 Mountain Partners LLC</w:t>
            </w:r>
            <w:r>
              <w:rPr>
                <w:rFonts w:ascii="Times New Roman" w:cs="Times New Roman" w:eastAsia="Times New Roman" w:hAnsi="Times New Roman"/>
                <w:sz w:val="23"/>
                <w:szCs w:val="23"/>
                <w:color w:val="auto"/>
                <w:vertAlign w:val="superscript"/>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25,559,846</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31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Edens Family Holdings LLC </w:t>
            </w:r>
            <w:r>
              <w:rPr>
                <w:rFonts w:ascii="Times New Roman" w:cs="Times New Roman" w:eastAsia="Times New Roman" w:hAnsi="Times New Roman"/>
                <w:sz w:val="23"/>
                <w:szCs w:val="23"/>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25,086,851</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80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Rubric Capital Management LP</w:t>
            </w:r>
            <w:r>
              <w:rPr>
                <w:rFonts w:ascii="Times New Roman" w:cs="Times New Roman" w:eastAsia="Times New Roman" w:hAnsi="Times New Roman"/>
                <w:sz w:val="23"/>
                <w:szCs w:val="23"/>
                <w:color w:val="auto"/>
                <w:vertAlign w:val="superscript"/>
              </w:rPr>
              <w:t>(4)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24,338,675</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338"/>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Wesley R. Edens</w:t>
            </w:r>
            <w:r>
              <w:rPr>
                <w:rFonts w:ascii="Times New Roman" w:cs="Times New Roman" w:eastAsia="Times New Roman" w:hAnsi="Times New Roman"/>
                <w:sz w:val="23"/>
                <w:szCs w:val="23"/>
                <w:color w:val="auto"/>
                <w:vertAlign w:val="superscript"/>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53,634,666</w:t>
            </w: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333,242</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Yunyoung Shin</w:t>
            </w:r>
            <w:r>
              <w:rPr>
                <w:rFonts w:ascii="Times New Roman" w:cs="Times New Roman" w:eastAsia="Times New Roman" w:hAnsi="Times New Roman"/>
                <w:sz w:val="23"/>
                <w:szCs w:val="23"/>
                <w:color w:val="auto"/>
                <w:vertAlign w:val="superscript"/>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Lowe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Randal A. Nardone</w:t>
            </w:r>
            <w:r>
              <w:rPr>
                <w:rFonts w:ascii="Times New Roman" w:cs="Times New Roman" w:eastAsia="Times New Roman" w:hAnsi="Times New Roman"/>
                <w:sz w:val="23"/>
                <w:szCs w:val="23"/>
                <w:color w:val="auto"/>
                <w:vertAlign w:val="superscript"/>
              </w:rPr>
              <w:t>(7)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26,196,526</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Desmond Iain Catterall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Grain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 William Griffin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344,805</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Charles M. Sledge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E. Wanner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82,599</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Timothy W. Jay</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42,551</w:t>
            </w: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80,838,169</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-2700020</wp:posOffset>
            </wp:positionV>
            <wp:extent cx="102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-2700020</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92" w:lineRule="exact"/>
        <w:rPr>
          <w:sz w:val="20"/>
          <w:szCs w:val="20"/>
          <w:color w:val="auto"/>
        </w:rPr>
      </w:pPr>
    </w:p>
    <w:p>
      <w:pPr>
        <w:ind w:left="500" w:hanging="474"/>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177" w:lineRule="exact"/>
        <w:rPr>
          <w:sz w:val="20"/>
          <w:szCs w:val="20"/>
          <w:color w:val="auto"/>
        </w:rPr>
      </w:pPr>
    </w:p>
    <w:p>
      <w:pPr>
        <w:ind w:left="440" w:right="340" w:hanging="414"/>
        <w:spacing w:after="0" w:line="229" w:lineRule="auto"/>
        <w:tabs>
          <w:tab w:leader="none" w:pos="44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Shares beneficially owned includes all outstanding stock options or restricted stock units exercisable for or convertible into our common stock either currently or within 60 days after April 30, 2026</w:t>
      </w:r>
      <w:r>
        <w:rPr>
          <w:rFonts w:ascii="Times New Roman" w:cs="Times New Roman" w:eastAsia="Times New Roman" w:hAnsi="Times New Roman"/>
          <w:sz w:val="21"/>
          <w:szCs w:val="21"/>
          <w:color w:val="auto"/>
        </w:rPr>
        <w:t>.</w:t>
      </w:r>
    </w:p>
    <w:p>
      <w:pPr>
        <w:spacing w:after="0" w:line="128" w:lineRule="exact"/>
        <w:rPr>
          <w:rFonts w:ascii="Times New Roman" w:cs="Times New Roman" w:eastAsia="Times New Roman" w:hAnsi="Times New Roman"/>
          <w:sz w:val="19"/>
          <w:szCs w:val="19"/>
          <w:color w:val="auto"/>
          <w:vertAlign w:val="superscript"/>
        </w:rPr>
      </w:pPr>
    </w:p>
    <w:p>
      <w:pPr>
        <w:ind w:left="440" w:right="20" w:hanging="414"/>
        <w:spacing w:after="0" w:line="212" w:lineRule="auto"/>
        <w:tabs>
          <w:tab w:leader="none" w:pos="44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Shared voting and dispositive power in respect of 25,559,846 shares, as stated in a Schedule 13D/A jointly filed with the SEC on February 17, 2026 by Energy Transition Holdings LLC, Great Mountain Partners LLC, Jonathan Rotolo and Alexander Thomson. Energy Transition Holdings LLC is managed by Great Mountain Partners LLC. Jonathan Rotolo and Alexander Thomson are the managers of Great Mountain Partners LLC and, in that capacity, have voting and dispositive power over the shares held by Energy Transition Holdings LLC. The address of the principal business office of the reporting persons is 157 Church Street, 20th Floor, New Haven, CT, 06510.</w:t>
      </w:r>
    </w:p>
    <w:p>
      <w:pPr>
        <w:spacing w:after="0" w:line="136" w:lineRule="exact"/>
        <w:rPr>
          <w:rFonts w:ascii="Times New Roman" w:cs="Times New Roman" w:eastAsia="Times New Roman" w:hAnsi="Times New Roman"/>
          <w:sz w:val="19"/>
          <w:szCs w:val="19"/>
          <w:color w:val="auto"/>
          <w:vertAlign w:val="superscript"/>
        </w:rPr>
      </w:pPr>
    </w:p>
    <w:p>
      <w:pPr>
        <w:ind w:left="440" w:right="240" w:hanging="414"/>
        <w:spacing w:after="0" w:line="212" w:lineRule="auto"/>
        <w:tabs>
          <w:tab w:leader="none" w:pos="44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Shared voting and shared dispositive power in respect of 25,086,851 shares, as stated in a Schedule 13D/A jointly filed with the SEC on June 15, 2021 by Edens Family Holdings LLC and Lynn M. Edens. The address of the principal business office of the reporting persons is c/o Baobob Advisors LLC, 111 W. 19th St., 8th Floor, New York, New York 10011.</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(4)</w:t>
      </w:r>
    </w:p>
    <w:p>
      <w:pPr>
        <w:ind w:left="440" w:right="380"/>
        <w:spacing w:after="0" w:line="229" w:lineRule="auto"/>
        <w:rPr>
          <w:sz w:val="20"/>
          <w:szCs w:val="20"/>
          <w:color w:val="auto"/>
        </w:rPr>
      </w:pPr>
      <w:r>
        <w:rPr>
          <w:rFonts w:ascii="Times New Roman" w:cs="Times New Roman" w:eastAsia="Times New Roman" w:hAnsi="Times New Roman"/>
          <w:sz w:val="14"/>
          <w:szCs w:val="14"/>
          <w:color w:val="auto"/>
        </w:rPr>
        <w:t>Shared voting and shared dispositive power in respect of 24,338,675 shares, as stated in a Schedule 13G filed with the SEC on May 14, 2025 by Rubric Capital Management LP and David Rosen. The address of the principal business office of the reporting persons is 155 East 44th Street, Suite 1630, New York, NY 10017.</w:t>
      </w:r>
    </w:p>
    <w:p>
      <w:pPr>
        <w:spacing w:after="0" w:line="122" w:lineRule="exact"/>
        <w:rPr>
          <w:sz w:val="20"/>
          <w:szCs w:val="20"/>
          <w:color w:val="auto"/>
        </w:rPr>
      </w:pPr>
    </w:p>
    <w:p>
      <w:pPr>
        <w:ind w:left="440" w:right="40" w:hanging="414"/>
        <w:spacing w:after="0" w:line="212" w:lineRule="auto"/>
        <w:tabs>
          <w:tab w:leader="none" w:pos="4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Schedule 13D/A filed with the SEC on April 2, 2026 by Wesley R. Edens. Mr. Edens reported sole voting and sole dispositive power with respect to the 53,634,666 shares of Common Stock.</w:t>
      </w:r>
    </w:p>
    <w:p>
      <w:pPr>
        <w:spacing w:after="0" w:line="123" w:lineRule="exact"/>
        <w:rPr>
          <w:rFonts w:ascii="Times New Roman" w:cs="Times New Roman" w:eastAsia="Times New Roman" w:hAnsi="Times New Roman"/>
          <w:sz w:val="19"/>
          <w:szCs w:val="19"/>
          <w:color w:val="auto"/>
          <w:vertAlign w:val="superscript"/>
        </w:rPr>
      </w:pPr>
    </w:p>
    <w:p>
      <w:pPr>
        <w:ind w:left="440" w:right="340" w:hanging="414"/>
        <w:spacing w:after="0" w:line="212" w:lineRule="auto"/>
        <w:tabs>
          <w:tab w:leader="none" w:pos="4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Form 4 filed with the SEC on April 23, 2025 by Yunyoung Shin. Ms. Shin reported sole voting and sole dispositive power with respect to the 47,660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 w:hanging="414"/>
        <w:spacing w:after="0" w:line="204" w:lineRule="auto"/>
        <w:tabs>
          <w:tab w:leader="none" w:pos="44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the Schedule 13D/A filed with the SEC on May 22, 2023 by Randal A. Nardone. Mr. Nardone reported sole voting and sole dispositive power with respect to the 26,196,526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90" w:right="6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about securities authorized for issuance under our equity compensation plans as of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52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Warrants and</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(a)</w:t>
            </w:r>
            <w:r>
              <w:rPr>
                <w:rFonts w:ascii="Times New Roman" w:cs="Times New Roman" w:eastAsia="Times New Roman" w:hAnsi="Times New Roman"/>
                <w:sz w:val="18"/>
                <w:szCs w:val="18"/>
                <w:b w:val="1"/>
                <w:bCs w:val="1"/>
                <w:color w:val="auto"/>
                <w:w w:val="92"/>
                <w:vertAlign w:val="superscript"/>
              </w:rPr>
              <w:t>(1)</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(c)</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tc>
        <w:tc>
          <w:tcPr>
            <w:tcW w:w="1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New Fortress Energy Inc. 2019 Omnibus Incentive Plan</w:t>
            </w:r>
            <w:r>
              <w:rPr>
                <w:rFonts w:ascii="Times New Roman" w:cs="Times New Roman" w:eastAsia="Times New Roman" w:hAnsi="Times New Roman"/>
                <w:sz w:val="23"/>
                <w:szCs w:val="23"/>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273,674</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26,062,071</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273,674</w:t>
            </w:r>
          </w:p>
        </w:tc>
        <w:tc>
          <w:tcPr>
            <w:tcW w:w="18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26,062,071</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440" w:hanging="277"/>
        <w:spacing w:after="0"/>
        <w:tabs>
          <w:tab w:leader="none" w:pos="44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shares subject to outstanding equity awards under the Incentive Plan for which shares had not yet been delivered as of December 31, 2025.</w:t>
      </w:r>
    </w:p>
    <w:p>
      <w:pPr>
        <w:spacing w:after="0" w:line="162" w:lineRule="exact"/>
        <w:rPr>
          <w:rFonts w:ascii="Times New Roman" w:cs="Times New Roman" w:eastAsia="Times New Roman" w:hAnsi="Times New Roman"/>
          <w:sz w:val="19"/>
          <w:szCs w:val="19"/>
          <w:color w:val="auto"/>
          <w:vertAlign w:val="superscript"/>
        </w:rPr>
      </w:pPr>
    </w:p>
    <w:p>
      <w:pPr>
        <w:ind w:left="440" w:right="100" w:hanging="277"/>
        <w:spacing w:after="0" w:line="244" w:lineRule="auto"/>
        <w:tabs>
          <w:tab w:leader="none" w:pos="44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Incentive Plan provides that 16,705,882 shares of Class A Common Stock are reserved and available for issuance under the Plan, as increased on the first day of each fiscal year beginning in calendar year 2020 by a number of shares of Class A Common Stock equal to the excess of 10% of the aggregate number of outstanding shares of Class A Common Stock and Class B common stock on the last day of the immediately preceding fiscal year, over the number of shares of Class A Common Stock reserved and available for issuance under the Incentive Plan as of the last day of the immediately preceding fiscal year. The shares of Class A Common Stock reserved and available for issuance under the Incentive Plan increased by 7,041,727 shares on the first day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Affiliates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Transaction</w:t>
      </w:r>
    </w:p>
    <w:p>
      <w:pPr>
        <w:spacing w:after="0" w:line="243"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Pursuant to the terms of the RSA, upon consummation of the Restructuring Transaction, Wesley R. Edens will purchase from certain of our existing creditors 6,672 shares of CoreCo Convertible Preferred Stock (liquidation preference of $1,000 per share) at a price of $250 per share. Subsequent to the execution of the RSA, Mr. Edens purchased approximately $110 million aggregate principal amount of the loans issued pursuant to the Term Loan A Credit Agreement and is entitled by virtue of his ownership thereof to receive a pro rata portion of the consideration to be received by the lenders under the Term Loan A Credit Agreement pursuant to the Restructuring Transaction. Additionally, Mr. Edens is anticipated to enter into a restructuring support agreement with the Company pursuant to which Mr. Edens agrees to support the Company’s comprehensive restructuring of its principal funded debt obligations on substantially the same terms as agreed to between the Company and its key creditors, as described in the Company’s Current Report on Form 8-K filed on March 17,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our initial public offering in 2019 (the “Offering”), we entered into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Certificate of Formation or Bylaws in effect as of the date of the Shareholders’ Agreement that would add restrictions to the transferability of our shares by New Fortress Energy Holdings or its permitted transferees which are beyond those provided for in our Certificate of Formation or Bylaws,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8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New Fortress Energy Holdings has assigned, pursuant to the terms of the Shareholders’ Agreement, to the affiliates of certain entities controlled by Wesley R. Edens and Randal A. Nardone (the “Founder Entities”), New Fortress Energy Holdings’ rights and obligations under the Shareholders’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Designation and Election of Directors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Shareholders’ Agreement provides that, for so long as the Shareholders’ Agreement is in effect, we and the Founder Entities (including certain former members of New Fortress Energy Holdings) shall take all reasonable actions within our respective control (including voting or causing to be voted all of the securities entitled to vote generally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election of our directors held of record or beneficially owned by the Founder Entities, and, with respect to us, including in the slate of nominees recommended by the Board of Directors those individuals designated by the Founder Entities) so as to elect to the Board of Directors, and to cause to continue in office, not more than eight directors (or such other number as the Founder Entities may agree in writing), of whom, at any given time:</w:t>
      </w:r>
    </w:p>
    <w:p>
      <w:pPr>
        <w:spacing w:after="0" w:line="176" w:lineRule="exact"/>
        <w:rPr>
          <w:sz w:val="20"/>
          <w:szCs w:val="20"/>
          <w:color w:val="auto"/>
        </w:rPr>
      </w:pPr>
    </w:p>
    <w:p>
      <w:pPr>
        <w:ind w:left="660" w:right="10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equal to a majority of the Board of Directors, plus one director, shall be individuals designated by the Founder Entities, for so long as the Founder Entities directly or indirectly beneficially own, together with their permitted transferees, at least 30% of our voting power; provided that if the Board of Directors consists of six or fewer directors, then the Founder Entities shall have the right to designate a number of directors equal to a majority of the Board of Directors;</w:t>
      </w:r>
    </w:p>
    <w:p>
      <w:pPr>
        <w:spacing w:after="0" w:line="17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equal to a majority of the Board of Directors, minus one director, shall be individuals designated by the Founder Entities, for so long as the Founder Entities directly or indirectly beneficially own, together with their permitted transferees, less than 30% but at least 20% of our voting power; provided that if the Board of Directors consists of six or fewer directors, then the Founder Entities shall have the right to designate a number of directors equal to three directors;</w:t>
      </w:r>
    </w:p>
    <w:p>
      <w:pPr>
        <w:spacing w:after="0" w:line="179"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20% but at least 10% of our voting power; provided that if the Board of Directors consists of six or fewer directors, then the Founder Entities shall have the right to designate a number of directors equal to two directors; and</w:t>
      </w:r>
    </w:p>
    <w:p>
      <w:pPr>
        <w:spacing w:after="0" w:line="18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10% but at least 5% of our voting power; provided that if the Board of Directors consists of six or fewer directors, then the Founder Entities shall have the right to designate a number of directors equal to one director.</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So long as the Founder Entities are entitled to designate one or more nominees to the Board of Directors and notifies the Board of Directors of their desire to remove, with or without cause, any director previously designated by them to the Board of Directors, we are required to take all necessary action to cause such removal.</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Shareholders’ Agreement, New Fortress Energy Holdings designated Messrs. Catterall, Grain, Griffin, and Jay and Ms. Wanner for election to our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Shareholders’ Agreement provides that we will indemnify the Founder Entities and their officers, directors, employees, agents and affiliates against losses arising out of third-party claims (including litigation matters and other claims) based on, arising out of or resulting from:</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the operation of our assets or properties, and the operation or conduct of our business, prior to or following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activities we engage in.</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agreed to indemnify the Founder Entities and their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or the Founder Entities for use in the preparation of that registration statement or this Annual Report, against which New Fortress Energy Holdings or the Founder Entities, as applicable, has agreed to indemnify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Demand Rights. </w:t>
      </w:r>
      <w:r>
        <w:rPr>
          <w:rFonts w:ascii="Times New Roman" w:cs="Times New Roman" w:eastAsia="Times New Roman" w:hAnsi="Times New Roman"/>
          <w:sz w:val="18"/>
          <w:szCs w:val="18"/>
          <w:color w:val="auto"/>
        </w:rPr>
        <w:t>Under our Shareholders’ Agreement, the Founder Entities have, for so long as the Founder Entities directly or indirectly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together with their permitted transferees, an amount of our shares of Common Stock (whether owned at the time of the Offering or subsequently acquired) equal to or greater than 1% of the shares of Common Stock issued and outstanding immediately after the consummation of the Offering (a “Registrable Amount”), “demand” registration rights that allow the Founder Entities, and on behalf of their permitted transferees, at any time after 180 days following the consummation of the Offering, to request that we register under the Securities Act an amount of shares of Common Stock equal to or greater than a Registrable Amount.</w:t>
      </w:r>
    </w:p>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Founder Entities, and on behalf of their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 included at least 50% of the shares of Common Stock requested by the requestor to be included or within one month of any other underwritten offering pursuant to a shelf registration statement.</w:t>
      </w:r>
    </w:p>
    <w:p>
      <w:pPr>
        <w:spacing w:after="0" w:line="17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Piggyback Rights. </w:t>
      </w:r>
      <w:r>
        <w:rPr>
          <w:rFonts w:ascii="Times New Roman" w:cs="Times New Roman" w:eastAsia="Times New Roman" w:hAnsi="Times New Roman"/>
          <w:sz w:val="18"/>
          <w:szCs w:val="18"/>
          <w:color w:val="auto"/>
        </w:rPr>
        <w:t>For so long as the Founder Entities beneficially owns, together with their permitted transferees, a Registrable Amount, the Founder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(and its permitted transferees) also have “piggyback” registration rights that allow them to include shares of Common Stock that they own in any public offering of equity securities initiated by us (other than those public offerings pursuant to registration statements on Form S-4 or Form S-8 or pursuant to an employee benefit plan arrangement) or by any of our other stockholders that have registration rights. These “piggyback” registration rights are subject to proportional cutbacks based on the manner of the offering and the identity of the party initiating such offering.</w:t>
      </w:r>
    </w:p>
    <w:p>
      <w:pPr>
        <w:spacing w:after="0" w:line="18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Under our Shareholders’ Agreement, we granted to the Founder Entities or any of their permitted transferees, for so long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Founder Entities, together with their permitted transferees, beneficially owns a Registrable Amount, the right to request a shelf registration on Form S-3 providing for offerings of shares of Common Stock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stockholders. In addition, the Founder Entities, and on behalf of their permitted transferees, may elect to participate in such shelf registrations within ten days after notice of the registration is given.</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Indemnification; Expenses; Lock-ups. </w:t>
      </w:r>
      <w:r>
        <w:rPr>
          <w:rFonts w:ascii="Times New Roman" w:cs="Times New Roman" w:eastAsia="Times New Roman" w:hAnsi="Times New Roman"/>
          <w:sz w:val="18"/>
          <w:szCs w:val="18"/>
          <w:color w:val="auto"/>
        </w:rPr>
        <w:t>Under our Shareholders’ Agreement, we agreed to indemnify the applicable selling shareholder and its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employees, managers, members partners, agents and controlling persons against any losses or damages resulting from any untrue statement or omission of material fact in any registration statement or prospectus pursuant to which it sells shares of Common Stock, unless such liability arose from the applicable selling stockholder’s misstatement or omission, and the applicable selling stockholder agrees to indemnify us against all losses caused by its misstatements or omissions. We will pay all registration and offering-related expenses incidental to our performance under the Shareholders’ Agreement, and the applicable selling stockholder will pay its portion of all underwriting discounts, commissions and transfer taxes, if any, relating to the sale of its shares of Common Stock under the Shareholders’ Agreement. We have entered into, and have caused our officers and directors to enter into, lock-up agreements in connection with any exercise of registration rights by the Founder Entities, and on behalf of their permitted transferees.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Rights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our Shareholders’ Agreement, the Founder Entities have the right to request certain information from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Assistance in the Sale of the Founder Entities’ Shares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Under our Shareholders’ Agreement, if the Founder Entities seek to sell their shares of Common Stock other than pursuant to a registration statement, we shall use our reasonable best efforts to assist the Founder Entities in the sale process, including by providing information to potential purchasers as requested by the Founder Entities.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addition, if the Board of Directors starts and then abandons a sale process, and the Founder Entities subsequently indicate that they want to sell their shares of Common Stock, we shall permit the Founder Entities to engage in discussions with potential purchasers who participated in the abandoned sales process. We shall be obligated to assist the Founder Entities in any such sale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party to an Administrative Services Agreement (“Administrative Agreement”) with FIG LLC, an affiliate of Fortress (which currently employs Wesley R. Edens, our chief executive officer and chairman of our Board of Directors, and Randal A. Nardone, one of our directors), to charge us for certain administrative and general expenses incurred. The charges under the Administrative Agreement that are attributable to the Company totaled $0.8 million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Aircraft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Mr. Edens owns an aircraft that we charter from a third-party aircraft operator for business purposes in the ordinary course of operations. We paid aircraft operator rates for the charters. For the year ended December 31, 2025, we incurred charter costs of $1.8 million, and such amount is included within selling,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Headquarters Lease and Sublease</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Since February 2023, we have subleased a portion of our corporate offices to FTAI Infrastructure Inc. (“FTAI Infrastructure”) and an affiliate that manages Brightline Trains ("Brightline"). During the year ended December 31, 2025, FTAI Infrastructure and Brightline incurred $0.6 million and $0.2 million of rent expenses, respectively. FTAI Infrastructure and Brightline did not make any payments to us in 2025. We may sublease a portion of our corporate offices to certain other affiliates.</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Since September 2023, we have also leased land for development of a hydrogen facility in Beaumont, Texas from Jefferson Terminal South LLC, which is an indirect, majority-owned subsidiary of FTAI Infrastructure. During the year ended December 31, 2025, we incurred $0.7 million of costs under the lease agreement; no amounts were paid to Jefferson Terminal South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Fortress Affiliated Entities</w:t>
      </w:r>
    </w:p>
    <w:p>
      <w:pPr>
        <w:spacing w:after="0" w:line="229"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Since 2017, the Company has provided certain administrative services to affiliates of FEP Holdco. There are no costs incurred by the Company as the Company is fully reimbursed for all costs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Director Independence</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If required under the listing standards of the Nasdaq Stock Market LLC (“Nasdaq”), the Board of Directors shall be comprised of a majority of directors who qualify as independent directors (“Independent Directors”) under the listing standards of Nasdaq.</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Company’s Corporate Governance Guidelines, the Board of Directors must be comprised of a majority of directors who qualify as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requirements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if such committee is established. Our Board of Directors determined that Messrs. Griffin, Sledge, Grain, Catterall, Jay and Ms. Wanner qualify as Independent Directors. Our Board of Directors also previously determined that Mr. Mack, who retired as a director of the Company on April 23, 2025, qualified as an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sets forth the aggregate fees and expenses for the years ended December 31, 2025 and 2024 for professional services performed by our independent registered public accounting firm, Ernst &amp; Young LLP: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4"/>
                <w:szCs w:val="24"/>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60" w:type="dxa"/>
            <w:vAlign w:val="bottom"/>
            <w:tcBorders>
              <w:bottom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338"/>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37"/>
        </w:trPr>
        <w:tc>
          <w:tcPr>
            <w:tcW w:w="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shd w:val="clear" w:color="auto" w:fill="CCEEFF"/>
              </w:rPr>
              <w:t>Tax Fees</w:t>
            </w:r>
          </w:p>
        </w:tc>
        <w:tc>
          <w:tcPr>
            <w:tcW w:w="7600" w:type="dxa"/>
            <w:vAlign w:val="bottom"/>
            <w:shd w:val="clear" w:color="auto" w:fill="CCEEFF"/>
          </w:tcPr>
          <w:p>
            <w:pPr>
              <w:jc w:val="right"/>
              <w:ind w:right="7402"/>
              <w:spacing w:after="0"/>
              <w:rPr>
                <w:sz w:val="20"/>
                <w:szCs w:val="20"/>
                <w:color w:val="auto"/>
              </w:rPr>
            </w:pPr>
            <w:r>
              <w:rPr>
                <w:rFonts w:ascii="Times New Roman" w:cs="Times New Roman" w:eastAsia="Times New Roman" w:hAnsi="Times New Roman"/>
                <w:sz w:val="12"/>
                <w:szCs w:val="12"/>
                <w:color w:val="auto"/>
                <w:w w:val="85"/>
                <w:shd w:val="clear" w:color="auto" w:fill="CCEEFF"/>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81"/>
        </w:trPr>
        <w:tc>
          <w:tcPr>
            <w:tcW w:w="660" w:type="dxa"/>
            <w:vAlign w:val="bottom"/>
            <w:tcBorders>
              <w:bottom w:val="single" w:sz="8" w:color="CCEEFF"/>
            </w:tcBorders>
            <w:vMerge w:val="continue"/>
            <w:shd w:val="clear" w:color="auto" w:fill="CCEEFF"/>
          </w:tcPr>
          <w:p>
            <w:pPr>
              <w:spacing w:after="0"/>
              <w:rPr>
                <w:sz w:val="7"/>
                <w:szCs w:val="7"/>
                <w:color w:val="auto"/>
              </w:rPr>
            </w:pPr>
          </w:p>
        </w:tc>
        <w:tc>
          <w:tcPr>
            <w:tcW w:w="76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-985520</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-985520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2" w:lineRule="exact"/>
        <w:rPr>
          <w:sz w:val="20"/>
          <w:szCs w:val="20"/>
          <w:color w:val="auto"/>
        </w:rPr>
      </w:pPr>
    </w:p>
    <w:p>
      <w:pPr>
        <w:ind w:left="440" w:right="40" w:hanging="414"/>
        <w:spacing w:after="0" w:line="212" w:lineRule="auto"/>
        <w:tabs>
          <w:tab w:leader="none" w:pos="44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93" w:lineRule="exact"/>
        <w:rPr>
          <w:rFonts w:ascii="Times New Roman" w:cs="Times New Roman" w:eastAsia="Times New Roman" w:hAnsi="Times New Roman"/>
          <w:sz w:val="19"/>
          <w:szCs w:val="19"/>
          <w:color w:val="auto"/>
          <w:vertAlign w:val="superscript"/>
        </w:rPr>
      </w:pPr>
    </w:p>
    <w:p>
      <w:pPr>
        <w:ind w:left="480" w:hanging="454"/>
        <w:spacing w:after="0"/>
        <w:tabs>
          <w:tab w:leader="none" w:pos="4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Audit-related fees consist of fees for diligence services, attest services and audit services provided for transactions and potential transactions.</w:t>
      </w:r>
    </w:p>
    <w:p>
      <w:pPr>
        <w:spacing w:after="0" w:line="92" w:lineRule="exact"/>
        <w:rPr>
          <w:rFonts w:ascii="Times New Roman" w:cs="Times New Roman" w:eastAsia="Times New Roman" w:hAnsi="Times New Roman"/>
          <w:sz w:val="19"/>
          <w:szCs w:val="19"/>
          <w:color w:val="auto"/>
          <w:vertAlign w:val="superscript"/>
        </w:rPr>
      </w:pPr>
    </w:p>
    <w:p>
      <w:pPr>
        <w:ind w:left="480" w:hanging="454"/>
        <w:spacing w:after="0"/>
        <w:tabs>
          <w:tab w:leader="none" w:pos="4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Tax fees consists of fees for professional services rendered by our principal accountant for tax compliance services.</w:t>
      </w:r>
    </w:p>
    <w:p>
      <w:pPr>
        <w:spacing w:after="0" w:line="31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has adopted a pre-approval policy with respect to services which may be performed by Ernst &amp; Young LLP. This policy lists specific audit-related and tax services as well as any other services that Ernst &amp; Young LLP is authorized to perform and sets out specific dollar limits for each specific service, which may not be exceeded without additional audit committee 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The charter of the audit committee and its pre-approval policy require that the audit committee review and pre-approve the plan and scope of Ernst &amp; Young LLP’s audit, audit-related, tax and other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right="40" w:firstLine="332"/>
        <w:spacing w:after="0" w:line="282" w:lineRule="auto"/>
        <w:tabs>
          <w:tab w:leader="none" w:pos="5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statements or supplemental data are filed with this Amendment No. 1 See Index to Financial Statements and Supplemental Data of the Original Form 10-K.</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to be filed by this Item 15(b) are set forth in the Exhibit Index included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vMerge w:val="restart"/>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Certificate of Conversion of New Fortress Energy Inc. (incorporated by reference to Exhibit 99.2 to the Registrant’s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Quarterly Report on Form 10-Q filed with the SEC on August 4, 2020).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Certificate of Incorporation of New Fortress Energy Inc. (incorporated by reference to Exhibit 99.3 to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August 4, 2020).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Bylaws of New Fortress Energy Inc. (incorporated by reference to Exhibit 99.4 to the Registrant’s Quarterly Report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 Form 10-Q filed with the SEC on August 4, 2020).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Description of the Registrant’s Securities Registered Pursuant to Section 12 of the Securities Exchange Act of 1934</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0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(incorporated by reference to Exhibit 4.1 to the Registrant’s Annual Report on Form 10-K, filed with the SEC 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1, 2022).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 of Director Restricted Share Unit Award Agreement (incorporated by reference to Exhibit 10.4 to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Registrant’s Registration Statement on Form S-1/A, filed with the SEC on December 24, 2018).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Restricted Share Unit Award Agreement under the Amended and Restated New Fortress Energy Inc. 2019 Omnibus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10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Incentive Plan (incorporated by reference to Exhibit 10.5 to the Registrant’s Quarterly Report on Form 10-Q,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with the Commission on November 8, 2022).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700" w:type="dxa"/>
            <w:vAlign w:val="bottom"/>
          </w:tcPr>
          <w:p>
            <w:pPr>
              <w:spacing w:after="0"/>
              <w:rPr>
                <w:sz w:val="16"/>
                <w:szCs w:val="16"/>
                <w:color w:val="auto"/>
              </w:rPr>
            </w:pPr>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Shareholders’ Agreement, dated February 4, 2019, by and among New Fortress Energy LLC, New Fortress Energy</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0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Holdings LLC, Wesley R. Edens and Randal A. Nardone (incorporated by reference to Exhibit 4.1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 on February 5, 2019).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700" w:type="dxa"/>
            <w:vAlign w:val="bottom"/>
          </w:tcPr>
          <w:p>
            <w:pPr>
              <w:spacing w:after="0"/>
              <w:rPr>
                <w:sz w:val="16"/>
                <w:szCs w:val="16"/>
                <w:color w:val="auto"/>
              </w:rPr>
            </w:pPr>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Administrative Services Agreement, dated February 4, 2019, by and between New Fortress Intermediate LLC and</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10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8"/>
                <w:szCs w:val="18"/>
                <w:color w:val="auto"/>
              </w:rPr>
              <w:t>FIG LLC (incorporated by reference to Exhibit 10.3 to the Registrant’s Current Report on Form 8-K,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February 5, 2019).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Indemnification Agreement (Edens) (incorporated by reference to Exhibit 10.4 to the Registrant’s Current Report on</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Form 8-K, filed with the SEC on February 5, 2019).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Indemnification Agreement (Guinta) (incorporated by reference to Exhibit 10.5 to the Registrant’s Current Report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 Form 8-K, filed with the SEC on February 5, 2019).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Indemnification Agreement (Catterall) (incorporated by reference to Exhibit 10.7 to the Registrant’s Current Report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 Form 8-K, filed with the SEC on February 5, 2019).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Indemnification Agreement (Grain) (incorporated by reference to Exhibit 10.8 to the Registrant’s Current Report on</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Form 8-K, filed with the SEC on February 5, 2019).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86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Indemnification Agreement (Griffin) (incorporated by reference to Exhibit 10.9 to the Registrant’s Current Report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 Form 8-K, filed with the SEC on February 5, 2019).</w:t>
            </w:r>
          </w:p>
        </w:tc>
        <w:tc>
          <w:tcPr>
            <w:tcW w:w="0" w:type="dxa"/>
            <w:vAlign w:val="bottom"/>
          </w:tcPr>
          <w:p>
            <w:pPr>
              <w:spacing w:after="0"/>
              <w:rPr>
                <w:sz w:val="1"/>
                <w:szCs w:val="1"/>
                <w:color w:val="auto"/>
              </w:rPr>
            </w:pPr>
          </w:p>
        </w:tc>
      </w:tr>
      <w:tr>
        <w:trPr>
          <w:trHeight w:val="1015"/>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tcPr>
          <w:p>
            <w:pPr>
              <w:spacing w:after="0" w:line="18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320" w:type="dxa"/>
            <w:vAlign w:val="bottom"/>
            <w:gridSpan w:val="2"/>
          </w:tcPr>
          <w:p>
            <w:pPr>
              <w:ind w:left="380"/>
              <w:spacing w:after="0" w:line="189" w:lineRule="exact"/>
              <w:rPr>
                <w:sz w:val="20"/>
                <w:szCs w:val="20"/>
                <w:color w:val="auto"/>
              </w:rPr>
            </w:pPr>
            <w:r>
              <w:rPr>
                <w:rFonts w:ascii="Times New Roman" w:cs="Times New Roman" w:eastAsia="Times New Roman" w:hAnsi="Times New Roman"/>
                <w:sz w:val="18"/>
                <w:szCs w:val="18"/>
                <w:color w:val="auto"/>
              </w:rPr>
              <w:t>Indemnification Agreement (Sledge) (incorporated by reference to Exhibit 10.16 to the Registrant’s Quarterly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Report on Form 10-Q, filed with the SEC on June 30,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tcPr>
          <w:p>
            <w:pPr>
              <w:spacing w:after="0" w:line="18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Indemnification Agreement (Nardone) (incorporated by reference to Exhibit 10.11 to the Registrant’s Current Report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on Form 8-K, filed with the SEC on February 5, 2019).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tcPr>
          <w:p>
            <w:pPr>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Indemnification Agreement (Wanner) (incorporated by reference to Exhibit 10.12 to the Registrant’s Current Report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on Form 8-K, filed with the SEC on February 5, 2019).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tcPr>
          <w:p>
            <w:pPr>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Indemnification Agreement (Jay) (incorporated by reference to Exhibit 10.15 to the Registrant’s Quarterly Report on</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Form 10-Q, filed with the SEC on May 4, 2023).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tcPr>
          <w:p>
            <w:pPr>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Indemnification Agreement, dated as of April 29, 2025, by and between New Fortress Energy LLC and Michael</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0320" w:type="dxa"/>
            <w:vAlign w:val="bottom"/>
            <w:gridSpan w:val="2"/>
          </w:tcPr>
          <w:p>
            <w:pPr>
              <w:ind w:left="380"/>
              <w:spacing w:after="0" w:line="156" w:lineRule="exact"/>
              <w:rPr>
                <w:sz w:val="20"/>
                <w:szCs w:val="20"/>
                <w:color w:val="auto"/>
              </w:rPr>
            </w:pPr>
            <w:r>
              <w:rPr>
                <w:rFonts w:ascii="Times New Roman" w:cs="Times New Roman" w:eastAsia="Times New Roman" w:hAnsi="Times New Roman"/>
                <w:sz w:val="18"/>
                <w:szCs w:val="18"/>
                <w:color w:val="auto"/>
              </w:rPr>
              <w:t>Lowe (incorporated by reference to Exhibit 10.15 to the Registrant’s Quarterly Report on Form 10-Q, filed with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SEC on June 30,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Letter Agreement, dated as of March 14, 2017, by and between NFE Management LLC and Christopher S. Guinta</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0320" w:type="dxa"/>
            <w:vAlign w:val="bottom"/>
            <w:gridSpan w:val="2"/>
          </w:tcPr>
          <w:p>
            <w:pPr>
              <w:ind w:left="380"/>
              <w:spacing w:after="0" w:line="156" w:lineRule="exact"/>
              <w:rPr>
                <w:sz w:val="20"/>
                <w:szCs w:val="20"/>
                <w:color w:val="auto"/>
              </w:rPr>
            </w:pPr>
            <w:r>
              <w:rPr>
                <w:rFonts w:ascii="Times New Roman" w:cs="Times New Roman" w:eastAsia="Times New Roman" w:hAnsi="Times New Roman"/>
                <w:sz w:val="18"/>
                <w:szCs w:val="18"/>
                <w:color w:val="auto"/>
              </w:rPr>
              <w:t>(incorporated by reference to Exhibit 10.17 to the Registrant’s Annual Report on Form 10-K, filed with the SEC 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400" w:type="dxa"/>
            <w:vAlign w:val="bottom"/>
          </w:tcPr>
          <w:p>
            <w:pPr>
              <w:spacing w:after="0"/>
              <w:rPr>
                <w:sz w:val="16"/>
                <w:szCs w:val="16"/>
                <w:color w:val="auto"/>
              </w:rPr>
            </w:pPr>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Indenture, dated April 12, 2021, by and among the Company, an issuer, the subsidiary guarantors from time to time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320" w:type="dxa"/>
            <w:vAlign w:val="bottom"/>
            <w:gridSpan w:val="2"/>
          </w:tcPr>
          <w:p>
            <w:pPr>
              <w:ind w:left="380"/>
              <w:spacing w:after="0" w:line="156" w:lineRule="exact"/>
              <w:rPr>
                <w:sz w:val="20"/>
                <w:szCs w:val="20"/>
                <w:color w:val="auto"/>
              </w:rPr>
            </w:pPr>
            <w:r>
              <w:rPr>
                <w:rFonts w:ascii="Times New Roman" w:cs="Times New Roman" w:eastAsia="Times New Roman" w:hAnsi="Times New Roman"/>
                <w:sz w:val="18"/>
                <w:szCs w:val="18"/>
                <w:color w:val="auto"/>
              </w:rPr>
              <w:t>party thereto, and U.S. Bank National Association, as trustee and as notes collateral agent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 Exhibit 4.1 to the Registrant’s Current Report on Form 8-K, filed with the SEC on April 12, 2021).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400" w:type="dxa"/>
            <w:vAlign w:val="bottom"/>
          </w:tcPr>
          <w:p>
            <w:pPr>
              <w:spacing w:after="0"/>
              <w:rPr>
                <w:sz w:val="16"/>
                <w:szCs w:val="16"/>
                <w:color w:val="auto"/>
              </w:rPr>
            </w:pPr>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Pledge and Security Agreement, dated April 12, 2021, by and among the Company, the subsidiary guarantors, from</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320" w:type="dxa"/>
            <w:vAlign w:val="bottom"/>
            <w:gridSpan w:val="2"/>
          </w:tcPr>
          <w:p>
            <w:pPr>
              <w:ind w:left="380"/>
              <w:spacing w:after="0" w:line="156" w:lineRule="exact"/>
              <w:rPr>
                <w:sz w:val="20"/>
                <w:szCs w:val="20"/>
                <w:color w:val="auto"/>
              </w:rPr>
            </w:pPr>
            <w:r>
              <w:rPr>
                <w:rFonts w:ascii="Times New Roman" w:cs="Times New Roman" w:eastAsia="Times New Roman" w:hAnsi="Times New Roman"/>
                <w:sz w:val="18"/>
                <w:szCs w:val="18"/>
                <w:color w:val="auto"/>
              </w:rPr>
              <w:t>time to time party thereto, and U.S. Bank National Association, as notes collateral agent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 Exhibit 4.2 to the Registrant’s Current Report on Form 8-K, filed with the SEC on April 12, 2021).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40" w:type="dxa"/>
            <w:vAlign w:val="bottom"/>
            <w:gridSpan w:val="2"/>
          </w:tcPr>
          <w:p>
            <w:pPr>
              <w:ind w:left="20"/>
              <w:spacing w:after="0" w:line="189" w:lineRule="exact"/>
              <w:rPr>
                <w:rFonts w:ascii="Times New Roman" w:cs="Times New Roman" w:eastAsia="Times New Roman" w:hAnsi="Times New Roman"/>
                <w:sz w:val="18"/>
                <w:szCs w:val="18"/>
                <w:color w:val="3051F2"/>
                <w:w w:val="98"/>
              </w:rPr>
            </w:pPr>
            <w:hyperlink r:id="rId71">
              <w:r>
                <w:rPr>
                  <w:rFonts w:ascii="Times New Roman" w:cs="Times New Roman" w:eastAsia="Times New Roman" w:hAnsi="Times New Roman"/>
                  <w:sz w:val="18"/>
                  <w:szCs w:val="18"/>
                  <w:color w:val="3051F2"/>
                  <w:w w:val="98"/>
                </w:rPr>
                <w:t>10.</w:t>
              </w:r>
            </w:hyperlink>
            <w:r>
              <w:rPr>
                <w:rFonts w:ascii="Times New Roman" w:cs="Times New Roman" w:eastAsia="Times New Roman" w:hAnsi="Times New Roman"/>
                <w:sz w:val="18"/>
                <w:szCs w:val="18"/>
                <w:u w:val="single" w:color="auto"/>
                <w:color w:val="3051F2"/>
                <w:w w:val="98"/>
              </w:rPr>
              <w:t>18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First Supplemental Indenture, dated as of June 11, 2021, between Golar GP LLC (now known as NFE GP LLC), as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3051F2"/>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320" w:type="dxa"/>
            <w:vAlign w:val="bottom"/>
            <w:gridSpan w:val="2"/>
          </w:tcPr>
          <w:p>
            <w:pPr>
              <w:ind w:left="380"/>
              <w:spacing w:after="0" w:line="156" w:lineRule="exact"/>
              <w:rPr>
                <w:sz w:val="20"/>
                <w:szCs w:val="20"/>
                <w:color w:val="auto"/>
              </w:rPr>
            </w:pPr>
            <w:r>
              <w:rPr>
                <w:rFonts w:ascii="Times New Roman" w:cs="Times New Roman" w:eastAsia="Times New Roman" w:hAnsi="Times New Roman"/>
                <w:sz w:val="18"/>
                <w:szCs w:val="18"/>
                <w:color w:val="auto"/>
              </w:rPr>
              <w:t>Guaranteeing Subsidiary, and U.S. Bank Trust Company, National Association (as successor in interest to U.S. Bank</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320" w:type="dxa"/>
            <w:vAlign w:val="bottom"/>
            <w:gridSpan w:val="2"/>
          </w:tcPr>
          <w:p>
            <w:pPr>
              <w:ind w:left="380"/>
              <w:spacing w:after="0" w:line="176" w:lineRule="exact"/>
              <w:rPr>
                <w:sz w:val="20"/>
                <w:szCs w:val="20"/>
                <w:color w:val="auto"/>
              </w:rPr>
            </w:pPr>
            <w:r>
              <w:rPr>
                <w:rFonts w:ascii="Times New Roman" w:cs="Times New Roman" w:eastAsia="Times New Roman" w:hAnsi="Times New Roman"/>
                <w:sz w:val="18"/>
                <w:szCs w:val="18"/>
                <w:color w:val="auto"/>
              </w:rPr>
              <w:t>National Association), as trustee (incorporated by reference to Exhibit 10.29 to the Registrant’s Annual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Form 10-K, filed with the SEC on March 1, 2023).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400" w:type="dxa"/>
            <w:vAlign w:val="bottom"/>
          </w:tcPr>
          <w:p>
            <w:pPr>
              <w:spacing w:after="0"/>
              <w:rPr>
                <w:sz w:val="16"/>
                <w:szCs w:val="16"/>
                <w:color w:val="auto"/>
              </w:rPr>
            </w:pPr>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Second Supplemental Indenture, dated as of September 13, 2021, between NFE Mexico Power Holdings Limited</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320" w:type="dxa"/>
            <w:vAlign w:val="bottom"/>
            <w:gridSpan w:val="2"/>
          </w:tcPr>
          <w:p>
            <w:pPr>
              <w:ind w:left="380"/>
              <w:spacing w:after="0" w:line="156" w:lineRule="exact"/>
              <w:rPr>
                <w:sz w:val="20"/>
                <w:szCs w:val="20"/>
                <w:color w:val="auto"/>
              </w:rPr>
            </w:pPr>
            <w:r>
              <w:rPr>
                <w:rFonts w:ascii="Times New Roman" w:cs="Times New Roman" w:eastAsia="Times New Roman" w:hAnsi="Times New Roman"/>
                <w:sz w:val="18"/>
                <w:szCs w:val="18"/>
                <w:color w:val="auto"/>
              </w:rPr>
              <w:t>and NFE Mexico Terminal Holdings Limited, as Guaranteeing Subsidiaries, and U.S. Bank Trust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320" w:type="dxa"/>
            <w:vAlign w:val="bottom"/>
            <w:gridSpan w:val="2"/>
          </w:tcPr>
          <w:p>
            <w:pPr>
              <w:ind w:left="380"/>
              <w:spacing w:after="0" w:line="176" w:lineRule="exact"/>
              <w:rPr>
                <w:sz w:val="20"/>
                <w:szCs w:val="20"/>
                <w:color w:val="auto"/>
              </w:rPr>
            </w:pPr>
            <w:r>
              <w:rPr>
                <w:rFonts w:ascii="Times New Roman" w:cs="Times New Roman" w:eastAsia="Times New Roman" w:hAnsi="Times New Roman"/>
                <w:sz w:val="18"/>
                <w:szCs w:val="18"/>
                <w:color w:val="auto"/>
              </w:rPr>
              <w:t>National Association (as successor in interest to U.S. Bank National Association), as trustee (incorporated by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reference to Exhibit 10.30 to the Registrant’s Annual Report on Form 10-K, filed with the SEC on March 1, 2023).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400" w:type="dxa"/>
            <w:vAlign w:val="bottom"/>
          </w:tcPr>
          <w:p>
            <w:pPr>
              <w:spacing w:after="0"/>
              <w:rPr>
                <w:sz w:val="16"/>
                <w:szCs w:val="16"/>
                <w:color w:val="auto"/>
              </w:rPr>
            </w:pPr>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Third Supplemental Indenture, dated as of November 24, 2021, between NFE International Shipping LLC, NFE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320" w:type="dxa"/>
            <w:vAlign w:val="bottom"/>
            <w:gridSpan w:val="2"/>
          </w:tcPr>
          <w:p>
            <w:pPr>
              <w:ind w:left="380"/>
              <w:spacing w:after="0" w:line="156" w:lineRule="exact"/>
              <w:rPr>
                <w:sz w:val="20"/>
                <w:szCs w:val="20"/>
                <w:color w:val="auto"/>
              </w:rPr>
            </w:pPr>
            <w:r>
              <w:rPr>
                <w:rFonts w:ascii="Times New Roman" w:cs="Times New Roman" w:eastAsia="Times New Roman" w:hAnsi="Times New Roman"/>
                <w:sz w:val="18"/>
                <w:szCs w:val="18"/>
                <w:color w:val="auto"/>
              </w:rPr>
              <w:t>Global Shipping LLC, NFE Grand Shipping LLC and NFE International Holdings Limited, as Guaranteeing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320" w:type="dxa"/>
            <w:vAlign w:val="bottom"/>
            <w:gridSpan w:val="2"/>
          </w:tcPr>
          <w:p>
            <w:pPr>
              <w:ind w:left="380"/>
              <w:spacing w:after="0" w:line="176" w:lineRule="exact"/>
              <w:rPr>
                <w:sz w:val="20"/>
                <w:szCs w:val="20"/>
                <w:color w:val="auto"/>
              </w:rPr>
            </w:pPr>
            <w:r>
              <w:rPr>
                <w:rFonts w:ascii="Times New Roman" w:cs="Times New Roman" w:eastAsia="Times New Roman" w:hAnsi="Times New Roman"/>
                <w:sz w:val="18"/>
                <w:szCs w:val="18"/>
                <w:color w:val="auto"/>
              </w:rPr>
              <w:t>Subsidiaries, and U.S. Bank Trust Company, National Association (as successor in interest to U.S. Bank National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320" w:type="dxa"/>
            <w:vAlign w:val="bottom"/>
            <w:gridSpan w:val="2"/>
          </w:tcPr>
          <w:p>
            <w:pPr>
              <w:ind w:left="380"/>
              <w:spacing w:after="0" w:line="184" w:lineRule="exact"/>
              <w:rPr>
                <w:sz w:val="20"/>
                <w:szCs w:val="20"/>
                <w:color w:val="auto"/>
              </w:rPr>
            </w:pPr>
            <w:r>
              <w:rPr>
                <w:rFonts w:ascii="Times New Roman" w:cs="Times New Roman" w:eastAsia="Times New Roman" w:hAnsi="Times New Roman"/>
                <w:sz w:val="18"/>
                <w:szCs w:val="18"/>
                <w:color w:val="auto"/>
              </w:rPr>
              <w:t>Association), as trustee (incorporated by reference to Exhibit 10.31 to the Registrant’s Annual Report on Form 10-K,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filed with the SEC on March 1, 2023).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2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400" w:type="dxa"/>
            <w:vAlign w:val="bottom"/>
          </w:tcPr>
          <w:p>
            <w:pPr>
              <w:spacing w:after="0"/>
              <w:rPr>
                <w:sz w:val="16"/>
                <w:szCs w:val="16"/>
                <w:color w:val="auto"/>
              </w:rPr>
            </w:pPr>
          </w:p>
        </w:tc>
        <w:tc>
          <w:tcPr>
            <w:tcW w:w="88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Fourth Supplemental Indenture, dated as of March 23, 2022, between NFE UK Holdings Limited, NFE Global</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320" w:type="dxa"/>
            <w:vAlign w:val="bottom"/>
            <w:gridSpan w:val="2"/>
          </w:tcPr>
          <w:p>
            <w:pPr>
              <w:ind w:left="380"/>
              <w:spacing w:after="0" w:line="156" w:lineRule="exact"/>
              <w:rPr>
                <w:sz w:val="20"/>
                <w:szCs w:val="20"/>
                <w:color w:val="auto"/>
              </w:rPr>
            </w:pPr>
            <w:r>
              <w:rPr>
                <w:rFonts w:ascii="Times New Roman" w:cs="Times New Roman" w:eastAsia="Times New Roman" w:hAnsi="Times New Roman"/>
                <w:sz w:val="18"/>
                <w:szCs w:val="18"/>
                <w:color w:val="auto"/>
              </w:rPr>
              <w:t>Holdings Limited and NFE Bermuda Holdings Limited, as Guaranteeing Subsidiaries, and U.S. Bank Trust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320" w:type="dxa"/>
            <w:vAlign w:val="bottom"/>
            <w:gridSpan w:val="2"/>
          </w:tcPr>
          <w:p>
            <w:pPr>
              <w:ind w:left="380"/>
              <w:spacing w:after="0" w:line="176" w:lineRule="exact"/>
              <w:rPr>
                <w:sz w:val="20"/>
                <w:szCs w:val="20"/>
                <w:color w:val="auto"/>
              </w:rPr>
            </w:pPr>
            <w:r>
              <w:rPr>
                <w:rFonts w:ascii="Times New Roman" w:cs="Times New Roman" w:eastAsia="Times New Roman" w:hAnsi="Times New Roman"/>
                <w:sz w:val="18"/>
                <w:szCs w:val="18"/>
                <w:color w:val="auto"/>
              </w:rPr>
              <w:t>Company, National Association (as successor in interest to U.S. Bank National Association), as trustee (incorporated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320" w:type="dxa"/>
            <w:vAlign w:val="bottom"/>
            <w:gridSpan w:val="2"/>
          </w:tcPr>
          <w:p>
            <w:pPr>
              <w:ind w:left="380"/>
              <w:spacing w:after="0" w:line="184" w:lineRule="exact"/>
              <w:rPr>
                <w:sz w:val="20"/>
                <w:szCs w:val="20"/>
                <w:color w:val="auto"/>
              </w:rPr>
            </w:pPr>
            <w:r>
              <w:rPr>
                <w:rFonts w:ascii="Times New Roman" w:cs="Times New Roman" w:eastAsia="Times New Roman" w:hAnsi="Times New Roman"/>
                <w:sz w:val="18"/>
                <w:szCs w:val="18"/>
                <w:color w:val="auto"/>
              </w:rPr>
              <w:t>by reference to Exhibit 10.32 to the Registrant’s Annual Report on Form 10-K, filed with the SEC on March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4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t>Fifth Supplemental Indenture, dated as of December 22, 2022, between NFE Andromeda Chartering LLC, as</w:t>
      </w:r>
    </w:p>
    <w:p>
      <w:pPr>
        <w:spacing w:after="0" w:line="2" w:lineRule="exact"/>
        <w:rPr>
          <w:sz w:val="20"/>
          <w:szCs w:val="20"/>
          <w:color w:val="auto"/>
        </w:rPr>
      </w:pPr>
    </w:p>
    <w:p>
      <w:pPr>
        <w:ind w:left="1300" w:right="439"/>
        <w:spacing w:after="0" w:line="218" w:lineRule="auto"/>
        <w:rPr>
          <w:sz w:val="20"/>
          <w:szCs w:val="20"/>
          <w:color w:val="auto"/>
        </w:rPr>
      </w:pPr>
      <w:r>
        <w:rPr>
          <w:rFonts w:ascii="Times New Roman" w:cs="Times New Roman" w:eastAsia="Times New Roman" w:hAnsi="Times New Roman"/>
          <w:sz w:val="18"/>
          <w:szCs w:val="18"/>
          <w:color w:val="auto"/>
        </w:rPr>
        <w:t>Guaranteeing Subsidiary, and U.S. Bank Trust Company, National Association (as successor in interest to U.S. Bank National Association), as trustee (incorporated by reference to Exhibit 10.33 to the Registrant’s Annual Report on Form 10-K, filed with the SEC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FF"/>
        </w:rPr>
        <w:tab/>
        <w:t>Sixth Supplemental Indenture, dated as of October 18, 2024, between NFE International Holdings 1 Limited and</w:t>
      </w:r>
    </w:p>
    <w:p>
      <w:pPr>
        <w:spacing w:after="0" w:line="2" w:lineRule="exact"/>
        <w:rPr>
          <w:sz w:val="20"/>
          <w:szCs w:val="20"/>
          <w:color w:val="auto"/>
        </w:rPr>
      </w:pPr>
    </w:p>
    <w:p>
      <w:pPr>
        <w:ind w:left="1300" w:right="519"/>
        <w:spacing w:after="0" w:line="208" w:lineRule="auto"/>
        <w:rPr>
          <w:sz w:val="20"/>
          <w:szCs w:val="20"/>
          <w:color w:val="auto"/>
        </w:rPr>
      </w:pPr>
      <w:r>
        <w:rPr>
          <w:rFonts w:ascii="Times New Roman" w:cs="Times New Roman" w:eastAsia="Times New Roman" w:hAnsi="Times New Roman"/>
          <w:sz w:val="18"/>
          <w:szCs w:val="18"/>
          <w:color w:val="auto"/>
        </w:rPr>
        <w:t>NFE International Holdings 1 Limited (each a “Guaranteeing Subsidiary”) as Guaranteeing Subsidiaries and U.S. Bank Trust Company, National Association (as successor in interest to U.S. Bank National Association). (incorporated by reference to Exhibit 10.24 to the Registrant’s Annual Report on Form 10-K, filed with the SEC 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color w:val="0000FF"/>
        </w:rPr>
        <w:tab/>
        <w:t>Seventh Supplemental Indenture, dated as of December 6, 2024, between the various Guaranteeing Subsidiaries</w:t>
      </w:r>
    </w:p>
    <w:p>
      <w:pPr>
        <w:spacing w:after="0" w:line="2" w:lineRule="exact"/>
        <w:rPr>
          <w:sz w:val="20"/>
          <w:szCs w:val="20"/>
          <w:color w:val="auto"/>
        </w:rPr>
      </w:pPr>
    </w:p>
    <w:p>
      <w:pPr>
        <w:ind w:left="1300" w:right="539"/>
        <w:spacing w:after="0" w:line="218" w:lineRule="auto"/>
        <w:rPr>
          <w:sz w:val="20"/>
          <w:szCs w:val="20"/>
          <w:color w:val="auto"/>
        </w:rPr>
      </w:pPr>
      <w:r>
        <w:rPr>
          <w:rFonts w:ascii="Times New Roman" w:cs="Times New Roman" w:eastAsia="Times New Roman" w:hAnsi="Times New Roman"/>
          <w:sz w:val="18"/>
          <w:szCs w:val="18"/>
          <w:color w:val="auto"/>
        </w:rPr>
        <w:t>party thereto and U.S. Bank Trust Company, National Association (as successor in interest to U.S. Bank National Association), as trustee. (incorporated by reference to Exhibit 10.25 to the Registrant’s Annual Report on Form 10-K, filed 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Credit Agreement, dated as of April 15, 2021, by and among the Company, as the borrower, the guarantors from</w:t>
      </w:r>
    </w:p>
    <w:p>
      <w:pPr>
        <w:spacing w:after="0" w:line="2" w:lineRule="exact"/>
        <w:rPr>
          <w:sz w:val="20"/>
          <w:szCs w:val="20"/>
          <w:color w:val="auto"/>
        </w:rPr>
      </w:pPr>
    </w:p>
    <w:p>
      <w:pPr>
        <w:ind w:left="1300" w:right="439"/>
        <w:spacing w:after="0" w:line="218" w:lineRule="auto"/>
        <w:rPr>
          <w:sz w:val="20"/>
          <w:szCs w:val="20"/>
          <w:color w:val="auto"/>
        </w:rPr>
      </w:pPr>
      <w:r>
        <w:rPr>
          <w:rFonts w:ascii="Times New Roman" w:cs="Times New Roman" w:eastAsia="Times New Roman" w:hAnsi="Times New Roman"/>
          <w:sz w:val="18"/>
          <w:szCs w:val="18"/>
          <w:color w:val="auto"/>
        </w:rPr>
        <w:t>time to time party thereto, the several lenders and issuing banks from time to time party thereto, and Morgan Stanley Senior Funding, Inc,. as administrative agent and collateral agent (incorporated by reference to Exhibit 10.2 to the Registrant’s Current Report on Form 8-K, filed with the SEC on 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1300" w:right="619" w:hanging="1281"/>
        <w:spacing w:after="0" w:line="232" w:lineRule="auto"/>
        <w:tabs>
          <w:tab w:leader="none" w:pos="1280" w:val="left"/>
        </w:tabs>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0000FF"/>
        </w:rPr>
        <w:tab/>
        <w:t>First Amendment to Credit Agreement, dated as of July 16, 2021 to the Credit Agreement, dated as of April 15, 2021, by and among the Company, as the borrower, the guarantors from time to time partly thereto, the several lenders and issuing banks from time to time partly thereto, and Morgan Stanley Senior Funding, Inc., as administrative agent (incorporated by reference to Exhibit 10.30 to the Registrant’s Annual Report on Form 10-K, filed with the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18934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62"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color w:val="0000FF"/>
        </w:rPr>
        <w:tab/>
        <w:t>Second Amendment to Credit Agreement, dated as of February 28, 2022 to the Credit Agreement, dated as of April</w:t>
      </w:r>
    </w:p>
    <w:p>
      <w:pPr>
        <w:spacing w:after="0" w:line="2" w:lineRule="exact"/>
        <w:rPr>
          <w:sz w:val="20"/>
          <w:szCs w:val="20"/>
          <w:color w:val="auto"/>
        </w:rPr>
      </w:pPr>
    </w:p>
    <w:p>
      <w:pPr>
        <w:ind w:left="1300" w:right="639"/>
        <w:spacing w:after="0" w:line="208" w:lineRule="auto"/>
        <w:rPr>
          <w:sz w:val="20"/>
          <w:szCs w:val="20"/>
          <w:color w:val="auto"/>
        </w:rPr>
      </w:pPr>
      <w:r>
        <w:rPr>
          <w:rFonts w:ascii="Times New Roman" w:cs="Times New Roman" w:eastAsia="Times New Roman" w:hAnsi="Times New Roman"/>
          <w:sz w:val="18"/>
          <w:szCs w:val="18"/>
          <w:color w:val="auto"/>
        </w:rPr>
        <w:t>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 the Registrant’s Annual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10-K, filed with the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Third Amendment to Credit Agreement, dated as of May 4, 2022 to the Credit Agreement, dated as of April 15,</w:t>
      </w:r>
    </w:p>
    <w:p>
      <w:pPr>
        <w:spacing w:after="0" w:line="2" w:lineRule="exact"/>
        <w:rPr>
          <w:sz w:val="20"/>
          <w:szCs w:val="20"/>
          <w:color w:val="auto"/>
        </w:rPr>
      </w:pPr>
    </w:p>
    <w:p>
      <w:pPr>
        <w:ind w:left="1300" w:right="659"/>
        <w:spacing w:after="0" w:line="220" w:lineRule="auto"/>
        <w:rPr>
          <w:sz w:val="20"/>
          <w:szCs w:val="20"/>
          <w:color w:val="auto"/>
        </w:rPr>
      </w:pPr>
      <w:r>
        <w:rPr>
          <w:rFonts w:ascii="Times New Roman" w:cs="Times New Roman" w:eastAsia="Times New Roman" w:hAnsi="Times New Roman"/>
          <w:sz w:val="17"/>
          <w:szCs w:val="17"/>
          <w:color w:val="auto"/>
        </w:rPr>
        <w:t>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10.32 to the Registrant’s Quarterly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10-Q, filed with the SEC on May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color w:val="0000FF"/>
        </w:rPr>
        <w:tab/>
        <w:t>Fourth Amendment to Credit Agreement, dated as of February 7, 2023 to the Credit Agreement, dated as of April</w:t>
      </w:r>
    </w:p>
    <w:p>
      <w:pPr>
        <w:spacing w:after="0" w:line="2" w:lineRule="exact"/>
        <w:rPr>
          <w:sz w:val="20"/>
          <w:szCs w:val="20"/>
          <w:color w:val="auto"/>
        </w:rPr>
      </w:pPr>
    </w:p>
    <w:p>
      <w:pPr>
        <w:ind w:left="1300" w:right="599"/>
        <w:spacing w:after="0" w:line="208" w:lineRule="auto"/>
        <w:rPr>
          <w:sz w:val="20"/>
          <w:szCs w:val="20"/>
          <w:color w:val="auto"/>
        </w:rPr>
      </w:pPr>
      <w:r>
        <w:rPr>
          <w:rFonts w:ascii="Times New Roman" w:cs="Times New Roman" w:eastAsia="Times New Roman" w:hAnsi="Times New Roman"/>
          <w:sz w:val="18"/>
          <w:szCs w:val="18"/>
          <w:color w:val="auto"/>
        </w:rPr>
        <w:t>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 Annual Report on Form 10-K, filed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the SEC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color w:val="0000FF"/>
        </w:rPr>
        <w:tab/>
        <w:t>Fifth Amendment to Credit Agreement, dated as of September 15, 2023 to the Credit Agreement, dated as of April</w:t>
      </w:r>
    </w:p>
    <w:p>
      <w:pPr>
        <w:spacing w:after="0" w:line="2" w:lineRule="exact"/>
        <w:rPr>
          <w:sz w:val="20"/>
          <w:szCs w:val="20"/>
          <w:color w:val="auto"/>
        </w:rPr>
      </w:pPr>
    </w:p>
    <w:p>
      <w:pPr>
        <w:ind w:left="1300" w:right="439"/>
        <w:spacing w:after="0" w:line="208" w:lineRule="auto"/>
        <w:rPr>
          <w:sz w:val="20"/>
          <w:szCs w:val="20"/>
          <w:color w:val="auto"/>
        </w:rPr>
      </w:pPr>
      <w:r>
        <w:rPr>
          <w:rFonts w:ascii="Times New Roman" w:cs="Times New Roman" w:eastAsia="Times New Roman" w:hAnsi="Times New Roman"/>
          <w:sz w:val="18"/>
          <w:szCs w:val="18"/>
          <w:color w:val="auto"/>
        </w:rPr>
        <w:t>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Quarterly Report on Form 10-Q, filed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the SEC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color w:val="0000FF"/>
        </w:rPr>
        <w:tab/>
        <w:t>Sixth Amendment to Credit Agreement, dated as of December 18, 2023 to the Credit Agreement, dated as of April</w:t>
      </w:r>
    </w:p>
    <w:p>
      <w:pPr>
        <w:spacing w:after="0" w:line="2" w:lineRule="exact"/>
        <w:rPr>
          <w:sz w:val="20"/>
          <w:szCs w:val="20"/>
          <w:color w:val="auto"/>
        </w:rPr>
      </w:pPr>
    </w:p>
    <w:p>
      <w:pPr>
        <w:ind w:left="1300" w:right="599"/>
        <w:spacing w:after="0" w:line="208" w:lineRule="auto"/>
        <w:rPr>
          <w:sz w:val="20"/>
          <w:szCs w:val="20"/>
          <w:color w:val="auto"/>
        </w:rPr>
      </w:pPr>
      <w:r>
        <w:rPr>
          <w:rFonts w:ascii="Times New Roman" w:cs="Times New Roman" w:eastAsia="Times New Roman" w:hAnsi="Times New Roman"/>
          <w:sz w:val="18"/>
          <w:szCs w:val="18"/>
          <w:color w:val="auto"/>
        </w:rPr>
        <w:t>15, 2021, by and among the Company, as the borrower, the guarantors from time to time party thereto, the several lenders and issuing banks from time to time party thereto, and MUFG Bank Ltd., as administrative agent and collateral agent (incorporated by reference to Exhibit 10.40 to the Registrant’s Annual Report on Form 10-K, filed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the SEC on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Seventh Amendment to Credit Agreement, dated as of May 3, 2024 to the Credit Agreement, dated as of April 15,</w:t>
      </w:r>
    </w:p>
    <w:p>
      <w:pPr>
        <w:spacing w:after="0" w:line="2" w:lineRule="exact"/>
        <w:rPr>
          <w:sz w:val="20"/>
          <w:szCs w:val="20"/>
          <w:color w:val="auto"/>
        </w:rPr>
      </w:pPr>
    </w:p>
    <w:p>
      <w:pPr>
        <w:ind w:left="1300" w:right="779"/>
        <w:spacing w:after="0" w:line="220" w:lineRule="auto"/>
        <w:rPr>
          <w:sz w:val="20"/>
          <w:szCs w:val="20"/>
          <w:color w:val="auto"/>
        </w:rPr>
      </w:pPr>
      <w:r>
        <w:rPr>
          <w:rFonts w:ascii="Times New Roman" w:cs="Times New Roman" w:eastAsia="Times New Roman" w:hAnsi="Times New Roman"/>
          <w:sz w:val="17"/>
          <w:szCs w:val="17"/>
          <w:color w:val="auto"/>
        </w:rPr>
        <w:t>2021, by and among the Company, as the borrower, the guarantors from time to time party thereto, the several lenders and issuing banks from time to time party thereto, and MUFG Bank Ltd., as administrative agent and collateral agent. (incorporated by reference to Exhibit 10.41 to the Registrant’s Quarterly Report on Form 10-Q,</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filed with the SEC on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9">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u w:val="single" w:color="auto"/>
            <w:color w:val="0000FF"/>
          </w:rPr>
          <w:t>10.33</w:t>
        </w:r>
      </w:hyperlink>
      <w:r>
        <w:rPr>
          <w:rFonts w:ascii="Times New Roman" w:cs="Times New Roman" w:eastAsia="Times New Roman" w:hAnsi="Times New Roman"/>
          <w:sz w:val="18"/>
          <w:szCs w:val="18"/>
          <w:color w:val="0000FF"/>
        </w:rPr>
        <w:tab/>
        <w:t>Amended and Restated Eighth Amendment to Credit Agreement, dated as of September 30, 2024 to the Credit</w:t>
      </w:r>
    </w:p>
    <w:p>
      <w:pPr>
        <w:spacing w:after="0" w:line="2" w:lineRule="exact"/>
        <w:rPr>
          <w:sz w:val="20"/>
          <w:szCs w:val="20"/>
          <w:color w:val="auto"/>
        </w:rPr>
      </w:pPr>
    </w:p>
    <w:p>
      <w:pPr>
        <w:ind w:left="1300" w:right="619"/>
        <w:spacing w:after="0" w:line="220" w:lineRule="auto"/>
        <w:rPr>
          <w:sz w:val="20"/>
          <w:szCs w:val="20"/>
          <w:color w:val="auto"/>
        </w:rPr>
      </w:pPr>
      <w:r>
        <w:rPr>
          <w:rFonts w:ascii="Times New Roman" w:cs="Times New Roman" w:eastAsia="Times New Roman" w:hAnsi="Times New Roman"/>
          <w:sz w:val="17"/>
          <w:szCs w:val="17"/>
          <w:color w:val="auto"/>
        </w:rPr>
        <w:t>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10.42 to the Registrant’s Quarterly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10-Q, filed with the SEC on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u w:val="single" w:color="auto"/>
            <w:color w:val="0000FF"/>
          </w:rPr>
          <w:t>10.34</w:t>
        </w:r>
      </w:hyperlink>
      <w:r>
        <w:rPr>
          <w:rFonts w:ascii="Times New Roman" w:cs="Times New Roman" w:eastAsia="Times New Roman" w:hAnsi="Times New Roman"/>
          <w:sz w:val="18"/>
          <w:szCs w:val="18"/>
          <w:color w:val="0000FF"/>
        </w:rPr>
        <w:tab/>
        <w:t>Ninth Amendment to Credit Agreement, dated as of November 6, 2024 to the Credit Agreement, dated as of April</w:t>
      </w:r>
    </w:p>
    <w:p>
      <w:pPr>
        <w:spacing w:after="0" w:line="2" w:lineRule="exact"/>
        <w:rPr>
          <w:sz w:val="20"/>
          <w:szCs w:val="20"/>
          <w:color w:val="auto"/>
        </w:rPr>
      </w:pPr>
    </w:p>
    <w:p>
      <w:pPr>
        <w:ind w:left="1300" w:right="559"/>
        <w:spacing w:after="0" w:line="220" w:lineRule="auto"/>
        <w:rPr>
          <w:sz w:val="20"/>
          <w:szCs w:val="20"/>
          <w:color w:val="auto"/>
        </w:rPr>
      </w:pPr>
      <w:r>
        <w:rPr>
          <w:rFonts w:ascii="Times New Roman" w:cs="Times New Roman" w:eastAsia="Times New Roman" w:hAnsi="Times New Roman"/>
          <w:sz w:val="17"/>
          <w:szCs w:val="17"/>
          <w:color w:val="auto"/>
        </w:rPr>
        <w:t>15, 2021, by and among the Company, as the borrower, the guarantors from time to time party thereto, the several lenders and issuing banks from time to time party thereto, and MUFG Bank Ltd., as administrative agent and collateral agent. (incorporated by reference to Exhibit 10.35 to the Registrant’s Annual Report on Form 10-K, filed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3">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u w:val="single" w:color="auto"/>
            <w:color w:val="0000FF"/>
          </w:rPr>
          <w:t>10.35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Tenth Amendment to Credit Agreement, dated as of November 22, 2024 to the Credit agreement, dated as of April</w:t>
      </w:r>
    </w:p>
    <w:p>
      <w:pPr>
        <w:spacing w:after="0" w:line="2" w:lineRule="exact"/>
        <w:rPr>
          <w:sz w:val="20"/>
          <w:szCs w:val="20"/>
          <w:color w:val="auto"/>
        </w:rPr>
      </w:pPr>
    </w:p>
    <w:p>
      <w:pPr>
        <w:ind w:left="1300" w:right="559"/>
        <w:spacing w:after="0" w:line="220" w:lineRule="auto"/>
        <w:rPr>
          <w:sz w:val="20"/>
          <w:szCs w:val="20"/>
          <w:color w:val="auto"/>
        </w:rPr>
      </w:pPr>
      <w:r>
        <w:rPr>
          <w:rFonts w:ascii="Times New Roman" w:cs="Times New Roman" w:eastAsia="Times New Roman" w:hAnsi="Times New Roman"/>
          <w:sz w:val="17"/>
          <w:szCs w:val="17"/>
          <w:color w:val="auto"/>
        </w:rPr>
        <w:t>15, 2021, by and among the Company, as the borrower, the guarantors from time to time party thereto, the several lenders and issuing banks from time to time party thereto, and MUFG Bank Ltd., as administrative agent and collateral agent. (incorporated by reference to Exhibit 10.36 to the Registrant’s Annual Report on Form 10-K, filed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u w:val="single" w:color="auto"/>
            <w:color w:val="0000FF"/>
          </w:rPr>
          <w:t>10.36</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Eleventh Amendment to Credit Agreement, dated as of January 31, 2025 to the Credit agreement, dated as of April</w:t>
      </w:r>
    </w:p>
    <w:p>
      <w:pPr>
        <w:spacing w:after="0" w:line="2" w:lineRule="exact"/>
        <w:rPr>
          <w:sz w:val="20"/>
          <w:szCs w:val="20"/>
          <w:color w:val="auto"/>
        </w:rPr>
      </w:pPr>
    </w:p>
    <w:p>
      <w:pPr>
        <w:ind w:left="1300" w:right="639"/>
        <w:spacing w:after="0" w:line="220" w:lineRule="auto"/>
        <w:rPr>
          <w:sz w:val="20"/>
          <w:szCs w:val="20"/>
          <w:color w:val="auto"/>
        </w:rPr>
      </w:pPr>
      <w:r>
        <w:rPr>
          <w:rFonts w:ascii="Times New Roman" w:cs="Times New Roman" w:eastAsia="Times New Roman" w:hAnsi="Times New Roman"/>
          <w:sz w:val="17"/>
          <w:szCs w:val="17"/>
          <w:color w:val="auto"/>
        </w:rPr>
        <w:t>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Quarterly Report on Form 10-Q,</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filed with 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color w:val="0000FF"/>
        </w:rPr>
        <w:tab/>
        <w:t>Amended and Restated Eleventh Amendment to Credit Agreement, dated as of March 3, 2025 to the Credit</w:t>
      </w:r>
    </w:p>
    <w:p>
      <w:pPr>
        <w:spacing w:after="0" w:line="2" w:lineRule="exact"/>
        <w:rPr>
          <w:sz w:val="20"/>
          <w:szCs w:val="20"/>
          <w:color w:val="auto"/>
        </w:rPr>
      </w:pPr>
    </w:p>
    <w:p>
      <w:pPr>
        <w:ind w:left="1300" w:right="619"/>
        <w:spacing w:after="0" w:line="220" w:lineRule="auto"/>
        <w:rPr>
          <w:sz w:val="20"/>
          <w:szCs w:val="20"/>
          <w:color w:val="auto"/>
        </w:rPr>
      </w:pPr>
      <w:r>
        <w:rPr>
          <w:rFonts w:ascii="Times New Roman" w:cs="Times New Roman" w:eastAsia="Times New Roman" w:hAnsi="Times New Roman"/>
          <w:sz w:val="17"/>
          <w:szCs w:val="17"/>
          <w:color w:val="auto"/>
        </w:rPr>
        <w:t>agreement, dated as of April 15, 2021, by and among the Company, as the borrower, the guarantors from time to time party thereto, the several lenders and issuing banks from time to time party thereto, and MUFG Bank Ltd., as administrative agent and collateral agent.(incorporated by reference to Exhibit 10.40 to the Registrant’s Quarterly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10-Q, filed with 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9">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Twelfth Amendment to Credit Agreement, dated as of May 12, 2025 to the Credit Agreement, dated as of April 15,</w:t>
      </w:r>
    </w:p>
    <w:p>
      <w:pPr>
        <w:spacing w:after="0" w:line="2" w:lineRule="exact"/>
        <w:rPr>
          <w:sz w:val="20"/>
          <w:szCs w:val="20"/>
          <w:color w:val="auto"/>
        </w:rPr>
      </w:pPr>
    </w:p>
    <w:p>
      <w:pPr>
        <w:jc w:val="both"/>
        <w:ind w:left="1300" w:right="919"/>
        <w:spacing w:after="0" w:line="208" w:lineRule="auto"/>
        <w:rPr>
          <w:sz w:val="20"/>
          <w:szCs w:val="20"/>
          <w:color w:val="auto"/>
        </w:rPr>
      </w:pPr>
      <w:r>
        <w:rPr>
          <w:rFonts w:ascii="Times New Roman" w:cs="Times New Roman" w:eastAsia="Times New Roman" w:hAnsi="Times New Roman"/>
          <w:sz w:val="18"/>
          <w:szCs w:val="18"/>
          <w:color w:val="auto"/>
        </w:rPr>
        <w:t>2021, by and among the Company, as the borrower, the guarantors from time to time party thereto, the several lenders and issuing banks from time to time party thereto, and MUFG Bank Ltd., as administrative agent and collateral agent (incorporated by reference to Exhibit 10.37 to the Registrant’s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Quarterly Report on Form 10-Q, filed with the SEC on 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color w:val="0000FF"/>
        </w:rPr>
        <w:tab/>
        <w:t>Thirteenth Amendment to Credit Agreement, dated as of November 20, 2025 to the Credit Agreement, dated as of</w:t>
      </w:r>
    </w:p>
    <w:p>
      <w:pPr>
        <w:spacing w:after="0" w:line="2" w:lineRule="exact"/>
        <w:rPr>
          <w:sz w:val="20"/>
          <w:szCs w:val="20"/>
          <w:color w:val="auto"/>
        </w:rPr>
      </w:pPr>
    </w:p>
    <w:p>
      <w:pPr>
        <w:ind w:left="1300" w:right="439"/>
        <w:spacing w:after="0" w:line="208" w:lineRule="auto"/>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 thereto, the several lenders and issuing banks from time to time party thereto, and MUFG Bank Ltd., as administrative agent and collateral agent (incorporated by reference to Exhibit 10.39 to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3">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color w:val="0000FF"/>
        </w:rPr>
        <w:tab/>
        <w:t>Fourteenth Amendment to Credit Agreement, dated as of December 17, 2025 to the Credit Agreement, dated as of</w:t>
      </w:r>
    </w:p>
    <w:p>
      <w:pPr>
        <w:spacing w:after="0" w:line="2" w:lineRule="exact"/>
        <w:rPr>
          <w:sz w:val="20"/>
          <w:szCs w:val="20"/>
          <w:color w:val="auto"/>
        </w:rPr>
      </w:pPr>
    </w:p>
    <w:p>
      <w:pPr>
        <w:ind w:left="1300" w:right="439"/>
        <w:spacing w:after="0" w:line="208" w:lineRule="auto"/>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 thereto, the several lenders and issuing banks from time to time party thereto, and MUFG Bank Ltd., as administrative agent and collateral agent (incorporated by reference to Exhibit 10.41 to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5">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color w:val="0000FF"/>
        </w:rPr>
        <w:tab/>
        <w:t>Conformed through the Fourteenth Amendment to Credit Agreement, dated as of December 17, 2025 to the Credit</w:t>
      </w:r>
    </w:p>
    <w:p>
      <w:pPr>
        <w:spacing w:after="0" w:line="2" w:lineRule="exact"/>
        <w:rPr>
          <w:sz w:val="20"/>
          <w:szCs w:val="20"/>
          <w:color w:val="auto"/>
        </w:rPr>
      </w:pPr>
    </w:p>
    <w:p>
      <w:pPr>
        <w:jc w:val="both"/>
        <w:ind w:left="1300" w:right="619"/>
        <w:spacing w:after="0" w:line="208" w:lineRule="auto"/>
        <w:rPr>
          <w:sz w:val="20"/>
          <w:szCs w:val="20"/>
          <w:color w:val="auto"/>
        </w:rPr>
      </w:pPr>
      <w:r>
        <w:rPr>
          <w:rFonts w:ascii="Times New Roman" w:cs="Times New Roman" w:eastAsia="Times New Roman" w:hAnsi="Times New Roman"/>
          <w:sz w:val="18"/>
          <w:szCs w:val="18"/>
          <w:color w:val="auto"/>
        </w:rPr>
        <w:t>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10.41 to the Registrant’s Annual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42</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Equity Purchase and Contribution Agreement, dated as of July 2, 2022, by and among Golar LNG Partners LP and</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9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Hygo Energy Transition Ltd., as Sellers, AP Neptune Holdings Ltd, as Purchaser, Floating Infrastructure Holdings</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LLC, as the Company, and Floating Infrastructure Intermediate LLC, as Holdco Pledgor, and Floating Infrastructure</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Holdings finance LLC, as Borrower, and New Fortress Energy Inc.(incorporated by reference to Exhibit 10.39 to</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August 5, 2022).</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43</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Uncommitted Letter of Credit and Reimbursement Agreement, dated as of July 16, 2021, by and among the</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9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Company, as borrower, each of the guarantors party thereto, the lenders and issuing banks party thereto and Natixis,</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New York Branch, as administrative agent and as collateral agent. (incorporated by reference to Exhibit 10.42 to</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June 30,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44</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Second Amendment to Uncommitted Letter of Credit and Reimbursement Agreement, dated as of July 27, 2022 to</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9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the Uncommitted Letter of Credit and Reimbursement Agreement, dated as of July 16, 2021, by and among the</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Company, as borrower, each of the guarantors party thereto, the lenders and issuing banks party thereto and Natixis,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New York Branch, as administrative agent and as collateral agent. (incorporated by reference to Exhibit 10.40 to</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June 30, 2022).</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45</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Incremental Joinder Agreement to Uncommitted Letter of Credit and Reimbursement Agreement, dated February 6,</w:t>
            </w: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9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2023, by and among the Company, as the borrower each of the guarantors party thereto, the lenders and issuing</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banks party thereto and Natixis, New York Branch, as administrative agent (incorporated by reference to Exhibit</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10.45 to the Registrant’s Annual Report on Form 10-K, filed with the SEC on March 1, 2023).</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900" w:type="dxa"/>
            <w:vAlign w:val="bottom"/>
            <w:shd w:val="clear" w:color="auto" w:fill="CCEEFF"/>
          </w:tcPr>
          <w:p>
            <w:pPr>
              <w:spacing w:after="0"/>
              <w:rPr>
                <w:sz w:val="22"/>
                <w:szCs w:val="22"/>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46</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Incremental Joinder Agreement to Uncommitted Letter of Credit and Reimbursement Agreement, dated November</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9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2, 2023, by and among the Company, as borrower, each of the guarantors party thereto, the lenders and issuing bank</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party thereto and Natixis, New York Branch, as administrative agent (incorporated by reference to Exhibit 10.44 to</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February 29, 2024).</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47</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Third Amendment to Uncommitted Letter of Credit and Reimbursement Agreement, dated May 17, 2024, to the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9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Uncommitted Letter of Credit and Reimbursement Agreement, dated as of July 16, 2021, by and among the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Company, as borrower, each of the guarantors party thereto, the lenders and issuing banks party thereto and Natixis,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New York Branch, as administrative agent and as collateral agent (incorporated by reference to Exhibit 10.46 to the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August 9, 2024).</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48</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Fourth Amendment to Uncommitted Letter of Credit and Reimbursement Agreement, dated September 30, 2024, to</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9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the Uncommitted Letter of Credit and Reimbursement Agreement, dated as of July 16, 2021, by and among the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w w:val="99"/>
              </w:rPr>
              <w:t>Company, the guarantors party thereto, the lenders and issuing banks party thereto and Natixis, New York Branch, as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administrative agent and as collateral agent (incorporated by reference to Exhibit 10.48 to the Registrant’s Quarterly</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Report on Form 10-Q, filed with the SEC on November 12, 2024).</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49</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Fifth Amendment to Uncommitted Letter of Credit and Reimbursement Agreement, dated November 6, 2024 to the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900" w:type="dxa"/>
            <w:vAlign w:val="bottom"/>
          </w:tcPr>
          <w:p>
            <w:pPr>
              <w:ind w:left="440"/>
              <w:spacing w:after="0" w:line="156" w:lineRule="exact"/>
              <w:rPr>
                <w:sz w:val="20"/>
                <w:szCs w:val="20"/>
                <w:color w:val="auto"/>
              </w:rPr>
            </w:pPr>
            <w:r>
              <w:rPr>
                <w:rFonts w:ascii="Times New Roman" w:cs="Times New Roman" w:eastAsia="Times New Roman" w:hAnsi="Times New Roman"/>
                <w:sz w:val="18"/>
                <w:szCs w:val="18"/>
                <w:color w:val="auto"/>
              </w:rPr>
              <w:t>Uncommitted Letter of Credit and Reimbursement Agreement, dated as of July 16, 2021, by and among the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w w:val="99"/>
              </w:rPr>
              <w:t>Company, the guarantors party thereto, the lenders and issuing banks party thereto and Natixis, New York Branch, as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90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administrative agent and as collateral agent. (incorporated by reference to Exhibit 10.44 to the Registrant’s Annual</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50</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Sixth Amendment to Uncommitted Letter of Credit and Reimbursement Agreement, dated November 22, 2024 to</w:t>
            </w:r>
          </w:p>
        </w:tc>
      </w:tr>
      <w:tr>
        <w:trPr>
          <w:trHeight w:val="171"/>
        </w:trPr>
        <w:tc>
          <w:tcPr>
            <w:tcW w:w="2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8900" w:type="dxa"/>
            <w:vAlign w:val="bottom"/>
          </w:tcPr>
          <w:p>
            <w:pPr>
              <w:ind w:left="440"/>
              <w:spacing w:after="0" w:line="170" w:lineRule="exact"/>
              <w:rPr>
                <w:sz w:val="20"/>
                <w:szCs w:val="20"/>
                <w:color w:val="auto"/>
              </w:rPr>
            </w:pPr>
            <w:r>
              <w:rPr>
                <w:rFonts w:ascii="Times New Roman" w:cs="Times New Roman" w:eastAsia="Times New Roman" w:hAnsi="Times New Roman"/>
                <w:sz w:val="18"/>
                <w:szCs w:val="18"/>
                <w:color w:val="auto"/>
              </w:rPr>
              <w:t>the Uncommitted Letter of Credit and Reimbursement Agreement, dated as of July 16, 2021, by and among the</w:t>
            </w:r>
          </w:p>
        </w:tc>
      </w:tr>
    </w:tbl>
    <w:p>
      <w:pPr>
        <w:ind w:left="1300" w:right="419"/>
        <w:spacing w:after="0" w:line="223" w:lineRule="auto"/>
        <w:rPr>
          <w:sz w:val="20"/>
          <w:szCs w:val="20"/>
          <w:color w:val="auto"/>
        </w:rPr>
      </w:pPr>
      <w:r>
        <w:rPr>
          <w:rFonts w:ascii="Times New Roman" w:cs="Times New Roman" w:eastAsia="Times New Roman" w:hAnsi="Times New Roman"/>
          <w:sz w:val="17"/>
          <w:szCs w:val="17"/>
          <w:color w:val="auto"/>
        </w:rPr>
        <w:t>Company, the guarantors party thereto, the lenders and issuing banks party thereto and Natixis, New York Branch, as administrative agent and as collateral agent. (incorporated by reference to Exhibit 10.45 to the Registrant’s Annual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10-K, filed 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8">
                      <a:extLst>
                        <a:ext uri="{28A0092B-C50C-407E-A947-70E740481C1C}"/>
                      </a:extLst>
                    </a:blip>
                    <a:srcRect/>
                    <a:stretch>
                      <a:fillRect/>
                    </a:stretch>
                  </pic:blipFill>
                  <pic:spPr bwMode="auto">
                    <a:xfrm>
                      <a:off x="0" y="0"/>
                      <a:ext cx="6189345" cy="162560"/>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u w:val="single" w:color="auto"/>
            <w:color w:val="0000FF"/>
          </w:rPr>
          <w:t>10.51</w:t>
        </w:r>
      </w:hyperlink>
      <w:r>
        <w:rPr>
          <w:rFonts w:ascii="Times New Roman" w:cs="Times New Roman" w:eastAsia="Times New Roman" w:hAnsi="Times New Roman"/>
          <w:sz w:val="18"/>
          <w:szCs w:val="18"/>
          <w:color w:val="0000FF"/>
        </w:rPr>
        <w:tab/>
        <w:t>Seventh Amendment to Uncommitted Letter of Credit and Reimbursement Agreement, dated January 31, 2025 to</w:t>
      </w:r>
    </w:p>
    <w:p>
      <w:pPr>
        <w:spacing w:after="0" w:line="2" w:lineRule="exact"/>
        <w:rPr>
          <w:sz w:val="20"/>
          <w:szCs w:val="20"/>
          <w:color w:val="auto"/>
        </w:rPr>
      </w:pPr>
    </w:p>
    <w:p>
      <w:pPr>
        <w:ind w:left="1300" w:right="419"/>
        <w:spacing w:after="0" w:line="220" w:lineRule="auto"/>
        <w:rPr>
          <w:sz w:val="20"/>
          <w:szCs w:val="20"/>
          <w:color w:val="auto"/>
        </w:rPr>
      </w:pPr>
      <w:r>
        <w:rPr>
          <w:rFonts w:ascii="Times New Roman" w:cs="Times New Roman" w:eastAsia="Times New Roman" w:hAnsi="Times New Roman"/>
          <w:sz w:val="17"/>
          <w:szCs w:val="17"/>
          <w:color w:val="auto"/>
        </w:rPr>
        <w:t>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10.50 to the Registrant’s Quarterly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10-Q, filed with 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0">
                      <a:extLst>
                        <a:ext uri="{28A0092B-C50C-407E-A947-70E740481C1C}"/>
                      </a:extLst>
                    </a:blip>
                    <a:srcRect/>
                    <a:stretch>
                      <a:fillRect/>
                    </a:stretch>
                  </pic:blipFill>
                  <pic:spPr bwMode="auto">
                    <a:xfrm>
                      <a:off x="0" y="0"/>
                      <a:ext cx="6189345" cy="163195"/>
                    </a:xfrm>
                    <a:prstGeom prst="rect">
                      <a:avLst/>
                    </a:prstGeom>
                    <a:noFill/>
                  </pic:spPr>
                </pic:pic>
              </a:graphicData>
            </a:graphic>
          </wp:anchor>
        </w:drawing>
      </w:r>
    </w:p>
    <w:p>
      <w:pPr>
        <w:spacing w:after="0" w:line="239"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u w:val="single" w:color="auto"/>
            <w:color w:val="0000FF"/>
          </w:rPr>
          <w:t>10.52</w:t>
        </w:r>
      </w:hyperlink>
      <w:r>
        <w:rPr>
          <w:rFonts w:ascii="Times New Roman" w:cs="Times New Roman" w:eastAsia="Times New Roman" w:hAnsi="Times New Roman"/>
          <w:sz w:val="18"/>
          <w:szCs w:val="18"/>
          <w:color w:val="0000FF"/>
        </w:rPr>
        <w:tab/>
        <w:t>Amended and Restated Seventh Amendment to Uncommitted Letter of Credit and Reimbursement Agreement, dated</w:t>
      </w:r>
    </w:p>
    <w:p>
      <w:pPr>
        <w:spacing w:after="0" w:line="2" w:lineRule="exact"/>
        <w:rPr>
          <w:sz w:val="20"/>
          <w:szCs w:val="20"/>
          <w:color w:val="auto"/>
        </w:rPr>
      </w:pPr>
    </w:p>
    <w:p>
      <w:pPr>
        <w:ind w:left="1300" w:right="499"/>
        <w:spacing w:after="0" w:line="208" w:lineRule="auto"/>
        <w:rPr>
          <w:sz w:val="20"/>
          <w:szCs w:val="20"/>
          <w:color w:val="auto"/>
        </w:rPr>
      </w:pPr>
      <w:r>
        <w:rPr>
          <w:rFonts w:ascii="Times New Roman" w:cs="Times New Roman" w:eastAsia="Times New Roman" w:hAnsi="Times New Roman"/>
          <w:sz w:val="18"/>
          <w:szCs w:val="18"/>
          <w:color w:val="auto"/>
        </w:rPr>
        <w:t>March 3, 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10.51 to the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2">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u w:val="single" w:color="auto"/>
            <w:color w:val="0000FF"/>
          </w:rPr>
          <w:t>10.53</w:t>
        </w:r>
      </w:hyperlink>
      <w:r>
        <w:rPr>
          <w:rFonts w:ascii="Times New Roman" w:cs="Times New Roman" w:eastAsia="Times New Roman" w:hAnsi="Times New Roman"/>
          <w:sz w:val="18"/>
          <w:szCs w:val="18"/>
          <w:color w:val="0000FF"/>
        </w:rPr>
        <w:tab/>
        <w:t>Eighth Amendment to Uncommitted Letter of Credit and Reimbursement Agreement, dated May 12, 2025 to the</w:t>
      </w:r>
    </w:p>
    <w:p>
      <w:pPr>
        <w:spacing w:after="0" w:line="2" w:lineRule="exact"/>
        <w:rPr>
          <w:sz w:val="20"/>
          <w:szCs w:val="20"/>
          <w:color w:val="auto"/>
        </w:rPr>
      </w:pPr>
    </w:p>
    <w:p>
      <w:pPr>
        <w:ind w:left="1300" w:right="419"/>
        <w:spacing w:after="0" w:line="220" w:lineRule="auto"/>
        <w:rPr>
          <w:sz w:val="20"/>
          <w:szCs w:val="20"/>
          <w:color w:val="auto"/>
        </w:rPr>
      </w:pPr>
      <w:r>
        <w:rPr>
          <w:rFonts w:ascii="Times New Roman" w:cs="Times New Roman" w:eastAsia="Times New Roman" w:hAnsi="Times New Roman"/>
          <w:sz w:val="17"/>
          <w:szCs w:val="17"/>
          <w:color w:val="auto"/>
        </w:rPr>
        <w:t>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10.52 to the Registrant’s Quarterly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10-Q, filed with the SEC on 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4">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u w:val="single" w:color="auto"/>
            <w:color w:val="0000FF"/>
          </w:rPr>
          <w:t>10.54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Deferral Agreement, dated as of July 2, 2025, by and among the Company, each of the Guarantors as of the date</w:t>
      </w:r>
    </w:p>
    <w:p>
      <w:pPr>
        <w:spacing w:after="0" w:line="2" w:lineRule="exact"/>
        <w:rPr>
          <w:sz w:val="20"/>
          <w:szCs w:val="20"/>
          <w:color w:val="auto"/>
        </w:rPr>
      </w:pPr>
    </w:p>
    <w:p>
      <w:pPr>
        <w:ind w:left="1300" w:right="519"/>
        <w:spacing w:after="0" w:line="218" w:lineRule="auto"/>
        <w:rPr>
          <w:sz w:val="20"/>
          <w:szCs w:val="20"/>
          <w:color w:val="auto"/>
        </w:rPr>
      </w:pPr>
      <w:r>
        <w:rPr>
          <w:rFonts w:ascii="Times New Roman" w:cs="Times New Roman" w:eastAsia="Times New Roman" w:hAnsi="Times New Roman"/>
          <w:sz w:val="18"/>
          <w:szCs w:val="18"/>
          <w:color w:val="auto"/>
        </w:rPr>
        <w:t>hereof, and certain financial institutions party to the Uncommitted Letter of Credit and Reimbursement Agreement, dated as of July 16, 2021 as lenders and signatory hereto (incorporated by reference to Exhibit 10.54 to the Registrant’s Quarterly Report on Form 10-Q, filed with 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6">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u w:val="single" w:color="auto"/>
            <w:color w:val="0000FF"/>
          </w:rPr>
          <w:t>10.55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Deferral Agreement, dated as of July 17, 2025, by and among the Company, each of the Guarantors as of the</w:t>
      </w:r>
    </w:p>
    <w:p>
      <w:pPr>
        <w:spacing w:after="0" w:line="2" w:lineRule="exact"/>
        <w:rPr>
          <w:sz w:val="20"/>
          <w:szCs w:val="20"/>
          <w:color w:val="auto"/>
        </w:rPr>
      </w:pPr>
    </w:p>
    <w:p>
      <w:pPr>
        <w:ind w:left="1300" w:right="519"/>
        <w:spacing w:after="0" w:line="218" w:lineRule="auto"/>
        <w:rPr>
          <w:sz w:val="20"/>
          <w:szCs w:val="20"/>
          <w:color w:val="auto"/>
        </w:rPr>
      </w:pPr>
      <w:r>
        <w:rPr>
          <w:rFonts w:ascii="Times New Roman" w:cs="Times New Roman" w:eastAsia="Times New Roman" w:hAnsi="Times New Roman"/>
          <w:sz w:val="18"/>
          <w:szCs w:val="18"/>
          <w:color w:val="auto"/>
        </w:rPr>
        <w:t>date hereof, and certain financial institutions party to the Uncommitted Letter of Credit and Reimbursement Agreement, dated as of July 16, 2021 as lenders and signatory hereto (incorporated by reference to Exhibit 10.55 to the Registrant’s Quarterly Report on Form 10-Q, filed with 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8">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u w:val="single" w:color="auto"/>
            <w:color w:val="0000FF"/>
          </w:rPr>
          <w:t>10.56</w:t>
        </w:r>
      </w:hyperlink>
      <w:r>
        <w:rPr>
          <w:rFonts w:ascii="Times New Roman" w:cs="Times New Roman" w:eastAsia="Times New Roman" w:hAnsi="Times New Roman"/>
          <w:sz w:val="18"/>
          <w:szCs w:val="18"/>
          <w:color w:val="0000FF"/>
        </w:rPr>
        <w:tab/>
        <w:t>July Extension Agreement, dated as of July 24, 2025, by and among the Company, each of the Guarantors as of the</w:t>
      </w:r>
    </w:p>
    <w:p>
      <w:pPr>
        <w:spacing w:after="0" w:line="2" w:lineRule="exact"/>
        <w:rPr>
          <w:sz w:val="20"/>
          <w:szCs w:val="20"/>
          <w:color w:val="auto"/>
        </w:rPr>
      </w:pPr>
    </w:p>
    <w:p>
      <w:pPr>
        <w:ind w:left="1300" w:right="439"/>
        <w:spacing w:after="0" w:line="218" w:lineRule="auto"/>
        <w:rPr>
          <w:sz w:val="20"/>
          <w:szCs w:val="20"/>
          <w:color w:val="auto"/>
        </w:rPr>
      </w:pPr>
      <w:r>
        <w:rPr>
          <w:rFonts w:ascii="Times New Roman" w:cs="Times New Roman" w:eastAsia="Times New Roman" w:hAnsi="Times New Roman"/>
          <w:sz w:val="18"/>
          <w:szCs w:val="18"/>
          <w:color w:val="auto"/>
        </w:rPr>
        <w:t>date hereof, and each of the financial institutions party to the Uncommitted Letter of Credit and Reimbursement Agreement, dated as of July 16, 2021 as lenders and issuing banks (incorporated by reference to Exhibit 10.56 to the Registrant’s Quarterly Report on Form 10-Q, filed with 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0">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u w:val="single" w:color="auto"/>
            <w:color w:val="0000FF"/>
          </w:rPr>
          <w:t>10.57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Second Extension Agreement, dated as of July 31, 2025, by and among the Company, each of the Guarantors as of</w:t>
      </w:r>
    </w:p>
    <w:p>
      <w:pPr>
        <w:spacing w:after="0" w:line="2" w:lineRule="exact"/>
        <w:rPr>
          <w:sz w:val="20"/>
          <w:szCs w:val="20"/>
          <w:color w:val="auto"/>
        </w:rPr>
      </w:pPr>
    </w:p>
    <w:p>
      <w:pPr>
        <w:jc w:val="both"/>
        <w:ind w:left="1300" w:right="439"/>
        <w:spacing w:after="0" w:line="218" w:lineRule="auto"/>
        <w:rPr>
          <w:sz w:val="20"/>
          <w:szCs w:val="20"/>
          <w:color w:val="auto"/>
        </w:rPr>
      </w:pPr>
      <w:r>
        <w:rPr>
          <w:rFonts w:ascii="Times New Roman" w:cs="Times New Roman" w:eastAsia="Times New Roman" w:hAnsi="Times New Roman"/>
          <w:sz w:val="18"/>
          <w:szCs w:val="18"/>
          <w:color w:val="auto"/>
        </w:rPr>
        <w:t>the date hereof, and each of the financial institutions party to the Uncommitted Letter of Credit and Reimbursement Agreement, dated as of July 16, 2021 as lenders and issuing banks (incorporated by reference to Exhibit 10.57 to the Registrant’s Quarterly Report on Form 10-Q, filed with 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2">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u w:val="single" w:color="auto"/>
            <w:color w:val="0000FF"/>
          </w:rPr>
          <w:t>10.58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Ninth Amendment to Uncommitted Letter of Credit and Reimbursement Agreement, dated August 8, 2025 to the</w:t>
      </w:r>
    </w:p>
    <w:p>
      <w:pPr>
        <w:spacing w:after="0" w:line="2" w:lineRule="exact"/>
        <w:rPr>
          <w:sz w:val="20"/>
          <w:szCs w:val="20"/>
          <w:color w:val="auto"/>
        </w:rPr>
      </w:pPr>
    </w:p>
    <w:p>
      <w:pPr>
        <w:ind w:left="1300" w:right="419"/>
        <w:spacing w:after="0" w:line="220" w:lineRule="auto"/>
        <w:rPr>
          <w:sz w:val="20"/>
          <w:szCs w:val="20"/>
          <w:color w:val="auto"/>
        </w:rPr>
      </w:pPr>
      <w:r>
        <w:rPr>
          <w:rFonts w:ascii="Times New Roman" w:cs="Times New Roman" w:eastAsia="Times New Roman" w:hAnsi="Times New Roman"/>
          <w:sz w:val="17"/>
          <w:szCs w:val="17"/>
          <w:color w:val="auto"/>
        </w:rPr>
        <w:t>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10.58 to the Registrant’s Quarterly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10-Q, filed with the 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4">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u w:val="single" w:color="auto"/>
            <w:color w:val="0000FF"/>
          </w:rPr>
          <w:t>10.59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Deferral Agreement, dated as of September 30, 2025, by and among the Company, each of the Guarantors as of the</w:t>
      </w:r>
    </w:p>
    <w:p>
      <w:pPr>
        <w:spacing w:after="0" w:line="2" w:lineRule="exact"/>
        <w:rPr>
          <w:sz w:val="20"/>
          <w:szCs w:val="20"/>
          <w:color w:val="auto"/>
        </w:rPr>
      </w:pPr>
    </w:p>
    <w:p>
      <w:pPr>
        <w:ind w:left="1300" w:right="479"/>
        <w:spacing w:after="0" w:line="220" w:lineRule="auto"/>
        <w:rPr>
          <w:sz w:val="20"/>
          <w:szCs w:val="20"/>
          <w:color w:val="auto"/>
        </w:rPr>
      </w:pPr>
      <w:r>
        <w:rPr>
          <w:rFonts w:ascii="Times New Roman" w:cs="Times New Roman" w:eastAsia="Times New Roman" w:hAnsi="Times New Roman"/>
          <w:sz w:val="17"/>
          <w:szCs w:val="17"/>
          <w:color w:val="auto"/>
        </w:rPr>
        <w:t>date hereof, Natixis, New York Branch, as an issuing bank, and certain financial institutions party to the Uncommitted Letter of Credit and Reimbursement Agreement, dated as of July 16, 2021 as lenders and signatory hereto (incorporated by reference to Exhibit 10.59 to the Registrant’s Quarterly Report on Form 10-Q, filed with the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 on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7">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u w:val="single" w:color="auto"/>
            <w:color w:val="0000FF"/>
          </w:rPr>
          <w:t>10.60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Tenth Amendment to Uncommitted Letter of Credit and Reimbursement Agreement, dated as of October 24, 2025 to</w:t>
      </w:r>
    </w:p>
    <w:p>
      <w:pPr>
        <w:spacing w:after="0" w:line="2" w:lineRule="exact"/>
        <w:rPr>
          <w:sz w:val="20"/>
          <w:szCs w:val="20"/>
          <w:color w:val="auto"/>
        </w:rPr>
      </w:pPr>
    </w:p>
    <w:p>
      <w:pPr>
        <w:ind w:left="1300" w:right="459"/>
        <w:spacing w:after="0" w:line="220" w:lineRule="auto"/>
        <w:rPr>
          <w:sz w:val="20"/>
          <w:szCs w:val="20"/>
          <w:color w:val="auto"/>
        </w:rPr>
      </w:pPr>
      <w:r>
        <w:rPr>
          <w:rFonts w:ascii="Times New Roman" w:cs="Times New Roman" w:eastAsia="Times New Roman" w:hAnsi="Times New Roman"/>
          <w:sz w:val="17"/>
          <w:szCs w:val="17"/>
          <w:color w:val="auto"/>
        </w:rPr>
        <w:t>the Uncommitted Letter of Credit and Reimbursement Agreement, dated as of July 16, 2021, by and among the Company, the guarantors party thereto, HSBC Bank USD, N.A., as an issuing bank, and each of the financial institutions party thereto as lenders (incorporated by reference to Exhibit 10.60 to the Registrant’s Annual Report 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u w:val="single" w:color="auto"/>
            <w:color w:val="0000FF"/>
          </w:rPr>
          <w:t>10.61</w:t>
        </w:r>
      </w:hyperlink>
      <w:r>
        <w:rPr>
          <w:rFonts w:ascii="Times New Roman" w:cs="Times New Roman" w:eastAsia="Times New Roman" w:hAnsi="Times New Roman"/>
          <w:sz w:val="18"/>
          <w:szCs w:val="18"/>
          <w:color w:val="0000FF"/>
        </w:rPr>
        <w:tab/>
        <w:t>Eleventh Amendment to Uncommitted Letter of Credit and Reimbursement Agreement, dated November 14, 2025</w:t>
      </w:r>
    </w:p>
    <w:p>
      <w:pPr>
        <w:spacing w:after="0" w:line="2" w:lineRule="exact"/>
        <w:rPr>
          <w:sz w:val="20"/>
          <w:szCs w:val="20"/>
          <w:color w:val="auto"/>
        </w:rPr>
      </w:pPr>
    </w:p>
    <w:p>
      <w:pPr>
        <w:ind w:left="1300" w:right="419"/>
        <w:spacing w:after="0" w:line="208" w:lineRule="auto"/>
        <w:rPr>
          <w:sz w:val="20"/>
          <w:szCs w:val="20"/>
          <w:color w:val="auto"/>
        </w:rPr>
      </w:pPr>
      <w:r>
        <w:rPr>
          <w:rFonts w:ascii="Times New Roman" w:cs="Times New Roman" w:eastAsia="Times New Roman" w:hAnsi="Times New Roman"/>
          <w:sz w:val="18"/>
          <w:szCs w:val="18"/>
          <w:color w:val="auto"/>
        </w:rPr>
        <w:t>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10.61 to the Registrant’s Annual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1">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u w:val="single" w:color="auto"/>
            <w:color w:val="0000FF"/>
          </w:rPr>
          <w:t>10.62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Twelfth Amendment to Uncommitted Letter of Credit and Reimbursement Agreement, dated December 11, 2025 to</w:t>
      </w:r>
    </w:p>
    <w:p>
      <w:pPr>
        <w:spacing w:after="0" w:line="2" w:lineRule="exact"/>
        <w:rPr>
          <w:sz w:val="20"/>
          <w:szCs w:val="20"/>
          <w:color w:val="auto"/>
        </w:rPr>
      </w:pPr>
    </w:p>
    <w:p>
      <w:pPr>
        <w:ind w:left="1300" w:right="419"/>
        <w:spacing w:after="0" w:line="208" w:lineRule="auto"/>
        <w:rPr>
          <w:sz w:val="20"/>
          <w:szCs w:val="20"/>
          <w:color w:val="auto"/>
        </w:rPr>
      </w:pPr>
      <w:r>
        <w:rPr>
          <w:rFonts w:ascii="Times New Roman" w:cs="Times New Roman" w:eastAsia="Times New Roman" w:hAnsi="Times New Roman"/>
          <w:sz w:val="18"/>
          <w:szCs w:val="18"/>
          <w:color w:val="auto"/>
        </w:rPr>
        <w:t>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10.62 to the Registrant’s Annual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3">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u w:val="single" w:color="auto"/>
            <w:color w:val="0000FF"/>
          </w:rPr>
          <w:t>10.63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Thirteenth Amendment to Uncommitted Letter of Credit and Reimbursement Agreement, dated December 17, 2025</w:t>
      </w:r>
    </w:p>
    <w:p>
      <w:pPr>
        <w:spacing w:after="0" w:line="2" w:lineRule="exact"/>
        <w:rPr>
          <w:sz w:val="20"/>
          <w:szCs w:val="20"/>
          <w:color w:val="auto"/>
        </w:rPr>
      </w:pPr>
    </w:p>
    <w:p>
      <w:pPr>
        <w:ind w:left="1300" w:right="419"/>
        <w:spacing w:after="0" w:line="208" w:lineRule="auto"/>
        <w:rPr>
          <w:sz w:val="20"/>
          <w:szCs w:val="20"/>
          <w:color w:val="auto"/>
        </w:rPr>
      </w:pPr>
      <w:r>
        <w:rPr>
          <w:rFonts w:ascii="Times New Roman" w:cs="Times New Roman" w:eastAsia="Times New Roman" w:hAnsi="Times New Roman"/>
          <w:sz w:val="18"/>
          <w:szCs w:val="18"/>
          <w:color w:val="auto"/>
        </w:rPr>
        <w:t>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10.63 to the Registrant’s Annual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8934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5">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u w:val="single" w:color="auto"/>
            <w:color w:val="0000FF"/>
          </w:rPr>
          <w:t>10.64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Conformed through the Thirteenth Amendment Agreement, dated December 17, 2025, by and among the Company,</w:t>
      </w:r>
    </w:p>
    <w:p>
      <w:pPr>
        <w:spacing w:after="0" w:line="2" w:lineRule="exact"/>
        <w:rPr>
          <w:sz w:val="20"/>
          <w:szCs w:val="20"/>
          <w:color w:val="auto"/>
        </w:rPr>
      </w:pPr>
    </w:p>
    <w:p>
      <w:pPr>
        <w:ind w:left="1300" w:right="619"/>
        <w:spacing w:after="0" w:line="218" w:lineRule="auto"/>
        <w:rPr>
          <w:sz w:val="20"/>
          <w:szCs w:val="20"/>
          <w:color w:val="auto"/>
        </w:rPr>
      </w:pPr>
      <w:r>
        <w:rPr>
          <w:rFonts w:ascii="Times New Roman" w:cs="Times New Roman" w:eastAsia="Times New Roman" w:hAnsi="Times New Roman"/>
          <w:sz w:val="18"/>
          <w:szCs w:val="18"/>
          <w:color w:val="auto"/>
        </w:rPr>
        <w:t>the guarantors party thereto, the lenders and issuing banks party thereto and Natixis, New York Branch, as administrative agent and as collateral agent (incorporated by reference to Exhibit 10.64 to the Registrant’s Annual 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7">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u w:val="single" w:color="auto"/>
            <w:color w:val="0000FF"/>
          </w:rPr>
          <w:t>10.65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Credit Agreement, dated as of October 30, 2023, by and among the Company, as the borrower, the guarantors from</w:t>
      </w:r>
    </w:p>
    <w:p>
      <w:pPr>
        <w:spacing w:after="0" w:line="2" w:lineRule="exact"/>
        <w:rPr>
          <w:sz w:val="20"/>
          <w:szCs w:val="20"/>
          <w:color w:val="auto"/>
        </w:rPr>
      </w:pPr>
    </w:p>
    <w:p>
      <w:pPr>
        <w:ind w:left="1300" w:right="599"/>
        <w:spacing w:after="0" w:line="218" w:lineRule="auto"/>
        <w:rPr>
          <w:sz w:val="20"/>
          <w:szCs w:val="20"/>
          <w:color w:val="auto"/>
        </w:rPr>
      </w:pPr>
      <w:r>
        <w:rPr>
          <w:rFonts w:ascii="Times New Roman" w:cs="Times New Roman" w:eastAsia="Times New Roman" w:hAnsi="Times New Roman"/>
          <w:sz w:val="18"/>
          <w:szCs w:val="18"/>
          <w:color w:val="auto"/>
        </w:rPr>
        <w:t>time to time party thereto, the several lenders from time to time party thereto, and Morgan Stanley Senior Funding Inc., as administrative agent and collateral agent (incorporated by reference to Exhibit 10.45 to the Registrant’s Annual Report on Form 10-K, filed with the SEC on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9">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u w:val="single" w:color="auto"/>
            <w:color w:val="0000FF"/>
          </w:rPr>
          <w:t>10.66</w:t>
        </w:r>
      </w:hyperlink>
      <w:r>
        <w:rPr>
          <w:rFonts w:ascii="Times New Roman" w:cs="Times New Roman" w:eastAsia="Times New Roman" w:hAnsi="Times New Roman"/>
          <w:sz w:val="18"/>
          <w:szCs w:val="18"/>
          <w:color w:val="0000FF"/>
        </w:rPr>
        <w:tab/>
        <w:t>Second Amendment, dated March 3, 2025, to Credit Agreement, dated as of October 30, 2023, by and among the</w:t>
      </w:r>
    </w:p>
    <w:p>
      <w:pPr>
        <w:spacing w:after="0" w:line="2" w:lineRule="exact"/>
        <w:rPr>
          <w:sz w:val="20"/>
          <w:szCs w:val="20"/>
          <w:color w:val="auto"/>
        </w:rPr>
      </w:pPr>
    </w:p>
    <w:p>
      <w:pPr>
        <w:ind w:left="1300" w:right="399"/>
        <w:spacing w:after="0" w:line="218" w:lineRule="auto"/>
        <w:rPr>
          <w:sz w:val="20"/>
          <w:szCs w:val="20"/>
          <w:color w:val="auto"/>
        </w:rPr>
      </w:pPr>
      <w:r>
        <w:rPr>
          <w:rFonts w:ascii="Times New Roman" w:cs="Times New Roman" w:eastAsia="Times New Roman" w:hAnsi="Times New Roman"/>
          <w:sz w:val="18"/>
          <w:szCs w:val="18"/>
          <w:color w:val="auto"/>
        </w:rPr>
        <w:t>Company, as the borrower, the guarantors from time to time party thereto, the several lenders from time to time party thereto, and Morgan Stanley Senior Funding Inc., as administrative agent and collateral agent. (incorporated by reference to Exhibit 10.53 to the Registrant’s Quarterly Report on Form 10-Q, filed with the SEC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1">
                      <a:extLst>
                        <a:ext uri="{28A0092B-C50C-407E-A947-70E740481C1C}"/>
                      </a:extLst>
                    </a:blip>
                    <a:srcRect/>
                    <a:stretch>
                      <a:fillRect/>
                    </a:stretch>
                  </pic:blipFill>
                  <pic:spPr bwMode="auto">
                    <a:xfrm>
                      <a:off x="0" y="0"/>
                      <a:ext cx="6189345" cy="137160"/>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u w:val="single" w:color="auto"/>
            <w:color w:val="0000FF"/>
          </w:rPr>
          <w:t>10.67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Forbearance Agreement, dated December 17, 2025, by and among the Company, as the borrower, the guarantors, the</w:t>
      </w:r>
    </w:p>
    <w:p>
      <w:pPr>
        <w:spacing w:after="0" w:line="2" w:lineRule="exact"/>
        <w:rPr>
          <w:sz w:val="20"/>
          <w:szCs w:val="20"/>
          <w:color w:val="auto"/>
        </w:rPr>
      </w:pPr>
    </w:p>
    <w:p>
      <w:pPr>
        <w:jc w:val="both"/>
        <w:ind w:left="1300" w:right="499"/>
        <w:spacing w:after="0" w:line="218" w:lineRule="auto"/>
        <w:rPr>
          <w:sz w:val="20"/>
          <w:szCs w:val="20"/>
          <w:color w:val="auto"/>
        </w:rPr>
      </w:pPr>
      <w:r>
        <w:rPr>
          <w:rFonts w:ascii="Times New Roman" w:cs="Times New Roman" w:eastAsia="Times New Roman" w:hAnsi="Times New Roman"/>
          <w:sz w:val="18"/>
          <w:szCs w:val="18"/>
          <w:color w:val="auto"/>
        </w:rPr>
        <w:t>lenders party hereto and Morgan Stanley Senior Funding Inc., as the administrative agent and collateral agent under the Credit Agreement, dated as of October 30, 2023 (incorporated by reference to Exhibit 10.67 to the Registrant’s Annual Report on Form 10-K, filed with the SEC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3">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u w:val="single" w:color="auto"/>
            <w:color w:val="0000FF"/>
          </w:rPr>
          <w:t>10.68</w:t>
        </w:r>
      </w:hyperlink>
      <w:r>
        <w:rPr>
          <w:rFonts w:ascii="Times New Roman" w:cs="Times New Roman" w:eastAsia="Times New Roman" w:hAnsi="Times New Roman"/>
          <w:sz w:val="18"/>
          <w:szCs w:val="18"/>
          <w:color w:val="0000FF"/>
        </w:rPr>
        <w:tab/>
        <w:t>Indenture, dated March 8, 2024, by and among New Fortress Energy Inc., the subsidiary guarantors from time to</w:t>
      </w:r>
    </w:p>
    <w:p>
      <w:pPr>
        <w:spacing w:after="0" w:line="2" w:lineRule="exact"/>
        <w:rPr>
          <w:sz w:val="20"/>
          <w:szCs w:val="20"/>
          <w:color w:val="auto"/>
        </w:rPr>
      </w:pPr>
    </w:p>
    <w:p>
      <w:pPr>
        <w:jc w:val="both"/>
        <w:ind w:left="1300" w:right="779"/>
        <w:spacing w:after="0" w:line="218" w:lineRule="auto"/>
        <w:rPr>
          <w:sz w:val="20"/>
          <w:szCs w:val="20"/>
          <w:color w:val="auto"/>
        </w:rPr>
      </w:pPr>
      <w:r>
        <w:rPr>
          <w:rFonts w:ascii="Times New Roman" w:cs="Times New Roman" w:eastAsia="Times New Roman" w:hAnsi="Times New Roman"/>
          <w:sz w:val="18"/>
          <w:szCs w:val="18"/>
          <w:color w:val="auto"/>
        </w:rPr>
        <w:t>time party thereto, and U.S. Bank Trust Company, National Association, as trustee and as notes collateral agent (incorporated by reference to Exhibit 4.1 to the Registrant’s Current Report on Form 8-K, filed with the SEC on 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5">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46" w:lineRule="exact"/>
        <w:rPr>
          <w:sz w:val="20"/>
          <w:szCs w:val="20"/>
          <w:color w:val="auto"/>
        </w:rPr>
      </w:pPr>
    </w:p>
    <w:p>
      <w:pPr>
        <w:ind w:left="20"/>
        <w:spacing w:after="0"/>
        <w:tabs>
          <w:tab w:leader="none" w:pos="1280" w:val="left"/>
        </w:tabs>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u w:val="single" w:color="auto"/>
            <w:color w:val="0000FF"/>
          </w:rPr>
          <w:t>10.69</w:t>
        </w:r>
      </w:hyperlink>
      <w:r>
        <w:rPr>
          <w:rFonts w:ascii="Times New Roman" w:cs="Times New Roman" w:eastAsia="Times New Roman" w:hAnsi="Times New Roman"/>
          <w:sz w:val="18"/>
          <w:szCs w:val="18"/>
          <w:color w:val="0000FF"/>
        </w:rPr>
        <w:tab/>
        <w:t>First Supplemental Indenture, dated as of October 18, 2024, between NFE International Holdings 1 Limited and</w:t>
      </w:r>
    </w:p>
    <w:p>
      <w:pPr>
        <w:spacing w:after="0" w:line="2" w:lineRule="exact"/>
        <w:rPr>
          <w:sz w:val="20"/>
          <w:szCs w:val="20"/>
          <w:color w:val="auto"/>
        </w:rPr>
      </w:pPr>
    </w:p>
    <w:p>
      <w:pPr>
        <w:ind w:left="1300" w:right="419"/>
        <w:spacing w:after="0" w:line="218" w:lineRule="auto"/>
        <w:rPr>
          <w:sz w:val="20"/>
          <w:szCs w:val="20"/>
          <w:color w:val="auto"/>
        </w:rPr>
      </w:pPr>
      <w:r>
        <w:rPr>
          <w:rFonts w:ascii="Times New Roman" w:cs="Times New Roman" w:eastAsia="Times New Roman" w:hAnsi="Times New Roman"/>
          <w:sz w:val="18"/>
          <w:szCs w:val="18"/>
          <w:color w:val="auto"/>
        </w:rPr>
        <w:t>NFE International Holdings 2 Limited, as Guaranteeing Subsidiaries, and U.S. Bank Trust Company, National Association, as trustee. (incorporated by reference to Exhibit 10.48 to the Registrant’s Annual Report on Form 10-K, filed 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618934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8">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3"/>
          </w:tcPr>
          <w:p>
            <w:pPr>
              <w:jc w:val="right"/>
              <w:ind w:right="42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70</w:t>
              </w:r>
            </w:hyperlink>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Second Supplemental Indenture, dated as of December 6, 2024, by and among the Company, as issuer, by and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among New Fortress Energy Inc., as issuer, the guarantors party thereto and U.S. Bank Trust Company, National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Association, as trustee. (incorporated by reference to Exhibit 10.49 to the Registrant’s Annual Report on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71</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Pledge and Security Agreement, dated March 8, 2024, by and among the Company, the subsidiary guarantors, from</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time to time party thereto, and U.S. Bank Trust Company, National Association, as notes collateral agent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(incorporated by reference to Exhibit 4.2 to the Registrant’s Current Report on Form 8-K, filed with the SEC 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March 8, 2024).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72</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Credit Agreement, dated as of July 19, 2024, by and among the Company, as the borrower, the guarantors from time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to time party thereto, the several lenders from time to time party thereto, and Morgan Stanley Senior Funding Inc., as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administrative agent and collateral agent. (incorporated by reference to Exhibit 10.50 to the Registrant’s Quarterly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Report on Form 10-Q, filed with the SEC on August 9, 2024).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73</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Amended and Restated First Amendment to Credit Agreement, dated as of September 30, 2024, by and among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Company, as the borrower, the guarantors from time to time party thereto, the several lenders from time to time party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thereto, and Morgan Stanley Senior Funding Inc., as administrative agent and collateral agent.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reference to Exhibit 10.52 to the Registrant’s Annual 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74</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Second Amendment to Credit Agreement, dated as of November 14, 2024, by and among the Company, as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borrower, the guarantors from time to time party thereto, the several lenders from time to time party thereto,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Morgan Stanley Senior Funding Inc., as administrative agent and collateral agent.(incorporated by reference to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Exhibit 10.53 to the Registrant’s Annual 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75</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Third Amendment to Credit Agreement, dated as of November 22, 2024, by and among the Company, as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borrower, the guarantors from time to time party thereto, the several lenders from time to time party thereto,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Morgan Stanley Senior Funding Inc., as administrative agent and collateral agent. (incorporated by reference to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Exhibit 10.54 to the Registrant’s Annual 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76</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Fourth Amendment to Credit Agreement, dated as of March 3, 2025, by and among the Company, as the borrower,</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the guarantors from time to time party thereto, the several lenders from time to time party thereto, and Morgan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Stanley Senior Funding Inc., as administrative agent and collateral agent. (incorporated by reference to Exhibit 10.62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 the Registrant’s Quarterly Report on Form 10-Q, filed with the SEC on June 30,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77</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Fifth Amendment to Credit Agreement, dated as of May 12, 2025, by and among the Company, as the borrower,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from time to time party thereto, and Morgan Stanley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Senior Funding Inc., as administrative agent and collateral agent (incorporated by reference to Exhibit 10.65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September 5,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78</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Sixth Amendment to Credit Agreement, dated as of November 20, 2025, by and among the Company, as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borrower, the guarantors from time to time party thereto, the several lenders from time to time party thereto, and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Morgan Stanley Senior Funding Inc., as administrative agent and collateral agent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Exhibit 10.78 to the Registrant’s Annual Report on Form 10-K, filed with the SEC on April 13, 2026).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79</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Seventh Amendment to Credit Agreement, dated as of December 17, 2025, by and among the Company, as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borrower, the guarantors from time to time party thereto, the several lenders from time to time party thereto, and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Morgan Stanley Senior Funding Inc., as administrative agent and collateral agent (incorporated by reference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Exhibit 10.79 to the Registrant’s Annual Report on Form 10-K, filed with the SEC on April 13, 2026).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3"/>
          </w:tcPr>
          <w:p>
            <w:pPr>
              <w:jc w:val="right"/>
              <w:ind w:right="42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80</w:t>
              </w:r>
            </w:hyperlink>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Conformed through the Seventh Amendment to Credit Agreement, dated as of December 17, 2025, by and among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the Company, as the borrower, the guarantors from time to time party thereto, the several lenders from time to time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party thereto, and Morgan Stanley Senior Funding Inc., as administrative agent and collateral agent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reference to Exhibit 10.80 to the Registrant’s Annual Report on Form 10-K, filed with the SEC on April 13, 2026).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81</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Forbearance Agreement, dated December 17, 2025, by and among the Company, as the borrower, the guarantors,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lenders party hereto and Morgan Stanley Senior Funding Inc., as the administrative agent and collateral agent under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the Credit Agreement, dated as of July 19, 2024 (incorporated by reference to Exhibit 10.81 to the Registrant’s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Annual Report on Form 10-K, filed with the SEC on April 13, 2026).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82</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Series I Credit Agreement, dated as of November 22, 2024, among the Company, as the borrower, the guarantors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from time to time party thereto, the lenders from time to time party thereto and Wilmington Savings Fund Society,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FSB, as administrative agent and collateral agent. (incorporated by reference to Exhibit 10.55 to the Registrant’s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Annual 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83</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Credit Agreement, dated as of November 22, 2024, among NFE Brazil Investments LLC, as the borrower, NFE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Financing LLC, as lender, the lenders from time to time party thereto and Wilmington Savings Fund Society, FSB,</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as administrative agent and collateral agent. (incorporated by reference to Exhibit 10.56 to the Registrant’s Annual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84</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Series II Credit Agreement, dated as of December 6, 2024, among the Company, as the borrower, the guarantors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from time to time party thereto, the lenders from time to time party thereto and Wilmington Savings Fund Society,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FSB, as administrative agent and collateral agent. (incorporated by reference to Exhibit 10.57 to the Registrant’s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Annual 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85</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Indenture, dated November 22, 2024, by and among NFE Financing LLC, as issuer, the guarantors from time to time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party thereto, and Wilmington Savings Fund Society, FSB, as trustee. (incorporated by reference to Exhibit 10.63 to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86</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Registration Rights and Lock-up Agreement, dated as of December 6, 2024 by and among the Company and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undersigned investors. (incorporated by reference to Exhibit 10.64 to the Registrant’s Annual Report on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87</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First Amendment to Registration Rights and Lock-up Agreement, dated as of January 8, 2025, by and among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Company and the undersigned investors. (incorporated by reference to Exhibit 10.65 to the Registrant’s Annual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88</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Second Amendment to Registration Rights and Lock-up Agreement, dated as of February 4, 2025, by and among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Company and the undersigned investors. (incorporated by reference to Exhibit 10.66 to the Registrant’s Annual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Report on Form 10-K, filed with the SEC on March 10,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89</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Forbearance and Waiver Agreement, dated as of November 17, 2025, by and among NFE Financing LLC, as the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issuer, NFE Brazil Investments LLC, as the Brazil Parent, Bradford County Real Estate Partners LLC, as a guarantor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under and as defined in the 2029 Senior Notes Indenture, the undersigned Holders of NFE Financing’s 12.000%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8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Senior Secured Notes due 2029, acknowledged by Wilmington Savings Fund Society, in its capacity as Trustee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81" w:lineRule="exact"/>
              <w:rPr>
                <w:sz w:val="20"/>
                <w:szCs w:val="20"/>
                <w:color w:val="auto"/>
              </w:rPr>
            </w:pPr>
            <w:r>
              <w:rPr>
                <w:rFonts w:ascii="Times New Roman" w:cs="Times New Roman" w:eastAsia="Times New Roman" w:hAnsi="Times New Roman"/>
                <w:sz w:val="18"/>
                <w:szCs w:val="18"/>
                <w:color w:val="auto"/>
              </w:rPr>
              <w:t>Notes Collateral Agent under the 2029 Senior Notes Indenture and its capacity as administrative agent and collateral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80" w:type="dxa"/>
            <w:vAlign w:val="bottom"/>
            <w:gridSpan w:val="2"/>
          </w:tcPr>
          <w:p>
            <w:pPr>
              <w:ind w:left="440"/>
              <w:spacing w:after="0" w:line="176" w:lineRule="exact"/>
              <w:rPr>
                <w:sz w:val="20"/>
                <w:szCs w:val="20"/>
                <w:color w:val="auto"/>
              </w:rPr>
            </w:pPr>
            <w:r>
              <w:rPr>
                <w:rFonts w:ascii="Times New Roman" w:cs="Times New Roman" w:eastAsia="Times New Roman" w:hAnsi="Times New Roman"/>
                <w:sz w:val="18"/>
                <w:szCs w:val="18"/>
                <w:color w:val="auto"/>
              </w:rPr>
              <w:t>agent under the Brazil Parent Intercompany Credit Agreement, the Series II Intercompany Credit Agreement, and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8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the Series I Intercompany Credit Agreement, acknowledged and agreed by the Company (incorporated by reference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 Exhibit 10.89 to the Registrant’s Annual Report on Form 10-K, filed with the SEC on April 13, 2026).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60" w:type="dxa"/>
            <w:vAlign w:val="bottom"/>
            <w:gridSpan w:val="3"/>
          </w:tcPr>
          <w:p>
            <w:pPr>
              <w:jc w:val="right"/>
              <w:ind w:right="420"/>
              <w:spacing w:after="0" w:line="18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90</w:t>
              </w:r>
            </w:hyperlink>
          </w:p>
        </w:tc>
        <w:tc>
          <w:tcPr>
            <w:tcW w:w="890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Form of New Fortress Energy Inc. Retention Agreement, dated as of [ ], 2025, is by and between New Fortress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80" w:type="dxa"/>
            <w:vAlign w:val="bottom"/>
            <w:gridSpan w:val="2"/>
          </w:tcPr>
          <w:p>
            <w:pPr>
              <w:ind w:left="440"/>
              <w:spacing w:after="0" w:line="156" w:lineRule="exact"/>
              <w:rPr>
                <w:sz w:val="20"/>
                <w:szCs w:val="20"/>
                <w:color w:val="auto"/>
              </w:rPr>
            </w:pPr>
            <w:r>
              <w:rPr>
                <w:rFonts w:ascii="Times New Roman" w:cs="Times New Roman" w:eastAsia="Times New Roman" w:hAnsi="Times New Roman"/>
                <w:sz w:val="18"/>
                <w:szCs w:val="18"/>
                <w:color w:val="auto"/>
              </w:rPr>
              <w:t>Energy Inc., a Delaware corporation, and [ ] (the “Grantee”). (incorporated by reference to Exhibit 10.85 to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Registrant’s Quarterly Report on Form 10-Q, filed with the SEC on November 21, 2025).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90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3"/>
          </w:tcPr>
          <w:p>
            <w:pPr>
              <w:ind w:left="20"/>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New Fortress Energy Inc. Firmwide Insider Trading Policy (incorporated by reference to Exhibit 19.1 to</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March 10, 2025).</w:t>
            </w: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r>
      <w:tr>
        <w:trPr>
          <w:trHeight w:val="189"/>
        </w:trPr>
        <w:tc>
          <w:tcPr>
            <w:tcW w:w="10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8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List of Subsidiaries of New Fortress Energy Inc. (incorporated by reference to Exhibit 21.1 to</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r>
      <w:tr>
        <w:trPr>
          <w:trHeight w:val="189"/>
        </w:trPr>
        <w:tc>
          <w:tcPr>
            <w:tcW w:w="10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hyperlink>
          </w:p>
        </w:tc>
        <w:tc>
          <w:tcPr>
            <w:tcW w:w="8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 (incorporated by reference to Exhibit</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23.1 to the Registrant’s Annual Report on Form 10-K, filed with the SEC on April 13, 2026).</w:t>
            </w: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r>
      <w:tr>
        <w:trPr>
          <w:trHeight w:val="189"/>
        </w:trPr>
        <w:tc>
          <w:tcPr>
            <w:tcW w:w="10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8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Certification by Chief Executive Officer pursuant to Rules 13a-14(a) and 15d-14(a) of the Exchange Act, as adopted</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r>
      <w:tr>
        <w:trPr>
          <w:trHeight w:val="189"/>
        </w:trPr>
        <w:tc>
          <w:tcPr>
            <w:tcW w:w="10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8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Certification by Chief Financial Officer pursuant to Rules 13a-14(a) and 15d-14(a) of the Exchange Act, as adopted</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r>
      <w:tr>
        <w:trPr>
          <w:trHeight w:val="189"/>
        </w:trPr>
        <w:tc>
          <w:tcPr>
            <w:tcW w:w="10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8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Clawback Policy of the Company, effective as of December 1, 2023 (incorporated by reference from exhibit 97.1 to</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Form 10-K dated February 29, 2024).</w:t>
            </w:r>
          </w:p>
        </w:tc>
      </w:tr>
      <w:tr>
        <w:trPr>
          <w:trHeight w:val="495"/>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99"/>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500"/>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500"/>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499"/>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500"/>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00"/>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0" w:lineRule="exact"/>
        <w:rPr>
          <w:sz w:val="20"/>
          <w:szCs w:val="20"/>
          <w:color w:val="auto"/>
        </w:rPr>
      </w:pPr>
    </w:p>
    <w:p>
      <w:pPr>
        <w:spacing w:after="0" w:line="362"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this Annual Report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13 or 15(d)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50" w:lineRule="exact"/>
        <w:rPr>
          <w:sz w:val="20"/>
          <w:szCs w:val="20"/>
          <w:color w:val="auto"/>
        </w:rPr>
      </w:pPr>
    </w:p>
    <w:tbl>
      <w:tblPr>
        <w:tblLayout w:type="fixed"/>
        <w:tblInd w:w="5260" w:type="dxa"/>
        <w:tblCellMar>
          <w:top w:w="0" w:type="dxa"/>
          <w:left w:w="0" w:type="dxa"/>
          <w:bottom w:w="0" w:type="dxa"/>
          <w:right w:w="0" w:type="dxa"/>
        </w:tblCellMar>
      </w:tblPr>
      <w:tr>
        <w:trPr>
          <w:trHeight w:val="25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Guinta</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290"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Wesley R. Edens,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New Fortress Energy Inc. (the “registrant”);</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Wesley R. Edens</w:t>
      </w:r>
    </w:p>
    <w:p>
      <w:pPr>
        <w:spacing w:after="0" w:line="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Wesley R. Edens</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Guinta,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New Fortress Energy Inc. (the “registrant”);</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S. Guinta</w:t>
      </w:r>
    </w:p>
    <w:p>
      <w:pPr>
        <w:spacing w:after="0" w:line="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Christopher S. Guinta</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5"/>
    </w:lvl>
  </w:abstractNum>
  <w:abstractNum w:abstractNumId="18">
    <w:nsid w:val="2D1D5AE9"/>
    <w:multiLevelType w:val="hybridMultilevel"/>
    <w:lvl w:ilvl="0">
      <w:lvlJc w:val="left"/>
      <w:lvlText w:val="(%1)"/>
      <w:numFmt w:val="decimal"/>
      <w:start w:val="7"/>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8" Type="http://schemas.openxmlformats.org/officeDocument/2006/relationships/image" Target="media/image45.png"/><Relationship Id="rId80" Type="http://schemas.openxmlformats.org/officeDocument/2006/relationships/image" Target="media/image46.png"/><Relationship Id="rId82" Type="http://schemas.openxmlformats.org/officeDocument/2006/relationships/image" Target="media/image47.png"/><Relationship Id="rId84" Type="http://schemas.openxmlformats.org/officeDocument/2006/relationships/image" Target="media/image48.png"/><Relationship Id="rId86" Type="http://schemas.openxmlformats.org/officeDocument/2006/relationships/image" Target="media/image49.png"/><Relationship Id="rId88" Type="http://schemas.openxmlformats.org/officeDocument/2006/relationships/image" Target="media/image50.png"/><Relationship Id="rId90" Type="http://schemas.openxmlformats.org/officeDocument/2006/relationships/image" Target="media/image51.png"/><Relationship Id="rId92" Type="http://schemas.openxmlformats.org/officeDocument/2006/relationships/image" Target="media/image52.png"/><Relationship Id="rId94"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9" Type="http://schemas.openxmlformats.org/officeDocument/2006/relationships/image" Target="media/image56.png"/><Relationship Id="rId101" Type="http://schemas.openxmlformats.org/officeDocument/2006/relationships/image" Target="media/image57.png"/><Relationship Id="rId103" Type="http://schemas.openxmlformats.org/officeDocument/2006/relationships/image" Target="media/image58.png"/><Relationship Id="rId105" Type="http://schemas.openxmlformats.org/officeDocument/2006/relationships/image" Target="media/image59.png"/><Relationship Id="rId107" Type="http://schemas.openxmlformats.org/officeDocument/2006/relationships/image" Target="media/image60.png"/><Relationship Id="rId109" Type="http://schemas.openxmlformats.org/officeDocument/2006/relationships/image" Target="media/image61.png"/><Relationship Id="rId111" Type="http://schemas.openxmlformats.org/officeDocument/2006/relationships/image" Target="media/image62.png"/><Relationship Id="rId113" Type="http://schemas.openxmlformats.org/officeDocument/2006/relationships/image" Target="media/image63.png"/><Relationship Id="rId115" Type="http://schemas.openxmlformats.org/officeDocument/2006/relationships/image" Target="media/image64.png"/><Relationship Id="rId117" Type="http://schemas.openxmlformats.org/officeDocument/2006/relationships/image" Target="media/image65.png"/><Relationship Id="rId127" Type="http://schemas.openxmlformats.org/officeDocument/2006/relationships/image" Target="media/image66.png"/><Relationship Id="rId128" Type="http://schemas.openxmlformats.org/officeDocument/2006/relationships/image" Target="media/image67.png"/><Relationship Id="rId130" Type="http://schemas.openxmlformats.org/officeDocument/2006/relationships/image" Target="media/image68.png"/><Relationship Id="rId132" Type="http://schemas.openxmlformats.org/officeDocument/2006/relationships/image" Target="media/image69.png"/><Relationship Id="rId134" Type="http://schemas.openxmlformats.org/officeDocument/2006/relationships/image" Target="media/image70.png"/><Relationship Id="rId136" Type="http://schemas.openxmlformats.org/officeDocument/2006/relationships/image" Target="media/image71.png"/><Relationship Id="rId138" Type="http://schemas.openxmlformats.org/officeDocument/2006/relationships/image" Target="media/image72.png"/><Relationship Id="rId140" Type="http://schemas.openxmlformats.org/officeDocument/2006/relationships/image" Target="media/image73.png"/><Relationship Id="rId142" Type="http://schemas.openxmlformats.org/officeDocument/2006/relationships/image" Target="media/image74.png"/><Relationship Id="rId144" Type="http://schemas.openxmlformats.org/officeDocument/2006/relationships/image" Target="media/image75.png"/><Relationship Id="rId146" Type="http://schemas.openxmlformats.org/officeDocument/2006/relationships/image" Target="media/image76.png"/><Relationship Id="rId147" Type="http://schemas.openxmlformats.org/officeDocument/2006/relationships/image" Target="media/image77.png"/><Relationship Id="rId149" Type="http://schemas.openxmlformats.org/officeDocument/2006/relationships/image" Target="media/image78.png"/><Relationship Id="rId151" Type="http://schemas.openxmlformats.org/officeDocument/2006/relationships/image" Target="media/image79.png"/><Relationship Id="rId153" Type="http://schemas.openxmlformats.org/officeDocument/2006/relationships/image" Target="media/image80.png"/><Relationship Id="rId155" Type="http://schemas.openxmlformats.org/officeDocument/2006/relationships/image" Target="media/image81.png"/><Relationship Id="rId157" Type="http://schemas.openxmlformats.org/officeDocument/2006/relationships/image" Target="media/image82.png"/><Relationship Id="rId159" Type="http://schemas.openxmlformats.org/officeDocument/2006/relationships/image" Target="media/image83.png"/><Relationship Id="rId161" Type="http://schemas.openxmlformats.org/officeDocument/2006/relationships/image" Target="media/image84.png"/><Relationship Id="rId163" Type="http://schemas.openxmlformats.org/officeDocument/2006/relationships/image" Target="media/image85.png"/><Relationship Id="rId165" Type="http://schemas.openxmlformats.org/officeDocument/2006/relationships/image" Target="media/image86.png"/><Relationship Id="rId167" Type="http://schemas.openxmlformats.org/officeDocument/2006/relationships/image" Target="media/image87.png"/><Relationship Id="rId168" Type="http://schemas.openxmlformats.org/officeDocument/2006/relationships/image" Target="media/image88.png"/><Relationship Id="rId179" Type="http://schemas.openxmlformats.org/officeDocument/2006/relationships/image" Target="media/image89.png"/><Relationship Id="rId180" Type="http://schemas.openxmlformats.org/officeDocument/2006/relationships/image" Target="media/image90.png"/><Relationship Id="rId192" Type="http://schemas.openxmlformats.org/officeDocument/2006/relationships/image" Target="media/image91.png"/><Relationship Id="rId193" Type="http://schemas.openxmlformats.org/officeDocument/2006/relationships/image" Target="media/image92.png"/><Relationship Id="rId198" Type="http://schemas.openxmlformats.org/officeDocument/2006/relationships/image" Target="media/image93.png"/><Relationship Id="rId48" Type="http://schemas.openxmlformats.org/officeDocument/2006/relationships/hyperlink" Target="https://www.sec.gov/Archives/edgar/data/1749723/000114036120017367/brhc10013767_ex99-2.htm" TargetMode="External"/><Relationship Id="rId49" Type="http://schemas.openxmlformats.org/officeDocument/2006/relationships/hyperlink" Target="https://www.sec.gov/Archives/edgar/data/1749723/000114036120017367/brhc10013767_ex99-3.htm" TargetMode="External"/><Relationship Id="rId50" Type="http://schemas.openxmlformats.org/officeDocument/2006/relationships/hyperlink" Target="https://www.sec.gov/Archives/edgar/data/1749723/000114036120017367/brhc10013767_ex99-4.htm" TargetMode="External"/><Relationship Id="rId51" Type="http://schemas.openxmlformats.org/officeDocument/2006/relationships/hyperlink" Target="https://www.sec.gov/Archives/edgar/data/0001749723/000114036122007364/brhc10034476_ex4-1.htm" TargetMode="External"/><Relationship Id="rId52" Type="http://schemas.openxmlformats.org/officeDocument/2006/relationships/hyperlink" Target="https://www.sec.gov/Archives/edgar/data/1749723/000114036118045661/s002392x8_ex10-4.htm" TargetMode="External"/><Relationship Id="rId53" Type="http://schemas.openxmlformats.org/officeDocument/2006/relationships/hyperlink" Target="https://www.sec.gov/Archives/edgar/data/1749723/000174972322000028/exhibit6_psu.htm" TargetMode="External"/><Relationship Id="rId54" Type="http://schemas.openxmlformats.org/officeDocument/2006/relationships/hyperlink" Target="https://www.sec.gov/Archives/edgar/data/1749723/000114036119002493/s002392x20_ex4-1.htm" TargetMode="External"/><Relationship Id="rId55" Type="http://schemas.openxmlformats.org/officeDocument/2006/relationships/hyperlink" Target="https://www.sec.gov/Archives/edgar/data/1749723/000114036119002493/s002392x20_ex10-3.htm" TargetMode="External"/><Relationship Id="rId56" Type="http://schemas.openxmlformats.org/officeDocument/2006/relationships/hyperlink" Target="https://www.sec.gov/Archives/edgar/data/1749723/000114036119002493/s002392x20_ex10-4.htm" TargetMode="External"/><Relationship Id="rId57" Type="http://schemas.openxmlformats.org/officeDocument/2006/relationships/hyperlink" Target="https://www.sec.gov/Archives/edgar/data/1749723/000114036119002493/s002392x20_ex10-5.htm" TargetMode="External"/><Relationship Id="rId58" Type="http://schemas.openxmlformats.org/officeDocument/2006/relationships/hyperlink" Target="https://www.sec.gov/Archives/edgar/data/1749723/000114036119002493/s002392x20_ex10-7.htm" TargetMode="External"/><Relationship Id="rId59" Type="http://schemas.openxmlformats.org/officeDocument/2006/relationships/hyperlink" Target="https://www.sec.gov/Archives/edgar/data/1749723/000114036119002493/s002392x20_ex10-8.htm" TargetMode="External"/><Relationship Id="rId60" Type="http://schemas.openxmlformats.org/officeDocument/2006/relationships/hyperlink" Target="https://www.sec.gov/Archives/edgar/data/1749723/000114036119002493/s002392x20_ex10-9.htm" TargetMode="External"/><Relationship Id="rId63" Type="http://schemas.openxmlformats.org/officeDocument/2006/relationships/hyperlink" Target="https://www.sec.gov/Archives/edgar/data/1749723/000174972325000100/indemnificationagreement-s.htm" TargetMode="External"/><Relationship Id="rId64" Type="http://schemas.openxmlformats.org/officeDocument/2006/relationships/hyperlink" Target="https://www.sec.gov/Archives/edgar/data/1749723/000114036119002493/s002392x20_ex10-11.htm" TargetMode="External"/><Relationship Id="rId65" Type="http://schemas.openxmlformats.org/officeDocument/2006/relationships/hyperlink" Target="https://www.sec.gov/Archives/edgar/data/1749723/000114036119002493/s002392x20_ex10-12.htm" TargetMode="External"/><Relationship Id="rId66" Type="http://schemas.openxmlformats.org/officeDocument/2006/relationships/hyperlink" Target="https://www.sec.gov/Archives/edgar/data/1749723/000174972323000030/indemnificationagreement.htm" TargetMode="External"/><Relationship Id="rId67" Type="http://schemas.openxmlformats.org/officeDocument/2006/relationships/hyperlink" Target="https://www.sec.gov/Archives/edgar/data/1749723/000174972325000100/indemnificationagreement-l.htm" TargetMode="External"/><Relationship Id="rId68" Type="http://schemas.openxmlformats.org/officeDocument/2006/relationships/hyperlink" Target="https://www.sec.gov/Archives/edgar/data/1749723/000174972323000010/a1017-christopherguintaxof.htm" TargetMode="External"/><Relationship Id="rId69" Type="http://schemas.openxmlformats.org/officeDocument/2006/relationships/hyperlink" Target="https://www.sec.gov/Archives/edgar/data/0001749723/000114036121012455/brhc10022997_ex4-1.htm" TargetMode="External"/><Relationship Id="rId70" Type="http://schemas.openxmlformats.org/officeDocument/2006/relationships/hyperlink" Target="https://www.sec.gov/Archives/edgar/data/0001749723/000114036121012455/brhc10022997_ex4-2.htm" TargetMode="External"/><Relationship Id="rId71" Type="http://schemas.openxmlformats.org/officeDocument/2006/relationships/hyperlink" Target="https://www.sec.gov/Archives/edgar/data/1749723/000174972323000010/a1029-2026notesxfirstsuppl.htm" TargetMode="External"/><Relationship Id="rId72" Type="http://schemas.openxmlformats.org/officeDocument/2006/relationships/hyperlink" Target="https://www.sec.gov/Archives/edgar/data/1749723/000174972323000010/a1030-2026notesxsecondsupp.htm" TargetMode="External"/><Relationship Id="rId73" Type="http://schemas.openxmlformats.org/officeDocument/2006/relationships/hyperlink" Target="https://www.sec.gov/Archives/edgar/data/1749723/000174972323000010/a1031-2026notesxthirdsuppl.htm" TargetMode="External"/><Relationship Id="rId74" Type="http://schemas.openxmlformats.org/officeDocument/2006/relationships/hyperlink" Target="https://www.sec.gov/Archives/edgar/data/1749723/000174972323000010/a1032-2026notesxfourthsupp.htm" TargetMode="External"/><Relationship Id="rId77" Type="http://schemas.openxmlformats.org/officeDocument/2006/relationships/hyperlink" Target="https://www.sec.gov/Archives/edgar/data/1749723/000174972323000010/a1033-2026notesxfifthsuppl.htm" TargetMode="External"/><Relationship Id="rId79" Type="http://schemas.openxmlformats.org/officeDocument/2006/relationships/hyperlink" Target="https://www.sec.gov/Archives/edgar/data/1749723/000174972325000029/nfe-sixthsupplementalind.htm" TargetMode="External"/><Relationship Id="rId81" Type="http://schemas.openxmlformats.org/officeDocument/2006/relationships/hyperlink" Target="https://www.sec.gov/Archives/edgar/data/1749723/000174972325000029/nfe-seventhsupplementalinda.htm" TargetMode="External"/><Relationship Id="rId83" Type="http://schemas.openxmlformats.org/officeDocument/2006/relationships/hyperlink" Target="https://www.sec.gov/Archives/edgar/data/0001749723/000114036121013692/brhc10023371_ex10-2.htm" TargetMode="External"/><Relationship Id="rId85" Type="http://schemas.openxmlformats.org/officeDocument/2006/relationships/hyperlink" Target="https://www.sec.gov/Archives/edgar/data/0001749723/000114036122007364/brhc10034476_ex10-30.htm" TargetMode="External"/><Relationship Id="rId87" Type="http://schemas.openxmlformats.org/officeDocument/2006/relationships/hyperlink" Target="https://www.sec.gov/Archives/edgar/data/0001749723/000114036122007364/brhc10034476_ex10-31.htm" TargetMode="External"/><Relationship Id="rId89" Type="http://schemas.openxmlformats.org/officeDocument/2006/relationships/hyperlink" Target="https://www.sec.gov/Archives/edgar/data/0001749723/000174972322000010/third_amendmentxtoxrcfxcre.htm" TargetMode="External"/><Relationship Id="rId91" Type="http://schemas.openxmlformats.org/officeDocument/2006/relationships/hyperlink" Target="https://www.sec.gov/Archives/edgar/data/1749723/000174972323000010/a1038-fourthamendmenttorcf.htm" TargetMode="External"/><Relationship Id="rId93" Type="http://schemas.openxmlformats.org/officeDocument/2006/relationships/hyperlink" Target="https://www.sec.gov/Archives/edgar/data/1749723/000174972323000057/a001-amendmentno5torcf10.htm" TargetMode="External"/><Relationship Id="rId95" Type="http://schemas.openxmlformats.org/officeDocument/2006/relationships/hyperlink" Target="https://www.sec.gov/Archives/edgar/data/1749723/000174972324000011/rcfupsize-sixthamendment.htm" TargetMode="External"/><Relationship Id="rId98" Type="http://schemas.openxmlformats.org/officeDocument/2006/relationships/hyperlink" Target="https://www.sec.gov/Archives/edgar/data/1749723/000174972324000072/nfe-rcfx7thamendment.htm" TargetMode="External"/><Relationship Id="rId100" Type="http://schemas.openxmlformats.org/officeDocument/2006/relationships/hyperlink" Target="https://www.sec.gov/Archives/edgar/data/1749723/000174972324000116/a01nfe-rcfaramendmentno8.htm" TargetMode="External"/><Relationship Id="rId102" Type="http://schemas.openxmlformats.org/officeDocument/2006/relationships/hyperlink" Target="https://www.sec.gov/Archives/edgar/data/1749723/000174972325000029/nfe-conformedcreditagreeme.htm" TargetMode="External"/><Relationship Id="rId104" Type="http://schemas.openxmlformats.org/officeDocument/2006/relationships/hyperlink" Target="https://www.sec.gov/Archives/edgar/data/1749723/000174972325000029/nfe-rcfx10thamendment.htm" TargetMode="External"/><Relationship Id="rId106" Type="http://schemas.openxmlformats.org/officeDocument/2006/relationships/hyperlink" Target="https://www.sec.gov/Archives/edgar/data/1749723/000174972325000100/rcf11thamendment.htm" TargetMode="External"/><Relationship Id="rId108" Type="http://schemas.openxmlformats.org/officeDocument/2006/relationships/hyperlink" Target="https://www.sec.gov/Archives/edgar/data/1749723/000174972325000100/rcfamendedandrestated11tha.htm" TargetMode="External"/><Relationship Id="rId110" Type="http://schemas.openxmlformats.org/officeDocument/2006/relationships/hyperlink" Target="https://www.sec.gov/Archives/edgar/data/1749723/000174972325000123/a01-nfexrcf12thamendmentex.htm" TargetMode="External"/><Relationship Id="rId112" Type="http://schemas.openxmlformats.org/officeDocument/2006/relationships/hyperlink" Target="https://www.sec.gov/Archives/edgar/data/1749723/000174972326000032/nfe-rcfx13thamendmentexe.htm" TargetMode="External"/><Relationship Id="rId114" Type="http://schemas.openxmlformats.org/officeDocument/2006/relationships/hyperlink" Target="https://www.sec.gov/Archives/edgar/data/1749723/000174972326000032/a09nfe-fourteenthamendment.htm" TargetMode="External"/><Relationship Id="rId116" Type="http://schemas.openxmlformats.org/officeDocument/2006/relationships/hyperlink" Target="https://www.sec.gov/Archives/edgar/data/1749723/000174972326000032/a09anfe-rcfconformedcredit.htm" TargetMode="External"/><Relationship Id="rId118" Type="http://schemas.openxmlformats.org/officeDocument/2006/relationships/hyperlink" Target="https://www.sec.gov/Archives/edgar/data/1749723/000174972322000028/exhibit40_apolloepca.htm" TargetMode="External"/><Relationship Id="rId119" Type="http://schemas.openxmlformats.org/officeDocument/2006/relationships/hyperlink" Target="https://www.sec.gov/Archives/edgar/data/1749723/000174972325000100/tab001-nfenatixislettero.htm" TargetMode="External"/><Relationship Id="rId120" Type="http://schemas.openxmlformats.org/officeDocument/2006/relationships/hyperlink" Target="https://www.sec.gov/Archives/edgar/data/1749723/000174972322000028/exhibit41_natixisamendme.htm" TargetMode="External"/><Relationship Id="rId121" Type="http://schemas.openxmlformats.org/officeDocument/2006/relationships/hyperlink" Target="https://www.sec.gov/Archives/edgar/data/1749723/000174972323000010/a1045-incrementaljoinderto.htm" TargetMode="External"/><Relationship Id="rId122" Type="http://schemas.openxmlformats.org/officeDocument/2006/relationships/hyperlink" Target="https://www.sec.gov/Archives/edgar/data/1749723/000174972324000011/nfeincrementaljoindertou.htm" TargetMode="External"/><Relationship Id="rId123" Type="http://schemas.openxmlformats.org/officeDocument/2006/relationships/hyperlink" Target="https://www.sec.gov/Archives/edgar/data/1749723/000174972324000072/nfenatixisamendment3-exe.htm" TargetMode="External"/><Relationship Id="rId124" Type="http://schemas.openxmlformats.org/officeDocument/2006/relationships/hyperlink" Target="https://www.sec.gov/Archives/edgar/data/1749723/000174972324000116/a06nfeulcaamendment4comp.htm" TargetMode="External"/><Relationship Id="rId125" Type="http://schemas.openxmlformats.org/officeDocument/2006/relationships/hyperlink" Target="https://www.sec.gov/Archives/edgar/data/1749723/000174972325000029/nfeulca-fifthamendmentagre.htm" TargetMode="External"/><Relationship Id="rId126" Type="http://schemas.openxmlformats.org/officeDocument/2006/relationships/hyperlink" Target="https://www.sec.gov/Archives/edgar/data/1749723/000174972325000029/nfeulcasixthamendmentagr.htm" TargetMode="External"/><Relationship Id="rId129" Type="http://schemas.openxmlformats.org/officeDocument/2006/relationships/hyperlink" Target="https://www.sec.gov/Archives/edgar/data/1749723/000174972325000100/lcf7thamendment.htm" TargetMode="External"/><Relationship Id="rId131" Type="http://schemas.openxmlformats.org/officeDocument/2006/relationships/hyperlink" Target="https://www.sec.gov/Archives/edgar/data/1749723/000174972325000100/lcfar7thamendment-executio.htm" TargetMode="External"/><Relationship Id="rId133" Type="http://schemas.openxmlformats.org/officeDocument/2006/relationships/hyperlink" Target="https://www.sec.gov/Archives/edgar/data/1749723/000174972325000123/nfe-lcf8thamendmentexecuti.htm" TargetMode="External"/><Relationship Id="rId135" Type="http://schemas.openxmlformats.org/officeDocument/2006/relationships/hyperlink" Target="https://www.sec.gov/Archives/edgar/data/1749723/000174972325000149/a01nfe_ulcadeferralagreeme.htm" TargetMode="External"/><Relationship Id="rId137" Type="http://schemas.openxmlformats.org/officeDocument/2006/relationships/hyperlink" Target="https://www.sec.gov/Archives/edgar/data/1749723/000174972325000149/a02nfe_ulca2nddeferralagre.htm" TargetMode="External"/><Relationship Id="rId139" Type="http://schemas.openxmlformats.org/officeDocument/2006/relationships/hyperlink" Target="https://www.sec.gov/Archives/edgar/data/1749723/000174972325000149/a03nfe-extensionagreemente.htm" TargetMode="External"/><Relationship Id="rId141" Type="http://schemas.openxmlformats.org/officeDocument/2006/relationships/hyperlink" Target="https://www.sec.gov/Archives/edgar/data/1749723/000174972325000149/a04nfe_ulca-secondextensio.htm" TargetMode="External"/><Relationship Id="rId143" Type="http://schemas.openxmlformats.org/officeDocument/2006/relationships/hyperlink" Target="https://www.sec.gov/Archives/edgar/data/1749723/000174972325000149/a05nfe-lcf9thamendmentexec.htm" TargetMode="External"/><Relationship Id="rId145" Type="http://schemas.openxmlformats.org/officeDocument/2006/relationships/hyperlink" Target="https://www.sec.gov/Archives/edgar/data/1749723/000174972325000149/a06nfe_lcadeferralagreemen.htm" TargetMode="External"/><Relationship Id="rId148" Type="http://schemas.openxmlformats.org/officeDocument/2006/relationships/hyperlink" Target="https://www.sec.gov/Archives/edgar/data/1749723/000174972326000032/a01nfe_lca10thamendmentand.htm" TargetMode="External"/><Relationship Id="rId150" Type="http://schemas.openxmlformats.org/officeDocument/2006/relationships/hyperlink" Target="https://www.sec.gov/Archives/edgar/data/1749723/000174972326000032/a02nfe-lcf11thamendment.htm" TargetMode="External"/><Relationship Id="rId152" Type="http://schemas.openxmlformats.org/officeDocument/2006/relationships/hyperlink" Target="https://www.sec.gov/Archives/edgar/data/1749723/000174972326000032/a06nfe-lcf12thamendment.htm" TargetMode="External"/><Relationship Id="rId154" Type="http://schemas.openxmlformats.org/officeDocument/2006/relationships/hyperlink" Target="https://www.sec.gov/Archives/edgar/data/1749723/000174972326000032/a08nfe-lcf13thamendment.htm" TargetMode="External"/><Relationship Id="rId156" Type="http://schemas.openxmlformats.org/officeDocument/2006/relationships/hyperlink" Target="https://www.sec.gov/Archives/edgar/data/1749723/000174972326000032/a08anfe-lcfconformedcredit.htm" TargetMode="External"/><Relationship Id="rId158" Type="http://schemas.openxmlformats.org/officeDocument/2006/relationships/hyperlink" Target="https://www.sec.gov/Archives/edgar/data/1749723/000174972324000011/nfe-tlbxcreditagreemente.htm" TargetMode="External"/><Relationship Id="rId160" Type="http://schemas.openxmlformats.org/officeDocument/2006/relationships/hyperlink" Target="https://www.sec.gov/Archives/edgar/data/1749723/000174972325000100/tlb-amendmentno2.htm" TargetMode="External"/><Relationship Id="rId162" Type="http://schemas.openxmlformats.org/officeDocument/2006/relationships/hyperlink" Target="https://www.sec.gov/Archives/edgar/data/1749723/000174972326000032/a11projectlady-tlbforbeara.htm" TargetMode="External"/><Relationship Id="rId164" Type="http://schemas.openxmlformats.org/officeDocument/2006/relationships/hyperlink" Target="https://www.sec.gov/Archives/edgar/data/1749723/000174972324000019/nfe-indenture.htm" TargetMode="External"/><Relationship Id="rId166" Type="http://schemas.openxmlformats.org/officeDocument/2006/relationships/hyperlink" Target="https://www.sec.gov/Archives/edgar/data/1749723/000174972325000029/nfe-firstsupplementalind.htm" TargetMode="External"/><Relationship Id="rId169" Type="http://schemas.openxmlformats.org/officeDocument/2006/relationships/hyperlink" Target="https://www.sec.gov/Archives/edgar/data/1749723/000174972325000029/nfe-secondsupplementalindea.htm" TargetMode="External"/><Relationship Id="rId170" Type="http://schemas.openxmlformats.org/officeDocument/2006/relationships/hyperlink" Target="https://www.sec.gov/Archives/edgar/data/1749723/000174972324000019/nfe-2029bondsxpledgeands.htm" TargetMode="External"/><Relationship Id="rId171" Type="http://schemas.openxmlformats.org/officeDocument/2006/relationships/hyperlink" Target="https://www.sec.gov/Archives/edgar/data/1749723/000174972324000072/a001-nfexflng2creditagre.htm" TargetMode="External"/><Relationship Id="rId172" Type="http://schemas.openxmlformats.org/officeDocument/2006/relationships/hyperlink" Target="https://www.sec.gov/Archives/edgar/data/1749723/000174972325000029/chisr02a-1256466xv4xnfe_xx.htm" TargetMode="External"/><Relationship Id="rId173" Type="http://schemas.openxmlformats.org/officeDocument/2006/relationships/hyperlink" Target="https://www.sec.gov/Archives/edgar/data/1749723/000174972325000029/nfe-tlaamendmentno2.htm" TargetMode="External"/><Relationship Id="rId174" Type="http://schemas.openxmlformats.org/officeDocument/2006/relationships/hyperlink" Target="https://www.sec.gov/Archives/edgar/data/1749723/000174972325000029/nfe-tlaamendmentno3.htm" TargetMode="External"/><Relationship Id="rId175" Type="http://schemas.openxmlformats.org/officeDocument/2006/relationships/hyperlink" Target="https://www.sec.gov/Archives/edgar/data/1749723/000174972325000100/a001-tlaxnfextlaamendmentn.htm" TargetMode="External"/><Relationship Id="rId176" Type="http://schemas.openxmlformats.org/officeDocument/2006/relationships/hyperlink" Target="https://www.sec.gov/Archives/edgar/data/1749723/000174972325000123/nfe-tla5thamendmentxfinale.htm" TargetMode="External"/><Relationship Id="rId177" Type="http://schemas.openxmlformats.org/officeDocument/2006/relationships/hyperlink" Target="https://www.sec.gov/Archives/edgar/data/1749723/000174972326000032/a05nfe-tlasixthamendment.htm" TargetMode="External"/><Relationship Id="rId178" Type="http://schemas.openxmlformats.org/officeDocument/2006/relationships/hyperlink" Target="https://www.sec.gov/Archives/edgar/data/1749723/000174972326000032/a10nfe-tla7thamendment.htm" TargetMode="External"/><Relationship Id="rId181" Type="http://schemas.openxmlformats.org/officeDocument/2006/relationships/hyperlink" Target="https://www.sec.gov/Archives/edgar/data/1749723/000174972326000032/a10anfe-tlaconformedcredit.htm" TargetMode="External"/><Relationship Id="rId182" Type="http://schemas.openxmlformats.org/officeDocument/2006/relationships/hyperlink" Target="https://www.sec.gov/Archives/edgar/data/1749723/000174972326000032/a12projectlady-tlaforbeara.htm" TargetMode="External"/><Relationship Id="rId183" Type="http://schemas.openxmlformats.org/officeDocument/2006/relationships/hyperlink" Target="https://www.sec.gov/Archives/edgar/data/1749723/000174972325000029/chisr01a-1152838xv7xnfe_se.htm" TargetMode="External"/><Relationship Id="rId184" Type="http://schemas.openxmlformats.org/officeDocument/2006/relationships/hyperlink" Target="https://www.sec.gov/Archives/edgar/data/1749723/000174972325000029/zs_temp-43513200xv1x001xxx.htm" TargetMode="External"/><Relationship Id="rId185" Type="http://schemas.openxmlformats.org/officeDocument/2006/relationships/hyperlink" Target="https://www.sec.gov/Archives/edgar/data/1749723/000174972325000029/chisr02a-1257162xv16xnfe_x.htm" TargetMode="External"/><Relationship Id="rId186" Type="http://schemas.openxmlformats.org/officeDocument/2006/relationships/hyperlink" Target="https://www.sec.gov/Archives/edgar/data/1749723/000174972325000029/nfe-newcoindenturexexecuti.htm" TargetMode="External"/><Relationship Id="rId187" Type="http://schemas.openxmlformats.org/officeDocument/2006/relationships/hyperlink" Target="https://www.sec.gov/Archives/edgar/data/1749723/000174972325000029/nferegistrationrightsagr.htm" TargetMode="External"/><Relationship Id="rId188" Type="http://schemas.openxmlformats.org/officeDocument/2006/relationships/hyperlink" Target="https://www.sec.gov/Archives/edgar/data/1749723/000174972325000029/nfe-firstamendmenttorra.htm" TargetMode="External"/><Relationship Id="rId189" Type="http://schemas.openxmlformats.org/officeDocument/2006/relationships/hyperlink" Target="https://www.sec.gov/Archives/edgar/data/1749723/000174972325000029/nfe-secondamendmenttorra.htm" TargetMode="External"/><Relationship Id="rId190" Type="http://schemas.openxmlformats.org/officeDocument/2006/relationships/hyperlink" Target="https://www.sec.gov/Archives/edgar/data/1749723/000174972326000032/a03projectlady-forbearance.htm" TargetMode="External"/><Relationship Id="rId191" Type="http://schemas.openxmlformats.org/officeDocument/2006/relationships/hyperlink" Target="https://www.sec.gov/Archives/edgar/data/1749723/000174972325000149/nfeformretentionagreementf.htm" TargetMode="External"/><Relationship Id="rId194" Type="http://schemas.openxmlformats.org/officeDocument/2006/relationships/hyperlink" Target="https://www.sec.gov/Archives/edgar/data/1749723/000174972325000029/insider-tradingxpolicyxn.htm" TargetMode="External"/><Relationship Id="rId195" Type="http://schemas.openxmlformats.org/officeDocument/2006/relationships/hyperlink" Target="https://www.sec.gov/Archives/edgar/data/1749723/000174972326000032/listofcompanysubsidiariesa.htm" TargetMode="External"/><Relationship Id="rId196" Type="http://schemas.openxmlformats.org/officeDocument/2006/relationships/hyperlink" Target="https://www.sec.gov/Archives/edgar/data/1749723/000174972326000032/consent-draft.htm" TargetMode="External"/><Relationship Id="rId197" Type="http://schemas.openxmlformats.org/officeDocument/2006/relationships/hyperlink" Target="https://www.sec.gov/Archives/edgar/data/1749723/000174972324000011/nfe_-xclawbackxpolicyxd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2026-04-30T16:12:37Z</dcterms:created>
  <dcterms:modified xsi:type="dcterms:W3CDTF">2026-04-30T16:12:37Z</dcterms:modified>
</cp:coreProperties>
</file>