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Shin Yunyoung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04/03/2023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Accounting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04/03/2023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42,338</w:t>
            </w:r>
            <w:r>
              <w:rPr>
                <w:rFonts w:ascii="Arial" w:cs="Arial" w:eastAsia="Arial" w:hAnsi="Arial"/>
                <w:sz w:val="22"/>
                <w:szCs w:val="22"/>
                <w:color w:val="008000"/>
                <w:w w:val="91"/>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70,189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04/05/2023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w w:val="91"/>
              </w:rPr>
              <w:t>22,529</w:t>
            </w:r>
            <w:r>
              <w:rPr>
                <w:rFonts w:ascii="Arial" w:cs="Arial" w:eastAsia="Arial" w:hAnsi="Arial"/>
                <w:sz w:val="22"/>
                <w:szCs w:val="22"/>
                <w:color w:val="008000"/>
                <w:w w:val="91"/>
                <w:vertAlign w:val="superscript"/>
              </w:rPr>
              <w:t>(2)</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28.99</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47,660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of Class A Common Stock of the Issuer acquired in connection with the vesting of performance-based restricted stock units ("PSUs") earned on April 3, 2023 upon certification by the Board of Directors of the Issuer that the related performance metrics were met.</w:t>
      </w:r>
    </w:p>
    <w:p>
      <w:pPr>
        <w:spacing w:after="0" w:line="15"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 shares of Class A Common Stock were sold. Reflects withholding of shares to satisfy tax liability in connection with the delivery of shares made on April 5, 2023 in connection with the vesting and settlement of the PSUs described herein.</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Yunyoung Shin,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779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790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04/05/2023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0496"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2023-04-05T15:58:46Z</dcterms:created>
  <dcterms:modified xsi:type="dcterms:W3CDTF">2023-04-05T15:58:46Z</dcterms:modified>
</cp:coreProperties>
</file>