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0"/>
          <w:szCs w:val="20"/>
          <w:b w:val="1"/>
          <w:bCs w:val="1"/>
          <w:color w:val="auto"/>
        </w:rPr>
        <w:t>UNITED STATES</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39"/>
        <w:spacing w:after="0" w:line="232" w:lineRule="auto"/>
        <w:rPr>
          <w:sz w:val="20"/>
          <w:szCs w:val="20"/>
          <w:color w:val="auto"/>
        </w:rPr>
      </w:pPr>
      <w:r>
        <w:rPr>
          <w:rFonts w:ascii="Arial" w:cs="Arial" w:eastAsia="Arial" w:hAnsi="Arial"/>
          <w:sz w:val="17"/>
          <w:szCs w:val="17"/>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CURRENT REPORT</w:t>
      </w:r>
    </w:p>
    <w:p>
      <w:pPr>
        <w:jc w:val="center"/>
        <w:ind w:right="-239"/>
        <w:spacing w:after="0"/>
        <w:rPr>
          <w:sz w:val="20"/>
          <w:szCs w:val="20"/>
          <w:color w:val="auto"/>
        </w:rPr>
      </w:pPr>
      <w:r>
        <w:rPr>
          <w:rFonts w:ascii="Arial" w:cs="Arial" w:eastAsia="Arial" w:hAnsi="Arial"/>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7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Date of Report (Date of earliest event reported): October 3, 2022</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34"/>
          <w:szCs w:val="34"/>
          <w:b w:val="1"/>
          <w:bCs w:val="1"/>
          <w:color w:val="auto"/>
        </w:rPr>
        <w:t>New Fortress Energy Inc.</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60"/>
          </w:cols>
          <w:pgMar w:left="300" w:top="843" w:right="539" w:bottom="1440" w:gutter="0" w:footer="0" w:header="0"/>
        </w:sectPr>
      </w:pPr>
    </w:p>
    <w:p>
      <w:pPr>
        <w:spacing w:after="0" w:line="216"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200"/>
        <w:spacing w:after="0"/>
        <w:rPr>
          <w:sz w:val="20"/>
          <w:szCs w:val="20"/>
          <w:color w:val="auto"/>
        </w:rPr>
      </w:pPr>
      <w:r>
        <w:rPr>
          <w:rFonts w:ascii="Arial" w:cs="Arial" w:eastAsia="Arial" w:hAnsi="Arial"/>
          <w:sz w:val="12"/>
          <w:szCs w:val="12"/>
          <w:b w:val="1"/>
          <w:bCs w:val="1"/>
          <w:color w:val="auto"/>
        </w:rPr>
        <w:t>001-38790</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83-1482060</w:t>
      </w:r>
    </w:p>
    <w:p>
      <w:pPr>
        <w:spacing w:after="0" w:line="63" w:lineRule="exact"/>
        <w:rPr>
          <w:sz w:val="24"/>
          <w:szCs w:val="24"/>
          <w:color w:val="auto"/>
        </w:rPr>
      </w:pPr>
    </w:p>
    <w:p>
      <w:pPr>
        <w:sectPr>
          <w:pgSz w:w="11900" w:h="16838" w:orient="portrait"/>
          <w:cols w:equalWidth="0" w:num="3">
            <w:col w:w="4740" w:space="720"/>
            <w:col w:w="2800" w:space="720"/>
            <w:col w:w="2080"/>
          </w:cols>
          <w:pgMar w:left="300" w:top="843" w:right="539" w:bottom="1440" w:gutter="0" w:footer="0" w:header="0"/>
          <w:type w:val="continuous"/>
        </w:sectPr>
      </w:pPr>
    </w:p>
    <w:p>
      <w:pPr>
        <w:ind w:left="1060"/>
        <w:spacing w:after="0"/>
        <w:rPr>
          <w:sz w:val="20"/>
          <w:szCs w:val="20"/>
          <w:color w:val="auto"/>
        </w:rPr>
      </w:pPr>
      <w:r>
        <w:rPr>
          <w:rFonts w:ascii="Arial" w:cs="Arial" w:eastAsia="Arial" w:hAnsi="Arial"/>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43" w:right="539" w:bottom="1440" w:gutter="0" w:footer="0" w:header="0"/>
          <w:type w:val="continuous"/>
        </w:sectPr>
      </w:pPr>
    </w:p>
    <w:p>
      <w:pPr>
        <w:spacing w:after="0" w:line="142" w:lineRule="exact"/>
        <w:rPr>
          <w:sz w:val="24"/>
          <w:szCs w:val="24"/>
          <w:color w:val="auto"/>
        </w:rPr>
      </w:pPr>
    </w:p>
    <w:p>
      <w:pPr>
        <w:jc w:val="center"/>
        <w:ind w:right="1180"/>
        <w:spacing w:after="0"/>
        <w:rPr>
          <w:sz w:val="20"/>
          <w:szCs w:val="20"/>
          <w:color w:val="auto"/>
        </w:rPr>
      </w:pPr>
      <w:r>
        <w:rPr>
          <w:rFonts w:ascii="Arial" w:cs="Arial" w:eastAsia="Arial" w:hAnsi="Arial"/>
          <w:sz w:val="12"/>
          <w:szCs w:val="12"/>
          <w:b w:val="1"/>
          <w:bCs w:val="1"/>
          <w:color w:val="auto"/>
        </w:rPr>
        <w:t>111 W. 19th Street, 8th Floor</w:t>
      </w:r>
    </w:p>
    <w:p>
      <w:pPr>
        <w:spacing w:after="0" w:line="37" w:lineRule="exact"/>
        <w:rPr>
          <w:sz w:val="24"/>
          <w:szCs w:val="24"/>
          <w:color w:val="auto"/>
        </w:rPr>
      </w:pPr>
    </w:p>
    <w:p>
      <w:pPr>
        <w:jc w:val="center"/>
        <w:ind w:right="1180"/>
        <w:spacing w:after="0"/>
        <w:rPr>
          <w:sz w:val="20"/>
          <w:szCs w:val="20"/>
          <w:color w:val="auto"/>
        </w:rPr>
      </w:pPr>
      <w:r>
        <w:rPr>
          <w:rFonts w:ascii="Arial" w:cs="Arial" w:eastAsia="Arial" w:hAnsi="Arial"/>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10011</w:t>
      </w:r>
    </w:p>
    <w:p>
      <w:pPr>
        <w:spacing w:after="0" w:line="67" w:lineRule="exact"/>
        <w:rPr>
          <w:sz w:val="24"/>
          <w:szCs w:val="24"/>
          <w:color w:val="auto"/>
        </w:rPr>
      </w:pPr>
    </w:p>
    <w:p>
      <w:pPr>
        <w:sectPr>
          <w:pgSz w:w="11900" w:h="16838" w:orient="portrait"/>
          <w:cols w:equalWidth="0" w:num="2">
            <w:col w:w="8380" w:space="720"/>
            <w:col w:w="1960"/>
          </w:cols>
          <w:pgMar w:left="300" w:top="843" w:right="539" w:bottom="1440" w:gutter="0" w:footer="0" w:header="0"/>
          <w:type w:val="continuous"/>
        </w:sectPr>
      </w:pPr>
    </w:p>
    <w:p>
      <w:pPr>
        <w:ind w:left="24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01" w:lineRule="exact"/>
        <w:rPr>
          <w:sz w:val="24"/>
          <w:szCs w:val="24"/>
          <w:color w:val="auto"/>
        </w:rPr>
      </w:pPr>
    </w:p>
    <w:p>
      <w:pPr>
        <w:sectPr>
          <w:pgSz w:w="11900" w:h="16838" w:orient="portrait"/>
          <w:cols w:equalWidth="0" w:num="2">
            <w:col w:w="8240" w:space="720"/>
            <w:col w:w="2100"/>
          </w:cols>
          <w:pgMar w:left="300" w:top="843" w:right="539" w:bottom="1440" w:gutter="0" w:footer="0" w:header="0"/>
          <w:type w:val="continuous"/>
        </w:sectPr>
      </w:pPr>
    </w:p>
    <w:p>
      <w:pPr>
        <w:jc w:val="center"/>
        <w:ind w:right="-21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(516) 268-7400</w:t>
      </w:r>
    </w:p>
    <w:p>
      <w:pPr>
        <w:sectPr>
          <w:pgSz w:w="11900" w:h="16838" w:orient="portrait"/>
          <w:cols w:equalWidth="0" w:num="1">
            <w:col w:w="11060"/>
          </w:cols>
          <w:pgMar w:left="300" w:top="843" w:right="539"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81" w:lineRule="exact"/>
        <w:rPr>
          <w:sz w:val="24"/>
          <w:szCs w:val="24"/>
          <w:color w:val="auto"/>
        </w:rPr>
      </w:pPr>
    </w:p>
    <w:tbl>
      <w:tblPr>
        <w:tblLayout w:type="fixed"/>
        <w:tblInd w:w="108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gridSpan w:val="3"/>
          </w:tcPr>
          <w:p>
            <w:pPr>
              <w:ind w:left="740"/>
              <w:spacing w:after="0"/>
              <w:rPr>
                <w:sz w:val="20"/>
                <w:szCs w:val="20"/>
                <w:color w:val="auto"/>
              </w:rPr>
            </w:pPr>
            <w:r>
              <w:rPr>
                <w:rFonts w:ascii="Arial" w:cs="Arial" w:eastAsia="Arial" w:hAnsi="Arial"/>
                <w:sz w:val="14"/>
                <w:szCs w:val="14"/>
                <w:b w:val="1"/>
                <w:bCs w:val="1"/>
                <w:color w:val="auto"/>
                <w:w w:val="96"/>
              </w:rPr>
              <w:t>Securities registered pursuant to Section 12(b) of the Act:</w:t>
            </w:r>
          </w:p>
        </w:tc>
        <w:tc>
          <w:tcPr>
            <w:tcW w:w="2520" w:type="dxa"/>
            <w:vAlign w:val="bottom"/>
          </w:tcPr>
          <w:p>
            <w:pPr>
              <w:spacing w:after="0"/>
              <w:rPr>
                <w:sz w:val="16"/>
                <w:szCs w:val="16"/>
                <w:color w:val="auto"/>
              </w:rPr>
            </w:pPr>
          </w:p>
        </w:tc>
      </w:tr>
      <w:tr>
        <w:trPr>
          <w:trHeight w:val="552"/>
        </w:trPr>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Title of each class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Arial" w:cs="Arial" w:eastAsia="Arial" w:hAnsi="Arial"/>
                <w:sz w:val="14"/>
                <w:szCs w:val="14"/>
                <w:color w:val="auto"/>
                <w:w w:val="92"/>
              </w:rPr>
              <w:t>Trading Symbol(s)</w:t>
            </w:r>
          </w:p>
        </w:tc>
        <w:tc>
          <w:tcPr>
            <w:tcW w:w="2520" w:type="dxa"/>
            <w:vAlign w:val="bottom"/>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2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Class A common stock</w:t>
            </w:r>
          </w:p>
        </w:tc>
        <w:tc>
          <w:tcPr>
            <w:tcW w:w="134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9"/>
              </w:rPr>
              <w:t>“NFE”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r>
    </w:tbl>
    <w:p>
      <w:pPr>
        <w:spacing w:after="0" w:line="200" w:lineRule="exact"/>
        <w:rPr>
          <w:sz w:val="24"/>
          <w:szCs w:val="24"/>
          <w:color w:val="auto"/>
        </w:rPr>
      </w:pPr>
    </w:p>
    <w:p>
      <w:pPr>
        <w:spacing w:after="0" w:line="257" w:lineRule="exact"/>
        <w:rPr>
          <w:sz w:val="24"/>
          <w:szCs w:val="24"/>
          <w:color w:val="auto"/>
        </w:rPr>
      </w:pPr>
    </w:p>
    <w:p>
      <w:pPr>
        <w:ind w:right="360"/>
        <w:spacing w:after="0" w:line="25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Emerging growth company</w:t>
      </w:r>
    </w:p>
    <w:p>
      <w:pPr>
        <w:spacing w:after="0" w:line="3"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43"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4"/>
          <w:szCs w:val="14"/>
          <w:b w:val="1"/>
          <w:bCs w:val="1"/>
          <w:color w:val="auto"/>
        </w:rPr>
        <w:t>Item 2.01.</w:t>
      </w:r>
      <w:r>
        <w:rPr>
          <w:sz w:val="20"/>
          <w:szCs w:val="20"/>
          <w:color w:val="auto"/>
        </w:rPr>
        <w:tab/>
      </w:r>
      <w:r>
        <w:rPr>
          <w:rFonts w:ascii="Arial" w:cs="Arial" w:eastAsia="Arial" w:hAnsi="Arial"/>
          <w:sz w:val="12"/>
          <w:szCs w:val="12"/>
          <w:b w:val="1"/>
          <w:bCs w:val="1"/>
          <w:color w:val="auto"/>
        </w:rPr>
        <w:t>Completion of Acquisition or Disposition of Assets.</w:t>
      </w:r>
    </w:p>
    <w:p>
      <w:pPr>
        <w:spacing w:after="0" w:line="183" w:lineRule="exact"/>
        <w:rPr>
          <w:sz w:val="20"/>
          <w:szCs w:val="20"/>
          <w:color w:val="auto"/>
        </w:rPr>
      </w:pPr>
    </w:p>
    <w:p>
      <w:pPr>
        <w:ind w:right="20" w:firstLine="382"/>
        <w:spacing w:after="0" w:line="260" w:lineRule="auto"/>
        <w:rPr>
          <w:sz w:val="20"/>
          <w:szCs w:val="20"/>
          <w:color w:val="auto"/>
        </w:rPr>
      </w:pPr>
      <w:r>
        <w:rPr>
          <w:rFonts w:ascii="Arial" w:cs="Arial" w:eastAsia="Arial" w:hAnsi="Arial"/>
          <w:sz w:val="13"/>
          <w:szCs w:val="13"/>
          <w:color w:val="auto"/>
        </w:rPr>
        <w:t>On October 3, 2022 (the “Closing Date”), an indirect subsidiary of New Fortress Energy Inc. (“NFE” or the “Company”), LNG Power Limited (“LNG”), a private limited company incorporated under the laws of England and Wales, and the shareholders of DC Energia e Participações S.A. (together with LNG, the “Sellers”), a subsidiary of Ebrasil Energia Ltda., a sociedade empresária limitada organized under the laws of Brazil, announced the completion of the sale to Eneva S.A., a sociedade anônima organized under the laws of Brazil (“Eneva”), of 100% of the shares of (a) Centrais Elétricas de Sergipe Participações S.A. (“CELSEPAR”), which, through its wholly owned subsidiary CELSE – Centrais Elétricas de Sergipe S.A. (“CELSE”), owns 100% of the equity interests of the 1,593 MW Sergipe power plant, and (b) Centrais Elétricas Barra dos Coqueiros S.A. (“CEBARRA”, together with CELSEPAR, the “Companies”), which owns 1.7 GW of expansion rights adjacent to the Sergipe power plant (the “Sergipe Purchase and Sale”). The Sergipe Purchase and Sale was consummated pursuant to the Share Purchase Agreement (the “SPA”), dated as of May 31, 2022, by and among the Sellers and Eneva. The Sergipe Purchase and Sale was completed on October 3, 2022, following satisfaction of all conditions precedent set forth in the SPA and payment by Eneva to the Sellers of R$6.7 billion (approximately $1.29 billion USD), consisting of the base purchase price of R$6.1 billion (approximately $1.18 billion USD) in addition to customary adjustments that occurred from December 31, 2021 to the Closing Date, including, but not limited to, (a) certain identified actions by the Companies during the relevant period, including, without limitation, making distributions or payments to or for the benefit of the Sellers and their affiliates and assuming or incurring liabilities for the benefit of Sellers or their affiliates, and (b) certain fees and expenses incurred by the Companies in connection with the Sergipe Purchase and Sale.</w:t>
      </w:r>
    </w:p>
    <w:p>
      <w:pPr>
        <w:spacing w:after="0" w:line="150"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Energos Infrastructure (“Energos”), the joint venture platform established between funds managed by Apollo (NYSE: APO) and NFE, will continue to operate the Golar Nanook, a Floating Storage and Regasification Unit that remains chartered to CELSE for more than 20 years.</w:t>
      </w:r>
    </w:p>
    <w:p>
      <w:pPr>
        <w:spacing w:after="0" w:line="154" w:lineRule="exact"/>
        <w:rPr>
          <w:sz w:val="20"/>
          <w:szCs w:val="20"/>
          <w:color w:val="auto"/>
        </w:rPr>
      </w:pPr>
    </w:p>
    <w:p>
      <w:pPr>
        <w:ind w:right="320" w:firstLine="509"/>
        <w:spacing w:after="0" w:line="265" w:lineRule="auto"/>
        <w:rPr>
          <w:sz w:val="20"/>
          <w:szCs w:val="20"/>
          <w:color w:val="auto"/>
        </w:rPr>
      </w:pPr>
      <w:r>
        <w:rPr>
          <w:rFonts w:ascii="Arial" w:cs="Arial" w:eastAsia="Arial" w:hAnsi="Arial"/>
          <w:sz w:val="14"/>
          <w:szCs w:val="14"/>
          <w:color w:val="auto"/>
        </w:rPr>
        <w:t>The foregoing description of the SPA and the transactions contemplated thereby is not complete and is qualified in its entirety by reference to the full text of the SPA, which was filed as Exhibit 10.38 to the Company’s Form 10-Q filed on August 5, 2022, and the terms of which are incorporated herein by reference.</w:t>
      </w:r>
    </w:p>
    <w:p>
      <w:pPr>
        <w:spacing w:after="0" w:line="16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3" w:lineRule="exact"/>
        <w:rPr>
          <w:sz w:val="20"/>
          <w:szCs w:val="20"/>
          <w:color w:val="auto"/>
        </w:rPr>
      </w:pPr>
    </w:p>
    <w:p>
      <w:pPr>
        <w:ind w:right="460" w:firstLine="509"/>
        <w:spacing w:after="0" w:line="265" w:lineRule="auto"/>
        <w:rPr>
          <w:sz w:val="20"/>
          <w:szCs w:val="20"/>
          <w:color w:val="auto"/>
        </w:rPr>
      </w:pPr>
      <w:r>
        <w:rPr>
          <w:rFonts w:ascii="Arial" w:cs="Arial" w:eastAsia="Arial" w:hAnsi="Arial"/>
          <w:sz w:val="14"/>
          <w:szCs w:val="14"/>
          <w:color w:val="auto"/>
        </w:rPr>
        <w:t>On October 3, 2022, NFE issued a press release announcing the closing of the Sergipe Purchase and Sale, a copy of which is filed as Exhibit 99.1 hereto and is incorporated herein by reference.</w:t>
      </w:r>
    </w:p>
    <w:p>
      <w:pPr>
        <w:spacing w:after="0" w:line="154" w:lineRule="exact"/>
        <w:rPr>
          <w:sz w:val="20"/>
          <w:szCs w:val="20"/>
          <w:color w:val="auto"/>
        </w:rPr>
      </w:pPr>
    </w:p>
    <w:p>
      <w:pPr>
        <w:ind w:right="80" w:firstLine="509"/>
        <w:spacing w:after="0" w:line="251" w:lineRule="auto"/>
        <w:rPr>
          <w:sz w:val="20"/>
          <w:szCs w:val="20"/>
          <w:color w:val="auto"/>
        </w:rPr>
      </w:pPr>
      <w:r>
        <w:rPr>
          <w:rFonts w:ascii="Arial" w:cs="Arial" w:eastAsia="Arial" w:hAnsi="Arial"/>
          <w:sz w:val="14"/>
          <w:szCs w:val="14"/>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83" w:lineRule="exact"/>
        <w:rPr>
          <w:sz w:val="20"/>
          <w:szCs w:val="20"/>
          <w:color w:val="auto"/>
        </w:rPr>
      </w:pPr>
    </w:p>
    <w:p>
      <w:pPr>
        <w:ind w:right="180" w:firstLine="509"/>
        <w:spacing w:after="0" w:line="304" w:lineRule="auto"/>
        <w:rPr>
          <w:sz w:val="20"/>
          <w:szCs w:val="20"/>
          <w:color w:val="auto"/>
        </w:rPr>
      </w:pPr>
      <w:r>
        <w:rPr>
          <w:rFonts w:ascii="Arial" w:cs="Arial" w:eastAsia="Arial" w:hAnsi="Arial"/>
          <w:sz w:val="12"/>
          <w:szCs w:val="12"/>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Arial" w:cs="Arial" w:eastAsia="Arial" w:hAnsi="Arial"/>
                <w:sz w:val="14"/>
                <w:szCs w:val="14"/>
                <w:b w:val="1"/>
                <w:bCs w:val="1"/>
                <w:color w:val="auto"/>
              </w:rPr>
              <w:t>Item 9.01.</w:t>
            </w:r>
          </w:p>
        </w:tc>
        <w:tc>
          <w:tcPr>
            <w:tcW w:w="10560" w:type="dxa"/>
            <w:vAlign w:val="bottom"/>
            <w:gridSpan w:val="5"/>
          </w:tcPr>
          <w:p>
            <w:pPr>
              <w:ind w:left="60"/>
              <w:spacing w:after="0"/>
              <w:rPr>
                <w:sz w:val="20"/>
                <w:szCs w:val="20"/>
                <w:color w:val="auto"/>
              </w:rPr>
            </w:pPr>
            <w:r>
              <w:rPr>
                <w:rFonts w:ascii="Arial" w:cs="Arial" w:eastAsia="Arial" w:hAnsi="Arial"/>
                <w:sz w:val="14"/>
                <w:szCs w:val="14"/>
                <w:b w:val="1"/>
                <w:bCs w:val="1"/>
                <w:color w:val="auto"/>
              </w:rPr>
              <w:t>Financial Statements and Exhibits.</w:t>
            </w:r>
          </w:p>
        </w:tc>
      </w:tr>
      <w:tr>
        <w:trPr>
          <w:trHeight w:val="378"/>
        </w:trPr>
        <w:tc>
          <w:tcPr>
            <w:tcW w:w="720" w:type="dxa"/>
            <w:vAlign w:val="bottom"/>
          </w:tcPr>
          <w:p>
            <w:pPr>
              <w:jc w:val="center"/>
              <w:ind w:left="89"/>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196"/>
        </w:trPr>
        <w:tc>
          <w:tcPr>
            <w:tcW w:w="7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88"/>
              </w:rPr>
              <w:t>No.</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Description</w:t>
            </w:r>
          </w:p>
        </w:tc>
      </w:tr>
      <w:tr>
        <w:trPr>
          <w:trHeight w:val="180"/>
        </w:trPr>
        <w:tc>
          <w:tcPr>
            <w:tcW w:w="720" w:type="dxa"/>
            <w:vAlign w:val="bottom"/>
          </w:tcPr>
          <w:p>
            <w:pPr>
              <w:jc w:val="center"/>
              <w:ind w:left="89"/>
              <w:spacing w:after="0"/>
              <w:rPr>
                <w:sz w:val="20"/>
                <w:szCs w:val="20"/>
                <w:color w:val="auto"/>
              </w:rPr>
            </w:pPr>
            <w:r>
              <w:rPr>
                <w:rFonts w:ascii="Arial" w:cs="Arial" w:eastAsia="Arial" w:hAnsi="Arial"/>
                <w:sz w:val="14"/>
                <w:szCs w:val="14"/>
                <w:color w:val="auto"/>
                <w:w w:val="87"/>
              </w:rPr>
              <w:t>10.1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
          </w:tcPr>
          <w:p>
            <w:pPr>
              <w:spacing w:after="0"/>
              <w:rPr>
                <w:sz w:val="20"/>
                <w:szCs w:val="20"/>
                <w:color w:val="auto"/>
              </w:rPr>
            </w:pPr>
            <w:r>
              <w:rPr>
                <w:rFonts w:ascii="Arial" w:cs="Arial" w:eastAsia="Arial" w:hAnsi="Arial"/>
                <w:sz w:val="14"/>
                <w:szCs w:val="14"/>
                <w:color w:val="auto"/>
                <w:w w:val="94"/>
              </w:rPr>
              <w:t>Share Purchase Agreement, dated as of May 31, 2022, by and among, inter alios, LNG Power Limited and the shareholders of DC Energia e Participações S.A., collectively as</w:t>
            </w:r>
          </w:p>
        </w:tc>
      </w:tr>
      <w:tr>
        <w:trPr>
          <w:trHeight w:val="180"/>
        </w:trPr>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
          </w:tcPr>
          <w:p>
            <w:pPr>
              <w:spacing w:after="0"/>
              <w:rPr>
                <w:sz w:val="20"/>
                <w:szCs w:val="20"/>
                <w:color w:val="auto"/>
              </w:rPr>
            </w:pPr>
            <w:r>
              <w:rPr>
                <w:rFonts w:ascii="Arial" w:cs="Arial" w:eastAsia="Arial" w:hAnsi="Arial"/>
                <w:sz w:val="14"/>
                <w:szCs w:val="14"/>
                <w:color w:val="auto"/>
              </w:rPr>
              <w:t>Sellers, and Eneva S.A., as Buyer (incorporated herein by reference to Exhibit 10.38 of NFE’s Current Report on Form 10-Q, filed on August 5, 2022).</w:t>
            </w:r>
          </w:p>
        </w:tc>
      </w:tr>
      <w:tr>
        <w:trPr>
          <w:trHeight w:val="160"/>
        </w:trPr>
        <w:tc>
          <w:tcPr>
            <w:tcW w:w="720" w:type="dxa"/>
            <w:vAlign w:val="bottom"/>
          </w:tcPr>
          <w:p>
            <w:pPr>
              <w:jc w:val="center"/>
              <w:ind w:left="89"/>
              <w:spacing w:after="0" w:line="159" w:lineRule="exact"/>
              <w:rPr>
                <w:sz w:val="20"/>
                <w:szCs w:val="20"/>
                <w:color w:val="auto"/>
              </w:rPr>
            </w:pPr>
            <w:r>
              <w:rPr>
                <w:rFonts w:ascii="Arial" w:cs="Arial" w:eastAsia="Arial" w:hAnsi="Arial"/>
                <w:sz w:val="14"/>
                <w:szCs w:val="14"/>
                <w:color w:val="auto"/>
                <w:w w:val="87"/>
              </w:rPr>
              <w:t>99.1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2"/>
          </w:tcPr>
          <w:p>
            <w:pPr>
              <w:spacing w:after="0" w:line="159" w:lineRule="exact"/>
              <w:rPr>
                <w:sz w:val="20"/>
                <w:szCs w:val="20"/>
                <w:color w:val="auto"/>
              </w:rPr>
            </w:pPr>
            <w:r>
              <w:rPr>
                <w:rFonts w:ascii="Arial" w:cs="Arial" w:eastAsia="Arial" w:hAnsi="Arial"/>
                <w:sz w:val="14"/>
                <w:szCs w:val="14"/>
                <w:color w:val="0000FF"/>
              </w:rPr>
              <w:t>Press Release, dated October 3, 2022, issued by New Fortress Energy Inc.</w:t>
            </w: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13"/>
        </w:trPr>
        <w:tc>
          <w:tcPr>
            <w:tcW w:w="720" w:type="dxa"/>
            <w:vAlign w:val="bottom"/>
          </w:tcPr>
          <w:p>
            <w:pPr>
              <w:jc w:val="center"/>
              <w:ind w:left="69"/>
              <w:spacing w:after="0"/>
              <w:rPr>
                <w:sz w:val="20"/>
                <w:szCs w:val="20"/>
                <w:color w:val="auto"/>
              </w:rPr>
            </w:pPr>
            <w:r>
              <w:rPr>
                <w:rFonts w:ascii="Arial" w:cs="Arial" w:eastAsia="Arial" w:hAnsi="Arial"/>
                <w:sz w:val="14"/>
                <w:szCs w:val="14"/>
                <w:color w:val="auto"/>
                <w:w w:val="94"/>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r>
        <w:trPr>
          <w:trHeight w:val="999"/>
        </w:trPr>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384"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thereunto duly authorized.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8160" w:type="dxa"/>
            <w:vAlign w:val="bottom"/>
            <w:gridSpan w:val="2"/>
          </w:tcPr>
          <w:p>
            <w:pPr>
              <w:ind w:left="2180"/>
              <w:spacing w:after="0"/>
              <w:rPr>
                <w:sz w:val="20"/>
                <w:szCs w:val="20"/>
                <w:color w:val="auto"/>
              </w:rPr>
            </w:pPr>
            <w:r>
              <w:rPr>
                <w:rFonts w:ascii="Arial" w:cs="Arial" w:eastAsia="Arial" w:hAnsi="Arial"/>
                <w:sz w:val="14"/>
                <w:szCs w:val="14"/>
                <w:b w:val="1"/>
                <w:bCs w:val="1"/>
                <w:color w:val="auto"/>
              </w:rPr>
              <w:t>NEW FORTRESS ENERGY INC.</w:t>
            </w:r>
          </w:p>
        </w:tc>
      </w:tr>
      <w:tr>
        <w:trPr>
          <w:trHeight w:val="415"/>
        </w:trPr>
        <w:tc>
          <w:tcPr>
            <w:tcW w:w="3080" w:type="dxa"/>
            <w:vAlign w:val="bottom"/>
          </w:tcPr>
          <w:p>
            <w:pPr>
              <w:spacing w:after="0"/>
              <w:rPr>
                <w:sz w:val="20"/>
                <w:szCs w:val="20"/>
                <w:color w:val="auto"/>
              </w:rPr>
            </w:pPr>
            <w:r>
              <w:rPr>
                <w:rFonts w:ascii="Arial" w:cs="Arial" w:eastAsia="Arial" w:hAnsi="Arial"/>
                <w:sz w:val="14"/>
                <w:szCs w:val="14"/>
                <w:color w:val="auto"/>
              </w:rPr>
              <w:t>October 7, 2022</w:t>
            </w:r>
          </w:p>
        </w:tc>
        <w:tc>
          <w:tcPr>
            <w:tcW w:w="2900" w:type="dxa"/>
            <w:vAlign w:val="bottom"/>
          </w:tcPr>
          <w:p>
            <w:pPr>
              <w:ind w:left="2180"/>
              <w:spacing w:after="0"/>
              <w:rPr>
                <w:sz w:val="20"/>
                <w:szCs w:val="20"/>
                <w:color w:val="auto"/>
              </w:rPr>
            </w:pPr>
            <w:r>
              <w:rPr>
                <w:rFonts w:ascii="Arial" w:cs="Arial" w:eastAsia="Arial" w:hAnsi="Arial"/>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S. Guinta</w:t>
            </w:r>
          </w:p>
        </w:tc>
      </w:tr>
      <w:tr>
        <w:trPr>
          <w:trHeight w:val="191"/>
        </w:trPr>
        <w:tc>
          <w:tcPr>
            <w:tcW w:w="3080" w:type="dxa"/>
            <w:vAlign w:val="bottom"/>
          </w:tcPr>
          <w:p>
            <w:pPr>
              <w:spacing w:after="0"/>
              <w:rPr>
                <w:sz w:val="16"/>
                <w:szCs w:val="16"/>
                <w:color w:val="auto"/>
              </w:rPr>
            </w:pPr>
          </w:p>
        </w:tc>
        <w:tc>
          <w:tcPr>
            <w:tcW w:w="2900" w:type="dxa"/>
            <w:vAlign w:val="bottom"/>
          </w:tcPr>
          <w:p>
            <w:pPr>
              <w:ind w:left="2180"/>
              <w:spacing w:after="0"/>
              <w:rPr>
                <w:sz w:val="20"/>
                <w:szCs w:val="20"/>
                <w:color w:val="auto"/>
              </w:rPr>
            </w:pPr>
            <w:r>
              <w:rPr>
                <w:rFonts w:ascii="Arial" w:cs="Arial" w:eastAsia="Arial" w:hAnsi="Arial"/>
                <w:sz w:val="14"/>
                <w:szCs w:val="14"/>
                <w:color w:val="auto"/>
              </w:rPr>
              <w:t>Name:</w:t>
            </w:r>
          </w:p>
        </w:tc>
        <w:tc>
          <w:tcPr>
            <w:tcW w:w="5260" w:type="dxa"/>
            <w:vAlign w:val="bottom"/>
          </w:tcPr>
          <w:p>
            <w:pPr>
              <w:ind w:left="20"/>
              <w:spacing w:after="0"/>
              <w:rPr>
                <w:sz w:val="20"/>
                <w:szCs w:val="20"/>
                <w:color w:val="auto"/>
              </w:rPr>
            </w:pPr>
            <w:r>
              <w:rPr>
                <w:rFonts w:ascii="Arial" w:cs="Arial" w:eastAsia="Arial" w:hAnsi="Arial"/>
                <w:sz w:val="14"/>
                <w:szCs w:val="14"/>
                <w:color w:val="auto"/>
              </w:rPr>
              <w:t>Christopher S. Guinta</w:t>
            </w:r>
          </w:p>
        </w:tc>
      </w:tr>
      <w:tr>
        <w:trPr>
          <w:trHeight w:val="202"/>
        </w:trPr>
        <w:tc>
          <w:tcPr>
            <w:tcW w:w="3080" w:type="dxa"/>
            <w:vAlign w:val="bottom"/>
          </w:tcPr>
          <w:p>
            <w:pPr>
              <w:spacing w:after="0"/>
              <w:rPr>
                <w:sz w:val="17"/>
                <w:szCs w:val="17"/>
                <w:color w:val="auto"/>
              </w:rPr>
            </w:pPr>
          </w:p>
        </w:tc>
        <w:tc>
          <w:tcPr>
            <w:tcW w:w="2900" w:type="dxa"/>
            <w:vAlign w:val="bottom"/>
          </w:tcPr>
          <w:p>
            <w:pPr>
              <w:ind w:left="2180"/>
              <w:spacing w:after="0"/>
              <w:rPr>
                <w:sz w:val="20"/>
                <w:szCs w:val="20"/>
                <w:color w:val="auto"/>
              </w:rPr>
            </w:pPr>
            <w:r>
              <w:rPr>
                <w:rFonts w:ascii="Arial" w:cs="Arial" w:eastAsia="Arial" w:hAnsi="Arial"/>
                <w:sz w:val="14"/>
                <w:szCs w:val="14"/>
                <w:color w:val="auto"/>
              </w:rPr>
              <w:t>Title:</w:t>
            </w:r>
          </w:p>
        </w:tc>
        <w:tc>
          <w:tcPr>
            <w:tcW w:w="52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60"/>
          </w:cols>
          <w:pgMar w:left="300" w:top="76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2022-10-07T15:21:58Z</dcterms:created>
  <dcterms:modified xsi:type="dcterms:W3CDTF">2022-10-07T15:21:58Z</dcterms:modified>
</cp:coreProperties>
</file>