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5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168910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07" w:lineRule="exact"/>
        <w:tabs>
          <w:tab w:leader="none" w:pos="26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36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36"/>
          <w:szCs w:val="36"/>
          <w:b w:val="1"/>
          <w:bCs w:val="1"/>
          <w:color w:val="auto"/>
        </w:rPr>
        <w:t>New Fortress Energy Inc.</w:t>
      </w:r>
    </w:p>
    <w:p>
      <w:pPr>
        <w:spacing w:after="0" w:line="5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23"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204470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264795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14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197485</wp:posOffset>
            </wp:positionV>
            <wp:extent cx="1997075"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707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17"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On behalf of the Board of Directors, I cordially invite you to attend the Annual Meeting of Stockholders of New Fortress Energy Inc. (the “Annual Meeting”) to be held at Skadden, Arps, Slate, Meagher &amp; Flom LLP and Affiliates, One Manhattan West, New York, New York, on June 15, 2022, at 9:00 a.m., Eastern Time. The matters to be considered by the stockholders at the Annual Meeting are described in detail in the accompanying materials.</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IT IS IMPORTANT THAT YOU BE REPRESENTED AT THE ANNUAL MEETING REGARDLESS OF THE NUMBER OF SHARES YOU OWN OR WHETHER YOU ARE ABLE TO ATTEND THE ANNUAL MEETING IN PERSON. Let me urge you to vote today by the Internet, by telephone or by completing, signing and returning your proxy card in the envelope provided.</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PLEASE NOTE THAT YOU MUST FOLLOW THESE INSTRUCTIONS IN ORDER TO ATTEND AND BE ABLE TO VOTE AT THE ANNUAL MEETING: All stockholders may vote in person at the Annual Meeting. In addition, you may also be represented by another person at the Annual Meeting by executing a proper proxy designating that person as the proxy with power to vote your shares on your behalf. If you are a beneficial owner of shares, you must take the following three steps in order to be able to attend and vote at the Annual Meeting: (1) obtain a legal proxy from your broker, bank or other holder of record and present this legal proxy to the inspector of elections along with your ballot; (2) contact our Investor Relations department to obtain an admission card and present this admission card to the inspector of elections; and (3) present an acceptable form of photo identification, such as a driver’s license or passport, to the inspector of elections.</w:t>
      </w:r>
    </w:p>
    <w:p>
      <w:pPr>
        <w:spacing w:after="0" w:line="1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Wesley R. Edens</w:t>
      </w:r>
    </w:p>
    <w:p>
      <w:pPr>
        <w:spacing w:after="0" w:line="11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172720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THE 2022 ANNUAL MEETING OF STOCKHOLDERS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of New Fortress Energy Inc.:</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annual meeting of stockholders of New Fortress Energy Inc., a Delaware corporation, will be held at Skadden, Arps, Slate, Meagher &amp; Flom LLP and Affiliates, One Manhattan West, New York, New York, on June 15, 2022, at 9:00 a.m., Eastern Time. The matters to be considered and acted upon by stockholders at the Annual Meeting, which are described in detail in the accompanying materials, are:</w:t>
      </w:r>
    </w:p>
    <w:p>
      <w:pPr>
        <w:spacing w:after="0" w:line="72" w:lineRule="exact"/>
        <w:rPr>
          <w:sz w:val="20"/>
          <w:szCs w:val="20"/>
          <w:color w:val="auto"/>
        </w:rPr>
      </w:pPr>
    </w:p>
    <w:p>
      <w:pPr>
        <w:ind w:left="1000" w:right="3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three Class III directors to serve until the 2025 annual meeting of stockholders and until their successors are duly elected or appointed and qualified;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appointment of Ernst &amp; Young LLP as independent registered public accounting firm for the Company for fiscal year 2022;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presented at the Annual Meeting.</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Stockholders of record at the close of business on April 22, 2022 will be entitled to notice of and to vote at the Annual Meeting. </w:t>
      </w:r>
      <w:r>
        <w:rPr>
          <w:rFonts w:ascii="Times New Roman" w:cs="Times New Roman" w:eastAsia="Times New Roman" w:hAnsi="Times New Roman"/>
          <w:sz w:val="18"/>
          <w:szCs w:val="18"/>
          <w:b w:val="1"/>
          <w:bCs w:val="1"/>
          <w:color w:val="auto"/>
        </w:rPr>
        <w:t>It is important that your shares be represented at the Annual Meeting regardless of the size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your holdings. </w:t>
      </w:r>
      <w:r>
        <w:rPr>
          <w:rFonts w:ascii="Times New Roman" w:cs="Times New Roman" w:eastAsia="Times New Roman" w:hAnsi="Times New Roman"/>
          <w:sz w:val="18"/>
          <w:szCs w:val="18"/>
          <w:color w:val="auto"/>
        </w:rPr>
        <w:t>A Proxy Statement, proxy card and self-addressed envelope are enclosed. Return the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in the envelope provided, which requires no postage if mailed in the United States. You can also vote by telephone or by the Internet by following the instructions provided on the proxy card. Whether or not you plan to attend the Annual Meeting in person, please vote by one of these three methods. If you are the record holder of your shares and you attend the meeting, you may revoke your proxy and vote in person, if you so choose.</w:t>
      </w:r>
    </w:p>
    <w:p>
      <w:pPr>
        <w:spacing w:after="0" w:line="16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Cameron D. MacDougall</w:t>
      </w:r>
    </w:p>
    <w:p>
      <w:pPr>
        <w:spacing w:after="0" w:line="11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300"/>
        <w:spacing w:after="0"/>
        <w:rPr>
          <w:sz w:val="20"/>
          <w:szCs w:val="20"/>
          <w:color w:val="auto"/>
        </w:rPr>
      </w:pPr>
      <w:r>
        <w:rPr>
          <w:rFonts w:ascii="Times New Roman" w:cs="Times New Roman" w:eastAsia="Times New Roman" w:hAnsi="Times New Roman"/>
          <w:sz w:val="18"/>
          <w:szCs w:val="18"/>
          <w:color w:val="auto"/>
        </w:rPr>
        <w:t>New York, New York 10011</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55245</wp:posOffset>
            </wp:positionV>
            <wp:extent cx="5353050" cy="981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3050" cy="981075"/>
                    </a:xfrm>
                    <a:prstGeom prst="rect">
                      <a:avLst/>
                    </a:prstGeom>
                    <a:noFill/>
                  </pic:spPr>
                </pic:pic>
              </a:graphicData>
            </a:graphic>
          </wp:anchor>
        </w:drawing>
      </w:r>
    </w:p>
    <w:p>
      <w:pPr>
        <w:spacing w:after="0" w:line="1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JUNE 15,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Notice of Annual Meeting, Proxy Statement and the Annual Report on Form 10-K</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are available on the Investor Relations section of our website at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www.newfortressenergy.com.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spacing w:after="0" w:line="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0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GENERAL INFORMATION ABOUT VOTING</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74"/>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324"/>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5"/>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Stockholders Entitled to Vote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Required Vote</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4"/>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Right to Revoke Proxy</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Copies of Annual Report to Stockholders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5"/>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Voting Results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Confidentiality of Voting</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4"/>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Recommendations of the Board of Directors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9"/>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PROPOSAL NO. 1 ELECTION OF DIRECTORS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5"/>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Information Concerning Our Directors, Including the Director Nominees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Determination of Director Independence</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10</w:t>
            </w:r>
          </w:p>
        </w:tc>
      </w:tr>
      <w:tr>
        <w:trPr>
          <w:trHeight w:val="75"/>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Statement on Corporate Governance</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10</w:t>
            </w:r>
          </w:p>
        </w:tc>
      </w:tr>
      <w:tr>
        <w:trPr>
          <w:trHeight w:val="75"/>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Code of Conduct</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9"/>
                <w:szCs w:val="19"/>
                <w:color w:val="auto"/>
              </w:rPr>
            </w:pPr>
          </w:p>
        </w:tc>
      </w:tr>
      <w:tr>
        <w:trPr>
          <w:trHeight w:val="75"/>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9"/>
                <w:szCs w:val="19"/>
                <w:color w:val="auto"/>
              </w:rPr>
            </w:pP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Status as a Controlled Company</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9"/>
                <w:szCs w:val="19"/>
                <w:color w:val="auto"/>
              </w:rPr>
            </w:pPr>
          </w:p>
        </w:tc>
      </w:tr>
      <w:tr>
        <w:trPr>
          <w:trHeight w:val="75"/>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The Board and Its Committees</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9"/>
                <w:szCs w:val="19"/>
                <w:color w:val="auto"/>
              </w:rPr>
            </w:pP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14</w:t>
            </w: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15</w:t>
            </w:r>
          </w:p>
        </w:tc>
      </w:tr>
      <w:tr>
        <w:trPr>
          <w:trHeight w:val="75"/>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16</w:t>
            </w:r>
          </w:p>
        </w:tc>
      </w:tr>
      <w:tr>
        <w:trPr>
          <w:trHeight w:val="75"/>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16</w:t>
            </w:r>
          </w:p>
        </w:tc>
      </w:tr>
      <w:tr>
        <w:trPr>
          <w:trHeight w:val="75"/>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5"/>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5"/>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Compensation Table for 2021</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5"/>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Grants of Plan-Based Awards for 2021</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5"/>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Year-End for 2021</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75"/>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Option Exercises and Stock Vested for 2021</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75"/>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Pension Benefits for 2021</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74"/>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Nonqualified Deferred Compensation for 2021</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Potential Payments Upon Change-in-Control or Termination</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74"/>
        </w:trPr>
        <w:tc>
          <w:tcPr>
            <w:tcW w:w="10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Pay Ratio Disclosure</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9"/>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9"/>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Director Compensation Table for 2021</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9"/>
        </w:trPr>
        <w:tc>
          <w:tcPr>
            <w:tcW w:w="8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23</w:t>
            </w:r>
          </w:p>
        </w:tc>
      </w:tr>
      <w:tr>
        <w:trPr>
          <w:trHeight w:val="74"/>
        </w:trPr>
        <w:tc>
          <w:tcPr>
            <w:tcW w:w="10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324"/>
        </w:trPr>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-9686290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91" w:orient="portrait"/>
          <w:cols w:equalWidth="0" w:num="1">
            <w:col w:w="9019"/>
          </w:cols>
          <w:pgMar w:left="1440" w:top="263" w:right="1440" w:bottom="0" w:gutter="0" w:footer="0" w:header="0"/>
        </w:sectPr>
      </w:pPr>
    </w:p>
    <w:p>
      <w:pPr>
        <w:spacing w:after="0" w:line="36" w:lineRule="exact"/>
        <w:rPr>
          <w:sz w:val="20"/>
          <w:szCs w:val="20"/>
          <w:color w:val="auto"/>
        </w:rPr>
      </w:pPr>
    </w:p>
    <w:p>
      <w:pPr>
        <w:ind w:left="300"/>
        <w:spacing w:after="0"/>
        <w:tabs>
          <w:tab w:leader="none" w:pos="8460" w:val="left"/>
        </w:tabs>
        <w:rPr>
          <w:sz w:val="20"/>
          <w:szCs w:val="20"/>
          <w:color w:val="auto"/>
        </w:rPr>
      </w:pPr>
      <w:r>
        <w:rPr>
          <w:rFonts w:ascii="Times New Roman" w:cs="Times New Roman" w:eastAsia="Times New Roman" w:hAnsi="Times New Roman"/>
          <w:sz w:val="18"/>
          <w:szCs w:val="18"/>
          <w:u w:val="single" w:color="auto"/>
          <w:color w:val="0000EE"/>
        </w:rPr>
        <w:t>SECURITY OWNERSHIP OF MANAGEMENT AND CERTAIN BENEFICIAL OWNERS</w:t>
      </w:r>
      <w:r>
        <w:rPr>
          <w:sz w:val="20"/>
          <w:szCs w:val="20"/>
          <w:color w:val="auto"/>
        </w:rPr>
        <w:tab/>
      </w:r>
      <w:r>
        <w:rPr>
          <w:rFonts w:ascii="Times New Roman" w:cs="Times New Roman" w:eastAsia="Times New Roman" w:hAnsi="Times New Roman"/>
          <w:sz w:val="18"/>
          <w:szCs w:val="18"/>
          <w:u w:val="single" w:color="auto"/>
          <w:color w:val="0000EE"/>
        </w:rPr>
        <w:t>24</w:t>
      </w:r>
    </w:p>
    <w:p>
      <w:pPr>
        <w:sectPr>
          <w:pgSz w:w="11900" w:h="16891" w:orient="portrait"/>
          <w:cols w:equalWidth="0" w:num="1">
            <w:col w:w="9019"/>
          </w:cols>
          <w:pgMar w:left="1440" w:top="263" w:right="1440" w:bottom="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1099820</wp:posOffset>
            </wp:positionH>
            <wp:positionV relativeFrom="page">
              <wp:posOffset>123190</wp:posOffset>
            </wp:positionV>
            <wp:extent cx="53492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1"/>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6"/>
        </w:trPr>
        <w:tc>
          <w:tcPr>
            <w:tcW w:w="1300" w:type="dxa"/>
            <w:vAlign w:val="bottom"/>
          </w:tcPr>
          <w:p>
            <w:pPr>
              <w:spacing w:after="0"/>
              <w:rPr>
                <w:sz w:val="20"/>
                <w:szCs w:val="20"/>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24</w:t>
            </w:r>
          </w:p>
        </w:tc>
        <w:tc>
          <w:tcPr>
            <w:tcW w:w="1300" w:type="dxa"/>
            <w:vAlign w:val="bottom"/>
          </w:tcPr>
          <w:p>
            <w:pPr>
              <w:spacing w:after="0"/>
              <w:rPr>
                <w:sz w:val="20"/>
                <w:szCs w:val="20"/>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Section 16(a) of Beneficial Ownership Reporting Compliance</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25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26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Procedures for Review, Approval and Ratification of Transactions with Related Persons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26</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Agreements with Affiliates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26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Shareholders’ Agreement</w:t>
            </w: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Hygo Shareholders’ Agreement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28</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Hygo Omnibus Agreement</w:t>
            </w: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Hygo Indemnity Agreement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Hygo Tax Indemnity Agreement</w:t>
            </w: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GMLP Omnibus Agreement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GMLP Tax Indemnification Agreement</w:t>
            </w: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Other Transactions with Related Persons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PROPOSAL NO. 2 APPROVAL OF APPOINTMENT OF ERNST &amp; YOUNG LLP AS INDEPENDENT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460" w:type="dxa"/>
            <w:vAlign w:val="bottom"/>
            <w:gridSpan w:val="2"/>
          </w:tcPr>
          <w:p>
            <w:pPr>
              <w:spacing w:after="0"/>
              <w:rPr>
                <w:sz w:val="17"/>
                <w:szCs w:val="17"/>
                <w:color w:val="auto"/>
              </w:rPr>
            </w:pPr>
          </w:p>
        </w:tc>
        <w:tc>
          <w:tcPr>
            <w:tcW w:w="30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Proposed Independent Registered Public Accounting Firm</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31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31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ADVANCE NOTICE FOR STOCKHOLDER NOMINATIONS AND PROPOSALS FOR 2023 ANNUAL</w:t>
            </w:r>
          </w:p>
        </w:tc>
        <w:tc>
          <w:tcPr>
            <w:tcW w:w="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520" w:type="dxa"/>
            <w:vAlign w:val="bottom"/>
            <w:tcBorders>
              <w:top w:val="single" w:sz="8" w:color="0000EE"/>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MEETING.</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32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32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gridSpan w:val="8"/>
          </w:tcPr>
          <w:p>
            <w:pPr>
              <w:ind w:left="480"/>
              <w:spacing w:after="0"/>
              <w:rPr>
                <w:sz w:val="20"/>
                <w:szCs w:val="20"/>
                <w:color w:val="auto"/>
              </w:rPr>
            </w:pPr>
            <w:r>
              <w:rPr>
                <w:rFonts w:ascii="Times New Roman" w:cs="Times New Roman" w:eastAsia="Times New Roman" w:hAnsi="Times New Roman"/>
                <w:sz w:val="18"/>
                <w:szCs w:val="18"/>
                <w:color w:val="auto"/>
              </w:rPr>
              <w:t>ii</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-6257290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jc w:val="center"/>
        <w:ind w:right="19"/>
        <w:spacing w:after="0" w:line="185" w:lineRule="auto"/>
        <w:rPr>
          <w:sz w:val="20"/>
          <w:szCs w:val="20"/>
          <w:color w:val="auto"/>
        </w:rPr>
      </w:pPr>
      <w:r>
        <w:rPr>
          <w:rFonts w:ascii="Times New Roman" w:cs="Times New Roman" w:eastAsia="Times New Roman" w:hAnsi="Times New Roman"/>
          <w:sz w:val="17"/>
          <w:szCs w:val="17"/>
          <w:b w:val="1"/>
          <w:bCs w:val="1"/>
          <w:color w:val="auto"/>
        </w:rPr>
        <w:t>111 W. 19</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Street, 8</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10011</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 to Be Held 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15, 2022</w:t>
      </w:r>
    </w:p>
    <w:p>
      <w:pPr>
        <w:spacing w:after="0" w:line="99" w:lineRule="exact"/>
        <w:rPr>
          <w:sz w:val="20"/>
          <w:szCs w:val="20"/>
          <w:color w:val="auto"/>
        </w:rPr>
      </w:pPr>
    </w:p>
    <w:p>
      <w:pPr>
        <w:ind w:left="300" w:right="479" w:firstLine="360"/>
        <w:spacing w:after="0" w:line="235" w:lineRule="auto"/>
        <w:rPr>
          <w:sz w:val="20"/>
          <w:szCs w:val="20"/>
          <w:color w:val="auto"/>
        </w:rPr>
      </w:pPr>
      <w:r>
        <w:rPr>
          <w:rFonts w:ascii="Times New Roman" w:cs="Times New Roman" w:eastAsia="Times New Roman" w:hAnsi="Times New Roman"/>
          <w:sz w:val="18"/>
          <w:szCs w:val="18"/>
          <w:color w:val="auto"/>
        </w:rPr>
        <w:t>This Proxy Statement and the accompanying proxy card and notice of annual meeting are provided in connection with the solicitation of proxies by and on behalf of the board of directors of New Fortress Energy Inc. (the “Board of Directors”), a Delaware corporation, for use at the Annual Meeting to be held on June 15, 2022 and any adjournments or postponements thereof. “We,” “our,” “us,” “the Company” and “NFE” each refers to New Fortress Energy Inc. The mailing address of our executive office is 111 W.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10011. This Proxy Statement, the accompanying proxy card and the notice of annual meeting are first being mailed to holders of Class A common stock, $0.01 par value per share, of the Company (“Common Stock”), on or about April 29, 2022.</w:t>
      </w:r>
    </w:p>
    <w:p>
      <w:pPr>
        <w:spacing w:after="0" w:line="9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As of the date hereof, management has no knowledge of any business that will be presented for consideration at the Annual Meeting and which would be required to be set forth in this Proxy Statement or the related proxy card other than the matters set forth in the Notice of Annual Meeting of Stockholders. If any other matter is properly presented at the Annual Meeting for consideration, it is intended that the persons named in the enclosed form of proxy and acting thereunder will vote in accordance with their best judgment on such matter.</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the stockholders of the Company will vote upon:</w:t>
      </w:r>
    </w:p>
    <w:p>
      <w:pPr>
        <w:spacing w:after="0" w:line="117" w:lineRule="exact"/>
        <w:rPr>
          <w:sz w:val="20"/>
          <w:szCs w:val="20"/>
          <w:color w:val="auto"/>
        </w:rPr>
      </w:pPr>
    </w:p>
    <w:p>
      <w:pPr>
        <w:ind w:left="1000" w:right="3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three Class III directors to serve until the 2025 annual meeting of stockholders and until their successors are duly elected or appointed and qualified;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appointment of Ernst &amp; Young LLP as independent registered public accounting firm for the Company for fiscal year 2022;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come before the annual meeting of stockholders or any adjournment of the annual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enclosed proxy is solicited by and on behalf of our Board of Directors. The expense of preparing, printing and mailing this Proxy Statement and the proxies solicited hereby will be borne by the Company. In addition to the use of the mail, proxies may be solicited by officers and directors, without additional remuneration, by personal interview, telephone or otherwise. The Company will also request brokerage firms, nominees, custodians and fiduciaries to forward proxy materials to the beneficial owners of Common Stock held of record as of the close of business on April 22, 2022, and will provide reimbursement for the cost of forwarding the material.</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As of April 22, 2022, there were 207,542,351 shares of Common Stock outstanding and entitled to vote. Each share of Common Stock entitles the holder to one vote. Stockholders of record at the close of business on April 22, 2022 are entitled to vote at the Annual Meeting or any adjournment or postponement thereof.</w:t>
      </w:r>
    </w:p>
    <w:p>
      <w:pPr>
        <w:spacing w:after="0" w:line="66" w:lineRule="exact"/>
        <w:rPr>
          <w:sz w:val="20"/>
          <w:szCs w:val="20"/>
          <w:color w:val="auto"/>
        </w:rPr>
      </w:pPr>
    </w:p>
    <w:p>
      <w:pPr>
        <w:jc w:val="both"/>
        <w:ind w:left="300" w:right="3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your shares are registered directly in your name with the Company’s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Stock Transfer &amp; Trust Company LLC, you are considered the stockholder of record with respect to those shares, and these proxy materials were sent directly to you by the Company.</w:t>
      </w:r>
    </w:p>
    <w:p>
      <w:pPr>
        <w:spacing w:after="0" w:line="65"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your shares are held in an account at a brokerage firm, bank, broker-dealer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organization, then you are the beneficial owner of shares held in “street name,” and these proxy materials will be or have been forwarded to you by your bank or broker. The bank or broker holding your account is considered the stockholder of record for purposes of voting at the Annual Meeting. As a beneficial owner, you have the right to instruct your bank or broker on how to vote the shares held in your account. If you wish to attend the Annual Meeting, you will need to obtain a “legal proxy” from your bank or broker.</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quorum will be present if the holders of a majority of the outstanding shares of Common Stock entitled to vote are present, in person or by proxy, at the Annual Meeting. If you have returned a valid proxy or if you hold your shares in your own name as holder of record and attend the Annual Meeting in person, your shares will be counted as present for the purpose of determining whether there is a quorum. Abstentions and broker “non-votes” (as described below) will be treated as shares that are present and entitled to vote for purposes of determining the presence of a quorum.</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a quorum is not present, the Annual Meeting may be adjourned by the chairman of the meeting or by the vote of a majority of the shares represented at the Annual Meeting until a quorum has been obtained.</w:t>
      </w:r>
    </w:p>
    <w:p>
      <w:pPr>
        <w:spacing w:after="0" w:line="5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For the election of the nominees to our Board of Directors, the affirmative vote of a plurality of the votes cast at the Annual Meeting is sufficient to elect the nominee if a quorum is present. For the approval of Ernst &amp; Young LLP as the Company’s independent registered public accounting firm for the fiscal year ending December 31, 2022, the affirmative vote of a majority of the votes cast at the Annual Meeting is required to approve such matter.</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8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A vote “withheld” from a director nominee or a broker non-vote on a director nominee will have no effect on the outcome of the vote because it will not be counted in the number of votes cast on a matter and a plurality of the votes cast at the Annual Meeting is required for the election of each director. Similarly, any abstentions or broker non-votes on the ratification of the appointment of the independent registered public accounting firm will not affect the outcome because abstentions and broker non-votes are not counted as votes cast.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the enclosed proxy card is properly executed and returned to us in time to be voted at the Annual Meeting, it will be voted as specified on the proxy card unless it is properly revoked prior thereto. If no specification is made on the proxy card as to any one or more of the proposals, the shares of Common Stock represented by the proxy will be voted as follows:</w:t>
      </w:r>
    </w:p>
    <w:p>
      <w:pPr>
        <w:spacing w:after="0" w:line="68"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nominees to our Board of Directors;</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appointment of Ernst &amp; Young LLP as the Company’s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the fiscal year ending December 31, 2022; and</w:t>
      </w:r>
    </w:p>
    <w:p>
      <w:pPr>
        <w:spacing w:after="0" w:line="50"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proxy holder on any other business that properly comes before the Annual Meeting or any adjournment or postponement thereof.</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of the date of this Proxy Statement, we are not aware of any other matter to be raised at the Annual Meeting.</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19" w:lineRule="exact"/>
        <w:rPr>
          <w:sz w:val="20"/>
          <w:szCs w:val="20"/>
          <w:color w:val="auto"/>
        </w:rPr>
      </w:pPr>
    </w:p>
    <w:p>
      <w:pPr>
        <w:jc w:val="both"/>
        <w:ind w:left="300" w:right="3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instruct the proxies to vote your shares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telephone, by the Internet or by signing, dating and mailing the proxy card in the postage-paid envelope provided. In addition, you may vote your shares of Common Stock in person at the Annual Meeting.</w:t>
      </w:r>
    </w:p>
    <w:p>
      <w:pPr>
        <w:spacing w:after="0" w:line="65" w:lineRule="exact"/>
        <w:rPr>
          <w:sz w:val="20"/>
          <w:szCs w:val="20"/>
          <w:color w:val="auto"/>
        </w:rPr>
      </w:pPr>
    </w:p>
    <w:p>
      <w:pPr>
        <w:jc w:val="both"/>
        <w:ind w:left="300" w:right="55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Street Name Holders</w:t>
      </w:r>
      <w:r>
        <w:rPr>
          <w:rFonts w:ascii="Times New Roman" w:cs="Times New Roman" w:eastAsia="Times New Roman" w:hAnsi="Times New Roman"/>
          <w:sz w:val="17"/>
          <w:szCs w:val="17"/>
          <w:color w:val="auto"/>
        </w:rPr>
        <w:t>. If you are a street name holder, you will receive instructions from your bank or broker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you must follow to be able to attend the Annual Meeting or to have your shares voted at the Annual Meeting.</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 to Revoke Proxy</w:t>
      </w:r>
    </w:p>
    <w:p>
      <w:pPr>
        <w:spacing w:after="0" w:line="119" w:lineRule="exact"/>
        <w:rPr>
          <w:sz w:val="20"/>
          <w:szCs w:val="20"/>
          <w:color w:val="auto"/>
        </w:rPr>
      </w:pPr>
    </w:p>
    <w:p>
      <w:pPr>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revoke your proxy instructions through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following methods:</w:t>
      </w:r>
    </w:p>
    <w:p>
      <w:pPr>
        <w:spacing w:after="0" w:line="52" w:lineRule="exact"/>
        <w:rPr>
          <w:sz w:val="20"/>
          <w:szCs w:val="20"/>
          <w:color w:val="auto"/>
        </w:rPr>
      </w:pPr>
    </w:p>
    <w:p>
      <w:pPr>
        <w:ind w:left="1000" w:right="699" w:hanging="348"/>
        <w:spacing w:after="0" w:line="259"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 written notice of revocation, prior to the Annual Meeting, to our Secretary, Mr. Cameron D. MacDougall, at New Fortress Energy Inc., 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New York 10011;</w:t>
      </w:r>
    </w:p>
    <w:p>
      <w:pPr>
        <w:spacing w:after="0" w:line="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date and mail a new proxy card to our Secretary;</w:t>
      </w:r>
    </w:p>
    <w:p>
      <w:pPr>
        <w:spacing w:after="0" w:line="9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dial the number provided on the proxy card and vote again;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 onto the Internet site provided on the proxy card and vote again;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your shares in person.</w:t>
      </w:r>
    </w:p>
    <w:p>
      <w:pPr>
        <w:spacing w:after="0" w:line="115" w:lineRule="exact"/>
        <w:rPr>
          <w:sz w:val="20"/>
          <w:szCs w:val="20"/>
          <w:color w:val="auto"/>
        </w:rPr>
      </w:pPr>
    </w:p>
    <w:p>
      <w:pPr>
        <w:ind w:left="300" w:right="10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 are a street name holder, you must contact your bank or broker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as to how you may revoke your proxy instructions.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Copies of Annual Report to Stockholders</w:t>
      </w:r>
    </w:p>
    <w:p>
      <w:pPr>
        <w:spacing w:after="0" w:line="121" w:lineRule="exact"/>
        <w:rPr>
          <w:sz w:val="20"/>
          <w:szCs w:val="20"/>
          <w:color w:val="auto"/>
        </w:rPr>
      </w:pPr>
    </w:p>
    <w:p>
      <w:pPr>
        <w:ind w:left="300" w:right="319" w:firstLine="360"/>
        <w:spacing w:after="0" w:line="230" w:lineRule="auto"/>
        <w:rPr>
          <w:sz w:val="20"/>
          <w:szCs w:val="20"/>
          <w:color w:val="auto"/>
        </w:rPr>
      </w:pPr>
      <w:r>
        <w:rPr>
          <w:rFonts w:ascii="Times New Roman" w:cs="Times New Roman" w:eastAsia="Times New Roman" w:hAnsi="Times New Roman"/>
          <w:sz w:val="18"/>
          <w:szCs w:val="18"/>
          <w:color w:val="auto"/>
        </w:rPr>
        <w:t>A copy of our Annual Report on Form 10-K for our most recently completed fiscal year, which was filed with the Securities and Exchange Commission (the “SEC”) on March 1, 2022, will be mailed to stockholders entitled to vote at the Annual Meeting who have elected to receive a hard copy of the proxy materials and is also available without charge to stockholders upon written request to: New Fortress Energy Inc., 111 W.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10011, Attention: Investor Relations. You can also find an electronic version of our Annual Report on the Investor Relations section of the NFE website (www.newfortressenergy.com).</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Broadridge Financial Solutions, Inc., our independent tabulating agent, will count the votes and act as the Inspector of Election (the “Inspector of Election”). We will publish the voting results in a Current Report on Form 8-K, which will be filed with the SEC within four business days of the Annual Meeting.</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Confidentiality of Voting</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We keep all proxies, ballots and voting tabulations confidential as a matter of practice. We permit only the Inspector of Election to examine these documents.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Recommendations of the Board of Directors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a vote:</w:t>
      </w:r>
    </w:p>
    <w:p>
      <w:pPr>
        <w:spacing w:after="0" w:line="113"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nominees to our Board of Directors; and</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appointment of Ernst &amp; Young LLP as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the Company for fiscal year 2022.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1300" w:right="1360" w:firstLine="360"/>
        <w:spacing w:after="0" w:line="282" w:lineRule="auto"/>
        <w:rPr>
          <w:sz w:val="20"/>
          <w:szCs w:val="20"/>
          <w:color w:val="auto"/>
        </w:rPr>
      </w:pPr>
      <w:r>
        <w:rPr>
          <w:rFonts w:ascii="Times New Roman" w:cs="Times New Roman" w:eastAsia="Times New Roman" w:hAnsi="Times New Roman"/>
          <w:sz w:val="18"/>
          <w:szCs w:val="18"/>
          <w:color w:val="auto"/>
        </w:rPr>
        <w:t>The first proposal is to elect three Class III directors to serve until the 2025 annual meeting of stockholders and until their respective successors are duly elected or appointed and qualified.</w:t>
      </w:r>
    </w:p>
    <w:p>
      <w:pPr>
        <w:spacing w:after="0" w:line="54" w:lineRule="exact"/>
        <w:rPr>
          <w:sz w:val="20"/>
          <w:szCs w:val="20"/>
          <w:color w:val="auto"/>
        </w:rPr>
      </w:pPr>
    </w:p>
    <w:p>
      <w:pPr>
        <w:ind w:left="1300" w:right="1320" w:firstLine="360"/>
        <w:spacing w:after="0" w:line="274" w:lineRule="auto"/>
        <w:rPr>
          <w:sz w:val="20"/>
          <w:szCs w:val="20"/>
          <w:color w:val="auto"/>
        </w:rPr>
      </w:pPr>
      <w:r>
        <w:rPr>
          <w:rFonts w:ascii="Times New Roman" w:cs="Times New Roman" w:eastAsia="Times New Roman" w:hAnsi="Times New Roman"/>
          <w:sz w:val="17"/>
          <w:szCs w:val="17"/>
          <w:color w:val="auto"/>
        </w:rPr>
        <w:t>Our Certificate of Incorporation authorizes the number of directors to be determined from time to time by resolution adopted by a majority of the Board of Directors then in office (subject to those certain exceptions in the Bylaws and the Shareholders’ Agreement, dated as of February 4, 2019, by and among the Company, Wesley R. Edens and Randal A. Nardone, as it may be amended (the “Shareholders’ Agreement”)), as described under “Certain Relationships and Related Persons”. The number of directors on the board is currently fixed at eight. Our Board of Directors is divided into three classes. The members of each class of directors serve staggered three-year terms.</w:t>
      </w:r>
    </w:p>
    <w:p>
      <w:pPr>
        <w:spacing w:after="0" w:line="10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Our current Board of Directors is classified as follows:</w:t>
      </w:r>
    </w:p>
    <w:p>
      <w:pPr>
        <w:spacing w:after="0" w:line="178"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Expiration</w:t>
            </w:r>
          </w:p>
        </w:tc>
        <w:tc>
          <w:tcPr>
            <w:tcW w:w="80" w:type="dxa"/>
            <w:vAlign w:val="bottom"/>
          </w:tcPr>
          <w:p>
            <w:pPr>
              <w:spacing w:after="0"/>
              <w:rPr>
                <w:sz w:val="16"/>
                <w:szCs w:val="16"/>
                <w:color w:val="auto"/>
              </w:rPr>
            </w:pPr>
          </w:p>
        </w:tc>
        <w:tc>
          <w:tcPr>
            <w:tcW w:w="350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51"/>
        </w:trPr>
        <w:tc>
          <w:tcPr>
            <w:tcW w:w="3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98"/>
        </w:trPr>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5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John J. Mack</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57"/>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Katherine E. Wanner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40"/>
        </w:trPr>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7"/>
        </w:trPr>
        <w:tc>
          <w:tcPr>
            <w:tcW w:w="3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35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Matthew Wilkinson</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5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II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David J. Grain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40"/>
        </w:trPr>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7"/>
        </w:trPr>
        <w:tc>
          <w:tcPr>
            <w:tcW w:w="3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35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 William Griffin</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5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III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Desmond Iain Catterall</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41"/>
        </w:trPr>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7"/>
        </w:trPr>
        <w:tc>
          <w:tcPr>
            <w:tcW w:w="3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35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Wesley R. Edens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7"/>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Randal A. Nardone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5715000</wp:posOffset>
            </wp:positionH>
            <wp:positionV relativeFrom="paragraph">
              <wp:posOffset>-1508125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-1508125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-1508125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4" w:lineRule="exact"/>
        <w:rPr>
          <w:sz w:val="20"/>
          <w:szCs w:val="20"/>
          <w:color w:val="auto"/>
        </w:rPr>
      </w:pPr>
    </w:p>
    <w:p>
      <w:pPr>
        <w:ind w:left="1300" w:right="1620"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unanimously proposed Desmond Iain Catterall, Wesley R. Edens and Randal A. Nardone as nominees for election as Class III directors. The director nominees currently serve on our Board of Directors.</w:t>
      </w:r>
    </w:p>
    <w:p>
      <w:pPr>
        <w:spacing w:after="0" w:line="68" w:lineRule="exact"/>
        <w:rPr>
          <w:sz w:val="20"/>
          <w:szCs w:val="20"/>
          <w:color w:val="auto"/>
        </w:rPr>
      </w:pPr>
    </w:p>
    <w:p>
      <w:pPr>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If elected at the Annual Meeting, each of Messrs. Catterall, Edens and Nardone will hold office until the 2025 annual meeting of stockholders and until their successors are duly elected or appointed and qualified, subject to earlier death, resignation or removal. Unless otherwise instructed, we will vote all proxies we receive FOR Desmond Iain Catterall, Wesley R. Edens and Randal A. Nardone. If either of the nominees becomes unable to stand for election as a director, an event that our Board of Directors does not presently expect, the proxy will be voted for a replacement nominee if one is designated by our Board of Directors.</w:t>
      </w:r>
    </w:p>
    <w:p>
      <w:pPr>
        <w:spacing w:after="0" w:line="75" w:lineRule="exact"/>
        <w:rPr>
          <w:sz w:val="20"/>
          <w:szCs w:val="20"/>
          <w:color w:val="auto"/>
        </w:rPr>
      </w:pPr>
    </w:p>
    <w:p>
      <w:pPr>
        <w:ind w:left="1300" w:right="150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Desmond Iain Catterall, Wesley R. Edens and Randal A. Nardone to serve as our Class III directors until the 2025 annual meeting of the stockholders and until their successors are duly elected or appointed and qualified.</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Information Concerning Our Directors, Including the Director Nominees</w:t>
      </w:r>
    </w:p>
    <w:p>
      <w:pPr>
        <w:spacing w:after="0" w:line="121" w:lineRule="exact"/>
        <w:rPr>
          <w:sz w:val="20"/>
          <w:szCs w:val="20"/>
          <w:color w:val="auto"/>
        </w:rPr>
      </w:pPr>
    </w:p>
    <w:p>
      <w:pPr>
        <w:ind w:left="1300" w:right="1340"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certain biographical information for our directors, including the director nominees, as well as the month and year each person was first elected as one of our directors.</w:t>
      </w:r>
    </w:p>
    <w:p>
      <w:pPr>
        <w:spacing w:after="0" w:line="54" w:lineRule="exact"/>
        <w:rPr>
          <w:sz w:val="20"/>
          <w:szCs w:val="20"/>
          <w:color w:val="auto"/>
        </w:rPr>
      </w:pPr>
    </w:p>
    <w:p>
      <w:pPr>
        <w:ind w:left="1300" w:right="1440" w:firstLine="360"/>
        <w:spacing w:after="0" w:line="261" w:lineRule="auto"/>
        <w:rPr>
          <w:sz w:val="20"/>
          <w:szCs w:val="20"/>
          <w:color w:val="auto"/>
        </w:rPr>
      </w:pPr>
      <w:r>
        <w:rPr>
          <w:rFonts w:ascii="Times New Roman" w:cs="Times New Roman" w:eastAsia="Times New Roman" w:hAnsi="Times New Roman"/>
          <w:sz w:val="18"/>
          <w:szCs w:val="18"/>
          <w:color w:val="auto"/>
        </w:rPr>
        <w:t>In evaluating director candidates, our Board of Directors assessed whether a candidate possessed the integrity, judgment, knowledge, experience, skill and expertise that are likely to enhance the Board of Directors’ ability to manage and direct our affairs and business, including, when applicable, to enhance the ability of committees of the Board of Directors to fulfill their duties.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gridSpan w:val="5"/>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Wesley R. Edens</w:t>
            </w: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Wesley Edens is our founder and has been our Chief Executive</w:t>
            </w:r>
          </w:p>
        </w:tc>
      </w:tr>
      <w:tr>
        <w:trPr>
          <w:trHeight w:val="216"/>
        </w:trPr>
        <w:tc>
          <w:tcPr>
            <w:tcW w:w="1400" w:type="dxa"/>
            <w:vAlign w:val="bottom"/>
          </w:tcPr>
          <w:p>
            <w:pPr>
              <w:ind w:left="13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Officer and the Chairman of our Board of Directors since</w:t>
            </w:r>
          </w:p>
        </w:tc>
      </w:tr>
      <w:tr>
        <w:trPr>
          <w:trHeight w:val="216"/>
        </w:trPr>
        <w:tc>
          <w:tcPr>
            <w:tcW w:w="1400" w:type="dxa"/>
            <w:vAlign w:val="bottom"/>
          </w:tcPr>
          <w:p>
            <w:pPr>
              <w:ind w:left="13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Founder, Chief Executive</w:t>
            </w: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August 2018. He is the Co-Chief Executive Officer of Fortress</w:t>
            </w:r>
          </w:p>
        </w:tc>
      </w:tr>
      <w:tr>
        <w:trPr>
          <w:trHeight w:val="216"/>
        </w:trPr>
        <w:tc>
          <w:tcPr>
            <w:tcW w:w="1400" w:type="dxa"/>
            <w:vAlign w:val="bottom"/>
          </w:tcPr>
          <w:p>
            <w:pPr>
              <w:ind w:left="13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 Chairman since</w:t>
            </w: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Group LLC (“Fortress”) and has been a member of the</w:t>
            </w:r>
          </w:p>
        </w:tc>
      </w:tr>
      <w:tr>
        <w:trPr>
          <w:trHeight w:val="216"/>
        </w:trPr>
        <w:tc>
          <w:tcPr>
            <w:tcW w:w="1400" w:type="dxa"/>
            <w:vAlign w:val="bottom"/>
          </w:tcPr>
          <w:p>
            <w:pPr>
              <w:ind w:left="13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2018</w:t>
            </w: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board of directors of Fortress since November 2006. Mr. Edens has</w:t>
            </w:r>
          </w:p>
        </w:tc>
      </w:tr>
      <w:tr>
        <w:trPr>
          <w:trHeight w:val="216"/>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been a member of the Management Committee of Fortress since co-</w:t>
            </w:r>
          </w:p>
        </w:tc>
      </w:tr>
      <w:tr>
        <w:trPr>
          <w:trHeight w:val="216"/>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founding Fortress in May 1998. Mr. Edens is responsible for</w:t>
            </w:r>
          </w:p>
        </w:tc>
      </w:tr>
      <w:tr>
        <w:trPr>
          <w:trHeight w:val="216"/>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oversight of Fortress’ private equity and publicly traded alternative</w:t>
            </w:r>
          </w:p>
        </w:tc>
      </w:tr>
      <w:tr>
        <w:trPr>
          <w:trHeight w:val="216"/>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businesses. He is the chairman of the board of directors</w:t>
            </w:r>
          </w:p>
        </w:tc>
      </w:tr>
      <w:tr>
        <w:trPr>
          <w:trHeight w:val="234"/>
        </w:trPr>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Drive Shack Inc. (an owner and operator of</w:t>
            </w:r>
          </w:p>
        </w:tc>
      </w:tr>
      <w:tr>
        <w:trPr>
          <w:trHeight w:val="486"/>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w:t>
            </w:r>
          </w:p>
        </w:tc>
      </w:tr>
      <w:tr>
        <w:trPr>
          <w:trHeight w:val="183"/>
        </w:trPr>
        <w:tc>
          <w:tcPr>
            <w:tcW w:w="1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66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62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golf-related leisure and entertainment businesses). He is a director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Mapeley Limited (a large full service real estate outsourcing and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company in the United Kingdom).</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Mr. Edens previously served on the board of the following publicly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traded companies and registered investment companies: Gannett Co.,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 (formerly New Media Investment Group Inc., a publisher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print and online media) from November 2013 to May 2019; One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Main Holdings, Inc. (a leading consumer finance company) from</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October 2013 to June 2018; Fortress Transportation and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Infrastructure Investors LLC (which owns and acquires high quality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infrastructure and equipment essential for the transportation of goods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people globally) from May 2015 to May 2016; Intrawest Resorts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Holdings Inc. (a resort and adventure company) from January 2014</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July 2017; Gaming and Leisure Properties, Inc. (an owner and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operator in the gaming and racing industry) from December 2013 to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October 2016; Nationstar Mortgage Holdings Inc. (a residential</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loan originator and servicer) from February 2012 to July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2016; New Residential Investment Corp. (a real estate investment</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trust primarily focused on investing in residential real estate related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assets) from April 2013 to May 2016; Brookdale Senior Living Inc.,</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September 2005 to June 2014; GAGFAH S.A. from</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September 2006 to June 2014; PENN National Gaming Inc. from</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October 2008 to November 2013; Gate House Media Inc. from June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2005 to November 2013; Aircastle Ltd. from August 2006 to August</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2012; Rail America Inc. from November 2006 to October 2012;</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Eurocastle Investment Ltd., from August 2003 to November 2011;</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Whistler Blackcomb Holdings Inc., from October 2010 to November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2012; Fortress Registered Investment Trust, from December 1999</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until it deregistered with the SEC in September 2011; FRIT PINN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from November 2001 until it deregistered with the SEC in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September 2011; and New Senior Investment Group Inc. from</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October 2014 to January 2019.</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to co-founding Fortress, Mr. Edens was a partner and managing</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 of BlackRock Financial Management, Inc. (an investment</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firm), where he headed BlackRock Asset Investors,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private equity fund. In addition, Mr. Edens was formerly a partner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managing director of Lehman Brothers Holdings Inc. Mr. Edens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received a Bachelor of Science in Finance from Oregon State</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University.</w:t>
            </w:r>
          </w:p>
        </w:tc>
      </w:tr>
      <w:tr>
        <w:trPr>
          <w:trHeight w:val="324"/>
        </w:trPr>
        <w:tc>
          <w:tcPr>
            <w:tcW w:w="130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620" w:type="dxa"/>
            <w:vAlign w:val="bottom"/>
          </w:tcPr>
          <w:p>
            <w:pPr>
              <w:spacing w:after="0"/>
              <w:rPr>
                <w:sz w:val="24"/>
                <w:szCs w:val="24"/>
                <w:color w:val="auto"/>
              </w:rPr>
            </w:pPr>
          </w:p>
        </w:tc>
      </w:tr>
      <w:tr>
        <w:trPr>
          <w:trHeight w:val="306"/>
        </w:trPr>
        <w:tc>
          <w:tcPr>
            <w:tcW w:w="130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Desmond Iain Catterall</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Iain Catterall became a member of our Board of Directors in January</w:t>
            </w:r>
          </w:p>
        </w:tc>
      </w:tr>
      <w:tr>
        <w:trPr>
          <w:trHeight w:val="216"/>
        </w:trPr>
        <w:tc>
          <w:tcPr>
            <w:tcW w:w="13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2019. Mr. Catterall currently serves as a principal and Chief</w:t>
            </w:r>
          </w:p>
        </w:tc>
      </w:tr>
      <w:tr>
        <w:trPr>
          <w:trHeight w:val="216"/>
        </w:trPr>
        <w:tc>
          <w:tcPr>
            <w:tcW w:w="13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Director since January 2019</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Officer of Kirkham Capital, an investment business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focused on seeding fund managers, a position he has held since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founding the firm in January 2009. Prior to that, Mr. Catterall served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the head of equities at Rand Merchant Bank from January 2003 to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2008 and was also a member of Rand Merchant Bank’s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board and investment committee. He was also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founding member of Thynk Capital, a private equity company, and,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to that, a founding director of Cadiz Holdings Limited, a</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Johannesburg Stock</w:t>
            </w: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6</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David J. Grain</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 William Griffin</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Director since January 2019</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right="599"/>
        <w:spacing w:after="0" w:line="258" w:lineRule="auto"/>
        <w:rPr>
          <w:sz w:val="20"/>
          <w:szCs w:val="20"/>
          <w:color w:val="auto"/>
        </w:rPr>
      </w:pPr>
      <w:r>
        <w:rPr>
          <w:rFonts w:ascii="Times New Roman" w:cs="Times New Roman" w:eastAsia="Times New Roman" w:hAnsi="Times New Roman"/>
          <w:sz w:val="18"/>
          <w:szCs w:val="18"/>
          <w:color w:val="auto"/>
        </w:rPr>
        <w:t>Exchange listed financial services company. Mr. Catterall holds a Bachelor of Commerce degree from the University of Natal (Durban). We believe that Mr. Catterall’s extensive experience in emerging markets, capital markets and financial services brings valuable expertise to our Board of Directors.</w:t>
      </w:r>
    </w:p>
    <w:p>
      <w:pPr>
        <w:spacing w:after="0" w:line="399" w:lineRule="exact"/>
        <w:rPr>
          <w:sz w:val="20"/>
          <w:szCs w:val="20"/>
          <w:color w:val="auto"/>
        </w:rPr>
      </w:pPr>
    </w:p>
    <w:p>
      <w:pPr>
        <w:ind w:right="319"/>
        <w:spacing w:after="0" w:line="266" w:lineRule="auto"/>
        <w:rPr>
          <w:sz w:val="20"/>
          <w:szCs w:val="20"/>
          <w:color w:val="auto"/>
        </w:rPr>
      </w:pPr>
      <w:r>
        <w:rPr>
          <w:rFonts w:ascii="Times New Roman" w:cs="Times New Roman" w:eastAsia="Times New Roman" w:hAnsi="Times New Roman"/>
          <w:sz w:val="17"/>
          <w:szCs w:val="17"/>
          <w:color w:val="auto"/>
        </w:rPr>
        <w:t>David Grain became a member of our Board of Directors in January 2019. Mr. Grain currently serves as the Chief Executive Officer of Grain Management, LLC, a private equity firm focused on investments in the media and communications sectors, which he founded in 2006. Prior to founding Grain Management, LLC, from January 2003 to December 2005, Mr. Grain served as 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 in the region. Prior to leading AT&amp;T Broadband’s New England operations, Mr. Grain spent more than a decade in the financial services industry, most recently at Morgan Stanley &amp; Co. LLC, a financial services company, in New York from 1992 to 2000 where he focused primarily on telecommunications, media and technology companies. Mr. Grain serves on the board of directors of The Southern Company (NYSE: SO), a gas and electric utility company, and of Dell Technologies (NYSE: DELL), a multinational technology company, trustee of the Brookings Institution, a member of the advisory council of the National Museum of African American History and Culture, and a member of the board of the Martha’s Vineyard Museum. He is also a Lifetime Member of the Council on Foreign Relations, and a member of Business Executives for National Security.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brings valuable skills and leadership to our Board of Directors.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19"/>
        <w:spacing w:after="0" w:line="268" w:lineRule="auto"/>
        <w:rPr>
          <w:sz w:val="20"/>
          <w:szCs w:val="20"/>
          <w:color w:val="auto"/>
        </w:rPr>
      </w:pPr>
      <w:r>
        <w:rPr>
          <w:rFonts w:ascii="Times New Roman" w:cs="Times New Roman" w:eastAsia="Times New Roman" w:hAnsi="Times New Roman"/>
          <w:sz w:val="17"/>
          <w:szCs w:val="17"/>
          <w:color w:val="auto"/>
        </w:rPr>
        <w:t>Bill Griffin became a member of our Board of Directors in January 2019. Mr. Griffin has more than 45 years of experience in financial services. Mr. Griffin currently serves as Executive Chairman of ServiceMac, a privately held financial services company specializing in mortgage sub-servicing. He previously served as Executive Vice President, Enterprise Strategy of ServiceLink, LLC, helping deliver end-to-end solutions to large financial institutions from January 2017 until mid-2019.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 He also served as President and Chief Executive Officer from 2002 to 2003 when Lender</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080" w:space="640"/>
            <w:col w:w="5299"/>
          </w:cols>
          <w:pgMar w:left="1440" w:top="263" w:right="1440" w:bottom="1440" w:gutter="0" w:footer="0" w:header="0"/>
        </w:sectPr>
      </w:pPr>
    </w:p>
    <w:bookmarkStart w:id="13" w:name="page14"/>
    <w:bookmarkEnd w:id="13"/>
    <w:tbl>
      <w:tblPr>
        <w:tblLayout w:type="fixed"/>
        <w:tblInd w:w="300" w:type="dxa"/>
        <w:tblCellMar>
          <w:top w:w="0" w:type="dxa"/>
          <w:left w:w="0" w:type="dxa"/>
          <w:bottom w:w="0" w:type="dxa"/>
          <w:right w:w="0" w:type="dxa"/>
        </w:tblCellMar>
      </w:tblPr>
      <w:tr>
        <w:trPr>
          <w:trHeight w:val="161"/>
        </w:trPr>
        <w:tc>
          <w:tcPr>
            <w:tcW w:w="3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300" w:type="dxa"/>
            <w:vAlign w:val="bottom"/>
          </w:tcPr>
          <w:p>
            <w:pPr>
              <w:spacing w:after="0"/>
              <w:rPr>
                <w:sz w:val="13"/>
                <w:szCs w:val="13"/>
                <w:color w:val="auto"/>
              </w:rPr>
            </w:pPr>
          </w:p>
        </w:tc>
      </w:tr>
      <w:tr>
        <w:trPr>
          <w:trHeight w:val="434"/>
        </w:trPr>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Processing Services was acquired by Fidelity. Mr. Griffin holds a</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Bachelor of Business Administration degree from The University of</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Georgia. We believe that Mr. Griffin’s leadership and extensive</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financial experience bring significant value to our Board of</w:t>
            </w: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Directors.</w:t>
            </w:r>
          </w:p>
        </w:tc>
      </w:tr>
      <w:tr>
        <w:trPr>
          <w:trHeight w:val="32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306"/>
        </w:trPr>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Randal A. Nardone</w:t>
            </w: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Randal Nardone has been a member of our Board of Directors since</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August 2018. He has also been a member of the board of directors of</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since August 2018</w:t>
            </w: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Fortress since November 2006 and has been a member of the</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Committee of Fortress since he co-founded it in 1998.</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Mr. Nardone served as Fortress’s Chief Executive Officer from July</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2013 through December 2017, after serving as its Interim Chief</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Officer from December 2011 to July 2013. From June</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2002 to September 2016, Mr. Nardone also served as Secretary for</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Drive Shack Inc., an owner and operator of golf-related leisure and</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entertainment businesses. Mr. Nardone is a director of Eurocastle</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Limited. Mr. Nardone also previously served on the</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board of directors of Alea Group Holdings (Bermuda) Ltd. from July</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2007 to September 2014; GAGFAH S.A. from September 2006 to</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June 2014; and Brookdale Senior Living, Inc. from January 2011 to</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June 2014. Mr. Nardone was previously a managing director of UBS</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May 1997 to May 1998. Prior to joining UBS in 1997, Mr.</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Nardone was a principal of BlackRock Financial Management, Inc.</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to joining BlackRock Financial Management, Inc., Mr.</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Nardone was a partner and a member of the executive committee at</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law firm of Thacher Proffitt &amp; Wood. Mr. Nardone received a</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Bachelor of Arts in English and Biology from the University of</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Connecticut and a Juris Doctor from Boston University School of</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Law. We believe that Mr. Nardone’s leadership, management</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experience and experience with corporate and securities law bring</w:t>
            </w: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valuable experience to our Board of Directors.</w:t>
            </w:r>
          </w:p>
        </w:tc>
      </w:tr>
      <w:tr>
        <w:trPr>
          <w:trHeight w:val="32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306"/>
        </w:trPr>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John J. Mack</w:t>
            </w: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John Mack became a member of our Board of Directors in January</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2019. From March 2012 until his retirement in December 2014, Mr.</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since January 2019</w:t>
            </w: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Mack served as a Senior Advisor for Kohlberg, Kravis, Roberts &amp;</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Co., L.P. Prior to that, Mr. Mack served as Chairman of the Board of</w:t>
            </w: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Morgan Stanley, a financial services company, from June 2005 to</w:t>
            </w:r>
          </w:p>
        </w:tc>
      </w:tr>
    </w:tbl>
    <w:p>
      <w:pPr>
        <w:ind w:left="3720" w:right="319"/>
        <w:spacing w:after="0" w:line="251" w:lineRule="auto"/>
        <w:rPr>
          <w:sz w:val="20"/>
          <w:szCs w:val="20"/>
          <w:color w:val="auto"/>
        </w:rPr>
      </w:pPr>
      <w:r>
        <w:rPr>
          <w:rFonts w:ascii="Times New Roman" w:cs="Times New Roman" w:eastAsia="Times New Roman" w:hAnsi="Times New Roman"/>
          <w:sz w:val="18"/>
          <w:szCs w:val="18"/>
          <w:color w:val="auto"/>
        </w:rPr>
        <w:t>December 2011, and served as the Chief Executive Officer of Morgan Stanley from June 2005 until December 2009, during which time he oversaw the firm’s conversion into a bank holding company. Mr. Mack was Co-Chief Executive Officer of Credit Suisse Group from 2003 to 2004 and the President, Chief Executive Officer and a director of Credit Suisse First Boston from 2001 to 2004. He became the President, Chief Operating Officer and a director of Morgan Stanley Dean Witter &amp; Co. in May 1997 and served in that position until 2001. Mr. Mack joined Morgan Stanley in May 1972 in the bond department and served as head of the Worldwide Taxable Fixed Income Division from 1985 to 1992, became a member of the board of directors in 1987, became Chairman of the Operating Committee in March 1992 and became President in June 1993. Mr. Mack is a senior advisor to Morgan Stanley &amp; Co. LLC. Mr. Mack served on the board of directors of LendingClub</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62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Corporation from December 2014 to June 2019 and of Glencore plc</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June 2013 to April 2021. Mr. Mack holds a Bachelor of Arts</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degree in History from Duke University. Mr. Mack was chosen to</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serve on our Board of Directors because of his extensive experience</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advising and managing banking and financial services companies.</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Mr. Mack was nominated as a member of our Board of Directors by</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certain other members of our Board of Directors. We believe that Mr.</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Mack’s strong business leadership experience brings important</w:t>
            </w: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insight and skills to our Board of Directors.</w:t>
            </w:r>
          </w:p>
        </w:tc>
      </w:tr>
      <w:tr>
        <w:trPr>
          <w:trHeight w:val="324"/>
        </w:trPr>
        <w:tc>
          <w:tcPr>
            <w:tcW w:w="1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06"/>
        </w:trPr>
        <w:tc>
          <w:tcPr>
            <w:tcW w:w="1300" w:type="dxa"/>
            <w:vAlign w:val="bottom"/>
          </w:tcPr>
          <w:p>
            <w:pPr>
              <w:spacing w:after="0"/>
              <w:rPr>
                <w:sz w:val="24"/>
                <w:szCs w:val="24"/>
                <w:color w:val="auto"/>
              </w:rPr>
            </w:pPr>
          </w:p>
        </w:tc>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Katherine E. Wanner</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Katherine Wanner became a member of our Board of Directors in</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2019. From 1993 to 1997, Ms. Wanner served in various</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since January 2019</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roles within the finance, communications and business development</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groups at Brinson Partners Inc. and UBS Global Asset Management,</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where she was responsible for the revenue cycle, statistical analysis</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market research, and later joined the private equity group in</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1998. In 2001, Ms. Wanner was a founding Partner at Adams Street</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Partners, LLC, a global private equity firm with over $51 billion in</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assets under its management and offices in 11 locations around the</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world, and the successor firm to Brinson Partners Inc. and UBS</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Global Asset Management. From 2007 until her retirement in 2015,</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Wanner managed Adams Street Partners’ US Primary</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team and served on the firm’s Global Primary Investment</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 which was responsible for sourcing, analyzing and</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monitoring investments in private equity partnerships, implementing</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strategy and approving all primary fund investments. Post</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Wanner’s retirement from Adams Street Partners in 2015,</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Wanner has served as an Operating Partner at Abundant Venture</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Partners from 2016 to April 2018. Since April 2018 and currently,</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Wanner serves as an Advisor at Abundant Venture Partners.</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Since 1998, Ms. Wanner has served on many private equity and</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venture capital advisory boards and completed many primary</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 across several sectors, and was responsible for</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managing relationships with several of the firm’s United States based</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venture, energy focused and special situation managers.</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Additionally, from 1989 to 1993, Ms. Wanner gained experience in</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statistical modeling, reporting, tracking and analysis as a Senior</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Financial Analyst at Frontier Risk Management, Range Wise, Inc.</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Morgan Stanley &amp; Co. LLC. Ms. Wanner received a Bachelor of</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Science in Finance from Binghamton University and a Master of</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Business Administration from the Kellogg School of Management at</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Northwestern University. Ms. Wanner was nominated as a member</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our Board of Directors by certain other members of our Board of</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Directors. We believe Ms. Wanner’s extensive financial experience</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business investments and asset management brings significant</w:t>
            </w: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 to our Board of Directors.</w:t>
            </w:r>
          </w:p>
        </w:tc>
      </w:tr>
      <w:tr>
        <w:trPr>
          <w:trHeight w:val="324"/>
        </w:trPr>
        <w:tc>
          <w:tcPr>
            <w:tcW w:w="1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06"/>
        </w:trPr>
        <w:tc>
          <w:tcPr>
            <w:tcW w:w="1300" w:type="dxa"/>
            <w:vAlign w:val="bottom"/>
          </w:tcPr>
          <w:p>
            <w:pPr>
              <w:spacing w:after="0"/>
              <w:rPr>
                <w:sz w:val="24"/>
                <w:szCs w:val="24"/>
                <w:color w:val="auto"/>
              </w:rPr>
            </w:pPr>
          </w:p>
        </w:tc>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Matthew Wilkinson</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Matthew Wilkinson became a member of our Board of Directors in</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2019. Mr. Wilkinson currently serves as managing director</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since January 2019</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Great Mountain Partners LLC. Previously, Mr. Wilkinson served</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a director at ICG Advisors from March 2018 until May 2020.</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to that, Mr. Wilkinson served as vice president of strategy for</w:t>
            </w: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Kayne Anderson Capital Advisors</w:t>
            </w:r>
          </w:p>
        </w:tc>
      </w:tr>
      <w:tr>
        <w:trPr>
          <w:trHeight w:val="486"/>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9</w:t>
            </w:r>
          </w:p>
        </w:tc>
      </w:tr>
      <w:tr>
        <w:trPr>
          <w:trHeight w:val="196"/>
        </w:trPr>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3720" w:right="319"/>
        <w:spacing w:after="0" w:line="252" w:lineRule="auto"/>
        <w:rPr>
          <w:sz w:val="20"/>
          <w:szCs w:val="20"/>
          <w:color w:val="auto"/>
        </w:rPr>
      </w:pPr>
      <w:r>
        <w:rPr>
          <w:rFonts w:ascii="Times New Roman" w:cs="Times New Roman" w:eastAsia="Times New Roman" w:hAnsi="Times New Roman"/>
          <w:sz w:val="18"/>
          <w:szCs w:val="18"/>
          <w:color w:val="auto"/>
        </w:rPr>
        <w:t>from January 2017 to March 2018. Prior to joining Kayne Anderson Capital Advisors, Mr. Wilkinson was with the State of Michigan Retirement Systems (“SMRS”) from July 2011 to January 2017, most recently serving as a senior portfolio manager in the short-term, absolute return and real return division from September 2014 to January 2017, where he built out and managed a real assets portfolio with $2 billion in commitments and a special situations portfolio with over $800 million in commitments for SMRS. Prior to SMRS, he founded and operated his own investment firm primarily focused on investing in small cap equities. Mr. Wilkinson holds a Masters of Business Administration from Michigan State University and a Bachelor of Arts (magna cum laude) from Ohio State University. Mr. Wilkinson was nominated as a member of our Board of Directors by certain other members of our Board of Directors. We believe that Mr. Wilkinson’s leadership, management experience and strong background in corporate finance, bring important and valuable skills to our Board of Directors.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Determination of Director Independence</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If required under the listing standards of the Nasdaq Stock Market LLC (the “Nasdaq”), the Board of Directors shall be comprised of a majority of directors who qualify as independent directors (“Independent Directors”) under the listing standards of Nasdaq.</w:t>
      </w:r>
    </w:p>
    <w:p>
      <w:pPr>
        <w:spacing w:after="0" w:line="68"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Pursuant to the Company’s Corporate Governance Guidelines, the Board of Directors must be comprised of a majority of directors who qualify as independent directors under the listing standards of Nasdaq (such directors, “Independent Directors”). The Board of Directors review annually the relationships that each director has with the Company (either directly or as a partner, shareholder or officer of an organization that has a relationship with the Company). Following such annual review, only those directors who the Board of Directors affirmatively determines satisfy the applicable independence will be considered Independent Directors. The Board of Directors may adopt and disclose categorical standards to assist it in determining director independence. In the event that a director becomes aware of any change in circumstances that may result in such director no longer being considered independent under the listing standards of Nasdaq or under applicable law, the director must promptly inform the Chair of the Nominating and Corporate Governance Committee if such committee is established. Our Board of Directors determined that Messrs. Griffin, Mack, Wilkinson, Grain and Catterall and Ms. Wanner qualify as independent directors under the corporate governance standards of Nasdaq.</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Statement on Corporate Governance</w:t>
      </w:r>
    </w:p>
    <w:p>
      <w:pPr>
        <w:spacing w:after="0" w:line="12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We emphasize the importance of professional business conduct and ethics through our corporate governance initiatives. Our Board of Directors consists of a majority of independent directors under the corporate governance standards of Nasdaq. We have adopted Corporate Governance Guidelines and a Code of Business Conduct and Ethics (the “Code of Conduct”), which delineate our standards for our employees, officers and directors. We make available, free of charge through a link on our website, our annual reports on Form 10-K, quarterly reports on Form 10-Q, current reports on Form 8-K, and amendments to such reports, if any, as filed with the SEC as soon as reasonably practicable after such filing. Our website also contains our Code of Conduct, Corporate Governance Guidelines, and the charters of the Audit Committee and Compensation Committee of our Board of Directors. Our website address is www.newfortressenergy.com. You may also obtain these documents by writing the Company at 111 W. 19th Street, 8th Floor, New York, New York 10011, Attention: Investor Relations.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As part of our strategy, we are focused on supporting the transition to a low-carbon economy and aim to provide cleaner energy solutions around the world sustainable by leveraging our expertise and business and financing relationships, as well as our access to capital. We highlighted certain of our current sustainability solutions and investments in our Form 10-K for the year ended December 31, 2021, and we expect to continue to explore additional sustainability-related opportunities.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As mentioned above, the Board of Directors has adopted the Code of Conduct, which is available on our website, that applies to all of our officers, directors and employees, including our principal executive officer and principal financial officer. The purpose of the Code of Conduct is to promote, among other things:</w:t>
      </w:r>
    </w:p>
    <w:p>
      <w:pPr>
        <w:spacing w:after="0" w:line="68"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public communications and reports and documents that the Company files with, or submits to, the SEC;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Conduct and the reporting of violations thereof.</w:t>
      </w:r>
    </w:p>
    <w:p>
      <w:pPr>
        <w:spacing w:after="0" w:line="117"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Any waiver of the Code of Conduct may be made only by our Board of Directors and will be promptly disclosed as required by applicable U.S. federal securities laws and the corporate governance rules of Nasdaq, by posting such information on our website at the address and location specified above.</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Company does not have a policy to separate the roles of Chief Executive Officer and Chairman of the Board of Directors, as the Board of Directors believes it is in the best interests of the Company to make that determination based on the position and direction of the Company and the membership of the Board. Mr. Edens has served as both the Chairman of our Board of Directors and Chief Executive Officer since August 2018. The Board of Directors believes that having Mr. Edens serve as both Chief Executive Officer and Chairman is an appropriate, effective and efficient leadership structure, and has determined that combining the Chief Executive Officer and Chairman roles provides for clear accountability and leadership responsibility, and facilitates effective decision-making and a cohesive corporate strategy. The Board of Directors periodically reviews its leadership structure. The Company does not have a lead independent director; however, an independent director may preside over any executive sessions.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Status as a Controlled Company</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Because Messrs. Edens, Nardone and Fortress Investment Group LLC collectively hold more than 50% of the voting power of our shares, we are a controlled company under the Nasdaq corporate governance standards. A controlled company does not need its board of directors to have a majority of independent directors or to form independent compensation and nominating and corporate governance committees. As a controlled company, we remain subject to the rules of the Sarbanes-Oxley Act and Nasdaq that require us to have an audit committee with at least three members and composed entirely of independent directors.</w:t>
      </w:r>
    </w:p>
    <w:p>
      <w:pPr>
        <w:spacing w:after="0" w:line="7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If at any time we cease to be a controlled company, we will take all action necessary to comply with the Sarbanes-Oxley Act and Nasdaq corporate governance standards, including by appointing a majority of independent directors to our Board of Directors, subject to a permitted “phase-in” period.</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and Its Committees</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the number of directors that constitute the whole Board of Directors shall be determined from time to time by resolution adopted by a majority of the Board of Directors then in office (subject to those certain exceptions in the Bylaws and the Shareholders’ Agreement). Our Board of Directors currently consists of eight directors. Our Board of Directors is divided into three classes of directors, with each class as equal in number as possible, serving staggered three-year terms. Class I, Class II and Class III directors will serve until our annual general meeting in 2023, 2024 and 2022, respectively. Messrs. Mack and Wilkinson and Ms. Wanner are assigned to Class I; Messrs. Grain and Griffin are assigned to Class II; and Messrs. Edens, Nardone and Catterall are assigned to Class III. At each succeeding annual meeting, directors will be elected to succeed the class of directors whose terms have expired. This classification of the Board of Directors could have the effect of increasing the length of time necessary to change the composition of a majority of the Board of Directors. In general, at least two annual general meetings will be necessary to effect a change in a majority of the members of the Board of Directors. All officers serve at the discretion of the Chief Executive Officer or the Board of Directors.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Neither our Certificate of Incorporation nor our Bylaws provide for cumulative voting in the election of directors, which means that the holders of a majority of our issued and outstanding shares of Common Stock may elect all of the directors standing for election, and the holders of the remaining shares of Common Stock will not be able to elect any directors.</w:t>
      </w:r>
    </w:p>
    <w:p>
      <w:pPr>
        <w:spacing w:after="0" w:line="72"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our Board of Directors held ten meetings. No director attended fewer than 75 percent of all meetings of our Board of Directors and the committees on which such director served. The Board of Directors has three standing committees: the Audit Committee, the Compensation Committee and the Regulatory Compliance Committee. During 2021, the Audit Committee met five times and the Compensation Committee and the Regulatory Compliance Committee each met one time. Although director attendance at the Company’s annual meeting each year is encouraged, the Company does not have an attendance policy.</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are required to have an audit committee of at least three members, and all of its members are required to meet the independence and experience standards established by Nasdaq and the Exchange Act. We have established an audit committee compliant with Nasdaq and SEC rules, whereby Ms. Wanner and Messrs. Grain and Griffin serve as members of such committee with Ms. Wanner serving as the chairperson. SEC rules also require that a public company disclose whether or not its audit committee has at least one “audit committee financial expert” as a member. Ms. Wanner satisfies the definition of “audit committee financial expert.” As required by the SEC rules and Nasdaq listing standards, our Board of Directors have affirmatively determined that each of Messrs. Grain and Griffin and Ms. Wanner meet the definition of “independent director.” We adopted an audit committee charter defining the committee’s primary duties in a manner consistent with the rules of the SEC and Nasdaq standards. You can find an electronic version of our audit committee charter on the Investor Relations section of the NFE website (www.newfortressenergy.com).</w:t>
      </w:r>
    </w:p>
    <w:p>
      <w:pPr>
        <w:spacing w:after="0" w:line="8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of Directors in its oversight of the integrity of our financial statements and our compliance with legal and regulatory requirements and company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been given unrestricted access to the audit committee and our management.</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 Oversight</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The Company’s risk management is overseen by the Chief Executive Officer, who receives reports directly from employees and individuals who perform services for the Company. Material risks are identified and prioritized by management, and material risks are periodically discussed with the Board of Directors. The Board of Directors regularly reviews information regarding the Company’s credit, liquidity and operations, including risks and contingencies associated with each area. In addition to the formal compliance program, the Board of Directors encourages management to promote a corporate culture that incorporates risk management into the Company’s corporate strategy and day-to-day business operations.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Because we are a “controlled company” within the meaning of Nasdaq corporate governance standards, we are not required to have a compensation committee. However, we established a compensation committee to ease the administrative burden on the full Board of Directors. So long as we continue to be a controlled company, our compensation committee is not required to be comprised solely of independent directors. As such, Messrs. Edens and Nardone serve as the members of our compensation committee. Our compensation committee has established and directs our compensation program for our officers and employees, including administration of our incentive compensation and benefit plans, to the full extent permitted pursuant to those plans and arrangements. However, the Board of Directors will retain authority to grant and amend awards under our omnibus incentive plan that are (i) subject to Section 16 of the Exchange Act and (ii) granted to our officers who are subject to the reporting obligations of Section 16 of the Exchange Act and members of the Board of Directors. We adopted 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compensation committee charter defining the committee’s primary duties and authority. You can find an electronic version of our compensation committee charter on the Investor Relations section of the NFE website (www.newfortressenergy.com).</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Because we are a “controlled company” within the meaning of Nasdaq corporate governance standards, we are not required to, and do not currently, have a nominating and corporate governance committee. See “Certain Relationships and Related Transactions—Shareholders’ Agreement” for additional information about our controlling shareholder’s ability to designate certain members of our Board.</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and when we are no longer a “controlled company” within the meaning of Nasdaq corporate governance standards, we will be required to establish a nominating and corporate governance committee. We anticipate that such a nominating and corporate governance committee would consist of three directors who will be “independent” under the rules of the SEC and Nasdaq.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Nasdaq or market standards.</w:t>
      </w:r>
    </w:p>
    <w:p>
      <w:pPr>
        <w:spacing w:after="0" w:line="8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Our Bylaws provides certain procedures that a stockholder must follow to nominate persons for election to the Board of Directors. Nominations for director at an annual stockholder meeting must be submitted in writing to the Company’s Secretary at New Fortress Energy Inc., 111 W. 19th Street, 8th Floor, New York, New York 10011. The Secretary must receive the notice of a stockholder’s intention to introduce a nomination at an annual stockholder meeting (together with certain required information set forth in our Bylaws) within the timeframes set forth below under “Advance Notice for Stockholder Nominations and Proposals for 2023 Annual Meeting.”</w:t>
      </w:r>
    </w:p>
    <w:p>
      <w:pPr>
        <w:spacing w:after="0" w:line="7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Board of Directors is responsible for nominating members for election to the Board and for filling vacancies on the Board that may occur between annual meetings of stockholders. The Board believes that the qualifications for serving as a director of the Company are, taking into account such person’s familiarity with the Company, possession of such knowledge, experience, skills, expertise, integrity and diversity as would enhance the Board’s ability to manage and direct the affairs and business of the Company, including, when applicable, the ability of committees of the Board to fulfill their duties and/or to satisfy any independence requirements imposed by law, regulation or Nasdaq rule.</w:t>
      </w:r>
    </w:p>
    <w:p>
      <w:pPr>
        <w:spacing w:after="0" w:line="8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addition to considering a director-candidate’s background and accomplishments, the process for identifying and evaluating all nominees includes a review of the current composition of the Board of Directors and the evolving needs of our business. The Board will identify potential nominees by asking current directors and executive officers to notify the Board if they become aware of suitable candidates. The Board also may, from time to time, engage firms that specialize in identifying director candidates. As described above, the Board will also consider candidates recommended by stockholders. Our evaluation of nominees does not necessarily vary depending on whether or not the nominee was nominated by a stockholder. In considering candidates submitted by stockholders, the Board may take into consideration the number of shares of Common Stock held by the recommending stockholder and the length of time that such shares have been held. We do not have a formal policy with regard to the consideration of diversity in identifying director nominees, but the Board strives to nominate individuals with a variety of complementary skills. The Board assesses its achievement of diversity through the review of the Board’s composition as part of the Board’s annual self-assessment process.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the Board of Directors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Stockholders or other interested parties can contact any director, any committee of the Board of Directors or our independent directors as a group, by writing to them care of: General Counsel and Secretary, 111 W. 19th Street, 8th Floor, New York, New York 10011. All such communications will be forwarded to the appropriate member(s) of the Board of Directors. Any complaints relating to the Company’s accounting, internal accounting controls or auditing matters will also be referred to members of the Audit Committee.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1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In accordance with and to the extent permitted by the rules of the SEC, the information contained in the following Report of the Audit Committee shall not be incorporated by reference into any of the Company’s future filings made under the Exchange Act, and shall not be deemed to be “soliciting material” or to be “filed” under the Exchange Act or the Securities Act of 1933, as amended (the “Securities Act”).</w:t>
      </w:r>
    </w:p>
    <w:p>
      <w:pPr>
        <w:spacing w:after="0" w:line="74"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operates under a written charter approved by the Board of Directors, consistent with the corporate governance rules issued by the SEC and Nasdaq. The Audit Committee’s charter is available on the Company’s website at www.newfortressenergy.com. The members of the Audit Committee hold executive sessions during the course of the year.</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It is not the duty of the Audit Committee to prepare the Company’s financial statements, to plan or conduct audits or to determine that the Company’s financial statements are complete and accurate in accordance with generally accepted accounting principles. Management has the primary responsibility for the financial statements and the reporting process, including the system of internal controls. The independent registered public accounting firm is responsible for auditing the financial statements and expressing an opinion as to whether those audited financial statements fairly present the financial position, results of operations and cash flows of the Company in conformity with generally accepted accounting principles.</w:t>
      </w:r>
    </w:p>
    <w:p>
      <w:pPr>
        <w:spacing w:after="0" w:line="84"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the independent registered public accounting firm the Company’s internal control over financial reporting, including a review of management’s and the independent registered public accounting firm’s assessments of and reports on the effectiveness of internal control over financial reporting and any significant deficiencies or material weaknesses.</w:t>
      </w:r>
    </w:p>
    <w:p>
      <w:pPr>
        <w:spacing w:after="0" w:line="72"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the audited financial statements in the annual report on Form 10-K.</w:t>
      </w:r>
    </w:p>
    <w:p>
      <w:pPr>
        <w:spacing w:after="0" w:line="54"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has discussed with the independent registered public accounting firm the matters required to be discussed by the applicable requirements of the Public Company Accounting Oversight Board (“PCAOB”) and the SEC, including the auditor’s judgment as to the quality, not just the acceptability, of the accounting principles, the consistency of their application and the clarity and completeness of the audited financial statements.</w:t>
      </w:r>
    </w:p>
    <w:p>
      <w:pPr>
        <w:spacing w:after="0" w:line="75"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the applicable PCAOB requirements and has discussed with the independent registered public accounting firm their independence.</w:t>
      </w:r>
    </w:p>
    <w:p>
      <w:pPr>
        <w:spacing w:after="0" w:line="6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(and the Board of Directors agreed) that the audited financial statements be included in the annual report on Form 10-K for the year ended December 31, 2021, for filing with the SEC. The Audit Committee and the Board of Directors also have recommended, subject to shareholder approval, the selection of the Company’s independent registered public accounting firm for fiscal year 2022.</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Katherine E. Wanner, Chairperson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David J. Grain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 William Griffin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executive officers of the Company:</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74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0"/>
        </w:trPr>
        <w:tc>
          <w:tcPr>
            <w:tcW w:w="3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r>
      <w:tr>
        <w:trPr>
          <w:trHeight w:val="311"/>
        </w:trPr>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Wesley R. Edens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740" w:type="dxa"/>
            <w:vAlign w:val="bottom"/>
          </w:tcPr>
          <w:p>
            <w:pPr>
              <w:spacing w:after="0"/>
              <w:rPr>
                <w:sz w:val="4"/>
                <w:szCs w:val="4"/>
                <w:color w:val="auto"/>
              </w:rPr>
            </w:pPr>
          </w:p>
        </w:tc>
      </w:tr>
      <w:tr>
        <w:trPr>
          <w:trHeight w:val="27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Yunyoung Shin</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54"/>
        </w:trPr>
        <w:tc>
          <w:tcPr>
            <w:tcW w:w="3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-633730</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-633730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both"/>
        <w:ind w:left="300" w:right="339"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Wesley R. Edens. </w:t>
      </w:r>
      <w:r>
        <w:rPr>
          <w:rFonts w:ascii="Times New Roman" w:cs="Times New Roman" w:eastAsia="Times New Roman" w:hAnsi="Times New Roman"/>
          <w:sz w:val="17"/>
          <w:szCs w:val="17"/>
          <w:color w:val="auto"/>
        </w:rPr>
        <w:t>Wesley Edens is our founder and has served as our Chief Executive Officer and the Chairman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our Board of Directors since August 2018. For more information regarding Mr. Edens, see above under “Proposal No. 1 Election of Directors—Information Concerning Our Directors, Including the Director Nominees.”</w:t>
      </w:r>
    </w:p>
    <w:p>
      <w:pPr>
        <w:spacing w:after="0" w:line="47"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Christopher S. Guinta. </w:t>
      </w:r>
      <w:r>
        <w:rPr>
          <w:rFonts w:ascii="Times New Roman" w:cs="Times New Roman" w:eastAsia="Times New Roman" w:hAnsi="Times New Roman"/>
          <w:sz w:val="18"/>
          <w:szCs w:val="18"/>
          <w:color w:val="auto"/>
        </w:rPr>
        <w:t>Mr. Guinta has served as our Chief Financial Officer since August 2018, and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New Fortress Energy 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Yunyoung Shin. </w:t>
      </w:r>
      <w:r>
        <w:rPr>
          <w:rFonts w:ascii="Times New Roman" w:cs="Times New Roman" w:eastAsia="Times New Roman" w:hAnsi="Times New Roman"/>
          <w:sz w:val="18"/>
          <w:szCs w:val="18"/>
          <w:color w:val="auto"/>
        </w:rPr>
        <w:t>Ms. Shin has served as our Chief Accounting Officer since March 2019. Ms. Shin was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 Senior Vice President of the Private Equity group at Fortress, from 2013 to 2019, where she served in various accounting capacities focusing on mergers and acquisitions and capital markets transactions. Ms. Shin began her career at KPMG LLP where she spent over 10 years serving audit and advisory clients primarily in the energy industry and providing wide-ranging technical accounting and financial reporting expertise in KPMG’s department of professional practice. Prior to joining Fortress, Ms. Shin served as vice president in the global accounting policy and advisory group at American Express from 2011 to 2013.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jc w:val="both"/>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Discussion and Analysis that follows provides a description of our compensation program for each of the individuals listed below. We refer to these individuals throughout the Compensation Discussion and Analysis and the tables that follow as our named executive officers. For 2021, our named executive officers were as follows:</w:t>
      </w:r>
    </w:p>
    <w:p>
      <w:pPr>
        <w:spacing w:after="0" w:line="72"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Wesley R. Edens,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 Guinta,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Yunyoung Shin, Chief Accounting Officer</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in Executive Compensation</w:t>
      </w:r>
    </w:p>
    <w:p>
      <w:pPr>
        <w:spacing w:after="0" w:line="121"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In 2021, our Compensation Committee made all decisions regarding the compensation levels of our named executive officers. It is our Compensation Committee’s responsibility to:</w:t>
      </w:r>
    </w:p>
    <w:p>
      <w:pPr>
        <w:spacing w:after="0" w:line="54"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design of our executive compensation programs, policies and practices;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types and amounts of compensation for executive officers; and</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adoption, termination and amendment of, and to administer and, as appropriate, make recommendations to the Board regarding, our incentive compensation plans.</w:t>
      </w:r>
    </w:p>
    <w:p>
      <w:pPr>
        <w:spacing w:after="0" w:line="54"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Our objective is to provide a market-based executive compensation program tied to performance and aligned with the interests of our stockholders. We did not retain a compensation consultant to provide advice on our executive compensation practices for 2021. Our Compensation Committee reviewed the competitiveness of our executive compensation programs and recent governance trends related to executive compensation when determining the compensation levels for our named executive officers in 2021.</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 in Determining Compensation for our Executive Compensation</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made all decisions regarding the compensation of our named executive officers in respect of 2021. As a member of our compensation committee, Mr. Edens was involved in all decisions regarding the compensation of our named executive officers. As described more fully below, Mr. Edens does not receive any compensation from any party for services rendered to us.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Executive Compensation Program</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Mr. Edens has elected to serve as our CEO without compensation, primarily due to his substantial ownership stake in us. Mr. Edens is compensated by FIG LLC for services performed for the benefit of Fortress and certain other Fortress entities. However, none of the compensation received by Mr. Edens from FIG LLC is compensation for services rendered to us. As such, compensation information for Mr. Edens is not included below. The following discussion applies to the compensation provide to Mr. Guinta and Ms. Shin in 2021.</w:t>
      </w:r>
    </w:p>
    <w:p>
      <w:pPr>
        <w:spacing w:after="0" w:line="73"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salary is a fixed component of our executive compensation for each year, which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from time to time based on the individual’s performance and other factors as determined by our Compensation Committee. Base salaries were originally set pursuant to negotiations with our named executive officer at the time of hire, are intended to reflect the position, duties and responsibilities of each executive. As previously noted, Mr. Edens does not receive compensation from us. For 2021, annual base salaries for Mr. Guinta and Ms. Shin were $350,000 and $200,000, respectively. We did not increase the annual base salaries paid to Mr. Guinta and Ms. Shin in 2021.</w:t>
      </w:r>
    </w:p>
    <w:p>
      <w:pPr>
        <w:spacing w:after="0" w:line="7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Annual Cash Bonuses</w:t>
      </w:r>
      <w:r>
        <w:rPr>
          <w:rFonts w:ascii="Times New Roman" w:cs="Times New Roman" w:eastAsia="Times New Roman" w:hAnsi="Times New Roman"/>
          <w:sz w:val="18"/>
          <w:szCs w:val="18"/>
          <w:color w:val="auto"/>
        </w:rPr>
        <w:t>. Our named executive officers are eligible to receive annual cash bonuses. We consider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cash incentive bonuses to be “at-risk” compensation. For 2021, Mr. Guinta had a target bonus opportunity equal to 125% of his annual base salary. Following a review of his performance by our Compensation Committee, the Compensation Committee awarded Mr. Guinta a $1,450,000 bonus in respect of 2021 performance. For 2021, Ms. Shin was eligible to receive a discretionary annual bonus. Following a review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of her performance by the Compensation Committee, the Compensation Committee awarded Ms. Shin an $800,000 bonus in respect of 2021 performance. Mr. Guinta and Ms. Shin must be actively employed at, and not have given or received notice of termination prior to, the time of the bonus payment in order to receive the bonus. Mr. Edens elected not to receive an annual cash bonus or any other compensation from the Company in respect of 2021.</w:t>
      </w:r>
    </w:p>
    <w:p>
      <w:pPr>
        <w:spacing w:after="0" w:line="7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Historically, our Compensation Committee has not used pre-established performance goals in its evaluation of performance with respect to the annual incentive payment. Instead, our Compensation Committee has considered many factors in its decision-making process relating to the amount, if any, of the annual incentive payment. The factors have generally involved the following:</w:t>
      </w:r>
    </w:p>
    <w:p>
      <w:pPr>
        <w:spacing w:after="0" w:line="70" w:lineRule="exact"/>
        <w:rPr>
          <w:sz w:val="20"/>
          <w:szCs w:val="20"/>
          <w:color w:val="auto"/>
        </w:rPr>
      </w:pPr>
    </w:p>
    <w:p>
      <w:pPr>
        <w:ind w:left="1000" w:right="559" w:hanging="348"/>
        <w:spacing w:after="0" w:line="290"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Reviewing Company performance</w:t>
      </w:r>
      <w:r>
        <w:rPr>
          <w:rFonts w:ascii="Times New Roman" w:cs="Times New Roman" w:eastAsia="Times New Roman" w:hAnsi="Times New Roman"/>
          <w:sz w:val="17"/>
          <w:szCs w:val="17"/>
          <w:color w:val="auto"/>
        </w:rPr>
        <w:t>. Our Compensation Committee reviews all aspects of financial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operational performance of the Company, and also assesses Company performance in relation to the direction of the Company’s business, taking into account changing economic and market environments.</w:t>
      </w:r>
    </w:p>
    <w:p>
      <w:pPr>
        <w:spacing w:after="0" w:line="47" w:lineRule="exact"/>
        <w:rPr>
          <w:rFonts w:ascii="Times New Roman" w:cs="Times New Roman" w:eastAsia="Times New Roman" w:hAnsi="Times New Roman"/>
          <w:sz w:val="17"/>
          <w:szCs w:val="17"/>
          <w:color w:val="auto"/>
        </w:rPr>
      </w:pPr>
    </w:p>
    <w:p>
      <w:pPr>
        <w:ind w:left="1000" w:right="47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Individual performance</w:t>
      </w:r>
      <w:r>
        <w:rPr>
          <w:rFonts w:ascii="Times New Roman" w:cs="Times New Roman" w:eastAsia="Times New Roman" w:hAnsi="Times New Roman"/>
          <w:sz w:val="18"/>
          <w:szCs w:val="18"/>
          <w:color w:val="auto"/>
        </w:rPr>
        <w:t>. Our Compensation Committee also evaluates individual performance beyond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purely financial measures, including, generally, one or any combination of the following: exceptional performance of the individual’s functional responsibilities; leadership; creativity; innovation; collaboration; development and implementation of growth initiatives; and other activities that are critical to driving long-term value for shareholders.</w:t>
      </w:r>
    </w:p>
    <w:p>
      <w:pPr>
        <w:spacing w:after="0" w:line="77" w:lineRule="exact"/>
        <w:rPr>
          <w:sz w:val="20"/>
          <w:szCs w:val="20"/>
          <w:color w:val="auto"/>
        </w:rPr>
      </w:pPr>
    </w:p>
    <w:p>
      <w:pPr>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After the end of the fiscal year, our Compensation Committee reviews both Company and individual performance to determine actual bonus payouts for the applicable year. Historically, our Compensation Committee has not applied a pre-established formula for determining the relative importance of the factors discussed above.</w:t>
      </w:r>
    </w:p>
    <w:p>
      <w:pPr>
        <w:spacing w:after="0" w:line="4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Long-Term Incentive Awards</w:t>
      </w:r>
      <w:r>
        <w:rPr>
          <w:rFonts w:ascii="Times New Roman" w:cs="Times New Roman" w:eastAsia="Times New Roman" w:hAnsi="Times New Roman"/>
          <w:sz w:val="18"/>
          <w:szCs w:val="18"/>
          <w:color w:val="auto"/>
        </w:rPr>
        <w:t>. In 2019, in connection with our initial public offering, the Company adopted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Fortress Energy Inc. 2019 Omnibus Incentive Plan (the “Incentive Plan”). Under the Incentive Plan, the Company may issue options, share appreciation rights, restricted shares, restricted share units (“RSUs”) and performance share units (“PSUs”), share bonuses or other share-based awards to selected officers, employees, non-employee directors and select non-employees of NFE or its affiliates.</w:t>
      </w:r>
    </w:p>
    <w:p>
      <w:pPr>
        <w:spacing w:after="0" w:line="7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February 26, 2020, in order to more closely align their long-term interests with the interests of the Company and our shareholders and to link a substantial portion of our named executive officer’s compensation to the achievement of stretch performance goals, Mr. Guinta was awarded 60,976 PSUs and Ms. Shin was awarded 30,488 PSUs under the Incentive Plan. The PSUs will cliff-vest subject to their continued employment through January 2, 2022 and the achievement of the applicable performance metric. The number of shares that may be earned range from 0% to 200% of the initial number of PSUs granted, with 0% earned if the target performance metric is not achieved, 100% earned if the target performance metric is achieved, and 200% earned if the maximum performance metric is achieved. Our Compensation Committee has the power and authority to make all determinations concerning the level of achievement of the applicable performance metric and any adjustments to the applicable performance metric.</w:t>
      </w:r>
    </w:p>
    <w:p>
      <w:pPr>
        <w:spacing w:after="0" w:line="86"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For the PSUs granted in the 2020, the applicable performance metric is tied to the Company’s adjusted operating margin for fiscal year 2021. The Company’s adjusted operating margin is equal to the Company’s operating margin for the applicable year, less cash selling, general and administrative expenses (excluding screening and development costs) for the applicable fiscal year. Our Compensation Committee has the power and authority to make all determinations concerning the level of achievement of the applicable performance metric and any adjustments to the applicable performance metric.</w:t>
      </w:r>
    </w:p>
    <w:p>
      <w:pPr>
        <w:spacing w:after="0" w:line="77" w:lineRule="exact"/>
        <w:rPr>
          <w:sz w:val="20"/>
          <w:szCs w:val="20"/>
          <w:color w:val="auto"/>
        </w:rPr>
      </w:pPr>
    </w:p>
    <w:p>
      <w:pPr>
        <w:ind w:left="30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Perquisites and Personal Benefits</w:t>
      </w:r>
      <w:r>
        <w:rPr>
          <w:rFonts w:ascii="Times New Roman" w:cs="Times New Roman" w:eastAsia="Times New Roman" w:hAnsi="Times New Roman"/>
          <w:sz w:val="18"/>
          <w:szCs w:val="18"/>
          <w:color w:val="auto"/>
        </w:rPr>
        <w:t>. We did not provide any perquisites or personal benefits to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2021.</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21"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We have entered into offer letters with Mr. Guinta and Ms. Shin. We have not entered into an offer letter or employment agreement with Mr. Edens.</w:t>
      </w:r>
    </w:p>
    <w:p>
      <w:pPr>
        <w:spacing w:after="0" w:line="52"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Guinta Offer Letter</w:t>
      </w:r>
      <w:r>
        <w:rPr>
          <w:rFonts w:ascii="Times New Roman" w:cs="Times New Roman" w:eastAsia="Times New Roman" w:hAnsi="Times New Roman"/>
          <w:sz w:val="18"/>
          <w:szCs w:val="18"/>
          <w:color w:val="auto"/>
        </w:rPr>
        <w:t>. On March 14, 2017, NFE Management, LLC entered into an offer letter (the “Guinta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with Mr. Guinta. The Guinta Offer Letter provides Mr. Guinta with an annualized base salary of $350,000, a discretionary target bonus opportunity equal to 125% of annual base salary and eligibility to</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participate in our broad-based employee benefit plans, as may be adopted from time to time, subject to the eligibility requirements of such employee benefit plans. The Guinta Offer Letter also contains certain restrictive covenants, including (a) non-competition and non-solicitation covenants that are applicable during Mr. Guinta’s term of employment, and for twelve months following his resignation or termination of his employment for cause (as defined below) and (b) restrictions on disclosure of confidential information.</w:t>
      </w:r>
    </w:p>
    <w:p>
      <w:pPr>
        <w:spacing w:after="0" w:line="73"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Shin Offer Letter. </w:t>
      </w:r>
      <w:r>
        <w:rPr>
          <w:rFonts w:ascii="Times New Roman" w:cs="Times New Roman" w:eastAsia="Times New Roman" w:hAnsi="Times New Roman"/>
          <w:sz w:val="18"/>
          <w:szCs w:val="18"/>
          <w:color w:val="auto"/>
        </w:rPr>
        <w:t>On December 3, 2019, NFE Management, LLC entered into an offer letter (the “Shin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with Ms. Shin. The Shin Offer Letter provides Ms. Shin with an annualized base salary of $200,000, eligibility to receive a discretionary bonus and eligibility to participate in our broad-based employee benefit plans, as may be adopted from time to time, subject to the eligibility requirements of such employee benefit plans. The Shin Offer Letter also contains certain restrictive covenants, including (a) non-competition and non-solicitation covenants that are applicable during Ms. Shin’s term of employment, and for twelve months following her resignation or termination of her employment for cause (as defined below) and (b) restrictions on disclosure of confidential information.</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As used in the Guinta Offer Letter and the Shin Offer Letter, “cause” generally means the executive’s (i) willful misconduct or gross negligence in the performance of his or her duties; (ii) failure to perform his or her duties or to follow the lawful directives of our Board;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 Ms. Shin’s breach of any restrictive covenant would also constitute “cause” under the Shin Offer Letter.</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As a general matter, our Compensation Committee considers the various tax and accounting implications of our existing and proposed compensation programs. We consider the tax-deductibility of compensation in designing our compensation programs, but it is not our sole consideration and we retain the discretion to award compensation that is non-deductible. In addition, due to U.S. tax reform legislation (as described below), the opportunity to design programs on a go-forward basis that are fully tax-deductible for our named executive officers has effectively been eliminated. Therefore, the tax-deductibility of compensation had less of an impact on the design of our compensation programs in 2021, and we expect that tax-deductibility will continue to have less of an impact on our program design in the future.</w:t>
      </w:r>
    </w:p>
    <w:p>
      <w:pPr>
        <w:spacing w:after="0" w:line="84"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(together with the Treasury Regulations thereunder, the “Code”) generally disallows deductions for compensation paid to certain members of senior management in excess of $1 million per year. Historically, this deduction limitation did not apply to “performance-based” compensation as described in the regulations under Section 162(m). However, the Tax Cuts and Jobs Act, enacted on December 22, 2017, substantially modified Section 162(m) and, among other things, eliminated the performance-based exception to the $1 million deduction limit effective as of January 1, 2018. As a result, compensation paid to our named executive officers who are “covered employees” under Code Section 162(m) in excess of $1 million is generally nondeductible, whether or not it is performance-based. In addition, our “covered employees” under Code Section 162(m) include any individual who serves as our CEO or CFO at any time during the fiscal year and our three next most highly compensated officers (other than our CEO and CFO) for the fiscal year, and once an individual becomes a “covered employee,” that individual remains a “covered employee” for all future fiscal years, including following any termination of employment.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 Policy</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certain exceptions, our insider trading policy expressly prohibits transactions involving hedging, margining or pledging of shares of our common stock and other equity securities and derivatives by officers, directors and employees of the Company (“Insiders”), as well as any such Insider’s spouse, minor children, adult family members sharing the same household on a continuous basis, financial dependents, and any other person or entity over whom the Insider exercises substantial influence or control over his, her or its securities trading decisions, and any other trust or other estate in which an Insider has a substantial beneficial interest or as to which he or she serves as trustee or in a similar capacity.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1300" w:right="1560"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has reviewed and discussed the 2021 Compensation Discussion and Analysis required by Item 402(b) of Regulation S-K with the Company’s management.</w:t>
      </w:r>
    </w:p>
    <w:p>
      <w:pPr>
        <w:spacing w:after="0" w:line="54" w:lineRule="exact"/>
        <w:rPr>
          <w:sz w:val="20"/>
          <w:szCs w:val="20"/>
          <w:color w:val="auto"/>
        </w:rPr>
      </w:pPr>
    </w:p>
    <w:p>
      <w:pPr>
        <w:ind w:left="1300" w:right="1600" w:firstLine="360"/>
        <w:spacing w:after="0" w:line="266" w:lineRule="auto"/>
        <w:rPr>
          <w:sz w:val="20"/>
          <w:szCs w:val="20"/>
          <w:color w:val="auto"/>
        </w:rPr>
      </w:pPr>
      <w:r>
        <w:rPr>
          <w:rFonts w:ascii="Times New Roman" w:cs="Times New Roman" w:eastAsia="Times New Roman" w:hAnsi="Times New Roman"/>
          <w:sz w:val="18"/>
          <w:szCs w:val="18"/>
          <w:color w:val="auto"/>
        </w:rPr>
        <w:t>Based on this review and their discussions, the Compensation Committee has recommended to the Board of Directors that the 2021 Compensation Discussion and Analysis be included in the Proxy Statement for the 2022 Annual Meeting of Stockholders to be filed with the SEC.</w:t>
      </w:r>
    </w:p>
    <w:p>
      <w:pPr>
        <w:spacing w:after="0" w:line="10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Wesley R. Edens (Chairperson)</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Randy Nardone</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Summary Compensation Table for 2021</w:t>
      </w:r>
    </w:p>
    <w:p>
      <w:pPr>
        <w:spacing w:after="0" w:line="121" w:lineRule="exact"/>
        <w:rPr>
          <w:sz w:val="20"/>
          <w:szCs w:val="20"/>
          <w:color w:val="auto"/>
        </w:rPr>
      </w:pPr>
    </w:p>
    <w:p>
      <w:pPr>
        <w:ind w:left="1300" w:right="14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our named executive officers in respect of the applicable fiscal years set forth below.</w:t>
      </w:r>
    </w:p>
    <w:p>
      <w:pPr>
        <w:spacing w:after="0" w:line="11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134"/>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(2)</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(3)</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7"/>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Wesley R. Edens </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0"/>
        </w:trPr>
        <w:tc>
          <w:tcPr>
            <w:tcW w:w="3340" w:type="dxa"/>
            <w:vAlign w:val="bottom"/>
            <w:gridSpan w:val="2"/>
            <w:shd w:val="clear" w:color="auto" w:fill="CCEEFF"/>
          </w:tcPr>
          <w:p>
            <w:pPr>
              <w:ind w:left="180"/>
              <w:spacing w:after="0" w:line="301" w:lineRule="exact"/>
              <w:rPr>
                <w:sz w:val="20"/>
                <w:szCs w:val="20"/>
                <w:color w:val="auto"/>
              </w:rPr>
            </w:pP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29"/>
                <w:szCs w:val="29"/>
                <w:i w:val="1"/>
                <w:iCs w:val="1"/>
                <w:color w:val="auto"/>
                <w:vertAlign w:val="superscript"/>
              </w:rPr>
              <w:t>(1)</w:t>
            </w:r>
          </w:p>
        </w:tc>
        <w:tc>
          <w:tcPr>
            <w:tcW w:w="100" w:type="dxa"/>
            <w:vAlign w:val="bottom"/>
            <w:shd w:val="clear" w:color="auto" w:fill="CCEEFF"/>
          </w:tcPr>
          <w:p>
            <w:pPr>
              <w:spacing w:after="0"/>
              <w:rPr>
                <w:sz w:val="24"/>
                <w:szCs w:val="24"/>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shd w:val="clear" w:color="auto" w:fill="CCEEFF"/>
          </w:tcPr>
          <w:p>
            <w:pPr>
              <w:spacing w:after="0"/>
              <w:rPr>
                <w:sz w:val="24"/>
                <w:szCs w:val="24"/>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0" w:type="dxa"/>
            <w:vAlign w:val="bottom"/>
            <w:gridSpan w:val="2"/>
            <w:vMerge w:val="continue"/>
            <w:shd w:val="clear" w:color="auto" w:fill="CCEEFF"/>
          </w:tcPr>
          <w:p>
            <w:pPr>
              <w:spacing w:after="0"/>
              <w:rPr>
                <w:sz w:val="4"/>
                <w:szCs w:val="4"/>
                <w:color w:val="auto"/>
              </w:rPr>
            </w:pPr>
          </w:p>
        </w:tc>
        <w:tc>
          <w:tcPr>
            <w:tcW w:w="900" w:type="dxa"/>
            <w:vAlign w:val="bottom"/>
            <w:gridSpan w:val="2"/>
            <w:vMerge w:val="continue"/>
            <w:shd w:val="clear" w:color="auto" w:fill="CCEEFF"/>
          </w:tcPr>
          <w:p>
            <w:pPr>
              <w:spacing w:after="0"/>
              <w:rPr>
                <w:sz w:val="4"/>
                <w:szCs w:val="4"/>
                <w:color w:val="auto"/>
              </w:rPr>
            </w:pPr>
          </w:p>
        </w:tc>
        <w:tc>
          <w:tcPr>
            <w:tcW w:w="920" w:type="dxa"/>
            <w:vAlign w:val="bottom"/>
            <w:gridSpan w:val="2"/>
            <w:vMerge w:val="continue"/>
            <w:shd w:val="clear" w:color="auto" w:fill="CCEEFF"/>
          </w:tcPr>
          <w:p>
            <w:pPr>
              <w:spacing w:after="0"/>
              <w:rPr>
                <w:sz w:val="4"/>
                <w:szCs w:val="4"/>
                <w:color w:val="auto"/>
              </w:rPr>
            </w:pPr>
          </w:p>
        </w:tc>
        <w:tc>
          <w:tcPr>
            <w:tcW w:w="1080" w:type="dxa"/>
            <w:vAlign w:val="bottom"/>
            <w:gridSpan w:val="2"/>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3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Christopher S. Guinta </w:t>
            </w:r>
            <w:r>
              <w:rPr>
                <w:rFonts w:ascii="Times New Roman" w:cs="Times New Roman" w:eastAsia="Times New Roman" w:hAnsi="Times New Roman"/>
                <w:sz w:val="18"/>
                <w:szCs w:val="18"/>
                <w:color w:val="auto"/>
              </w:rPr>
              <w:t>—</w:t>
            </w:r>
          </w:p>
        </w:tc>
        <w:tc>
          <w:tcPr>
            <w:tcW w:w="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1,450,000</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860,943</w:t>
            </w:r>
          </w:p>
        </w:tc>
        <w:tc>
          <w:tcPr>
            <w:tcW w:w="180" w:type="dxa"/>
            <w:vAlign w:val="bottom"/>
          </w:tcPr>
          <w:p>
            <w:pPr>
              <w:spacing w:after="0"/>
              <w:rPr>
                <w:sz w:val="21"/>
                <w:szCs w:val="21"/>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2,660,943</w:t>
            </w:r>
          </w:p>
        </w:tc>
        <w:tc>
          <w:tcPr>
            <w:tcW w:w="0" w:type="dxa"/>
            <w:vAlign w:val="bottom"/>
          </w:tcPr>
          <w:p>
            <w:pPr>
              <w:spacing w:after="0"/>
              <w:rPr>
                <w:sz w:val="1"/>
                <w:szCs w:val="1"/>
                <w:color w:val="auto"/>
              </w:rPr>
            </w:pPr>
          </w:p>
        </w:tc>
      </w:tr>
      <w:tr>
        <w:trPr>
          <w:trHeight w:val="23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6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8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882,322</w:t>
            </w:r>
          </w:p>
        </w:tc>
        <w:tc>
          <w:tcPr>
            <w:tcW w:w="180" w:type="dxa"/>
            <w:vAlign w:val="bottom"/>
          </w:tcPr>
          <w:p>
            <w:pPr>
              <w:spacing w:after="0"/>
              <w:rPr>
                <w:sz w:val="20"/>
                <w:szCs w:val="20"/>
                <w:color w:val="auto"/>
              </w:rPr>
            </w:pPr>
          </w:p>
        </w:tc>
        <w:tc>
          <w:tcPr>
            <w:tcW w:w="1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2,132,322</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3,777,099</w:t>
            </w:r>
          </w:p>
        </w:tc>
        <w:tc>
          <w:tcPr>
            <w:tcW w:w="180" w:type="dxa"/>
            <w:vAlign w:val="bottom"/>
          </w:tcPr>
          <w:p>
            <w:pPr>
              <w:spacing w:after="0"/>
              <w:rPr>
                <w:sz w:val="24"/>
                <w:szCs w:val="24"/>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5,027,099</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Yunyoung Shin </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860,943</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1,860,943</w:t>
            </w:r>
          </w:p>
        </w:tc>
        <w:tc>
          <w:tcPr>
            <w:tcW w:w="0" w:type="dxa"/>
            <w:vAlign w:val="bottom"/>
          </w:tcPr>
          <w:p>
            <w:pPr>
              <w:spacing w:after="0"/>
              <w:rPr>
                <w:sz w:val="1"/>
                <w:szCs w:val="1"/>
                <w:color w:val="auto"/>
              </w:rPr>
            </w:pPr>
          </w:p>
        </w:tc>
      </w:tr>
      <w:tr>
        <w:trPr>
          <w:trHeight w:val="23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Accounting Office</w:t>
            </w:r>
          </w:p>
        </w:tc>
        <w:tc>
          <w:tcPr>
            <w:tcW w:w="10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shd w:val="clear" w:color="auto" w:fill="CCEEFF"/>
          </w:tcPr>
          <w:p>
            <w:pPr>
              <w:spacing w:after="0"/>
              <w:rPr>
                <w:sz w:val="20"/>
                <w:szCs w:val="2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8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441,162</w:t>
            </w:r>
          </w:p>
        </w:tc>
        <w:tc>
          <w:tcPr>
            <w:tcW w:w="180" w:type="dxa"/>
            <w:vAlign w:val="bottom"/>
            <w:shd w:val="clear" w:color="auto" w:fill="CCEEFF"/>
          </w:tcPr>
          <w:p>
            <w:pPr>
              <w:spacing w:after="0"/>
              <w:rPr>
                <w:sz w:val="20"/>
                <w:szCs w:val="20"/>
                <w:color w:val="auto"/>
              </w:rPr>
            </w:pPr>
          </w:p>
        </w:tc>
        <w:tc>
          <w:tcPr>
            <w:tcW w:w="108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1,341,162</w:t>
            </w: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220,655</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870,655</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-1868170</wp:posOffset>
            </wp:positionV>
            <wp:extent cx="120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-1868170</wp:posOffset>
            </wp:positionV>
            <wp:extent cx="120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-1868170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-1868170</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-1868170</wp:posOffset>
            </wp:positionV>
            <wp:extent cx="120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-1868170</wp:posOffset>
            </wp:positionV>
            <wp:extent cx="1289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146050</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1640" w:right="1420" w:hanging="348"/>
        <w:spacing w:after="0" w:line="261" w:lineRule="auto"/>
        <w:tabs>
          <w:tab w:leader="none" w:pos="1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more fully above, this table does not include information regarding compensation paid to Mr. Edens because Mr. Edens does not receive any compensation from any party for services rendered to us.</w:t>
      </w:r>
    </w:p>
    <w:p>
      <w:pPr>
        <w:ind w:left="1640" w:right="1900" w:hanging="348"/>
        <w:spacing w:after="0" w:line="241" w:lineRule="auto"/>
        <w:tabs>
          <w:tab w:leader="none" w:pos="1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cash discretionary annual bonuses for the respective periods awarded pursuant to our discretionary annual cash bonus program. For additional information regarding potential bonuses, see “Elements of our Executive Compensation Program—Annual Cash Bonuses” above.</w:t>
      </w:r>
    </w:p>
    <w:p>
      <w:pPr>
        <w:spacing w:after="0" w:line="14" w:lineRule="exact"/>
        <w:rPr>
          <w:rFonts w:ascii="Times New Roman" w:cs="Times New Roman" w:eastAsia="Times New Roman" w:hAnsi="Times New Roman"/>
          <w:sz w:val="14"/>
          <w:szCs w:val="14"/>
          <w:color w:val="auto"/>
        </w:rPr>
      </w:pPr>
    </w:p>
    <w:p>
      <w:pPr>
        <w:ind w:left="1640" w:right="1420" w:hanging="348"/>
        <w:spacing w:after="0" w:line="233" w:lineRule="auto"/>
        <w:tabs>
          <w:tab w:leader="none" w:pos="1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value of awards made during each calendar year computed in accordance with FASB ASC Topic 718. For a summary of the assumptions made in the valuation of the awards granted in 2021, please see Note 23 of our audited consolidated financial statements in the 2021 Form 10-K. The amount included with respect to the PSUs granted in 2021 is based on the grant date fair value assuming target level of performance. If the maximum level of performance had been assumed, the grant date fair value of the PSUs would have been $1,721,886 for both Mr. Guinta and Ms. Shin.</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Grants of Plan-Based Awards for 2021</w:t>
      </w:r>
    </w:p>
    <w:p>
      <w:pPr>
        <w:spacing w:after="0" w:line="121" w:lineRule="exact"/>
        <w:rPr>
          <w:sz w:val="20"/>
          <w:szCs w:val="20"/>
          <w:color w:val="auto"/>
        </w:rPr>
      </w:pPr>
    </w:p>
    <w:p>
      <w:pPr>
        <w:ind w:left="1300" w:right="178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on the PSUs granted to our named executive officers during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60" w:type="dxa"/>
            <w:vAlign w:val="bottom"/>
          </w:tcPr>
          <w:p>
            <w:pPr>
              <w:spacing w:after="0"/>
              <w:rPr>
                <w:sz w:val="13"/>
                <w:szCs w:val="13"/>
                <w:color w:val="auto"/>
              </w:rPr>
            </w:pPr>
          </w:p>
        </w:tc>
        <w:tc>
          <w:tcPr>
            <w:tcW w:w="19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center"/>
              <w:ind w:right="1340"/>
              <w:spacing w:after="0" w:line="146"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Equity Incentive Plan Awards</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3"/>
                <w:szCs w:val="13"/>
                <w:color w:val="auto"/>
              </w:rPr>
            </w:pPr>
          </w:p>
        </w:tc>
        <w:tc>
          <w:tcPr>
            <w:tcW w:w="1920" w:type="dxa"/>
            <w:vAlign w:val="bottom"/>
            <w:gridSpan w:val="2"/>
          </w:tcPr>
          <w:p>
            <w:pPr>
              <w:jc w:val="center"/>
              <w:ind w:right="1340"/>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92"/>
        </w:trPr>
        <w:tc>
          <w:tcPr>
            <w:tcW w:w="13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20" w:type="dxa"/>
            <w:vAlign w:val="bottom"/>
            <w:gridSpan w:val="2"/>
            <w:vMerge w:val="restart"/>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36"/>
        </w:trPr>
        <w:tc>
          <w:tcPr>
            <w:tcW w:w="13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3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0" w:type="dxa"/>
            <w:vAlign w:val="bottom"/>
          </w:tcPr>
          <w:p>
            <w:pPr>
              <w:spacing w:after="0"/>
              <w:rPr>
                <w:sz w:val="12"/>
                <w:szCs w:val="12"/>
                <w:color w:val="auto"/>
              </w:rPr>
            </w:pPr>
          </w:p>
        </w:tc>
        <w:tc>
          <w:tcPr>
            <w:tcW w:w="192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center"/>
              <w:ind w:right="13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84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Wesley R. Edens</w:t>
            </w:r>
          </w:p>
        </w:tc>
        <w:tc>
          <w:tcPr>
            <w:tcW w:w="1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3/11/2021</w:t>
            </w:r>
          </w:p>
        </w:tc>
        <w:tc>
          <w:tcPr>
            <w:tcW w:w="160" w:type="dxa"/>
            <w:vAlign w:val="bottom"/>
          </w:tcPr>
          <w:p>
            <w:pPr>
              <w:spacing w:after="0"/>
              <w:rPr>
                <w:sz w:val="23"/>
                <w:szCs w:val="23"/>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16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42,338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860,943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Yunyoung Shin</w:t>
            </w:r>
          </w:p>
        </w:tc>
        <w:tc>
          <w:tcPr>
            <w:tcW w:w="2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3/11/2021</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42,338</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860,943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-1045210</wp:posOffset>
            </wp:positionV>
            <wp:extent cx="102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-1045210</wp:posOffset>
            </wp:positionV>
            <wp:extent cx="102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-1045210</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-1045210</wp:posOffset>
            </wp:positionV>
            <wp:extent cx="102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-1045210</wp:posOffset>
            </wp:positionV>
            <wp:extent cx="102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6" w:lineRule="exact"/>
        <w:rPr>
          <w:sz w:val="20"/>
          <w:szCs w:val="20"/>
          <w:color w:val="auto"/>
        </w:rPr>
      </w:pPr>
    </w:p>
    <w:p>
      <w:pPr>
        <w:ind w:left="640" w:right="379" w:hanging="348"/>
        <w:spacing w:after="0" w:line="236" w:lineRule="auto"/>
        <w:tabs>
          <w:tab w:leader="none" w:pos="64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These PSUs will cliff-vest subject to the named executive officer’s continued employment through January 2, 2023 and the achievement of the applicable performance metric, as described above. The number of shares that may be earned range from 0% to 200% of the initial number of PSUs granted, with 0% earned if the target performance metric is not achieved, 100% earned if the target performance metric is achieved, and 200% earned if the maximum performance metric is achieved.</w:t>
      </w:r>
    </w:p>
    <w:p>
      <w:pPr>
        <w:spacing w:after="0" w:line="14" w:lineRule="exact"/>
        <w:rPr>
          <w:rFonts w:ascii="Times New Roman" w:cs="Times New Roman" w:eastAsia="Times New Roman" w:hAnsi="Times New Roman"/>
          <w:sz w:val="14"/>
          <w:szCs w:val="14"/>
          <w:b w:val="1"/>
          <w:bCs w:val="1"/>
          <w:color w:val="auto"/>
        </w:rPr>
      </w:pPr>
    </w:p>
    <w:p>
      <w:pPr>
        <w:ind w:left="640" w:right="459" w:hanging="348"/>
        <w:spacing w:after="0" w:line="236" w:lineRule="auto"/>
        <w:tabs>
          <w:tab w:leader="none" w:pos="64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amounts in this column reflect the aggregate grant date value of the PSUs granted in 2021 computed in accordance with FASB ASC Topic 718. For a summary of the assumptions made in the valuation of these awards, please see Note 23 of our audited consolidated financial statements in the 2021 Form 10-K. The amount included with respect to the PSUs granted in 2021 is based on the grant date fair value assuming target level of performance.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2021</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on the current holdings of RSUs and PSUs by our named executive officers as of December 31, 2021.</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8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8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vMerge w:val="restart"/>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1"/>
                <w:szCs w:val="11"/>
                <w:b w:val="1"/>
                <w:bCs w:val="1"/>
                <w:color w:val="auto"/>
              </w:rPr>
              <w:t>Vested</w:t>
            </w:r>
            <w:r>
              <w:rPr>
                <w:rFonts w:ascii="Times New Roman" w:cs="Times New Roman" w:eastAsia="Times New Roman" w:hAnsi="Times New Roman"/>
                <w:sz w:val="17"/>
                <w:szCs w:val="17"/>
                <w:b w:val="1"/>
                <w:bCs w:val="1"/>
                <w:color w:val="auto"/>
                <w:vertAlign w:val="superscript"/>
              </w:rPr>
              <w:t>(l)</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1"/>
                <w:szCs w:val="11"/>
                <w:b w:val="1"/>
                <w:bCs w:val="1"/>
                <w:color w:val="auto"/>
              </w:rPr>
              <w:t>Vested</w:t>
            </w:r>
            <w:r>
              <w:rPr>
                <w:rFonts w:ascii="Times New Roman" w:cs="Times New Roman" w:eastAsia="Times New Roman" w:hAnsi="Times New Roman"/>
                <w:sz w:val="17"/>
                <w:szCs w:val="17"/>
                <w:b w:val="1"/>
                <w:bCs w:val="1"/>
                <w:color w:val="auto"/>
                <w:vertAlign w:val="superscript"/>
              </w:rPr>
              <w:t>(2)</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7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(3)</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(4)</w:t>
            </w: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Wesley R. Edens</w:t>
            </w:r>
          </w:p>
        </w:tc>
        <w:tc>
          <w:tcPr>
            <w:tcW w:w="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23"/>
                <w:szCs w:val="23"/>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$172,432</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$2,943,921</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Yunyoung Shin</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$1,982,980</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-633730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-633730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-633730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-633730</wp:posOffset>
            </wp:positionV>
            <wp:extent cx="102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 2022, 7,143 RSUs vested.</w:t>
      </w:r>
    </w:p>
    <w:p>
      <w:pPr>
        <w:spacing w:after="0" w:line="41" w:lineRule="exact"/>
        <w:rPr>
          <w:rFonts w:ascii="Times New Roman" w:cs="Times New Roman" w:eastAsia="Times New Roman" w:hAnsi="Times New Roman"/>
          <w:sz w:val="14"/>
          <w:szCs w:val="14"/>
          <w:color w:val="auto"/>
        </w:rPr>
      </w:pPr>
    </w:p>
    <w:p>
      <w:pPr>
        <w:ind w:left="640" w:right="41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the RSUs shown in this column represents the per share closing price of our Class A shares as of December 31, 2021, which was $24.14, multiplied by the number of outstanding unvested RSUs as of such date.</w:t>
      </w:r>
    </w:p>
    <w:p>
      <w:pPr>
        <w:ind w:left="640" w:right="399" w:hanging="348"/>
        <w:spacing w:after="0" w:line="23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PSUs will cliff-vest subject to the named executive officer’s continued employment through either January 2, 2022 or January 2, 2023 and the achievement of the applicable performance metric. On February 28, 2022, the Compensation Committee certified that the performance metric resulting in the maximum issuance of Class A Common Stock under the award had been met for PSUs granted on February 26, 2020, and the number of unearned shares not vested as of December 31, 2021 assumes that the maximum number of Class A Common Stock will be issued for this grant.</w:t>
      </w:r>
    </w:p>
    <w:p>
      <w:pPr>
        <w:spacing w:after="0" w:line="15" w:lineRule="exact"/>
        <w:rPr>
          <w:rFonts w:ascii="Times New Roman" w:cs="Times New Roman" w:eastAsia="Times New Roman" w:hAnsi="Times New Roman"/>
          <w:sz w:val="14"/>
          <w:szCs w:val="14"/>
          <w:color w:val="auto"/>
        </w:rPr>
      </w:pPr>
    </w:p>
    <w:p>
      <w:pPr>
        <w:ind w:left="640" w:right="37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the PSUs shown in this column represents the per share closing price of our Class A shares as of December 31, 2021, which was $24.14, multiplied by the number of outstanding unvested PSUs as of such date, based on the number of shares that the named executive officer would receive assuming a maximum level of performance for PSUs granted in 2020 and a target level of performance for PSUs granted in 2021.</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2021</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the RSUs held by our named executive officers that vested during 2021. We had no stock options that were exercised during 2021 or PSUs that vested in 2021.</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50"/>
        </w:trPr>
        <w:tc>
          <w:tcPr>
            <w:tcW w:w="6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90"/>
        </w:trPr>
        <w:tc>
          <w:tcPr>
            <w:tcW w:w="626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6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Wesley R. Edens</w:t>
            </w:r>
          </w:p>
        </w:tc>
        <w:tc>
          <w:tcPr>
            <w:tcW w:w="12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139,759</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$7,489,685</w:t>
            </w: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Yunyoung Shin</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0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-633730</wp:posOffset>
            </wp:positionV>
            <wp:extent cx="1289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-633730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 for 2021</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maintain any defined benefit pension plans in which any of our named executive officers participate.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2021</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We do not maintain any nonqualified deferred compensation plans in which any of our named executive officers participate.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Change-in-Control or Termination</w:t>
      </w:r>
    </w:p>
    <w:p>
      <w:pPr>
        <w:spacing w:after="0" w:line="121"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We do not have any employment agreements, offer letters, severance plans or change in control plans that provide for any cash payment to any of our named executive officers in connection with a termination of employment or a change in control of the Company.</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terms of his RSU award agreement, if (i) Mr. Guinta’s employment is terminated either (x) by the Company or any of its affiliates without cause or (y) due to Mr. Guinta’s death or disability and (ii) Mr. Guinta (or, in the case of Mr. Guinta’s death, the personal representative of Mr. Guinta’s estate) executes a release of claims in a form satisfactory to the Company, then Mr. Guinta (or Mr. Guinta’s estate) will vest in 50% of the RSUs that are scheduled to vest on the next vesting date. Assuming that Mr. Guinta’s employment was terminated by the Company or any of its affiliates without cause or due to Mr. Guinta’s death or disability on December 31, 2021, and provided that Mr. Guinta (or, in the case of Mr. Guinta’s death, the personal representative of Mr. Guinta’s estate) executed a release of claims in a form satisfactory to the Company, Mr. Guinta (or Mr. Guinta’s estate) would have received accelerated vesting of RSUs with a fair market value on December 31, 2021 equal to $86,216.</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Incentive Plan, unless otherwise determined by our Board or our Compensation Committee prior to a change in control or evidenced in an award agreement, outstanding and unvested equity awards will fully vest upon a termination of employment by the Company without cause or by the participant for “good reason” (to the extent a “good reason” concept is provided in a participant’s applicable award agreement or individual employment or severance agreement) within 12 months following a change in control, with any performance conditions deemed to be fully achieved,. Mr. Guinta’s and Ms. Shin’s RSU and PSU award agreements and offer letters do not provide for a “good reason” concept. Assuming that a change in control had occurred on December 31, 2021 and that Mr. Guinta’s and Ms. Shin’s employment had been terminated by the Company without cause on such date, Mr. Guinta would have received accelerated vesting of RSUs and PSUs with a fair market value on December 31, 2021 equal to $172,432 and $3,965,961, respectively, and Ms. Shin would have received accelerated vesting of PSUs with a fair market value on December 31, 2021 equal to $2,494,000.</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As required by SEC rules, we are providing the information below to explain the relationship between the annual total compensation of Mr. Edens, who served as our Chief Executive Officer and the Chairman of our Board of Directors in 2021, and the annual total compensation of our median employee, excluding our CEO. As Mr. Edens has elected to serve as our CEO without compensation, the ratio of the annual total compensation of our CEO’s to the median annual total compensation of all employees is zero.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We do not, and do not intend to, compensate our directors who are also our employees or who are otherwise affiliated with us for their service on our Board.</w:t>
      </w:r>
    </w:p>
    <w:p>
      <w:pPr>
        <w:spacing w:after="0" w:line="54"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The compensation program for our non-employee directors is designed to achieve three goals: (1) fairly compensate directors for their service to the Company given its size and the complexity of its operations and structure; (2) align the directors’ interests with the long-term interests of our stockholders; and (3) incentivize the directors to continue to serve as board members.</w:t>
      </w:r>
    </w:p>
    <w:p>
      <w:pPr>
        <w:spacing w:after="0" w:line="72"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In 2021, non-employee directors received an annual cash retainer equal to $100,000, payable quarterly. Additionally, the chair of the Audit Committee of the Board received an additional $10,000 annual cash retainer, payable quarterly. On February 4, 2019, non-employee directors received a one-time equity grant of 71,429 RSUs under the Incentive Plan, which vest in equal parts on each of our first three annual meetings. Mr. Nardone is not compensated by the Company for his service as a director.</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 Table for 2021</w:t>
      </w:r>
    </w:p>
    <w:p>
      <w:pPr>
        <w:spacing w:after="0" w:line="121"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on the compensation we paid to our non-employee directors in 2021.</w:t>
      </w:r>
    </w:p>
    <w:tbl>
      <w:tblPr>
        <w:tblLayout w:type="fixed"/>
        <w:tblInd w:w="300" w:type="dxa"/>
        <w:tblCellMar>
          <w:top w:w="0" w:type="dxa"/>
          <w:left w:w="0" w:type="dxa"/>
          <w:bottom w:w="0" w:type="dxa"/>
          <w:right w:w="0" w:type="dxa"/>
        </w:tblCellMar>
      </w:tblPr>
      <w:tr>
        <w:trPr>
          <w:trHeight w:val="263"/>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460" w:type="dxa"/>
            <w:vAlign w:val="bottom"/>
            <w:gridSpan w:val="2"/>
          </w:tcPr>
          <w:p>
            <w:pPr>
              <w:ind w:left="120"/>
              <w:spacing w:after="0" w:line="263" w:lineRule="exact"/>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23"/>
                <w:szCs w:val="23"/>
                <w:b w:val="1"/>
                <w:bCs w:val="1"/>
                <w:color w:val="auto"/>
                <w:vertAlign w:val="superscript"/>
              </w:rPr>
              <w:t>(1)</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00" w:type="dxa"/>
            <w:vAlign w:val="bottom"/>
            <w:gridSpan w:val="2"/>
            <w:vMerge w:val="continue"/>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2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1"/>
        </w:trPr>
        <w:tc>
          <w:tcPr>
            <w:tcW w:w="30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Randal A. Nardone</w:t>
            </w:r>
          </w:p>
        </w:tc>
        <w:tc>
          <w:tcPr>
            <w:tcW w:w="17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Desmond Iain Catterall</w:t>
            </w:r>
          </w:p>
        </w:tc>
        <w:tc>
          <w:tcPr>
            <w:tcW w:w="14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23"/>
                <w:szCs w:val="23"/>
                <w:color w:val="auto"/>
              </w:rPr>
            </w:pP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Grain</w:t>
            </w:r>
          </w:p>
        </w:tc>
        <w:tc>
          <w:tcPr>
            <w:tcW w:w="146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William Griffin</w:t>
            </w:r>
          </w:p>
        </w:tc>
        <w:tc>
          <w:tcPr>
            <w:tcW w:w="14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23"/>
                <w:szCs w:val="23"/>
                <w:color w:val="auto"/>
              </w:rPr>
            </w:pP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 Mack</w:t>
            </w:r>
          </w:p>
        </w:tc>
        <w:tc>
          <w:tcPr>
            <w:tcW w:w="146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Katherine E. Wanner</w:t>
            </w:r>
          </w:p>
        </w:tc>
        <w:tc>
          <w:tcPr>
            <w:tcW w:w="14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110,000</w:t>
            </w:r>
          </w:p>
        </w:tc>
        <w:tc>
          <w:tcPr>
            <w:tcW w:w="260" w:type="dxa"/>
            <w:vAlign w:val="bottom"/>
          </w:tcPr>
          <w:p>
            <w:pPr>
              <w:spacing w:after="0"/>
              <w:rPr>
                <w:sz w:val="23"/>
                <w:szCs w:val="23"/>
                <w:color w:val="auto"/>
              </w:rPr>
            </w:pP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110,000</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Wilkinson</w:t>
            </w:r>
          </w:p>
        </w:tc>
        <w:tc>
          <w:tcPr>
            <w:tcW w:w="14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-1456690</wp:posOffset>
            </wp:positionV>
            <wp:extent cx="1543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-1456690</wp:posOffset>
            </wp:positionV>
            <wp:extent cx="1543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-1456690</wp:posOffset>
            </wp:positionV>
            <wp:extent cx="1625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-1456690</wp:posOffset>
            </wp:positionV>
            <wp:extent cx="1714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2021, each non-employee director held 23,809 RSUs.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information about securities authorized for issuance under our equity compensation plans as of December 31,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4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6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6"/>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20" w:type="dxa"/>
            <w:vAlign w:val="bottom"/>
            <w:vMerge w:val="restart"/>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Rights</w:t>
            </w:r>
          </w:p>
        </w:tc>
        <w:tc>
          <w:tcPr>
            <w:tcW w:w="14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CCEEFF"/>
            </w:tcBorders>
            <w:vMerge w:val="continue"/>
          </w:tcPr>
          <w:p>
            <w:pPr>
              <w:spacing w:after="0"/>
              <w:rPr>
                <w:sz w:val="21"/>
                <w:szCs w:val="21"/>
                <w:color w:val="auto"/>
              </w:rPr>
            </w:pPr>
          </w:p>
        </w:tc>
        <w:tc>
          <w:tcPr>
            <w:tcW w:w="11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(a)</w:t>
            </w:r>
            <w:r>
              <w:rPr>
                <w:rFonts w:ascii="Times New Roman" w:cs="Times New Roman" w:eastAsia="Times New Roman" w:hAnsi="Times New Roman"/>
                <w:sz w:val="23"/>
                <w:szCs w:val="23"/>
                <w:b w:val="1"/>
                <w:bCs w:val="1"/>
                <w:color w:val="auto"/>
                <w:w w:val="87"/>
                <w:vertAlign w:val="superscript"/>
              </w:rPr>
              <w:t>(1)</w:t>
            </w:r>
          </w:p>
        </w:tc>
        <w:tc>
          <w:tcPr>
            <w:tcW w:w="3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3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 (c)</w:t>
            </w:r>
          </w:p>
        </w:tc>
        <w:tc>
          <w:tcPr>
            <w:tcW w:w="0" w:type="dxa"/>
            <w:vAlign w:val="bottom"/>
          </w:tcPr>
          <w:p>
            <w:pPr>
              <w:spacing w:after="0"/>
              <w:rPr>
                <w:sz w:val="1"/>
                <w:szCs w:val="1"/>
                <w:color w:val="auto"/>
              </w:rPr>
            </w:pPr>
          </w:p>
        </w:tc>
      </w:tr>
      <w:tr>
        <w:trPr>
          <w:trHeight w:val="25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security</w:t>
            </w:r>
          </w:p>
        </w:tc>
        <w:tc>
          <w:tcPr>
            <w:tcW w:w="1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1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Fortress Energy Inc. 2019 Omnibus Incentive</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4200" w:type="dxa"/>
            <w:vAlign w:val="bottom"/>
            <w:gridSpan w:val="2"/>
          </w:tcPr>
          <w:p>
            <w:pPr>
              <w:ind w:left="360"/>
              <w:spacing w:after="0" w:line="298" w:lineRule="exact"/>
              <w:rPr>
                <w:sz w:val="20"/>
                <w:szCs w:val="20"/>
                <w:color w:val="auto"/>
              </w:rPr>
            </w:pPr>
            <w:r>
              <w:rPr>
                <w:rFonts w:ascii="Times New Roman" w:cs="Times New Roman" w:eastAsia="Times New Roman" w:hAnsi="Times New Roman"/>
                <w:sz w:val="18"/>
                <w:szCs w:val="18"/>
                <w:color w:val="auto"/>
              </w:rPr>
              <w:t>Plan</w:t>
            </w:r>
            <w:r>
              <w:rPr>
                <w:rFonts w:ascii="Times New Roman" w:cs="Times New Roman" w:eastAsia="Times New Roman" w:hAnsi="Times New Roman"/>
                <w:sz w:val="29"/>
                <w:szCs w:val="29"/>
                <w:color w:val="auto"/>
                <w:vertAlign w:val="superscript"/>
              </w:rPr>
              <w:t>(2)</w:t>
            </w: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8"/>
                <w:szCs w:val="18"/>
                <w:color w:val="auto"/>
              </w:rPr>
              <w:t>3,791,151</w:t>
            </w:r>
          </w:p>
        </w:tc>
        <w:tc>
          <w:tcPr>
            <w:tcW w:w="300" w:type="dxa"/>
            <w:vAlign w:val="bottom"/>
          </w:tcPr>
          <w:p>
            <w:pPr>
              <w:spacing w:after="0"/>
              <w:rPr>
                <w:sz w:val="24"/>
                <w:szCs w:val="24"/>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17,126,314</w:t>
            </w:r>
          </w:p>
        </w:tc>
        <w:tc>
          <w:tcPr>
            <w:tcW w:w="0" w:type="dxa"/>
            <w:vAlign w:val="bottom"/>
          </w:tcPr>
          <w:p>
            <w:pPr>
              <w:spacing w:after="0"/>
              <w:rPr>
                <w:sz w:val="1"/>
                <w:szCs w:val="1"/>
                <w:color w:val="auto"/>
              </w:rPr>
            </w:pPr>
          </w:p>
        </w:tc>
      </w:tr>
      <w:tr>
        <w:trPr>
          <w:trHeight w:val="248"/>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w:t>
            </w: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security holders:</w:t>
            </w:r>
          </w:p>
        </w:tc>
        <w:tc>
          <w:tcPr>
            <w:tcW w:w="1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3,791,151</w:t>
            </w:r>
          </w:p>
        </w:tc>
        <w:tc>
          <w:tcPr>
            <w:tcW w:w="3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17,126,314</w:t>
            </w:r>
          </w:p>
        </w:tc>
        <w:tc>
          <w:tcPr>
            <w:tcW w:w="0" w:type="dxa"/>
            <w:vAlign w:val="bottom"/>
          </w:tcPr>
          <w:p>
            <w:pPr>
              <w:spacing w:after="0"/>
              <w:rPr>
                <w:sz w:val="1"/>
                <w:szCs w:val="1"/>
                <w:color w:val="auto"/>
              </w:rPr>
            </w:pPr>
          </w:p>
        </w:tc>
      </w:tr>
      <w:tr>
        <w:trPr>
          <w:trHeight w:val="54"/>
        </w:trPr>
        <w:tc>
          <w:tcPr>
            <w:tcW w:w="38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-1456690</wp:posOffset>
            </wp:positionV>
            <wp:extent cx="1885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-1456690</wp:posOffset>
            </wp:positionV>
            <wp:extent cx="1885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-1456690</wp:posOffset>
            </wp:positionV>
            <wp:extent cx="2057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99" w:hanging="348"/>
        <w:spacing w:after="0" w:line="24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udes 3,791,151 shares subject to outstanding RSUs and PSUs for which shares had not yet been delivered as of December 31, 2021. Unvested PSUs are based on the number of shares of Class A Common Stock that the named executive officer would receive assuming a maximum level of performance for PSUs granted in 2020 and a target level of performance for PSUs granted in 2021.</w:t>
      </w:r>
    </w:p>
    <w:p>
      <w:pPr>
        <w:spacing w:after="0" w:line="14"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Incentive Plan provides that 16,705,882 Class A and Class B shares are reserved and available for issuance under the Plan, as increased on the first day of each fiscal year beginning in calendar year 2020 by a number of Class A shares equal to the excess of 10% of the aggregate number of outstanding Class A and Class B shares on the last day of the immediately preceding fiscal year, over the number of Class A shares reserved and available for issuance under the Plan as of the last day of the immediately preceding fiscal year. The shares reserved and available for issuance under the Incentive Plan increased on the first day of 2021 by 976,683 shares. As of December 31, 2021, 17,126,314 shares remained available for future issuances under the Incentive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shares of Common Stock issued and outstanding as of April 22, 2022 by:</w:t>
      </w:r>
    </w:p>
    <w:p>
      <w:pPr>
        <w:spacing w:after="0" w:line="54"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any class of our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17" w:lineRule="exact"/>
        <w:rPr>
          <w:sz w:val="20"/>
          <w:szCs w:val="20"/>
          <w:color w:val="auto"/>
        </w:rPr>
      </w:pPr>
    </w:p>
    <w:p>
      <w:pPr>
        <w:ind w:left="300" w:right="659" w:firstLine="360"/>
        <w:spacing w:after="0" w:line="312" w:lineRule="auto"/>
        <w:rPr>
          <w:sz w:val="20"/>
          <w:szCs w:val="20"/>
          <w:color w:val="auto"/>
        </w:rPr>
      </w:pPr>
      <w:r>
        <w:rPr>
          <w:rFonts w:ascii="Times New Roman" w:cs="Times New Roman" w:eastAsia="Times New Roman" w:hAnsi="Times New Roman"/>
          <w:sz w:val="17"/>
          <w:szCs w:val="17"/>
          <w:color w:val="auto"/>
        </w:rPr>
        <w:t>Unless otherwise noted, the address for each beneficial owner listed below is 111 W. 19th Street, 8th Floor, New York, New York 10011. As of April 22, 2022, we had 207,542,351 shares of Common Stock outstanding.</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0" w:type="dxa"/>
            <w:vAlign w:val="bottom"/>
          </w:tcPr>
          <w:p>
            <w:pPr>
              <w:spacing w:after="0"/>
              <w:rPr>
                <w:sz w:val="1"/>
                <w:szCs w:val="1"/>
                <w:color w:val="auto"/>
              </w:rPr>
            </w:pPr>
          </w:p>
        </w:tc>
      </w:tr>
      <w:tr>
        <w:trPr>
          <w:trHeight w:val="146"/>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243"/>
        </w:trPr>
        <w:tc>
          <w:tcPr>
            <w:tcW w:w="60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9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311"/>
        </w:trPr>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Shareholders:</w:t>
            </w: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Great Mountain Partners LLC</w:t>
            </w:r>
            <w:r>
              <w:rPr>
                <w:rFonts w:ascii="Times New Roman" w:cs="Times New Roman" w:eastAsia="Times New Roman" w:hAnsi="Times New Roman"/>
                <w:sz w:val="29"/>
                <w:szCs w:val="29"/>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32,459,846</w:t>
            </w:r>
          </w:p>
        </w:tc>
        <w:tc>
          <w:tcPr>
            <w:tcW w:w="100" w:type="dxa"/>
            <w:vAlign w:val="bottom"/>
          </w:tcPr>
          <w:p>
            <w:pPr>
              <w:spacing w:after="0"/>
              <w:rPr>
                <w:sz w:val="24"/>
                <w:szCs w:val="24"/>
                <w:color w:val="auto"/>
              </w:rPr>
            </w:pPr>
          </w:p>
        </w:tc>
        <w:tc>
          <w:tcPr>
            <w:tcW w:w="12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324"/>
        </w:trPr>
        <w:tc>
          <w:tcPr>
            <w:tcW w:w="61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Golar LNG Limited</w:t>
            </w:r>
            <w:r>
              <w:rPr>
                <w:rFonts w:ascii="Times New Roman" w:cs="Times New Roman" w:eastAsia="Times New Roman" w:hAnsi="Times New Roman"/>
                <w:sz w:val="29"/>
                <w:szCs w:val="29"/>
                <w:color w:val="auto"/>
                <w:vertAlign w:val="superscript"/>
              </w:rPr>
              <w:t>(3)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12,427,451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Fortress Investment Group LLC</w:t>
            </w:r>
            <w:r>
              <w:rPr>
                <w:rFonts w:ascii="Times New Roman" w:cs="Times New Roman" w:eastAsia="Times New Roman" w:hAnsi="Times New Roman"/>
                <w:sz w:val="29"/>
                <w:szCs w:val="29"/>
                <w:color w:val="auto"/>
                <w:vertAlign w:val="superscript"/>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13,399,317</w:t>
            </w:r>
          </w:p>
        </w:tc>
        <w:tc>
          <w:tcPr>
            <w:tcW w:w="100" w:type="dxa"/>
            <w:vAlign w:val="bottom"/>
          </w:tcPr>
          <w:p>
            <w:pPr>
              <w:spacing w:after="0"/>
              <w:rPr>
                <w:sz w:val="24"/>
                <w:szCs w:val="24"/>
                <w:color w:val="auto"/>
              </w:rPr>
            </w:pP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24"/>
        </w:trPr>
        <w:tc>
          <w:tcPr>
            <w:tcW w:w="61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Edens Family Holdings LLC</w:t>
            </w:r>
            <w:r>
              <w:rPr>
                <w:rFonts w:ascii="Times New Roman" w:cs="Times New Roman" w:eastAsia="Times New Roman" w:hAnsi="Times New Roman"/>
                <w:sz w:val="29"/>
                <w:szCs w:val="29"/>
                <w:color w:val="auto"/>
                <w:vertAlign w:val="superscript"/>
              </w:rPr>
              <w:t>(5)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25,086,851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1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Wesley R. Edens</w:t>
            </w:r>
            <w:r>
              <w:rPr>
                <w:rFonts w:ascii="Times New Roman" w:cs="Times New Roman" w:eastAsia="Times New Roman" w:hAnsi="Times New Roman"/>
                <w:sz w:val="29"/>
                <w:szCs w:val="29"/>
                <w:color w:val="auto"/>
                <w:vertAlign w:val="superscript"/>
              </w:rPr>
              <w:t>(6)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47,540,925</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318,519</w:t>
            </w:r>
          </w:p>
        </w:tc>
        <w:tc>
          <w:tcPr>
            <w:tcW w:w="100" w:type="dxa"/>
            <w:vAlign w:val="bottom"/>
          </w:tcPr>
          <w:p>
            <w:pPr>
              <w:spacing w:after="0"/>
              <w:rPr>
                <w:sz w:val="23"/>
                <w:szCs w:val="23"/>
                <w:color w:val="auto"/>
              </w:rPr>
            </w:pP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Yunyoung Shin</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Randal A. Nardone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26,196,526</w:t>
            </w:r>
          </w:p>
        </w:tc>
        <w:tc>
          <w:tcPr>
            <w:tcW w:w="100" w:type="dxa"/>
            <w:vAlign w:val="bottom"/>
          </w:tcPr>
          <w:p>
            <w:pPr>
              <w:spacing w:after="0"/>
              <w:rPr>
                <w:sz w:val="23"/>
                <w:szCs w:val="23"/>
                <w:color w:val="auto"/>
              </w:rPr>
            </w:pPr>
          </w:p>
        </w:tc>
        <w:tc>
          <w:tcPr>
            <w:tcW w:w="12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Desmond Iain Catterall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68,888</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Grain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00" w:type="dxa"/>
            <w:vAlign w:val="bottom"/>
          </w:tcPr>
          <w:p>
            <w:pPr>
              <w:spacing w:after="0"/>
              <w:rPr>
                <w:sz w:val="23"/>
                <w:szCs w:val="23"/>
                <w:color w:val="auto"/>
              </w:rPr>
            </w:pP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William Griffin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333,429</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Mack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1,375,013</w:t>
            </w:r>
          </w:p>
        </w:tc>
        <w:tc>
          <w:tcPr>
            <w:tcW w:w="100" w:type="dxa"/>
            <w:vAlign w:val="bottom"/>
          </w:tcPr>
          <w:p>
            <w:pPr>
              <w:spacing w:after="0"/>
              <w:rPr>
                <w:sz w:val="23"/>
                <w:szCs w:val="23"/>
                <w:color w:val="auto"/>
              </w:rPr>
            </w:pP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Katherine E. Wanner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79,229</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Wilkinson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69,086</w:t>
            </w:r>
          </w:p>
        </w:tc>
        <w:tc>
          <w:tcPr>
            <w:tcW w:w="100" w:type="dxa"/>
            <w:vAlign w:val="bottom"/>
          </w:tcPr>
          <w:p>
            <w:pPr>
              <w:spacing w:after="0"/>
              <w:rPr>
                <w:sz w:val="23"/>
                <w:szCs w:val="23"/>
                <w:color w:val="auto"/>
              </w:rPr>
            </w:pP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76,095,909</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54"/>
        </w:trPr>
        <w:tc>
          <w:tcPr>
            <w:tcW w:w="6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-3514090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-3514090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42" w:lineRule="exact"/>
        <w:rPr>
          <w:sz w:val="20"/>
          <w:szCs w:val="20"/>
          <w:color w:val="auto"/>
        </w:rPr>
      </w:pPr>
    </w:p>
    <w:p>
      <w:pPr>
        <w:ind w:left="640" w:right="51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beneficially owned includes all outstanding stock options or restricted stock units exercisable for or convertible into our common stock either currently or within 60 days after April 29, 2022.</w:t>
      </w:r>
    </w:p>
    <w:p>
      <w:pPr>
        <w:jc w:val="both"/>
        <w:ind w:left="640" w:right="67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voting and shared dispositive power in respect of 32,459,846 shares, as stated in a Schedule 13D jointly filed with the SEC on April 21, 2022 by NFE SMRS Holdings LLC and Great Mountain Partners LLC. The address of the principal business office of NFE SMRS Holdings LLC and Great Mountain Partners LLC is 10 Station Place, P.O. Box 233, Norfolk, CT 06058.</w:t>
      </w:r>
    </w:p>
    <w:p>
      <w:pPr>
        <w:spacing w:after="0" w:line="14"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voting and sole dispositive power in respect of 12,427,451 shares, as stated in a Schedule 13D filed with the SEC on April 7, 2022. The address of the principal business office of Golar LNG Limited is 2nd Floor, S.E. Pearman Building, 9 Par-la-Ville Road, Hamilton, HM 11, Bermuda.</w:t>
      </w:r>
    </w:p>
    <w:p>
      <w:pPr>
        <w:spacing w:after="0" w:line="14" w:lineRule="exact"/>
        <w:rPr>
          <w:rFonts w:ascii="Times New Roman" w:cs="Times New Roman" w:eastAsia="Times New Roman" w:hAnsi="Times New Roman"/>
          <w:sz w:val="14"/>
          <w:szCs w:val="14"/>
          <w:color w:val="auto"/>
        </w:rPr>
      </w:pPr>
    </w:p>
    <w:p>
      <w:pPr>
        <w:jc w:val="both"/>
        <w:ind w:left="640" w:right="49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voting and shared dispositive power in respect of 13,399,317 shares, as stated in a Schedule 13D/A jointly filed with the SEC on February 12, 2021. The address of the principal business office of Fortress Investment Group LLC is 1345 Avenue of the Americas, 46th Floor, New York, New York 10105.</w:t>
      </w:r>
    </w:p>
    <w:p>
      <w:pPr>
        <w:spacing w:after="0" w:line="14" w:lineRule="exact"/>
        <w:rPr>
          <w:rFonts w:ascii="Times New Roman" w:cs="Times New Roman" w:eastAsia="Times New Roman" w:hAnsi="Times New Roman"/>
          <w:sz w:val="14"/>
          <w:szCs w:val="14"/>
          <w:color w:val="auto"/>
        </w:rPr>
      </w:pPr>
    </w:p>
    <w:p>
      <w:pPr>
        <w:ind w:left="640" w:right="39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voting and shared dispositive power in respect of 25,086,851 shares, as stated in a Schedule 13D/A jointly filed with the SEC on June 15, 2021 by Edens Family Holdings LLC and Lynn M. Edens. The address of the principal business office of Edens Family Holdings LLC and Lynn M. Edens is c/o Baobob Advisors LLC, 111 W. 19th St., 8th Floor, New York, NY 10011.</w:t>
      </w:r>
    </w:p>
    <w:p>
      <w:pPr>
        <w:spacing w:after="0" w:line="14" w:lineRule="exact"/>
        <w:rPr>
          <w:rFonts w:ascii="Times New Roman" w:cs="Times New Roman" w:eastAsia="Times New Roman" w:hAnsi="Times New Roman"/>
          <w:sz w:val="14"/>
          <w:szCs w:val="14"/>
          <w:color w:val="auto"/>
        </w:rPr>
      </w:pPr>
    </w:p>
    <w:p>
      <w:pPr>
        <w:ind w:left="640" w:right="83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13D/A filed with the SEC on June 15, 2021 by Wesley R. Edens. Mr. Edens reported sole voting power and disposition with respect to the 47,540,925 shares of Common Stock and no shared voting or shared dispositive power.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16(a) of Beneficial Ownership Reporting Compliance</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directors, executive officers and persons beneficially owning more than ten percent of a registered class of a company’s equity securities to file reports of ownership and changes in ownership on Forms 3, 4, and 5 with the SEC. To our knowledge, based solely on review of the copies of such reports furnished to us, or written representations from such persons, and other than as disclosed below, all reports required to be filed by our directors, executive officers and greater-than-ten-percent owners with respect to the year ended December 31, 2021 were timely filed in compliance with the Section 16(a) filing requirements. As of April 22, 2022, the following reports were not timely filed in compliance with Section 16(a): Ms. Shin; Mr. Wilkinson; and Mr. Catterall.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Procedures for Review, Approval and Ratification of Transactions with Related Persons</w:t>
      </w:r>
    </w:p>
    <w:p>
      <w:pPr>
        <w:spacing w:after="0" w:line="121"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has adopted a written policy that outlines procedures for approving transactions with related persons, and any such transactions will be reviewed and approved or ratified by a majority of our disinterested and independent directors pursuant to the procedures outlined in such policy. In determining whether to approve or ratify a transaction with a related person, we expect that the independent and disinterested directors will consider a variety of factors they deem relevant. The policy includes standing pre-approvals for specified categories of transactions, including, with certain limitations, investments in securities offerings, charter aircraft use and services provided pursuant to the Company’s Administrative Services Agreement with FIG LLC.</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Agreements with Affiliates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our initial public offering (the “Offering”), we entered into the Shareholders’ Agreement with New Fortress Energy Holdings and its affiliates. Our Shareholders’ Agreement provides that the parties thereto will use their respective reasonable efforts (including voting or causing to be voted all of our voting shares beneficially owned by each) so that no amendment is made to our Certificate of Formation or Bylaws in effect as of the date of the Shareholders’ Agreement that would add restrictions to the transferability of our shares by New Fortress Energy Holdings or its permitted transferees which are beyond those provided for in our Certificate of Formation or Bylaws,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80"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New Fortress Energy Holdings has assigned, pursuant to the terms of the Shareholders’ Agreement, to the affiliates of certain entities controlled by Wesley R. Edens and Randal A. Nardone (the “Founder Entities”), New Fortress Energy Holdings’ rights and obligations under the Shareholders’ Agreement.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Designation and Election of Directors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Our Shareholders’ Agreement provides that, for so long as the Shareholders’ Agreement is in effect, we and the Founder Entities (including certain former members of New Fortress Energy Holdings) shall take all reasonable actions within our respective control (including voting or causing to be voted all of the securities entitled to vote generally in the election of our directors held of record or beneficially owned by the Founder Entities, and, with respect to us, including in the slate of nominees recommended by the Board of Directors those individuals designated by the Founder Entities) so as to elect to the Board of Directors, and to cause to continue in office, not more than eight directors (or such other number as the Founder Entities may agree in writing), of whom, at any given time:</w:t>
      </w:r>
    </w:p>
    <w:p>
      <w:pPr>
        <w:spacing w:after="0" w:line="84" w:lineRule="exact"/>
        <w:rPr>
          <w:sz w:val="20"/>
          <w:szCs w:val="20"/>
          <w:color w:val="auto"/>
        </w:rPr>
      </w:pPr>
    </w:p>
    <w:p>
      <w:pPr>
        <w:ind w:left="1000" w:right="319" w:hanging="34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equal to a majority of the Board of Directors, plus one director, shall be individuals designated by the Founder Entities, for so long as the Founder Entities directly or indirectly beneficially own, together with their permitted transferees, at least 30% of our voting power; provided that if the Board of Directors consists of six or fewer directors, then the Founder Entities shall have the right to designate a number of directors equal to a majority of the Board of Directors;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equal to a majority of the Board of Directors, minus one director, shall be individuals designated by the Founder Entities, for so long as the Founder Entities directly or indirectly beneficially own, together with their permitted transferees, less than 30% but at least 20% of our voting power; provided that if the Board of Directors consists of six or fewer directors, then the Founder Entities shall have the right to designate a number of directors equal to three directors;</w:t>
      </w:r>
    </w:p>
    <w:p>
      <w:pPr>
        <w:spacing w:after="0" w:line="75"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20% but at least 10% of our voting power; provided that if the Board of Directors consists of six or fewer directors, then the Founder Entities shall have the right to designate a number of directors equal to two directors; and</w:t>
      </w:r>
    </w:p>
    <w:p>
      <w:pPr>
        <w:spacing w:after="0" w:line="79"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10% but at least 5% of our voting power; provided that if the Board of Directors consists of six or fewer directors, then the Founder Entities shall have the right to designate a number of directors equal to one director.</w:t>
      </w:r>
    </w:p>
    <w:p>
      <w:pPr>
        <w:spacing w:after="0" w:line="79"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So long as the Founder Entities are entitled to designate one or more nominees to the Board of Directors and notifies the Board of Directors of their desire to remove, with or without cause, any director previously designated by them to the Board of Directors, we are required to take all necessary action to cause such removal.</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Shareholders’ Agreement, New Fortress Energy Holdings originally designated Messrs.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Catterall, Grain, Griffin, Mack and Wilkinson and Ms. Wanner for election to our Board of Directors.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Shareholders’ Agreement provides that we will indemnify the Founder Entities and their officers, directors, employees, agents and affiliates against losses arising out of third-party claims (including litigation matters and other claims) based on, arising out of or resulting from:</w:t>
      </w:r>
    </w:p>
    <w:p>
      <w:pPr>
        <w:spacing w:after="0" w:line="68" w:lineRule="exact"/>
        <w:rPr>
          <w:sz w:val="20"/>
          <w:szCs w:val="20"/>
          <w:color w:val="auto"/>
        </w:rPr>
      </w:pPr>
    </w:p>
    <w:p>
      <w:pPr>
        <w:ind w:left="1000" w:right="57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the operation of our assets or properties, and the operation or conduct of our business, prior to or following the Offering;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activities we engage in.</w:t>
      </w:r>
    </w:p>
    <w:p>
      <w:pPr>
        <w:spacing w:after="0" w:line="11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addition, we have agreed to indemnify the Founder Entities and their officers, directors, employees, agents and affiliates against losses, including liabilities under the Securities Act and the Exchange Act, relating to misstatements in or omissions from any registration statement or report that we file, other than misstatements or omissions made in reliance on information relating to and furnished by New Fortress Energy Holdings or the Founder Entities for use in the preparation of that registration statement or this Proxy Statement, against which New Fortress Energy Holdings or the Founder Entities, as applicable, has agreed to indemnify us.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1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Demand Rights. </w:t>
      </w:r>
      <w:r>
        <w:rPr>
          <w:rFonts w:ascii="Times New Roman" w:cs="Times New Roman" w:eastAsia="Times New Roman" w:hAnsi="Times New Roman"/>
          <w:sz w:val="18"/>
          <w:szCs w:val="18"/>
          <w:color w:val="auto"/>
        </w:rPr>
        <w:t>Under our Shareholders’ Agreement, the Founder Entities have, for so long as the Founder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directly or indirectly beneficially owns, together with their permitted transferees, an amount of our shares of Common Stock (whether owned at the time of the Offering or subsequently acquired) equal to or greater than 1% of the shares of Common Stock issued and outstanding immediately after the consummation of the Offering (a “Registrable Amount”), “demand” registration rights that allow the Founder Entities, and on behalf of their permitted transferees, at any time after 180 days following the consummation of the Offering, to request that we register under the Securities Act an amount of shares of Common Stock equal to or greater than a Registrable Amount. The Founder Entities, and on behalf of their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 included at least 50% of the shares of Common Stock requested by the requestor to be included or within one month of any other underwritten offering pursuant to a shelf registration statement.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Piggyback Rights. </w:t>
      </w:r>
      <w:r>
        <w:rPr>
          <w:rFonts w:ascii="Times New Roman" w:cs="Times New Roman" w:eastAsia="Times New Roman" w:hAnsi="Times New Roman"/>
          <w:sz w:val="18"/>
          <w:szCs w:val="18"/>
          <w:color w:val="auto"/>
        </w:rPr>
        <w:t>For so long as the Founder Entities beneficially owns, together with their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transferees, a Registrable Amount, the Founder Entities (and its permitted transferees) also have “piggyback” registration rights that allow them to include shares of Common Stock that they own in any public offering of equity securities initiated by us (other than those public offerings pursuant to registration statements on Form S-4 or Form S-8 or pursuant to an employee benefit plan arrangement) or by any of our other stockholders that have registration rights. These “piggyback” registration rights are subject to proportional cutbacks based on the manner of the offering and the identity of the party initiating such offering.</w:t>
      </w:r>
    </w:p>
    <w:p>
      <w:pPr>
        <w:spacing w:after="0" w:line="75"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Under our Shareholders’ Agreement, we granted to the Founder Entities or any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transferees, for so long as the Founder Entities, together with their permitted transferees, beneficially owns a Registrable Amount, the right to request a shelf registration on Form S-3 providing for offerings of shares of Common Stock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stockholders. In addition, the Founder Entities, and on behalf of their permitted transferees, may elect to participate in such shelf registrations within ten days after notice of the registration is given.</w:t>
      </w:r>
    </w:p>
    <w:p>
      <w:pPr>
        <w:spacing w:after="0" w:line="8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Indemnification; Expenses; Lock-ups. </w:t>
      </w:r>
      <w:r>
        <w:rPr>
          <w:rFonts w:ascii="Times New Roman" w:cs="Times New Roman" w:eastAsia="Times New Roman" w:hAnsi="Times New Roman"/>
          <w:sz w:val="18"/>
          <w:szCs w:val="18"/>
          <w:color w:val="auto"/>
        </w:rPr>
        <w:t>Under our Shareholders’ Agreement, we agreed to indemnify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selling shareholder and its officers, directors, employees, managers, members partners, agents and controlling persons against any losses or damages resulting from any untrue statement or omission of material fact in any registration statement or prospectus pursuant to which it sells shares of Common Stock, unless such liability arose from the applicable selling stockholder’s misstatement or omission, and the applicable selling stockholder agrees to indemnify us against all losses caused by its misstatements or omissions. We will pay all registration and offering-related expenses incidental to our performance under the Shareholders’ Agreement, and the applicable selling stockholder will pay its portion of all underwriting discounts, commissions and transfer taxes, if any, relating to the sale of its shares of Common Stock under the Shareholders’ Agreement. We have entered into, and have caused our officers and directors to enter into, lock-up agreements in connection with any exercise of registration rights by the Founder Entities, and on behalf of their permitted transferees.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Rights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our Shareholders’ Agreement, the Founder Entities have the right to request certain information from us.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Assistance in the Sale of the Founder Entities’ Shares</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Under our Shareholders’ Agreement, if the Founder Entities seek to sell their shares of Common Stock other than pursuant to a registration statement, we shall use our reasonable best efforts to assist the Founder Entities in the sale process, including by providing information to potential purchasers as requested by the Founder Entities.</w:t>
      </w:r>
    </w:p>
    <w:p>
      <w:pPr>
        <w:spacing w:after="0" w:line="68"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In addition, if the Board of Directors starts and then abandons a sale process, and the Founder Entities subsequently indicate that they want to sell their shares of Common Stock, we shall permit the Founder Entities to engage in discussions with potential purchasers who participated in the abandoned sales process. We shall be obligated to assist the Founder Entities in any such sale process.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Hygo Shareholders’ Agreement</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Company’s acquisition (the “Hygo Merger”) of Hygo Energy Transition Ltd. (“Hygo”), and part of the consideration delivered thereunder, the Company issued (i) 18,627,451 shares of Common Stock to Golar LNG Limited (“GLNG”) and (ii) 12,745,098 shares of Common Stock to Stonepeak Infrastructure Fund II Cayman (G) Ltd. (“Stonepeak”). In connection with the shares issued to GLNG and Stonepeak, each of the Company, GLNG and Stonepeak entered into a Shareholders’ Agreement (the “Hygo Shareholders’ Agreement”). Pursuant to the Hygo Shareholders’ Agreement, GLNG and Stonepeak each agreed not to transfer or dispose of (or take other analogous actions under the terms of the Shareholders’ Agreement) any economic, voting or other rights in or to any of the shares of the Common Stock issued to each of GLNG and Stonepeak for a period set forth in the Shareholders’ Agreement. The Shareholders’ Agreement also provides for certain registration rights with respect to the Common Stock issued to each of GLNG and Stonepeak.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Hygo Omnibus Agreement</w:t>
      </w:r>
    </w:p>
    <w:p>
      <w:pPr>
        <w:spacing w:after="0" w:line="121" w:lineRule="exact"/>
        <w:rPr>
          <w:sz w:val="20"/>
          <w:szCs w:val="20"/>
          <w:color w:val="auto"/>
        </w:rPr>
      </w:pPr>
    </w:p>
    <w:p>
      <w:pPr>
        <w:ind w:left="300" w:right="61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Hygo Merger, the Company, GLNG and certain other parties thereto entered into an Omnibus Agreement (the “Hygo Omnibus Agreement”) that evidences the parties understanding with respect to, among other things, (i) certain obligations of NFE and GLNG with respect to ongoing guarantees by GLNG of certain obligations of Golar LNG Partners LP (“GMLP”) or its subsidiaries under certain bareboat charters,</w:t>
      </w:r>
    </w:p>
    <w:p>
      <w:pPr>
        <w:spacing w:after="0" w:line="3" w:lineRule="exact"/>
        <w:rPr>
          <w:sz w:val="20"/>
          <w:szCs w:val="20"/>
          <w:color w:val="auto"/>
        </w:rPr>
      </w:pPr>
    </w:p>
    <w:p>
      <w:pPr>
        <w:jc w:val="both"/>
        <w:ind w:left="300" w:right="399" w:hanging="8"/>
        <w:spacing w:after="0" w:line="290" w:lineRule="auto"/>
        <w:tabs>
          <w:tab w:leader="none" w:pos="56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obligations of GLNG and the Company with respect the maintenance of a letter of credit and (iii) certain ongoing management services to be provided to the Company and its subsidiaries by certain subsidiaries of GLNG.</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Hygo Indemnity Agreement</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Hygo Merger, GLNG, Stonepeak and Hygo entered into an Indemnity Agreement (the “Hygo Indemnity Agreement”). Pursuant to the Hygo Indemnity Agreement, GLNG and Stonepeak agreed, on a several and not joint basis, to, among other things, indemnify Hygo in respect of its obligations under a certain guaranty and procure a replacement letter of credit thereunder.</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Hygo Tax Indemnity Agreement</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Hygo Merger, an affiliate of the Company, GLNG, and certain affiliates of Stonepeak entered into a Tax Indemnification Agreement (the “Hygo Tax Indemnification Agreement”). Pursuant to the Hygo Tax Indemnification Agreement, GLNG and certain affiliates of Stonepeak, severally and not jointly, will indemnify and hold harmless the Company, its affiliates and certain other parties from certain losses arising out of, relating to or resulting from certain tax liabilities that may arise in connection with the Hygo Merger (as further described in the Hygo Tax Indemnification Agreement).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GMLP Omnibus Agreement</w:t>
      </w:r>
    </w:p>
    <w:p>
      <w:pPr>
        <w:spacing w:after="0" w:line="121"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In connection with the Company’s acquisition (the “GMLP Merger”) of GMLP, NFE, GLNG and certain parties thereto entered into an Omnibus Agreement (the “GMLP Omnibus Agreement”) that evidences the parties understanding with respect to, among other things, (i) certain obligations of NFE and GLNG with respect to ongoing guarantees by GLNG of certain obligations of GMLP or its subsidiaries under certain bareboat charters, (ii) certain ongoing management services to be provided to the Company and its subsidiaries by certain subsidiaries of GLNG,</w:t>
      </w:r>
    </w:p>
    <w:p>
      <w:pPr>
        <w:spacing w:after="0" w:line="3" w:lineRule="exact"/>
        <w:rPr>
          <w:sz w:val="20"/>
          <w:szCs w:val="20"/>
          <w:color w:val="auto"/>
        </w:rPr>
      </w:pPr>
    </w:p>
    <w:p>
      <w:pPr>
        <w:ind w:left="300" w:right="419" w:hanging="8"/>
        <w:spacing w:after="0" w:line="253" w:lineRule="auto"/>
        <w:tabs>
          <w:tab w:leader="none" w:pos="6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indemnification of obligations of GLNG in favor of the Company and the Company in favor of GLNG with respect to cross-default provisions in certain bareboat charters, (iv) information rights in connection with a certain bareboat charter, and (v) certain contingent indemnification obligations of GLNG with respect to the release of liens on a certain asset.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GMLP Tax Indemnification Agreement</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GMLP Merger, NFE International Holdings Limited (“NFE International”) and GLNG entered into a Tax Indemnification Agreement (the “GMLP Tax Indemnification Agreement”). Pursuant to the GMLP Tax Indemnification Agreement, among other things, GLNG will hold harmless NFE International, its affiliates, and certain other parties from certain losses arising from certain UK Tax Lease Transactions (as defined in the GMLP Tax Indemnification Agreement) in which affiliates of GMLP were participants.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 with Related Persons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Miami Ground Lease</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lease the property for our Miami Facility from an affiliate of Fortress. Our subsidiary, LNG Holdings (Florida) LLC (“Florida Holdings”), is the owner and operator of our liquefaction, storage and production facility in Miami, Florida (the “Miami Facility”). 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term of the Miami Lease commenced November 20, 2014, and was renewed in November 2019 with a new maturity date of November 20, 2024. The term will automatically extend for four additional periods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spacing w:after="0" w:line="257" w:lineRule="auto"/>
        <w:rPr>
          <w:sz w:val="20"/>
          <w:szCs w:val="20"/>
          <w:color w:val="auto"/>
        </w:rPr>
      </w:pPr>
      <w:r>
        <w:rPr>
          <w:rFonts w:ascii="Times New Roman" w:cs="Times New Roman" w:eastAsia="Times New Roman" w:hAnsi="Times New Roman"/>
          <w:sz w:val="18"/>
          <w:szCs w:val="18"/>
          <w:color w:val="auto"/>
        </w:rPr>
        <w:t>five years each (unless Miami Tenant notifies Miami Landlord otherwise as set forth in the Miami Lease). Miami Tenant pays base rent in the amount of $0.3 million per year, which amount shall escalate by 2.5% on each anniversary of the commencement date. Miami Tenant has delivered a security deposit in the amount of</w:t>
      </w:r>
    </w:p>
    <w:p>
      <w:pPr>
        <w:spacing w:after="0" w:line="1" w:lineRule="exact"/>
        <w:rPr>
          <w:sz w:val="20"/>
          <w:szCs w:val="20"/>
          <w:color w:val="auto"/>
        </w:rPr>
      </w:pPr>
    </w:p>
    <w:p>
      <w:pPr>
        <w:ind w:left="300" w:right="519"/>
        <w:spacing w:after="0" w:line="260" w:lineRule="auto"/>
        <w:rPr>
          <w:sz w:val="20"/>
          <w:szCs w:val="20"/>
          <w:color w:val="auto"/>
        </w:rPr>
      </w:pPr>
      <w:r>
        <w:rPr>
          <w:rFonts w:ascii="Times New Roman" w:cs="Times New Roman" w:eastAsia="Times New Roman" w:hAnsi="Times New Roman"/>
          <w:sz w:val="18"/>
          <w:szCs w:val="18"/>
          <w:color w:val="auto"/>
        </w:rPr>
        <w:t>$0.1 million, which will be reduced to $0 upon commencement of the second renewal term. Miami Tenant has the right to provide the security deposit in the form of a letter of credit.</w:t>
      </w:r>
    </w:p>
    <w:p>
      <w:pPr>
        <w:spacing w:after="0" w:line="73"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Miami Tenant is responsible for all other costs attributable to the Miami leased premises and Miami Facility, including all property taxes, insurance, and utilities, as well as all maintenance, repair, and replacement costs.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Headquarters Lease</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November 2018, we entered into a month-to-month non-exclusive license agreement, pursuant to which we lease our corporate offices from FEP Holdco LLC (“FEP Holdco”), an entity owned jointly by Wesley R. Edens and Randal A. Nardone. The predecessor to FEP Holdco agreed to be the lessor of record for the lease to facilitate the Company’s ability to occupy the space in the timeframe desired by the Company. Under this license agreement, we incurred rent of approximately $2.4 million for the year ended December 31, 2021, and as of December 31, 2021, $2.4 million was due to FEP Holdco.</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Aircraft</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Mr. Edens owns an aircraft that we charter from a third-party aircraft operator for business purposes in the ordinary course of operations. We, or FIG LLC on our behalf, paid the aircraft operator market rates for the charters. For the year ended December 31, 2021, we incurred charter costs of $4.5 million, and such amount is included within selling, general and administrative expenses.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We are party to an Administrative Services Agreement (“Administrative Agreement”) with FIG LLC to charge the Company for selling, general and administrative expenses incurred to provide certain back-office services. The charges under the Management Agreement and Administrative Agreement that are attributable to the Company totaled $6.5 million for the year ended December 31, 2021. As of December 31, 2021, $5.7 million was due to FIG LLC.</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Fortress Affiliated Entities</w:t>
      </w:r>
    </w:p>
    <w:p>
      <w:pPr>
        <w:spacing w:after="0" w:line="121" w:lineRule="exact"/>
        <w:rPr>
          <w:sz w:val="20"/>
          <w:szCs w:val="20"/>
          <w:color w:val="auto"/>
        </w:rPr>
      </w:pPr>
    </w:p>
    <w:p>
      <w:pPr>
        <w:jc w:val="both"/>
        <w:ind w:left="300" w:right="839" w:firstLine="360"/>
        <w:spacing w:after="0" w:line="266" w:lineRule="auto"/>
        <w:rPr>
          <w:sz w:val="20"/>
          <w:szCs w:val="20"/>
          <w:color w:val="auto"/>
        </w:rPr>
      </w:pPr>
      <w:r>
        <w:rPr>
          <w:rFonts w:ascii="Times New Roman" w:cs="Times New Roman" w:eastAsia="Times New Roman" w:hAnsi="Times New Roman"/>
          <w:sz w:val="18"/>
          <w:szCs w:val="18"/>
          <w:color w:val="auto"/>
        </w:rPr>
        <w:t>Since 2017, the Company has provided certain administrative services to affiliates of FEP Holdco. As of December 31, 2021, $0.4 million was due from affiliates. There are no costs incurred by the Company as the Company is fully reimbursed for all costs incurred.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Sublease with Non-Related Person</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Since September 2020, NewRez LLC, a subsidiary of the New Residential Investment Corp, has subleased a portion of office space from one of our affiliates, which is controlled by certain principals of Fortress Investment Group LLC. For the year ended December 31, 2021, NewRez LLC incurred and paid to an affiliate of the Company approximately $0.8 million of rent and office related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APPOINTMENT OF ERNST &amp; YOUNG LLP AS INDEPENDENT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Proposed Independent Registered Public Accounting Firm</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accountants, served as the independent registered public accounting firm for us and our subsidiaries for the fiscal years ended December 31, 2021 and 2020. The Audit Committee has appointed Ernst &amp; Young LLP to be our independent registered public accounting firm for the fiscal year ending December 31, 2022 and has further directed that the selection of the independent registered public accounting firm be submitted for approval by the stockholders at the Annual Meeting.</w:t>
      </w:r>
    </w:p>
    <w:p>
      <w:pPr>
        <w:spacing w:after="0" w:line="75"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Representatives of Ernst &amp; Young LLP will be present in person at the Annual Meeting, will be given the opportunity to make a statement, if they so desire, and will be available to respond to appropriate questions from stockholders.</w:t>
      </w:r>
    </w:p>
    <w:p>
      <w:pPr>
        <w:spacing w:after="0" w:line="64" w:lineRule="exact"/>
        <w:rPr>
          <w:sz w:val="20"/>
          <w:szCs w:val="20"/>
          <w:color w:val="auto"/>
        </w:rPr>
      </w:pPr>
    </w:p>
    <w:p>
      <w:pPr>
        <w:ind w:left="300" w:right="7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appointment of Ernst &amp; Young LLP as independent registered public accounting firm for the Company for fiscal year 2022.</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table below sets forth the aggregate fees and expenses for the years ended December 31, 2021 and December 31, 2020 for professional services performed by our independent registered public accounting firm, Ernst &amp; Young LLP:</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50"/>
        </w:trPr>
        <w:tc>
          <w:tcPr>
            <w:tcW w:w="6680" w:type="dxa"/>
            <w:vAlign w:val="bottom"/>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9"/>
                <w:szCs w:val="19"/>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51"/>
        </w:trPr>
        <w:tc>
          <w:tcPr>
            <w:tcW w:w="65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31"/>
        </w:trPr>
        <w:tc>
          <w:tcPr>
            <w:tcW w:w="668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$5,628</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$2,600</w:t>
            </w:r>
          </w:p>
        </w:tc>
      </w:tr>
      <w:tr>
        <w:trPr>
          <w:trHeight w:val="324"/>
        </w:trPr>
        <w:tc>
          <w:tcPr>
            <w:tcW w:w="66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1,299</w:t>
            </w:r>
          </w:p>
        </w:tc>
        <w:tc>
          <w:tcPr>
            <w:tcW w:w="200" w:type="dxa"/>
            <w:vAlign w:val="bottom"/>
          </w:tcPr>
          <w:p>
            <w:pPr>
              <w:spacing w:after="0"/>
              <w:rPr>
                <w:sz w:val="24"/>
                <w:szCs w:val="24"/>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66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$7,011</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$2,636</w:t>
            </w:r>
          </w:p>
        </w:tc>
      </w:tr>
      <w:tr>
        <w:trPr>
          <w:trHeight w:val="54"/>
        </w:trPr>
        <w:tc>
          <w:tcPr>
            <w:tcW w:w="65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-1045210</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-1045210</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consists of fees for audit services rendered for the audit of our annual consolidated financial statements, the review of quarterly reports on Form 10-Q, statutory audits required, comfort letters, consents, assistance with and review of documents filed with the SEC, and other attest services.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for diligence services provided in conjunction with the acquisitions of GMLP and Hygo.</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consists of fees for professional services rendered by our principal accountant for tax compliance services.</w:t>
      </w:r>
    </w:p>
    <w:p>
      <w:pPr>
        <w:spacing w:after="0" w:line="100"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79" w:lineRule="exact"/>
        <w:rPr>
          <w:sz w:val="20"/>
          <w:szCs w:val="20"/>
          <w:color w:val="auto"/>
        </w:rPr>
      </w:pPr>
    </w:p>
    <w:p>
      <w:pPr>
        <w:ind w:left="300" w:right="479" w:firstLine="360"/>
        <w:spacing w:after="0" w:line="276" w:lineRule="auto"/>
        <w:rPr>
          <w:sz w:val="20"/>
          <w:szCs w:val="20"/>
          <w:color w:val="auto"/>
        </w:rPr>
      </w:pPr>
      <w:r>
        <w:rPr>
          <w:rFonts w:ascii="Times New Roman" w:cs="Times New Roman" w:eastAsia="Times New Roman" w:hAnsi="Times New Roman"/>
          <w:sz w:val="17"/>
          <w:szCs w:val="17"/>
          <w:color w:val="auto"/>
        </w:rPr>
        <w:t>The audit committee has adopted a pre-approval policy with respect to services which may be performed by Ernst &amp; Young LLP. This policy lists specific audit-related and tax services as well as any other services that Ernst</w:t>
      </w:r>
    </w:p>
    <w:p>
      <w:pPr>
        <w:spacing w:after="0" w:line="1" w:lineRule="exact"/>
        <w:rPr>
          <w:sz w:val="20"/>
          <w:szCs w:val="20"/>
          <w:color w:val="auto"/>
        </w:rPr>
      </w:pPr>
    </w:p>
    <w:p>
      <w:pPr>
        <w:ind w:left="300" w:right="339" w:hanging="8"/>
        <w:spacing w:after="0" w:line="252" w:lineRule="auto"/>
        <w:tabs>
          <w:tab w:leader="none" w:pos="4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 LLP is authorized to perform and sets out specific dollar limits for each specific service, which may not be exceeded without additional audit committee 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The charter of the audit committee and its pre-approval policy require that the audit committee review and pre-approve the plan and scope of Ernst &amp; Young LLP’s audit, audit-related, tax and other services.</w:t>
      </w:r>
    </w:p>
    <w:p>
      <w:pPr>
        <w:spacing w:after="0" w:line="80"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Our audit committee has approved the appointment of Ernst &amp; Young LLP as independent registered public accounting firm to conduct the audit of the Company’s consolidated financial statements for the year ending December 31,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ADVANCE NOTICE FOR STOCKHOLDER NOMINATIONS AND PROPOSALS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2023 ANNUAL MEETING.</w:t>
      </w:r>
    </w:p>
    <w:p>
      <w:pPr>
        <w:spacing w:after="0" w:line="9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Proposals received from stockholders are given careful consideration by the Company in accordance with Rule 14a-8 under the Exchange Act. Stockholder proposals are eligible for consideration for inclusion in the proxy statement for the 2023 annual meeting of stockholders if they are received by the Company on or before December 30, 2022 and no later than January 29, 2023. However, if the 2023 annual meeting date is advanced or delayed by more than 30 days from the anniversary of the previous year’s meeting, to be timely a proposal by the stockholders must be received no later than a reasonable time before the Company begins to print and send its proxy materials. In addition, all proposals will need to comply with Rule 14a-8, which lists the requirements for inclusion of stockholder proposals in company-sponsored proxy materials. Any proposal should be directed to the attention of the Company’s Secretary at 111 W. 19th Street, 8th Floor, New York, New York 10011.</w:t>
      </w:r>
    </w:p>
    <w:p>
      <w:pPr>
        <w:spacing w:after="0" w:line="80"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In order for a stockholder proposal, including proposals regarding director nominees, submitted outside of Rule 14a-8 to be considered at any annual meeting of stockholders, our Bylaws requires that such proposal be made by an eligible stockholder who has delivered a timely notice to the Secretary of the Company at our principal executive offices and otherwise meets the information and procedural requirements prescribed by our Bylaws. Subject to certain exceptions, in order for a proposal relating to business to be conducted at our 2023 annual meeting of stockholders to be “timely” under the Bylaws, it must be received by the Secretary of the Company at our principal executive office no earlier than December 30, 2022 and no later than January 29, 2023. However, if the 2023 meeting is called for on a date that is more than 30 days before or after June 15, 2023, for a stockholder’s notice to be timely, it must be received no later than the close of business on the 10th day following the day on which public disclosure of the date of the annual meeting is first made by the Company. All director nominations and stockholder proposals, other than stockholder proposals made pursuant to Rule 14a-8, must comply with the requirements of our Certificate of Formation and Bylaws, or they may be excluded from consideration at the meeting.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to be brought before the Annual Meeting. If any other matters properly come before the Annual Meeting, the proxies will be voted on such matters in accordance with the judgment of the persons named as proxies therein, or their substitutes, present and acting at the meeting.</w:t>
      </w:r>
    </w:p>
    <w:p>
      <w:pPr>
        <w:spacing w:after="0" w:line="68"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 not contained in this Proxy Statement, and, if given or made, such information or representation should not be relied upon as having been authorized. The delivery of this Proxy Statement shall not, under any circumstances, imply that there has not been any change in the information set forth herein since the date of the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which are available to the public from commercial document retrieval services and on the website maintained by the SEC at www.sec.gov. </w:t>
      </w:r>
      <w:r>
        <w:rPr>
          <w:rFonts w:ascii="Times New Roman" w:cs="Times New Roman" w:eastAsia="Times New Roman" w:hAnsi="Times New Roman"/>
          <w:sz w:val="18"/>
          <w:szCs w:val="18"/>
          <w:b w:val="1"/>
          <w:bCs w:val="1"/>
          <w:color w:val="auto"/>
        </w:rPr>
        <w:t>In addition, our SEC filings are available, free of charge, on our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www.newfortressenergy.com. </w:t>
      </w:r>
      <w:r>
        <w:rPr>
          <w:rFonts w:ascii="Times New Roman" w:cs="Times New Roman" w:eastAsia="Times New Roman" w:hAnsi="Times New Roman"/>
          <w:sz w:val="18"/>
          <w:szCs w:val="18"/>
          <w:color w:val="auto"/>
        </w:rPr>
        <w:t>Such information will also be furnished upon written request to New Fortress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111 W. 19th Street, 8th Floor, New York, New York 10011, Attention: Investor Relations.</w:t>
      </w:r>
    </w:p>
    <w:p>
      <w:pPr>
        <w:spacing w:after="0" w:line="7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annual reports and proxy statements with respect to two or more stockholders sharing the same address by delivering a single annual report and proxy statement addressed to those stockholders. This process, which is commonly referred to as “householding,” potentially provides extra convenience for stockholders and cost savings for companies. The Company and some brokers household proxy materials, delivering a single annual report and proxy statement to multiple stockholders sharing an address unless contrary instructions have been received from the affected stockholders.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annual report and proxy statement, please notify your broker if your shares are held in a brokerage account or the Company if you hold registered shares. You can notify the Company by sending a written request to New Fortress Energy Inc. 111 W. 19th Street, 8th Floor, New York, New York 10011, Attention: Investor Relations or by contacting Investor Relations at ir@newfortressenergy.com, and we will deliver promptly a separate copy of the annual report and proxy statement.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Instead of receiving future copies of our proxy materials by mail, you can elect to receive an e-mail that will provide electronic links to these documents. Opting to receive your proxy materials online will save the cost of producing and mailing documents to your home or business, will give you an electronic link to the proxy voting site and also will help preserve environmental resources.</w:t>
      </w:r>
    </w:p>
    <w:p>
      <w:pPr>
        <w:spacing w:after="0" w:line="70" w:lineRule="exact"/>
        <w:rPr>
          <w:sz w:val="20"/>
          <w:szCs w:val="20"/>
          <w:color w:val="auto"/>
        </w:rPr>
      </w:pPr>
    </w:p>
    <w:p>
      <w:pPr>
        <w:ind w:left="300" w:right="7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vote on the Internet at www.proxyvote.com, simply follow the prompts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enrolling in the electronic proxy delivery service.</w:t>
      </w:r>
    </w:p>
    <w:p>
      <w:pPr>
        <w:spacing w:after="0" w:line="50" w:lineRule="exact"/>
        <w:rPr>
          <w:sz w:val="20"/>
          <w:szCs w:val="20"/>
          <w:color w:val="auto"/>
        </w:rPr>
      </w:pPr>
    </w:p>
    <w:p>
      <w:pPr>
        <w:ind w:left="300" w:right="9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 hold your shares in a bank or brokerage account, you also may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receive the proxy materials electronically. Please check the information provided in the proxy materials you receive from your bank or broker regarding the availability of this service.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election to receive proxy materials by email will remain in effect until you terminate it.</w:t>
      </w:r>
    </w:p>
    <w:p>
      <w:pPr>
        <w:spacing w:after="0" w:line="1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Cameron D. MacDougall</w:t>
      </w:r>
    </w:p>
    <w:p>
      <w:pPr>
        <w:spacing w:after="0" w:line="11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29, 2022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93345</wp:posOffset>
            </wp:positionV>
            <wp:extent cx="5949315" cy="76981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93345</wp:posOffset>
            </wp:positionV>
            <wp:extent cx="5949315" cy="76981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
      <w:numFmt w:val="bullet"/>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1)"/>
      <w:numFmt w:val="lowerRoman"/>
      <w:start w:val="1"/>
    </w:lvl>
  </w:abstractNum>
  <w:abstractNum w:abstractNumId="4">
    <w:nsid w:val="41A7C4C9"/>
    <w:multiLevelType w:val="hybridMultilevel"/>
    <w:lvl w:ilvl="0">
      <w:lvlJc w:val="left"/>
      <w:lvlText w:val="(%1)"/>
      <w:numFmt w:val="lowerRoman"/>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lowerRoman"/>
      <w:start w:val="2"/>
    </w:lvl>
  </w:abstractNum>
  <w:abstractNum w:abstractNumId="23">
    <w:nsid w:val="79838CB2"/>
    <w:multiLevelType w:val="hybridMultilevel"/>
    <w:lvl w:ilvl="0">
      <w:lvlJc w:val="left"/>
      <w:lvlText w:val="(%1)"/>
      <w:numFmt w:val="lowerRoman"/>
      <w:start w:val="3"/>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2022-04-29T21:17:26Z</dcterms:created>
  <dcterms:modified xsi:type="dcterms:W3CDTF">2022-04-29T21:17:26Z</dcterms:modified>
</cp:coreProperties>
</file>