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132715</wp:posOffset>
            </wp:positionV>
            <wp:extent cx="12172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295" cy="17145"/>
                    </a:xfrm>
                    <a:prstGeom prst="rect">
                      <a:avLst/>
                    </a:prstGeom>
                    <a:noFill/>
                  </pic:spPr>
                </pic:pic>
              </a:graphicData>
            </a:graphic>
          </wp:anchor>
        </w:drawing>
      </w:r>
    </w:p>
    <w:p>
      <w:pPr>
        <w:spacing w:after="0" w:line="39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161290</wp:posOffset>
            </wp:positionV>
            <wp:extent cx="12172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295"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May 7, 2021</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142875</wp:posOffset>
            </wp:positionV>
            <wp:extent cx="12172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7295"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158750</wp:posOffset>
            </wp:positionV>
            <wp:extent cx="12172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7295" cy="17145"/>
                    </a:xfrm>
                    <a:prstGeom prst="rect">
                      <a:avLst/>
                    </a:prstGeom>
                    <a:noFill/>
                  </pic:spPr>
                </pic:pic>
              </a:graphicData>
            </a:graphic>
          </wp:anchor>
        </w:drawing>
      </w:r>
    </w:p>
    <w:p>
      <w:pPr>
        <w:sectPr>
          <w:pgSz w:w="11900" w:h="16838" w:orient="portrait"/>
          <w:cols w:equalWidth="0" w:num="1">
            <w:col w:w="11080"/>
          </w:cols>
          <w:pgMar w:left="320" w:top="535" w:right="49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2920"/>
          </w:cols>
          <w:pgMar w:left="320" w:top="535" w:right="499" w:bottom="1440" w:gutter="0" w:footer="0" w:header="0"/>
          <w:type w:val="continuous"/>
        </w:sectPr>
      </w:pPr>
    </w:p>
    <w:p>
      <w:pPr>
        <w:spacing w:after="0" w:line="45"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ind w:left="2200"/>
        <w:spacing w:after="0"/>
        <w:tabs>
          <w:tab w:leader="none" w:pos="8260" w:val="left"/>
        </w:tabs>
        <w:rPr>
          <w:sz w:val="20"/>
          <w:szCs w:val="20"/>
          <w:color w:val="auto"/>
        </w:rPr>
      </w:pPr>
      <w:r>
        <w:rPr>
          <w:rFonts w:ascii="Arial" w:cs="Arial" w:eastAsia="Arial" w:hAnsi="Arial"/>
          <w:sz w:val="18"/>
          <w:szCs w:val="18"/>
          <w:b w:val="1"/>
          <w:bCs w:val="1"/>
          <w:color w:val="auto"/>
        </w:rPr>
        <w:t>New York, NY</w:t>
      </w:r>
      <w:r>
        <w:rPr>
          <w:sz w:val="20"/>
          <w:szCs w:val="20"/>
          <w:color w:val="auto"/>
        </w:rPr>
        <w:tab/>
      </w:r>
      <w:r>
        <w:rPr>
          <w:rFonts w:ascii="Arial" w:cs="Arial" w:eastAsia="Arial" w:hAnsi="Arial"/>
          <w:sz w:val="15"/>
          <w:szCs w:val="15"/>
          <w:b w:val="1"/>
          <w:bCs w:val="1"/>
          <w:color w:val="auto"/>
        </w:rPr>
        <w:t>10011</w:t>
      </w:r>
    </w:p>
    <w:p>
      <w:pPr>
        <w:spacing w:after="0" w:line="9" w:lineRule="exact"/>
        <w:rPr>
          <w:sz w:val="24"/>
          <w:szCs w:val="24"/>
          <w:color w:val="auto"/>
        </w:rPr>
      </w:pPr>
    </w:p>
    <w:p>
      <w:pPr>
        <w:ind w:left="1300"/>
        <w:spacing w:after="0"/>
        <w:tabs>
          <w:tab w:leader="none" w:pos="8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080"/>
          </w:cols>
          <w:pgMar w:left="320" w:top="535" w:right="499" w:bottom="1440" w:gutter="0" w:footer="0" w:header="0"/>
          <w:type w:val="continuous"/>
        </w:sectPr>
      </w:pP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154305</wp:posOffset>
            </wp:positionV>
            <wp:extent cx="12172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7295"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154305</wp:posOffset>
            </wp:positionV>
            <wp:extent cx="12172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17295" cy="1714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440" w:type="dxa"/>
            <w:vAlign w:val="bottom"/>
          </w:tcPr>
          <w:p>
            <w:pPr>
              <w:spacing w:after="0"/>
              <w:rPr>
                <w:sz w:val="18"/>
                <w:szCs w:val="18"/>
                <w:color w:val="auto"/>
              </w:rPr>
            </w:pPr>
          </w:p>
        </w:tc>
        <w:tc>
          <w:tcPr>
            <w:tcW w:w="210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Trading Symbol(s)</w:t>
            </w:r>
          </w:p>
        </w:tc>
        <w:tc>
          <w:tcPr>
            <w:tcW w:w="3920" w:type="dxa"/>
            <w:vAlign w:val="bottom"/>
            <w:gridSpan w:val="2"/>
          </w:tcPr>
          <w:p>
            <w:pPr>
              <w:jc w:val="center"/>
              <w:ind w:left="65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3960" w:type="dxa"/>
            <w:vAlign w:val="bottom"/>
            <w:gridSpan w:val="3"/>
          </w:tcPr>
          <w:p>
            <w:pPr>
              <w:jc w:val="center"/>
              <w:ind w:right="2220"/>
              <w:spacing w:after="0"/>
              <w:rPr>
                <w:sz w:val="20"/>
                <w:szCs w:val="20"/>
                <w:color w:val="auto"/>
              </w:rPr>
            </w:pPr>
            <w:r>
              <w:rPr>
                <w:rFonts w:ascii="Arial" w:cs="Arial" w:eastAsia="Arial" w:hAnsi="Arial"/>
                <w:sz w:val="18"/>
                <w:szCs w:val="18"/>
                <w:b w:val="1"/>
                <w:bCs w:val="1"/>
                <w:color w:val="auto"/>
                <w:w w:val="87"/>
              </w:rPr>
              <w:t>Class A common stock</w:t>
            </w:r>
          </w:p>
        </w:tc>
        <w:tc>
          <w:tcPr>
            <w:tcW w:w="21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9"/>
              </w:rPr>
              <w:t>“NFE”</w:t>
            </w:r>
          </w:p>
        </w:tc>
        <w:tc>
          <w:tcPr>
            <w:tcW w:w="74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1"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Emerging growth company</w:t>
      </w:r>
    </w:p>
    <w:p>
      <w:pPr>
        <w:spacing w:after="0" w:line="20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35"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300" w:firstLine="486"/>
        <w:spacing w:after="0" w:line="263" w:lineRule="auto"/>
        <w:rPr>
          <w:sz w:val="20"/>
          <w:szCs w:val="20"/>
          <w:color w:val="auto"/>
        </w:rPr>
      </w:pPr>
      <w:r>
        <w:rPr>
          <w:rFonts w:ascii="Arial" w:cs="Arial" w:eastAsia="Arial" w:hAnsi="Arial"/>
          <w:sz w:val="18"/>
          <w:szCs w:val="18"/>
          <w:color w:val="auto"/>
        </w:rPr>
        <w:t>On May 7, 2021, New Fortress Energy Inc. (“NFE” or the “Company”) issued a press release announcing the Company’s financial and operating results for its fiscal quarter ended March 31, 2021. A copy of the Company’s press release is attached to this Current Report on Form 8-K (the “Current Report”) as Exhibit 99.1 and is incorporated herein solely for purposes of this Item 2.02 disclosure.</w:t>
      </w:r>
    </w:p>
    <w:p>
      <w:pPr>
        <w:spacing w:after="0" w:line="184"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6"/>
              </w:rPr>
              <w:t>Exhibit</w:t>
            </w:r>
          </w:p>
        </w:tc>
        <w:tc>
          <w:tcPr>
            <w:tcW w:w="100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8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9"/>
              </w:rPr>
              <w:t>No.</w:t>
            </w:r>
          </w:p>
        </w:tc>
        <w:tc>
          <w:tcPr>
            <w:tcW w:w="10000" w:type="dxa"/>
            <w:vAlign w:val="bottom"/>
          </w:tcPr>
          <w:p>
            <w:pPr>
              <w:jc w:val="right"/>
              <w:ind w:right="4476"/>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tcBorders>
              <w:top w:val="single" w:sz="8" w:color="auto"/>
            </w:tcBorders>
            <w:gridSpan w:val="3"/>
          </w:tcPr>
          <w:p>
            <w:pPr>
              <w:jc w:val="cente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hyperlink>
          </w:p>
        </w:tc>
        <w:tc>
          <w:tcPr>
            <w:tcW w:w="220" w:type="dxa"/>
            <w:vAlign w:val="bottom"/>
          </w:tcPr>
          <w:p>
            <w:pPr>
              <w:spacing w:after="0"/>
              <w:rPr>
                <w:sz w:val="15"/>
                <w:szCs w:val="15"/>
                <w:color w:val="auto"/>
              </w:rPr>
            </w:pPr>
          </w:p>
        </w:tc>
        <w:tc>
          <w:tcPr>
            <w:tcW w:w="10000" w:type="dxa"/>
            <w:vAlign w:val="bottom"/>
            <w:tcBorders>
              <w:top w:val="single" w:sz="8" w:color="auto"/>
            </w:tcBorders>
          </w:tcPr>
          <w:p>
            <w:pPr>
              <w:jc w:val="right"/>
              <w:ind w:right="4836"/>
              <w:spacing w:after="0" w:line="176" w:lineRule="exact"/>
              <w:rPr>
                <w:sz w:val="20"/>
                <w:szCs w:val="20"/>
                <w:color w:val="auto"/>
              </w:rPr>
            </w:pPr>
            <w:r>
              <w:rPr>
                <w:rFonts w:ascii="Arial" w:cs="Arial" w:eastAsia="Arial" w:hAnsi="Arial"/>
                <w:sz w:val="18"/>
                <w:szCs w:val="18"/>
                <w:color w:val="auto"/>
                <w:w w:val="88"/>
              </w:rPr>
              <w:t>Press Release, dated May 7, 2021, issued by New Fortress Energy Inc.</w:t>
            </w:r>
          </w:p>
        </w:tc>
      </w:tr>
      <w:tr>
        <w:trPr>
          <w:trHeight w:val="603"/>
        </w:trPr>
        <w:tc>
          <w:tcPr>
            <w:tcW w:w="3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tcPr>
          <w:p>
            <w:pPr>
              <w:jc w:val="right"/>
              <w:ind w:right="5496"/>
              <w:spacing w:after="0"/>
              <w:rPr>
                <w:sz w:val="20"/>
                <w:szCs w:val="20"/>
                <w:color w:val="auto"/>
              </w:rPr>
            </w:pPr>
            <w:r>
              <w:rPr>
                <w:rFonts w:ascii="Arial" w:cs="Arial" w:eastAsia="Arial" w:hAnsi="Arial"/>
                <w:sz w:val="14"/>
                <w:szCs w:val="14"/>
                <w:color w:val="auto"/>
              </w:rPr>
              <w:t>2</w:t>
            </w:r>
          </w:p>
        </w:tc>
      </w:tr>
      <w:tr>
        <w:trPr>
          <w:trHeight w:val="46"/>
        </w:trPr>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960" w:type="dxa"/>
            <w:vAlign w:val="bottom"/>
            <w:gridSpan w:val="2"/>
          </w:tcPr>
          <w:p>
            <w:pPr>
              <w:ind w:left="2360"/>
              <w:spacing w:after="0"/>
              <w:rPr>
                <w:sz w:val="20"/>
                <w:szCs w:val="20"/>
                <w:color w:val="auto"/>
              </w:rPr>
            </w:pPr>
            <w:r>
              <w:rPr>
                <w:rFonts w:ascii="Arial" w:cs="Arial" w:eastAsia="Arial" w:hAnsi="Arial"/>
                <w:sz w:val="18"/>
                <w:szCs w:val="18"/>
                <w:b w:val="1"/>
                <w:bCs w:val="1"/>
                <w:color w:val="auto"/>
              </w:rPr>
              <w:t>NEW FORTRESS ENERGY INC.</w:t>
            </w:r>
          </w:p>
        </w:tc>
      </w:tr>
      <w:tr>
        <w:trPr>
          <w:trHeight w:val="439"/>
        </w:trPr>
        <w:tc>
          <w:tcPr>
            <w:tcW w:w="3280" w:type="dxa"/>
            <w:vAlign w:val="bottom"/>
          </w:tcPr>
          <w:p>
            <w:pPr>
              <w:spacing w:after="0"/>
              <w:rPr>
                <w:sz w:val="20"/>
                <w:szCs w:val="20"/>
                <w:color w:val="auto"/>
              </w:rPr>
            </w:pPr>
            <w:r>
              <w:rPr>
                <w:rFonts w:ascii="Arial" w:cs="Arial" w:eastAsia="Arial" w:hAnsi="Arial"/>
                <w:sz w:val="18"/>
                <w:szCs w:val="18"/>
                <w:color w:val="auto"/>
              </w:rPr>
              <w:t>May 7, 2021</w:t>
            </w:r>
          </w:p>
        </w:tc>
        <w:tc>
          <w:tcPr>
            <w:tcW w:w="2920" w:type="dxa"/>
            <w:vAlign w:val="bottom"/>
          </w:tcPr>
          <w:p>
            <w:pPr>
              <w:ind w:left="23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280" w:type="dxa"/>
            <w:vAlign w:val="bottom"/>
          </w:tcPr>
          <w:p>
            <w:pPr>
              <w:spacing w:after="0"/>
              <w:rPr>
                <w:sz w:val="17"/>
                <w:szCs w:val="17"/>
                <w:color w:val="auto"/>
              </w:rPr>
            </w:pPr>
          </w:p>
        </w:tc>
        <w:tc>
          <w:tcPr>
            <w:tcW w:w="2920" w:type="dxa"/>
            <w:vAlign w:val="bottom"/>
          </w:tcPr>
          <w:p>
            <w:pPr>
              <w:ind w:left="236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28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33"/>
        </w:trPr>
        <w:tc>
          <w:tcPr>
            <w:tcW w:w="3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 W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-137795</wp:posOffset>
            </wp:positionV>
            <wp:extent cx="1602740"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02740" cy="42037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New York, NY 10011</w:t>
      </w:r>
    </w:p>
    <w:p>
      <w:pPr>
        <w:spacing w:after="0" w:line="200" w:lineRule="exact"/>
        <w:rPr>
          <w:sz w:val="20"/>
          <w:szCs w:val="20"/>
          <w:color w:val="auto"/>
        </w:rPr>
      </w:pPr>
    </w:p>
    <w:p>
      <w:pPr>
        <w:spacing w:after="0" w:line="2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New Fortress Energy Announces First Quarter 2021 Results; Forms Joint Venture with Fortress Transportation and Infrastructure LLC Focused on Renewable and Clean Fuels; Declares Dividend of $0.10 per Class A Common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 New Fortress Energy Inc. (NASDAQ: NFE) (“NFE” or the “Company”) today reported its financial results for the first quarter ending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Highlights</w:t>
      </w:r>
    </w:p>
    <w:p>
      <w:pPr>
        <w:spacing w:after="0" w:line="229"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Closed previously announced acquisitions of Hygo Energy Transition Ltd. (“Hygo”) and Golar LNG Partners LP (“GMLP”) for $5.1bn enterprise value</w:t>
      </w:r>
    </w:p>
    <w:p>
      <w:pPr>
        <w:spacing w:after="0" w:line="187"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projects are advancing on budget and schedule</w:t>
      </w:r>
      <w:r>
        <w:rPr>
          <w:rFonts w:ascii="Arial" w:cs="Arial" w:eastAsia="Arial" w:hAnsi="Arial"/>
          <w:sz w:val="29"/>
          <w:szCs w:val="29"/>
          <w:color w:val="auto"/>
          <w:vertAlign w:val="superscript"/>
        </w:rPr>
        <w:t>(1)</w:t>
      </w:r>
    </w:p>
    <w:p>
      <w:pPr>
        <w:spacing w:after="0" w:line="131" w:lineRule="exact"/>
        <w:rPr>
          <w:sz w:val="20"/>
          <w:szCs w:val="20"/>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Mexico and Nicaragua terminals are expected to be operational</w:t>
      </w:r>
      <w:r>
        <w:rPr>
          <w:rFonts w:ascii="Arial" w:cs="Arial" w:eastAsia="Arial" w:hAnsi="Arial"/>
          <w:sz w:val="28"/>
          <w:szCs w:val="28"/>
          <w:color w:val="auto"/>
          <w:vertAlign w:val="superscript"/>
        </w:rPr>
        <w:t>(2)</w:t>
      </w:r>
      <w:r>
        <w:rPr>
          <w:rFonts w:ascii="Arial" w:cs="Arial" w:eastAsia="Arial" w:hAnsi="Arial"/>
          <w:sz w:val="18"/>
          <w:szCs w:val="18"/>
          <w:color w:val="auto"/>
        </w:rPr>
        <w:t xml:space="preserve"> in Q2 2021</w:t>
      </w:r>
    </w:p>
    <w:p>
      <w:pPr>
        <w:spacing w:after="0" w:line="141"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first ISO Flex vessel has arrived in La Paz and two more expected in Nicaragua in Q2 2021</w:t>
      </w:r>
    </w:p>
    <w:p>
      <w:pPr>
        <w:spacing w:after="0" w:line="242"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are FID</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and currently developing new terminals at Santa Catarina, Barcarena, and Suape in Brazil</w:t>
      </w:r>
    </w:p>
    <w:p>
      <w:pPr>
        <w:spacing w:after="0" w:line="13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continue to make great progress on our Fast LNG asset which we expect will provide us with surety of stable supply at rates well below the current open market prices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Actively engaging with gas suppliers around the globe to supply long-term, fixed-price feedstock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Secured two world class jack up rigs from Maersk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Progressed engineering and design, complete with full operational simulations and deployment scenarios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Maintaining the development timeline of 16-20 months to full operations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Launching Zero Parks, a Joint Venture with Fortress Transportation and Infrastructure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NFE is forming a new joint venture called “Zero Parks” with Fortress Transportation and Infrastructure LLC (NYSE: FTAI), a business with deep investment experience in transportation and high-utility infrastructure assets in the United States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Zero Parks pairs FTAI’s transportation experience and infrastructure with NFE’s focus on hydrogen and clean energy to commercialize the rapidly growing opportunity for renewable and low-carbon fuels</w:t>
      </w:r>
    </w:p>
    <w:p>
      <w:pPr>
        <w:spacing w:after="0" w:line="160" w:lineRule="exact"/>
        <w:rPr>
          <w:rFonts w:ascii="Arial" w:cs="Arial" w:eastAsia="Arial" w:hAnsi="Arial"/>
          <w:sz w:val="18"/>
          <w:szCs w:val="18"/>
          <w:color w:val="auto"/>
        </w:rPr>
      </w:pPr>
    </w:p>
    <w:p>
      <w:pPr>
        <w:ind w:left="980" w:hanging="324"/>
        <w:spacing w:after="0" w:line="202"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Starting with near-term opportunities for renewable diesel and blue hydrogen, Zero Parks aims to reach FID</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on its first two projects in 90-120 days</w:t>
      </w:r>
    </w:p>
    <w:p>
      <w:pPr>
        <w:spacing w:after="0" w:line="19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Significant volume growth – over 5.1 million GPD Committed</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with over 21.2 million GPD of Committed</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and In Discussion Volumes</w:t>
      </w:r>
      <w:r>
        <w:rPr>
          <w:rFonts w:ascii="Arial" w:cs="Arial" w:eastAsia="Arial" w:hAnsi="Arial"/>
          <w:sz w:val="28"/>
          <w:szCs w:val="28"/>
          <w:color w:val="auto"/>
          <w:vertAlign w:val="superscript"/>
        </w:rPr>
        <w:t>(5)</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the private offering of $1.5 billion of senior secured notes due 2026 (the “2026 Notes”)</w:t>
      </w:r>
    </w:p>
    <w:p>
      <w:pPr>
        <w:spacing w:after="0" w:line="25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2026 Notes bear interest at 6.50% per annum and were issued at an issue price equal to 100% of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Closed a $200 million senior secured Revolving Credit Facility (“Revolving Facility”) to provide additional liquidity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approved a dividend of $0.10 per share, with a record date of June 1, 2021 and a payment date of June 11,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Financial Highlights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9"/>
        </w:trPr>
        <w:tc>
          <w:tcPr>
            <w:tcW w:w="1580" w:type="dxa"/>
            <w:vAlign w:val="bottom"/>
            <w:tcBorders>
              <w:top w:val="single" w:sz="8" w:color="auto"/>
            </w:tcBorders>
          </w:tcPr>
          <w:p>
            <w:pPr>
              <w:spacing w:after="0"/>
              <w:rPr>
                <w:sz w:val="24"/>
                <w:szCs w:val="24"/>
                <w:color w:val="auto"/>
              </w:rPr>
            </w:pPr>
          </w:p>
        </w:tc>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198"/>
        </w:trPr>
        <w:tc>
          <w:tcPr>
            <w:tcW w:w="15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360" w:type="dxa"/>
            <w:vAlign w:val="bottom"/>
            <w:tcBorders>
              <w:top w:val="single" w:sz="8" w:color="auto"/>
            </w:tcBorders>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7"/>
                <w:szCs w:val="17"/>
                <w:color w:val="auto"/>
              </w:rPr>
            </w:pPr>
          </w:p>
        </w:tc>
      </w:tr>
      <w:tr>
        <w:trPr>
          <w:trHeight w:val="241"/>
        </w:trPr>
        <w:tc>
          <w:tcPr>
            <w:tcW w:w="864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Average Volumes)</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Average Volumes (k GPD)</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r>
    </w:tbl>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revenue of $145.7 million, remaining stable from Q4 2020</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was $39.5 million, as compared to the Q4 2020 net loss of $0.5 million, which was primarily a result of higher LNG cost in Q1 2021 vs. Q4 2020 as well as costs associated with Hygo and GMLP acquisitions</w:t>
      </w:r>
    </w:p>
    <w:p>
      <w:pPr>
        <w:ind w:left="660" w:hanging="328"/>
        <w:spacing w:after="0" w:line="1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Operating Margin*</w:t>
      </w:r>
      <w:r>
        <w:rPr>
          <w:rFonts w:ascii="Arial" w:cs="Arial" w:eastAsia="Arial" w:hAnsi="Arial"/>
          <w:sz w:val="25"/>
          <w:szCs w:val="25"/>
          <w:color w:val="auto"/>
          <w:vertAlign w:val="superscript"/>
        </w:rPr>
        <w:t>(6)</w:t>
      </w:r>
      <w:r>
        <w:rPr>
          <w:rFonts w:ascii="Arial" w:cs="Arial" w:eastAsia="Arial" w:hAnsi="Arial"/>
          <w:sz w:val="16"/>
          <w:szCs w:val="16"/>
          <w:color w:val="auto"/>
        </w:rPr>
        <w:t xml:space="preserve"> decreased by $28.1 million in Q1 2021 vs Q4 2020, which is line with our expectations due to higher LNG cost</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daily volumes sold in Q1 2021 were approximately 1.4 million GPD</w:t>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*Operating Margin is a non-GAAP financial measure. For definitions and reconciliations of non-GAAP results please refer to the exhibit to this press release.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refer to our Q1 2021 Investor Presentation (the “Presentation”) for further information about the following terms:</w:t>
      </w:r>
    </w:p>
    <w:p>
      <w:pPr>
        <w:spacing w:after="0" w:line="225" w:lineRule="exact"/>
        <w:rPr>
          <w:sz w:val="20"/>
          <w:szCs w:val="20"/>
          <w:color w:val="auto"/>
        </w:rPr>
      </w:pPr>
    </w:p>
    <w:p>
      <w:pPr>
        <w:ind w:right="280" w:firstLine="8"/>
        <w:spacing w:after="0" w:line="258" w:lineRule="auto"/>
        <w:tabs>
          <w:tab w:leader="none" w:pos="19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“On schedule” and “on budget” are based on internal evaluations and refer to completing certain stages of projects within a timeframe and within a spectrum of budget parameters that, when taken as a whole, are substantially consistent with our business model.</w:t>
      </w:r>
    </w:p>
    <w:p>
      <w:pPr>
        <w:spacing w:after="0" w:line="1" w:lineRule="exact"/>
        <w:rPr>
          <w:rFonts w:ascii="Arial" w:cs="Arial" w:eastAsia="Arial" w:hAnsi="Arial"/>
          <w:sz w:val="18"/>
          <w:szCs w:val="18"/>
          <w:i w:val="1"/>
          <w:iCs w:val="1"/>
          <w:color w:val="auto"/>
        </w:rPr>
      </w:pPr>
    </w:p>
    <w:p>
      <w:pPr>
        <w:jc w:val="both"/>
        <w:ind w:firstLine="8"/>
        <w:spacing w:after="0" w:line="265" w:lineRule="auto"/>
        <w:tabs>
          <w:tab w:leader="none" w:pos="19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“Operational” with respect to a particular project means we expect gas to be made available within thirty (30) days,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date. We cannot assure you if or when such projects will reach full commercial operations. Actual results could differ materially from the illustrations reflected in the Presentation and there can be no assurance we will achieve our goals.</w:t>
      </w:r>
    </w:p>
    <w:p>
      <w:pPr>
        <w:ind w:right="140" w:firstLine="8"/>
        <w:spacing w:after="0" w:line="250" w:lineRule="auto"/>
        <w:tabs>
          <w:tab w:leader="none" w:pos="19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“FID” means management has made an internal commitment to commit resources (including capital) to a particular project. Our management has not made an FID decision on certain projects as of the date of this press release, and there can be no assurance that we will be willing or able to make any such decision, based on a particular project’s time, resource, capital and financing requirements.</w:t>
      </w:r>
    </w:p>
    <w:p>
      <w:pPr>
        <w:spacing w:after="0" w:line="1" w:lineRule="exact"/>
        <w:rPr>
          <w:rFonts w:ascii="Arial" w:cs="Arial" w:eastAsia="Arial" w:hAnsi="Arial"/>
          <w:sz w:val="18"/>
          <w:szCs w:val="18"/>
          <w:i w:val="1"/>
          <w:iCs w:val="1"/>
          <w:color w:val="auto"/>
        </w:rPr>
      </w:pPr>
    </w:p>
    <w:p>
      <w:pPr>
        <w:jc w:val="both"/>
        <w:ind w:firstLine="8"/>
        <w:spacing w:after="0" w:line="265" w:lineRule="auto"/>
        <w:tabs>
          <w:tab w:leader="none" w:pos="21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“Committed” means our expected volumes to be sold to customers under binding contracts, awards under requests for proposals, and the agreement being finalized in for our project in Southeast Asia as of the period specified in the Presentation. There can be no assurance that we will enter into binding agreements for the awards we have under requests for proposals or our project in Southeast Asia on a particular timeline or at all. Some, but not all, of our contracts contain minimum volume commitments, and our expected volumes to be sold to customers reflected in our “Committed Volumes” are substantially in excess of such minimum volume commitments. Our near-term ability to sell these volumes is dependent on our customers’ continued willingness and ability to continue purchasing these volumes and to perform their obligations under their respective contracts. If any of our customers fails to continue to make such purchases or fails to perform their obligations under their respective contract, our operating results, cash flow and liquidity could be materially and adversely affected. References to Committed Volumes in the future and percentages of these volumes in the future should not be viewed as guidance or management’s view of the Company’s projected earnings, is not based on the Company’s historical operating results, which are limited, and does not purport to be an actual representation of our future economics.</w:t>
      </w:r>
    </w:p>
    <w:p>
      <w:pPr>
        <w:spacing w:after="0" w:line="1" w:lineRule="exact"/>
        <w:rPr>
          <w:rFonts w:ascii="Arial" w:cs="Arial" w:eastAsia="Arial" w:hAnsi="Arial"/>
          <w:sz w:val="17"/>
          <w:szCs w:val="17"/>
          <w:i w:val="1"/>
          <w:iCs w:val="1"/>
          <w:color w:val="auto"/>
        </w:rPr>
      </w:pPr>
    </w:p>
    <w:p>
      <w:pPr>
        <w:jc w:val="both"/>
        <w:ind w:firstLine="8"/>
        <w:spacing w:after="0" w:line="250" w:lineRule="auto"/>
        <w:tabs>
          <w:tab w:leader="none" w:pos="202"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 Discussion” refers to potential customers (i) with whom we are in active negotiations, (ii) for whom there is a request for proposals or competitive bid process, or (iii) for whom we anticipate a request for proposals or competitive bid process will soon be announced based on our discussions with the potential customer as of date of this press release. We cannot assure you if or when we will enter into contracts for sales of additional volumes, the price at which we will be able to sell such volumes, or our costs to purchase, liquefy, deliver and sell such volumes. Some, but not all, of our contracts contain minimum volume commitments, and our expected sales to customers reflected in any volumes referenced is substantially in excess of potential minimum volume commitments. References to these volumes and percentages of these volumes should not be viewed as guidance or management’s view of the Company’s projected earnings, is not based on the Company’s historical operating results, which are limited, and does not purport to be an actual representation of our future economics.</w:t>
      </w:r>
    </w:p>
    <w:p>
      <w:pPr>
        <w:spacing w:after="0" w:line="3" w:lineRule="exact"/>
        <w:rPr>
          <w:rFonts w:ascii="Arial" w:cs="Arial" w:eastAsia="Arial" w:hAnsi="Arial"/>
          <w:sz w:val="18"/>
          <w:szCs w:val="18"/>
          <w:i w:val="1"/>
          <w:iCs w:val="1"/>
          <w:color w:val="auto"/>
        </w:rPr>
      </w:pPr>
    </w:p>
    <w:p>
      <w:pPr>
        <w:jc w:val="both"/>
        <w:ind w:firstLine="8"/>
        <w:spacing w:after="0" w:line="253" w:lineRule="auto"/>
        <w:tabs>
          <w:tab w:leader="none" w:pos="202"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Margin” means the sum of (i) Net income / (loss), (ii) Selling, general and administrative, (iii) Depreciation and amortization, (iv) Interest expense, (v) Other (income) expense, net (vi) Loss on extinguishment of debt, net, and (vii) Tax expense (benefit), each as reported on our financial statements. Operating Margin is mathematically equivalent to Revenue minus Cost of sales minus Operations and maintenance, each as reported 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additional information that management believes to be useful for investors, please refer to the presentation posted on the Investor Relations section of New Fortress Energy’s website, www.newfortressenergy.com, and the Company’s most recent Annual Report on Form 10-K, which is available on the Company’s website. Nothing on our website is included or incorporated by reference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Conference Call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will host a conference call on Friday, May 7, 2021 at 8:00 A.M. Eastern Time. The conference call may be accessed by dialing (866) 953-0778 (from within the U.S.) or (630) 652-5853 (from outside of the U.S.) fifteen minutes prior to the scheduled start of the call; please reference “NFE First Quarter 2021 Earnings Call.”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replay of the conference call will also be available after 11:00 A.M. on Friday, May 7, 2021 through 11:00 A.M. on Friday, March 14, 2021 at (855) 859-2056 (from within the U.S.) or (404) 537-3406 (from outside of the U.S.), Passcode: 9098098.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New Fortress Energy Inc.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Fortress Energy Inc.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Operating Margin is not a measurement of financial performance under GAAP and should not be considered in isolation or as an alternative to income/(loss) from operations, net income/(loss), cash flow from operating activities or any other measure of performance or liquidity derived in accordance with GAAP. We believe this non-GAAP financial measure, as we have defined it, provides a supplemental measure of financial performance of our current liquefaction, regasification and power generation operations. This measure excludes items that have little or no significance on day-to-day performance of our current liquefaction, regasification and power generation operations, including our corporate SG&amp;A, contract termination charges and loss on mitigation sales, loss on extinguishment of debt, net, and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right="240"/>
        <w:spacing w:after="0" w:line="257" w:lineRule="auto"/>
        <w:rPr>
          <w:sz w:val="20"/>
          <w:szCs w:val="20"/>
          <w:color w:val="auto"/>
        </w:rPr>
      </w:pPr>
      <w:r>
        <w:rPr>
          <w:rFonts w:ascii="Arial" w:cs="Arial" w:eastAsia="Arial" w:hAnsi="Arial"/>
          <w:sz w:val="18"/>
          <w:szCs w:val="18"/>
          <w:color w:val="auto"/>
        </w:rPr>
        <w:t>As Operating Margin measures our financial performance based on operational factors that management can impact in the short-term and provides an assessment of controllable expenses, items associated with our capital structure and beyond the control of management in the short-term, such as depreciation and amortization, taxation, and interest expense are excluded. As a result, this supplemental metric affords management the ability to make decisions to facilitate meeting current financial goals as well as to achieve optimal financial performance of our current liquefaction, regasification and power generation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limitation of this non-GAAP measure is that it excludes significant expenses and income that are required by GAAP to be recorded in our financial statements. A reconciliation is provided for the non-GAAP financial measure to our GAAP net income/(loss). Investors are encouraged to review the related GAAP financial measures and the reconciliation of the non-GAAP financial measure to our GAAP net income/(loss), and not to rely on any single financial measure to evaluate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statements contained in this press release constitute “forward-looking statements” including our expected volumes of LNG or production of power in particular jurisdictions; our expected volumes for In Discussion Volumes; the expectation that we will continue to take advantage of low LNG prices and develop our Fast LNG project for long-term LNG pricing; our expectations regarding our organic growth opportunities and the full capacity of our existing infrastructure, our expectations regarding our inorganic growth opportunities, the key markets we may enter, and our expectations regarding our green hydrogen investment and pilot projects.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our limited operating history; loss of one or more of our customers; inability to procure LNG on a fixed-price basis, or otherwise to manage LNG price risks, including hedging arrangements; the completion of construction on our LNG terminals, facilities, power plants or liquefaction facilities and the terms of our construction contracts for the completion of these assets; cost overruns and delays in the completion of one or more of our LNG terminals, facilities, power plants or liquefaction facilities, as well as difficulties in obtaining sufficient financing to pay for such costs and delays; our ability to obtain additional financing to effect our strategy; we may be unable to successfully integrate the businesses and realize the anticipated benefits of the mergers of GMLP and Hygo; failure to produce or purchase sufficient amounts of LNG or natural gas at favorable prices to meet customer demand; hurricanes or other natural or manmade disasters; failure to obtain and maintain approvals and permits from governmental and regulatory agencies; operational, regulatory, environmental, political, legal and economic risks pertaining to the construction and operation of our facilities; inability to contract with suppliers and tankers to facilitate the delivery of LNG on their chartered LNG tankers; cyclical or other changes in the demand for and price of LNG and natural gas; failure of natural gas to be a competitive source of energy in the markets in which we operate, and seek to operate; competition from third parties in our business; inability to re-finance our outstanding indebtedness; changes to environmental and similar laws and governmental regulations that are adverse to our operations; inability to enter into favorable agreements and obtain necessary regulatory approvals; the tax treatment of us or of an investment in our Class A shares; the completion of the certain exchange transactions; a major health and safety incident relating to our business; increased labor costs, and the unavailability of skilled workers or our failure to attract and retain qualified personnel; and risks related to the jurisdictions in which we do, or seek to do, business, particularly Florida, Jamaica, Brazil and the Caribbean. Accordingly, readers should not place undue reliance on forward-looking statements as a prediction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both"/>
        <w:spacing w:after="0" w:line="275" w:lineRule="auto"/>
        <w:rPr>
          <w:sz w:val="20"/>
          <w:szCs w:val="20"/>
          <w:color w:val="auto"/>
        </w:rPr>
      </w:pPr>
      <w:r>
        <w:rPr>
          <w:rFonts w:ascii="Arial" w:cs="Arial" w:eastAsia="Arial" w:hAnsi="Arial"/>
          <w:sz w:val="17"/>
          <w:szCs w:val="17"/>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 which could cause its actual results to differ materially from those contained in any forward-looking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Joshua Kane</w:t>
      </w:r>
    </w:p>
    <w:p>
      <w:pPr>
        <w:spacing w:after="0" w:line="9" w:lineRule="exact"/>
        <w:rPr>
          <w:sz w:val="20"/>
          <w:szCs w:val="20"/>
          <w:color w:val="auto"/>
        </w:rPr>
      </w:pPr>
    </w:p>
    <w:p>
      <w:pPr>
        <w:ind w:right="9000" w:firstLine="8"/>
        <w:spacing w:after="0" w:line="323" w:lineRule="auto"/>
        <w:tabs>
          <w:tab w:leader="none" w:pos="435" w:val="left"/>
        </w:tabs>
        <w:numPr>
          <w:ilvl w:val="0"/>
          <w:numId w:val="9"/>
        </w:numPr>
        <w:rPr>
          <w:rFonts w:ascii="Arial" w:cs="Arial" w:eastAsia="Arial" w:hAnsi="Arial"/>
          <w:sz w:val="16"/>
          <w:szCs w:val="16"/>
          <w:color w:val="auto"/>
        </w:rPr>
      </w:pPr>
      <w:r>
        <w:rPr>
          <w:rFonts w:ascii="Arial" w:cs="Arial" w:eastAsia="Arial" w:hAnsi="Arial"/>
          <w:sz w:val="16"/>
          <w:szCs w:val="16"/>
          <w:color w:val="auto"/>
        </w:rPr>
        <w:t>268-7455 jkane@newfortressenergy.com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9" w:lineRule="exact"/>
        <w:rPr>
          <w:sz w:val="20"/>
          <w:szCs w:val="20"/>
          <w:color w:val="auto"/>
        </w:rPr>
      </w:pPr>
    </w:p>
    <w:p>
      <w:pPr>
        <w:ind w:right="9020"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268-7403 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Exhibits –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For the three months ended December 31, 2020 and March 31, 2021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For the Three Months Ended</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91,196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54,488</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145,696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68,987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96,671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45,181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127,665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167,994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18,680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(40,386)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(39,509)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(loss) income attributable to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(37,903)</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170,855,679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176,500,576</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(39,509)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(883)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Comprehensive (gain) loss attributable to non-controlling interest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2,480</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(loss) income attributable to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Non-GAAP Operating Margin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define non-GAAP operating margin as GAAP net loss, adjusted for selling, general and administrative expense, depreciation and amortization, interest expense, other expense, loss on extinguishment of debt, net and tax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7"/>
              </w:rPr>
              <w:t>For the Three Months Ended,</w:t>
            </w:r>
          </w:p>
        </w:tc>
      </w:tr>
      <w:tr>
        <w:trPr>
          <w:trHeight w:val="223"/>
        </w:trPr>
        <w:tc>
          <w:tcPr>
            <w:tcW w:w="8000" w:type="dxa"/>
            <w:vAlign w:val="bottom"/>
          </w:tcPr>
          <w:p>
            <w:pPr>
              <w:spacing w:after="0"/>
              <w:rPr>
                <w:sz w:val="19"/>
                <w:szCs w:val="19"/>
                <w:color w:val="auto"/>
              </w:rPr>
            </w:pPr>
          </w:p>
        </w:tc>
        <w:tc>
          <w:tcPr>
            <w:tcW w:w="16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December 31, 2020</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45,181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9,890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(604)</w:t>
            </w:r>
          </w:p>
        </w:tc>
      </w:tr>
      <w:tr>
        <w:trPr>
          <w:trHeight w:val="22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r>
      <w:tr>
        <w:trPr>
          <w:trHeight w:val="216"/>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Non-GAAP operating margin</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60,913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32,761</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8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31, 2021 and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601,522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12,814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 of allowances of $203 and $98, respectively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76,544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28,031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22,860</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net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60,245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48,270</w:t>
            </w:r>
          </w:p>
        </w:tc>
      </w:tr>
      <w:tr>
        <w:trPr>
          <w:trHeight w:val="216"/>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548,207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762,010</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234,037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607,003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614,206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141,347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65,934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46,102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86,030</w:t>
            </w: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1,832,111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1,908,091</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27,970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21,331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90,352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34,857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35,481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affiliates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8,980</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33,375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35,006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195,870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1,239,561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Non-current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74,363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84,323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25,704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15,641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1,540,930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1,533,005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2"/>
              </w:rPr>
              <w:t>Class A common stock, $0.01 par value, 750.0 million shares authorized, 175.3 million issued and outstanding as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00"/>
              <w:spacing w:after="0"/>
              <w:rPr>
                <w:sz w:val="20"/>
                <w:szCs w:val="20"/>
                <w:color w:val="auto"/>
              </w:rPr>
            </w:pPr>
            <w:r>
              <w:rPr>
                <w:rFonts w:ascii="Arial" w:cs="Arial" w:eastAsia="Arial" w:hAnsi="Arial"/>
                <w:sz w:val="18"/>
                <w:szCs w:val="18"/>
                <w:color w:val="auto"/>
              </w:rPr>
              <w:t>March 31, 2021; 174.6 million issued and outstanding as of December 31, 2020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594,534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(267,406)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(229,503)</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285,534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366,959</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291,181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375,086</w:t>
            </w: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1,832,111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1,908,091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ind w:right="5360"/>
        <w:spacing w:after="0" w:line="276" w:lineRule="auto"/>
        <w:rPr>
          <w:sz w:val="20"/>
          <w:szCs w:val="20"/>
          <w:color w:val="auto"/>
        </w:rPr>
      </w:pPr>
      <w:r>
        <w:rPr>
          <w:rFonts w:ascii="Arial" w:cs="Arial" w:eastAsia="Arial" w:hAnsi="Arial"/>
          <w:sz w:val="17"/>
          <w:szCs w:val="17"/>
          <w:b w:val="1"/>
          <w:bCs w:val="1"/>
          <w:color w:val="auto"/>
        </w:rPr>
        <w:t>Condensed Consolidated Statements of Operations and Comprehensive Loss For the three months ended March 31, 2021 and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54,488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11,028</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145,684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96,671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68,216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28,538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Contract termination charges and loss on mitigation sales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5,254</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167,994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(22,310)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(36,169)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(40,386)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(60,227)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(39,509)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(60,223)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loss attributable to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(37,903)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(8,466)</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176,500,576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26,029,492</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(60,223)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(40,506)</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52,073</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loss attributable to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(38,026)</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(60,223)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for: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and financing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9,557</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(1,412)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Decrease in receivables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(19,223)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5,752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inventories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other assets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(36,943)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(54,080)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right-of-use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(Decrease) Increase in accounts payable/accrued liabilities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(22,399)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amounts due to affiliates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(Decrease) in lease liabilities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(10,584)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(9,170)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other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(111,986)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(51,311)</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(80,810)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(56,098)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Entities acquired in asset acquisitions, net of cash acquired</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(8,817)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(90,257)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(56,048)</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borrowings of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832,144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 of deferred financing costs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(670)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(14,069)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(506,402)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related to tax withholdings for 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(29,564)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(6,084)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dividends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(47,891)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305,589</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(250,134)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198,230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629,336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93,035</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379,202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291,265</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Changes in accounts payable and accrued liabilities associated with construction in progress and property, plant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additions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13,359</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Liabilities associated with consideration paid for entities acquired in asset acquisitions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11,845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533"/>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o"/>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516"/>
    </w:lvl>
  </w:abstractNum>
  <w:abstractNum w:abstractNumId="9">
    <w:nsid w:val="4DB127F8"/>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2021-05-07T05:53:42Z</dcterms:created>
  <dcterms:modified xsi:type="dcterms:W3CDTF">2021-05-07T05:53:42Z</dcterms:modified>
</cp:coreProperties>
</file>