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As filed with the Securities and Exchange Commission on August 7, 2020</w:t>
      </w:r>
    </w:p>
    <w:p>
      <w:pPr>
        <w:spacing w:after="0" w:line="26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333-236921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rPr>
          <w:sz w:val="20"/>
          <w:szCs w:val="20"/>
          <w:color w:val="auto"/>
        </w:rPr>
      </w:pPr>
      <w:r>
        <w:rPr>
          <w:rFonts w:ascii="Arial" w:cs="Arial" w:eastAsia="Arial" w:hAnsi="Arial"/>
          <w:sz w:val="22"/>
          <w:szCs w:val="22"/>
          <w:b w:val="1"/>
          <w:bCs w:val="1"/>
          <w:color w:val="auto"/>
        </w:rPr>
        <w:t>TO</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40"/>
          </w:cols>
          <w:pgMar w:left="320" w:top="220" w:right="339" w:bottom="1440" w:gutter="0" w:footer="0" w:header="0"/>
        </w:sectPr>
      </w:pPr>
    </w:p>
    <w:p>
      <w:pPr>
        <w:spacing w:after="0" w:line="2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22" w:lineRule="exact"/>
        <w:rPr>
          <w:sz w:val="24"/>
          <w:szCs w:val="24"/>
          <w:color w:val="auto"/>
        </w:rPr>
      </w:pPr>
    </w:p>
    <w:p>
      <w:pPr>
        <w:sectPr>
          <w:pgSz w:w="11900" w:h="16838" w:orient="portrait"/>
          <w:cols w:equalWidth="0" w:num="2">
            <w:col w:w="7360" w:space="720"/>
            <w:col w:w="3160"/>
          </w:cols>
          <w:pgMar w:left="320" w:top="220" w:right="3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200"/>
          </w:cols>
          <w:pgMar w:left="320" w:top="220"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111 W. 19th Street, 8th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NY 10011</w:t>
      </w:r>
    </w:p>
    <w:p>
      <w:pPr>
        <w:jc w:val="center"/>
        <w:spacing w:after="0"/>
        <w:rPr>
          <w:sz w:val="20"/>
          <w:szCs w:val="20"/>
          <w:color w:val="auto"/>
        </w:rPr>
      </w:pPr>
      <w:r>
        <w:rPr>
          <w:rFonts w:ascii="Arial" w:cs="Arial" w:eastAsia="Arial" w:hAnsi="Arial"/>
          <w:sz w:val="22"/>
          <w:szCs w:val="22"/>
          <w:b w:val="1"/>
          <w:bCs w:val="1"/>
          <w:color w:val="auto"/>
        </w:rPr>
        <w:t>(516) 268-7400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(Address, including zip code, and telephone number, including area code, of registrant’s principal executive offices)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Cameron D. MacDougall,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111 W. 19th Street, 8th Floor</w:t>
      </w:r>
    </w:p>
    <w:p>
      <w:pPr>
        <w:jc w:val="center"/>
        <w:spacing w:after="0" w:line="231" w:lineRule="auto"/>
        <w:rPr>
          <w:sz w:val="20"/>
          <w:szCs w:val="20"/>
          <w:color w:val="auto"/>
        </w:rPr>
      </w:pPr>
      <w:r>
        <w:rPr>
          <w:rFonts w:ascii="Arial" w:cs="Arial" w:eastAsia="Arial" w:hAnsi="Arial"/>
          <w:sz w:val="22"/>
          <w:szCs w:val="22"/>
          <w:b w:val="1"/>
          <w:bCs w:val="1"/>
          <w:color w:val="auto"/>
        </w:rPr>
        <w:t>New York, NY 10011</w:t>
      </w:r>
    </w:p>
    <w:p>
      <w:pPr>
        <w:jc w:val="center"/>
        <w:spacing w:after="0"/>
        <w:rPr>
          <w:sz w:val="20"/>
          <w:szCs w:val="20"/>
          <w:color w:val="auto"/>
        </w:rPr>
      </w:pPr>
      <w:r>
        <w:rPr>
          <w:rFonts w:ascii="Arial" w:cs="Arial" w:eastAsia="Arial" w:hAnsi="Arial"/>
          <w:sz w:val="22"/>
          <w:szCs w:val="22"/>
          <w:b w:val="1"/>
          <w:bCs w:val="1"/>
          <w:color w:val="auto"/>
        </w:rPr>
        <w:t>(516) 268-7400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including zip code, and telephone number, including area code, of agent for service)</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Copies to:</w:t>
      </w:r>
    </w:p>
    <w:p>
      <w:pPr>
        <w:jc w:val="center"/>
        <w:spacing w:after="0" w:line="238" w:lineRule="auto"/>
        <w:rPr>
          <w:sz w:val="20"/>
          <w:szCs w:val="20"/>
          <w:color w:val="auto"/>
        </w:rPr>
      </w:pPr>
      <w:r>
        <w:rPr>
          <w:rFonts w:ascii="Arial" w:cs="Arial" w:eastAsia="Arial" w:hAnsi="Arial"/>
          <w:sz w:val="22"/>
          <w:szCs w:val="22"/>
          <w:b w:val="1"/>
          <w:bCs w:val="1"/>
          <w:color w:val="auto"/>
        </w:rPr>
        <w:t>Michael J. Zeidel, Esq.</w:t>
      </w:r>
    </w:p>
    <w:p>
      <w:pPr>
        <w:jc w:val="center"/>
        <w:spacing w:after="0" w:line="230" w:lineRule="auto"/>
        <w:rPr>
          <w:sz w:val="20"/>
          <w:szCs w:val="20"/>
          <w:color w:val="auto"/>
        </w:rPr>
      </w:pPr>
      <w:r>
        <w:rPr>
          <w:rFonts w:ascii="Arial" w:cs="Arial" w:eastAsia="Arial" w:hAnsi="Arial"/>
          <w:sz w:val="22"/>
          <w:szCs w:val="22"/>
          <w:b w:val="1"/>
          <w:bCs w:val="1"/>
          <w:color w:val="auto"/>
        </w:rPr>
        <w:t>Michael J. Schwartz, Esq.</w:t>
      </w:r>
    </w:p>
    <w:p>
      <w:pPr>
        <w:jc w:val="center"/>
        <w:spacing w:after="0" w:line="231" w:lineRule="auto"/>
        <w:rPr>
          <w:sz w:val="20"/>
          <w:szCs w:val="20"/>
          <w:color w:val="auto"/>
        </w:rPr>
      </w:pPr>
      <w:r>
        <w:rPr>
          <w:rFonts w:ascii="Arial" w:cs="Arial" w:eastAsia="Arial" w:hAnsi="Arial"/>
          <w:sz w:val="22"/>
          <w:szCs w:val="22"/>
          <w:b w:val="1"/>
          <w:bCs w:val="1"/>
          <w:color w:val="auto"/>
        </w:rPr>
        <w:t>Skadden, Arps, Slate, Meagher &amp; Flom LLP</w:t>
      </w:r>
    </w:p>
    <w:p>
      <w:pPr>
        <w:jc w:val="center"/>
        <w:spacing w:after="0" w:line="230" w:lineRule="auto"/>
        <w:rPr>
          <w:sz w:val="20"/>
          <w:szCs w:val="20"/>
          <w:color w:val="auto"/>
        </w:rPr>
      </w:pPr>
      <w:r>
        <w:rPr>
          <w:rFonts w:ascii="Arial" w:cs="Arial" w:eastAsia="Arial" w:hAnsi="Arial"/>
          <w:sz w:val="22"/>
          <w:szCs w:val="22"/>
          <w:b w:val="1"/>
          <w:bCs w:val="1"/>
          <w:color w:val="auto"/>
        </w:rPr>
        <w:t>One Manhattan West</w:t>
      </w:r>
    </w:p>
    <w:p>
      <w:pPr>
        <w:jc w:val="center"/>
        <w:spacing w:after="0" w:line="231" w:lineRule="auto"/>
        <w:rPr>
          <w:sz w:val="20"/>
          <w:szCs w:val="20"/>
          <w:color w:val="auto"/>
        </w:rPr>
      </w:pPr>
      <w:r>
        <w:rPr>
          <w:rFonts w:ascii="Arial" w:cs="Arial" w:eastAsia="Arial" w:hAnsi="Arial"/>
          <w:sz w:val="22"/>
          <w:szCs w:val="22"/>
          <w:b w:val="1"/>
          <w:bCs w:val="1"/>
          <w:color w:val="auto"/>
        </w:rPr>
        <w:t>New York, New York 10001</w:t>
      </w:r>
    </w:p>
    <w:p>
      <w:pPr>
        <w:jc w:val="center"/>
        <w:spacing w:after="0"/>
        <w:rPr>
          <w:sz w:val="20"/>
          <w:szCs w:val="20"/>
          <w:color w:val="auto"/>
        </w:rPr>
      </w:pPr>
      <w:r>
        <w:rPr>
          <w:rFonts w:ascii="Arial" w:cs="Arial" w:eastAsia="Arial" w:hAnsi="Arial"/>
          <w:sz w:val="22"/>
          <w:szCs w:val="22"/>
          <w:b w:val="1"/>
          <w:bCs w:val="1"/>
          <w:color w:val="auto"/>
        </w:rPr>
        <w:t>(212) 735-3000</w:t>
      </w:r>
    </w:p>
    <w:p>
      <w:pPr>
        <w:spacing w:after="0" w:line="209" w:lineRule="exact"/>
        <w:rPr>
          <w:sz w:val="24"/>
          <w:szCs w:val="24"/>
          <w:color w:val="auto"/>
        </w:rPr>
      </w:pPr>
    </w:p>
    <w:p>
      <w:pPr>
        <w:jc w:val="center"/>
        <w:ind w:left="780"/>
        <w:spacing w:after="0" w:line="256" w:lineRule="auto"/>
        <w:rPr>
          <w:sz w:val="20"/>
          <w:szCs w:val="20"/>
          <w:color w:val="auto"/>
        </w:rPr>
      </w:pPr>
      <w:r>
        <w:rPr>
          <w:rFonts w:ascii="Arial" w:cs="Arial" w:eastAsia="Arial" w:hAnsi="Arial"/>
          <w:sz w:val="22"/>
          <w:szCs w:val="22"/>
          <w:b w:val="1"/>
          <w:bCs w:val="1"/>
          <w:color w:val="auto"/>
        </w:rPr>
        <w:t>Approximate date of commencement of proposed sale to the public: From time to time after the effective date of this registration statement.</w:t>
      </w:r>
    </w:p>
    <w:p>
      <w:pPr>
        <w:spacing w:after="0" w:line="195" w:lineRule="exact"/>
        <w:rPr>
          <w:sz w:val="24"/>
          <w:szCs w:val="24"/>
          <w:color w:val="auto"/>
        </w:rPr>
      </w:pPr>
    </w:p>
    <w:p>
      <w:pPr>
        <w:ind w:right="500" w:firstLine="360"/>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140" w:firstLine="360"/>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ind w:right="40" w:firstLine="360"/>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89" w:lineRule="exact"/>
        <w:rPr>
          <w:sz w:val="20"/>
          <w:szCs w:val="20"/>
          <w:color w:val="auto"/>
        </w:rPr>
      </w:pPr>
    </w:p>
    <w:p>
      <w:pPr>
        <w:ind w:right="280" w:firstLine="360"/>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0"/>
          <w:szCs w:val="20"/>
          <w:color w:val="auto"/>
        </w:rPr>
      </w:pPr>
    </w:p>
    <w:p>
      <w:pPr>
        <w:ind w:right="60" w:firstLine="360"/>
        <w:spacing w:after="0" w:line="277" w:lineRule="exact"/>
        <w:rPr>
          <w:sz w:val="20"/>
          <w:szCs w:val="20"/>
          <w:color w:val="auto"/>
        </w:rPr>
      </w:pPr>
      <w:r>
        <w:rPr>
          <w:rFonts w:ascii="Arial" w:cs="Arial" w:eastAsia="Arial" w:hAnsi="Arial"/>
          <w:sz w:val="19"/>
          <w:szCs w:val="19"/>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9"/>
          <w:szCs w:val="19"/>
          <w:color w:val="auto"/>
        </w:rPr>
        <w:t>☐</w:t>
      </w:r>
    </w:p>
    <w:p>
      <w:pPr>
        <w:spacing w:after="0" w:line="189" w:lineRule="exact"/>
        <w:rPr>
          <w:sz w:val="20"/>
          <w:szCs w:val="20"/>
          <w:color w:val="auto"/>
        </w:rPr>
      </w:pPr>
    </w:p>
    <w:p>
      <w:pPr>
        <w:jc w:val="both"/>
        <w:ind w:right="640" w:firstLine="360"/>
        <w:spacing w:after="0" w:line="266" w:lineRule="exact"/>
        <w:rPr>
          <w:sz w:val="20"/>
          <w:szCs w:val="20"/>
          <w:color w:val="auto"/>
        </w:rPr>
      </w:pPr>
      <w:r>
        <w:rPr>
          <w:rFonts w:ascii="Arial" w:cs="Arial" w:eastAsia="Arial" w:hAnsi="Arial"/>
          <w:sz w:val="22"/>
          <w:szCs w:val="2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22"/>
          <w:szCs w:val="22"/>
          <w:color w:val="auto"/>
        </w:rPr>
        <w:t>☐</w:t>
      </w:r>
    </w:p>
    <w:p>
      <w:pPr>
        <w:spacing w:after="0" w:line="189" w:lineRule="exact"/>
        <w:rPr>
          <w:sz w:val="20"/>
          <w:szCs w:val="20"/>
          <w:color w:val="auto"/>
        </w:rPr>
      </w:pPr>
    </w:p>
    <w:p>
      <w:pPr>
        <w:ind w:right="260" w:firstLine="360"/>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8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2" w:lineRule="exact"/>
        <w:rPr>
          <w:sz w:val="20"/>
          <w:szCs w:val="20"/>
          <w:color w:val="auto"/>
        </w:rPr>
      </w:pPr>
    </w:p>
    <w:p>
      <w:pPr>
        <w:ind w:right="80" w:firstLine="360"/>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We hereby amend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becomes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This Post-Effective Amendment No. 1 (this “Amendment”) to Registration Statement No. 333-236921 (the “Registration Statement”) is being filed pursuant to Rule 414(d) under the Securities Act of 1933, as amended (the “Securities Act”), by New Fortress Energy Inc., a Delaware corporation (“NFE Inc.” or the “Registrant”), as the successor registrant to New Fortress Energy LLC, a Delaware limited liability company (“NFE LLC”). Effective at 12:01 a.m. (Eastern Time) on August 7, 2020, NFE LLC converted from a Delaware limited liability company to a Delaware corporation (the “Conversion”). NFE Inc. expressly adopts the Registration Statement, as modified by this Amendment, as its own registration statement for all purposes of the Securities Act and the Securities Exchange Act of 1934, as amended (the “Exchange Act”).</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For the purposes of this Amendment and the Registration Statement, (i) as of any time prior to the Conversion, references to the “Company,” “NFE,” “we,” “us,” “our” and similar terms mean NFE LLC and its consolidated subsidiaries and, as of any time after the Conversion, NFE Inc. and its consolidated subsidiaries, (ii) as of any time prior to the Conversion, references to “New Fortress Energy LLC” and/or “our limited liability company” mean NFE LLC and its consolidated subsidiaries and, as of any time after the Conversion, if the context requires, references to “New Fortress Energy LLC” and/or “our limited liability company” are deleted and replaced with “New Fortress Energy Inc.” or “our company,” as applicable, which means NFE Inc. and its consolidated subsidiaries, (iii) as of any time prior to the Conversion, references to “members” mean the holders of any limited liability company interest in NFE LLC, whether common or preferred, and, as of any time after the Conversion, if the context requires, references to “members” are deleted and replaced with “stockholders” which means the holders of common stock and preferred stock of NFE Inc., (iv) as of any time prior to the Conversion, references to “Class A shares representing limited liability company interests” mean the Class A shares of NFE LLC and, as of any time after the Conversion, if the context requires, references to “Class A shares representing limited liability company interests” are deleted and replaced with “Class A common stock” which means the Class A common stock of NFE Inc. and (v) as of any time prior to the Conversion, references to “preferred shares representing limited liability company interests” mean the preferred shares of NFE LLC and, as of any time after the Conversion, if the context requires, references to “preferred shares representing limited liability company interests” are deleted and replaced with “preferred stock” which means the preferred stock of NFE Inc.</w:t>
      </w:r>
    </w:p>
    <w:p>
      <w:pPr>
        <w:spacing w:after="0" w:line="184" w:lineRule="exact"/>
        <w:rPr>
          <w:sz w:val="20"/>
          <w:szCs w:val="20"/>
          <w:color w:val="auto"/>
        </w:rPr>
      </w:pPr>
    </w:p>
    <w:p>
      <w:pPr>
        <w:ind w:right="100" w:firstLine="648"/>
        <w:spacing w:after="0" w:line="245" w:lineRule="auto"/>
        <w:rPr>
          <w:sz w:val="20"/>
          <w:szCs w:val="20"/>
          <w:color w:val="auto"/>
        </w:rPr>
      </w:pPr>
      <w:r>
        <w:rPr>
          <w:rFonts w:ascii="Arial" w:cs="Arial" w:eastAsia="Arial" w:hAnsi="Arial"/>
          <w:sz w:val="21"/>
          <w:szCs w:val="21"/>
          <w:color w:val="auto"/>
        </w:rPr>
        <w:t>The prospectus contained in the Registration Statement incorporates by reference all documents filed by NFE LLC under Sections 13(a), 13(c), 14 or 15(d) of the Exchange Act after the date of the initial filing of the Registration Statement and will incorporate by reference all documents filed by NFE Inc. under Sections 13(a), 13(c), 14 or 15(d) of the Exchange Act following the date of this Amendment. The prospectus contained in the Registration Statement, as well as all documents filed by us under Sections 13(a), 13(c), 14 or 15(d) of the Exchange Act before the effective time of the Conversion and incorporated by reference in the Registration Statement, will not reflect the change in our name, type of legal entity or capital stock, among other things. With respect to such information, or any other information contained or incorporated by reference in the Registration Statement that is modified by information subsequently incorporated by reference in the Registration Statement, the statement or information previously contained or incorporated in the Registration Statement shall also be deemed modified or superseded in the same manner.</w:t>
      </w:r>
    </w:p>
    <w:p>
      <w:pPr>
        <w:spacing w:after="0" w:line="20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The Registration Statement and the prospectus contained therein shall be amended to include, in place of the information set forth in the section entitled “Selling Securityholders” in the prospectus filed by NFE LLC with the Securities and Exchange Commission (the “SEC”) on May 6, 2020, the information set forth in the section entitled “Selling Securityholders” below.</w:t>
      </w:r>
    </w:p>
    <w:p>
      <w:pPr>
        <w:spacing w:after="0" w:line="161"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The Registration Statement and the prospectus contained therein shall remain unchanged in all other respects. Accordingly, this Amendment consists of only this explanatory note and the revised versions of the following parts of the Form S-3: the section entitled “Selling Securityholders” as described above, Part II, the signatures, the exhibit index and the exhibits filed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left="4360"/>
        <w:spacing w:after="0"/>
        <w:rPr>
          <w:sz w:val="20"/>
          <w:szCs w:val="20"/>
          <w:color w:val="auto"/>
        </w:rPr>
      </w:pPr>
      <w:r>
        <w:rPr>
          <w:rFonts w:ascii="Arial" w:cs="Arial" w:eastAsia="Arial" w:hAnsi="Arial"/>
          <w:sz w:val="22"/>
          <w:szCs w:val="22"/>
          <w:b w:val="1"/>
          <w:bCs w:val="1"/>
          <w:color w:val="auto"/>
        </w:rPr>
        <w:t>SELLING SECURITYHOLDERS</w:t>
      </w:r>
    </w:p>
    <w:p>
      <w:pPr>
        <w:spacing w:after="0" w:line="240" w:lineRule="exact"/>
        <w:rPr>
          <w:sz w:val="20"/>
          <w:szCs w:val="20"/>
          <w:color w:val="auto"/>
        </w:rPr>
      </w:pPr>
    </w:p>
    <w:p>
      <w:pPr>
        <w:ind w:right="160" w:firstLine="360"/>
        <w:spacing w:after="0" w:line="252" w:lineRule="auto"/>
        <w:rPr>
          <w:sz w:val="20"/>
          <w:szCs w:val="20"/>
          <w:color w:val="auto"/>
        </w:rPr>
      </w:pPr>
      <w:r>
        <w:rPr>
          <w:rFonts w:ascii="Arial" w:cs="Arial" w:eastAsia="Arial" w:hAnsi="Arial"/>
          <w:sz w:val="21"/>
          <w:szCs w:val="21"/>
          <w:color w:val="auto"/>
        </w:rPr>
        <w:t>The prospectus contained in the Registration Statement also relates to the offer and sale from time to time of up to 144,933,041 shares of Class A common stock by certain of our stockholders identified in the table below, who we refer to in the prospectus contained in the Registration Statement as the “selling securityholders.” The selling securityholders identified below may currently hold or acquire at any time Class A common stock in addition to those registered hereby.</w:t>
      </w:r>
    </w:p>
    <w:p>
      <w:pPr>
        <w:spacing w:after="0" w:line="201" w:lineRule="exact"/>
        <w:rPr>
          <w:sz w:val="20"/>
          <w:szCs w:val="20"/>
          <w:color w:val="auto"/>
        </w:rPr>
      </w:pPr>
    </w:p>
    <w:p>
      <w:pPr>
        <w:ind w:right="180" w:firstLine="360"/>
        <w:spacing w:after="0" w:line="282" w:lineRule="auto"/>
        <w:rPr>
          <w:sz w:val="20"/>
          <w:szCs w:val="20"/>
          <w:color w:val="auto"/>
        </w:rPr>
      </w:pPr>
      <w:r>
        <w:rPr>
          <w:rFonts w:ascii="Arial" w:cs="Arial" w:eastAsia="Arial" w:hAnsi="Arial"/>
          <w:sz w:val="19"/>
          <w:szCs w:val="19"/>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174" w:lineRule="exact"/>
        <w:rPr>
          <w:sz w:val="20"/>
          <w:szCs w:val="20"/>
          <w:color w:val="auto"/>
        </w:rPr>
      </w:pPr>
    </w:p>
    <w:p>
      <w:pPr>
        <w:ind w:firstLine="360"/>
        <w:spacing w:after="0" w:line="238" w:lineRule="auto"/>
        <w:rPr>
          <w:sz w:val="20"/>
          <w:szCs w:val="20"/>
          <w:color w:val="auto"/>
        </w:rPr>
      </w:pPr>
      <w:r>
        <w:rPr>
          <w:rFonts w:ascii="Arial" w:cs="Arial" w:eastAsia="Arial" w:hAnsi="Arial"/>
          <w:sz w:val="22"/>
          <w:szCs w:val="22"/>
          <w:color w:val="auto"/>
        </w:rPr>
        <w:t>The information in the below table (other than the percentages of our outstanding Class A common stock beneficially owned) in respect of the selling securityholders was furnished by or on behalf of the selling securityholders and is as of August 1, 2020. Except as may be noted in this section, none of the selling securityholders has, or within the past three years has had, any material relationship with us or any of our affiliates.</w:t>
      </w:r>
    </w:p>
    <w:p>
      <w:pPr>
        <w:spacing w:after="0" w:line="212" w:lineRule="exact"/>
        <w:rPr>
          <w:sz w:val="20"/>
          <w:szCs w:val="20"/>
          <w:color w:val="auto"/>
        </w:rPr>
      </w:pPr>
    </w:p>
    <w:p>
      <w:pPr>
        <w:ind w:right="20" w:firstLine="360"/>
        <w:spacing w:after="0" w:line="238" w:lineRule="auto"/>
        <w:rPr>
          <w:sz w:val="20"/>
          <w:szCs w:val="20"/>
          <w:color w:val="auto"/>
        </w:rPr>
      </w:pPr>
      <w:r>
        <w:rPr>
          <w:rFonts w:ascii="Arial" w:cs="Arial" w:eastAsia="Arial" w:hAnsi="Arial"/>
          <w:sz w:val="22"/>
          <w:szCs w:val="22"/>
          <w:color w:val="auto"/>
        </w:rPr>
        <w:t>Wesley R. Edens, Randal A. Nardone and all of the entities listed under “Selling Securityholders”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212" w:lineRule="exact"/>
        <w:rPr>
          <w:sz w:val="20"/>
          <w:szCs w:val="20"/>
          <w:color w:val="auto"/>
        </w:rPr>
      </w:pPr>
    </w:p>
    <w:p>
      <w:pPr>
        <w:ind w:right="60" w:firstLine="360"/>
        <w:spacing w:after="0" w:line="282" w:lineRule="auto"/>
        <w:rPr>
          <w:sz w:val="20"/>
          <w:szCs w:val="20"/>
          <w:color w:val="auto"/>
        </w:rPr>
      </w:pPr>
      <w:r>
        <w:rPr>
          <w:rFonts w:ascii="Arial" w:cs="Arial" w:eastAsia="Arial" w:hAnsi="Arial"/>
          <w:sz w:val="19"/>
          <w:szCs w:val="19"/>
          <w:color w:val="auto"/>
        </w:rPr>
        <w:t>No offer or sale under the prospectus contained in the Registration Statement may be made by any securityholder unless that holder is listed in the table below, in any supplement to the prospectus contained in the Registration Statement or in an amendment to the Registration Statement that has become effective. We will supplement or amend the prospectus contained in the Registration Statement if applicable to include additional selling securityholders upon provision of all required information to us and subject to the terms of any relevant agreement between us and the selling securityholders.</w:t>
      </w:r>
    </w:p>
    <w:p>
      <w:pPr>
        <w:spacing w:after="0" w:line="174" w:lineRule="exact"/>
        <w:rPr>
          <w:sz w:val="20"/>
          <w:szCs w:val="20"/>
          <w:color w:val="auto"/>
        </w:rPr>
      </w:pPr>
    </w:p>
    <w:p>
      <w:pPr>
        <w:ind w:firstLine="360"/>
        <w:spacing w:after="0" w:line="275" w:lineRule="auto"/>
        <w:rPr>
          <w:sz w:val="20"/>
          <w:szCs w:val="20"/>
          <w:color w:val="auto"/>
        </w:rPr>
      </w:pPr>
      <w:r>
        <w:rPr>
          <w:rFonts w:ascii="Arial" w:cs="Arial" w:eastAsia="Arial" w:hAnsi="Arial"/>
          <w:sz w:val="19"/>
          <w:szCs w:val="19"/>
          <w:color w:val="auto"/>
        </w:rPr>
        <w:t>The selling securityholders are not obligated to sell any of the Class A common stock offered by the prospectus contained in the Registration Statement. Because the selling securityholders identified in the table may sell some or all of the Class A common stock owned by them that are included in the prospectus contained in the Registration Statement, and because there are currently no agreements, arrangements or understandings with respect to the sale of any such Class A common stock, no estimate can be given as to the number of shares covered by the prospectus contained in the Registration Statement that will be held by the selling securityholders upon termination of this offering. Therefore, for the purposes of the following table, we have assumed that the selling securityholders will sell all of the Class A common stock beneficially owned by them that are covered by the prospectus contained in the Registration Statement, but will not sell any other Class A common stock that they may currently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9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Class A Common Stock</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Class A Common</w:t>
            </w:r>
          </w:p>
        </w:tc>
        <w:tc>
          <w:tcPr>
            <w:tcW w:w="2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Class A Common Stock</w:t>
            </w:r>
          </w:p>
        </w:tc>
      </w:tr>
      <w:tr>
        <w:trPr>
          <w:trHeight w:val="216"/>
        </w:trPr>
        <w:tc>
          <w:tcPr>
            <w:tcW w:w="3920" w:type="dxa"/>
            <w:vAlign w:val="bottom"/>
          </w:tcPr>
          <w:p>
            <w:pPr>
              <w:spacing w:after="0"/>
              <w:rPr>
                <w:sz w:val="18"/>
                <w:szCs w:val="18"/>
                <w:color w:val="auto"/>
              </w:rPr>
            </w:pPr>
          </w:p>
        </w:tc>
        <w:tc>
          <w:tcPr>
            <w:tcW w:w="29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Beneficially Owned</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2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Beneficially Owned</w:t>
            </w:r>
          </w:p>
        </w:tc>
      </w:tr>
      <w:tr>
        <w:trPr>
          <w:trHeight w:val="241"/>
        </w:trPr>
        <w:tc>
          <w:tcPr>
            <w:tcW w:w="3920" w:type="dxa"/>
            <w:vAlign w:val="bottom"/>
          </w:tcPr>
          <w:p>
            <w:pPr>
              <w:spacing w:after="0"/>
              <w:rPr>
                <w:sz w:val="20"/>
                <w:szCs w:val="20"/>
                <w:color w:val="auto"/>
              </w:rPr>
            </w:pPr>
          </w:p>
        </w:tc>
        <w:tc>
          <w:tcPr>
            <w:tcW w:w="29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3"/>
              </w:rPr>
              <w:t>Prior to the Offering</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Offered Hereby</w:t>
            </w:r>
          </w:p>
        </w:tc>
        <w:tc>
          <w:tcPr>
            <w:tcW w:w="2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After the Offering</w:t>
            </w:r>
          </w:p>
        </w:tc>
      </w:tr>
      <w:tr>
        <w:trPr>
          <w:trHeight w:val="223"/>
        </w:trPr>
        <w:tc>
          <w:tcPr>
            <w:tcW w:w="3920" w:type="dxa"/>
            <w:vAlign w:val="bottom"/>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shd w:val="clear" w:color="auto" w:fill="CCEEFF"/>
          </w:tcPr>
          <w:p>
            <w:pPr>
              <w:jc w:val="right"/>
              <w:ind w:right="272"/>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(1)</w:t>
            </w:r>
          </w:p>
        </w:tc>
        <w:tc>
          <w:tcPr>
            <w:tcW w:w="38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000" w:type="dxa"/>
            <w:vAlign w:val="bottom"/>
            <w:tcBorders>
              <w:top w:val="single" w:sz="8" w:color="auto"/>
            </w:tcBorders>
            <w:shd w:val="clear" w:color="auto" w:fill="CCEEFF"/>
          </w:tcPr>
          <w:p>
            <w:pPr>
              <w:jc w:val="right"/>
              <w:ind w:right="252"/>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2"/>
                <w:szCs w:val="12"/>
                <w:b w:val="1"/>
                <w:bCs w:val="1"/>
                <w:color w:val="auto"/>
              </w:rPr>
              <w:t>(1)</w:t>
            </w:r>
          </w:p>
        </w:tc>
        <w:tc>
          <w:tcPr>
            <w:tcW w:w="160" w:type="dxa"/>
            <w:vAlign w:val="bottom"/>
            <w:shd w:val="clear" w:color="auto" w:fill="CCEEFF"/>
          </w:tcPr>
          <w:p>
            <w:pPr>
              <w:spacing w:after="0"/>
              <w:rPr>
                <w:sz w:val="19"/>
                <w:szCs w:val="19"/>
                <w:color w:val="auto"/>
              </w:rPr>
            </w:pPr>
          </w:p>
        </w:tc>
      </w:tr>
      <w:tr>
        <w:trPr>
          <w:trHeight w:val="216"/>
        </w:trPr>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Selling Securityholders</w:t>
            </w: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3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Fortress Equity Partners GP LLC </w:t>
            </w:r>
            <w:r>
              <w:rPr>
                <w:rFonts w:ascii="Arial" w:cs="Arial" w:eastAsia="Arial" w:hAnsi="Arial"/>
                <w:sz w:val="25"/>
                <w:szCs w:val="25"/>
                <w:b w:val="1"/>
                <w:bCs w:val="1"/>
                <w:color w:val="auto"/>
                <w:vertAlign w:val="superscript"/>
              </w:rPr>
              <w:t>(2)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13,399,317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13,399,317</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line="216" w:lineRule="exact"/>
              <w:rPr>
                <w:sz w:val="20"/>
                <w:szCs w:val="20"/>
                <w:color w:val="auto"/>
              </w:rPr>
            </w:pPr>
            <w:r>
              <w:rPr>
                <w:rFonts w:ascii="Arial" w:cs="Arial" w:eastAsia="Arial" w:hAnsi="Arial"/>
                <w:sz w:val="16"/>
                <w:szCs w:val="16"/>
                <w:color w:val="auto"/>
              </w:rPr>
              <w:t>FEP Holdco LLC</w:t>
            </w:r>
            <w:r>
              <w:rPr>
                <w:rFonts w:ascii="Arial" w:cs="Arial" w:eastAsia="Arial" w:hAnsi="Arial"/>
                <w:sz w:val="25"/>
                <w:szCs w:val="25"/>
                <w:color w:val="auto"/>
                <w:vertAlign w:val="superscript"/>
              </w:rPr>
              <w:t>(3)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8,696,300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8,696,300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NFE SMRS Holdings LLC</w:t>
            </w:r>
            <w:r>
              <w:rPr>
                <w:rFonts w:ascii="Arial" w:cs="Arial" w:eastAsia="Arial" w:hAnsi="Arial"/>
                <w:sz w:val="25"/>
                <w:szCs w:val="25"/>
                <w:b w:val="1"/>
                <w:bCs w:val="1"/>
                <w:color w:val="auto"/>
                <w:vertAlign w:val="superscript"/>
              </w:rPr>
              <w:t>(4)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36,057,591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36,057,591</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line="216" w:lineRule="exact"/>
              <w:rPr>
                <w:sz w:val="20"/>
                <w:szCs w:val="20"/>
                <w:color w:val="auto"/>
              </w:rPr>
            </w:pPr>
            <w:r>
              <w:rPr>
                <w:rFonts w:ascii="Arial" w:cs="Arial" w:eastAsia="Arial" w:hAnsi="Arial"/>
                <w:sz w:val="16"/>
                <w:szCs w:val="16"/>
                <w:color w:val="auto"/>
              </w:rPr>
              <w:t>Wesley R. Edens</w:t>
            </w:r>
            <w:r>
              <w:rPr>
                <w:rFonts w:ascii="Arial" w:cs="Arial" w:eastAsia="Arial" w:hAnsi="Arial"/>
                <w:sz w:val="25"/>
                <w:szCs w:val="25"/>
                <w:b w:val="1"/>
                <w:bCs w:val="1"/>
                <w:color w:val="auto"/>
                <w:vertAlign w:val="superscript"/>
              </w:rPr>
              <w:t>(5)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67,014,081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63,735,882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3,278,199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Randal A. Nardone</w:t>
            </w:r>
            <w:r>
              <w:rPr>
                <w:rFonts w:ascii="Arial" w:cs="Arial" w:eastAsia="Arial" w:hAnsi="Arial"/>
                <w:sz w:val="25"/>
                <w:szCs w:val="25"/>
                <w:b w:val="1"/>
                <w:bCs w:val="1"/>
                <w:color w:val="auto"/>
                <w:vertAlign w:val="superscript"/>
              </w:rPr>
              <w:t>(6)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24,325,294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21,245,294</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3,080,000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Christopher S. Guinta</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279,518</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279,518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David J. Grain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114,294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71,429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42,865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308,429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John J. Mack</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1,263,013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1,153,013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110,000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77,129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Matthew Wilkinson</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92,910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80,410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shares outstanding. See footnote (1).</w:t>
      </w:r>
    </w:p>
    <w:p>
      <w:pPr>
        <w:spacing w:after="0" w:line="25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August 1, 2020, we had 168,706,396 shares of Class A common stock outstanding.</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 w:lineRule="exact"/>
        <w:rPr>
          <w:rFonts w:ascii="Arial" w:cs="Arial" w:eastAsia="Arial" w:hAnsi="Arial"/>
          <w:sz w:val="18"/>
          <w:szCs w:val="18"/>
          <w:color w:val="auto"/>
        </w:rPr>
      </w:pPr>
    </w:p>
    <w:p>
      <w:pPr>
        <w:jc w:val="both"/>
        <w:ind w:left="500" w:right="120" w:hanging="492"/>
        <w:spacing w:after="0" w:line="26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FEP Holdco LLC (“HoldCo”) beneficially owns 8,696,300 shares of Class A common stock. HoldCo is an investment holding company organized under the laws of the State of Delaware with its principal office located at 1345 Avenue of the Americas, New York, NY 10105 Attention: Michael Cohn. Mr. Edens and Mr. Nardone are each members of HoldCo and members of its board of managers. Mr. Edens and Mr. Nardone each disclaim beneficial ownership of shares of Class A common stock beneficially owned by HoldCo.</w:t>
      </w:r>
    </w:p>
    <w:p>
      <w:pPr>
        <w:ind w:left="500" w:right="60" w:hanging="492"/>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Schedule 13D filed with the SEC on June 10, 2020 by NFE SMRS Holdings LLC, Great Mountain Partners LLC, Jonathan Rotolo and Alexander Thomson. Great Mountain Partners LLC is the manager of NFE SMRS Holdings LLC and Mr. Rotolo and Mr. Thomson are the managers of Great Mountain Partners LLC. Mr. Rotolo and Mr. Thomson may be deemed to have shared voting and investment power over the shares of Class A common stock held by NFE SMRS Holdings LLC. The address of NFE SMRS Holdings LLC is 10 Station Place, P.O. Box 233, Norfolk, Connecticut 06058.</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Schedule 13D/A filed by Wesley R. Edens on June 3, 2020. Consists of 49,401,330 shares of Class A common stock held by Mr. Edens and 17,612,751 shares of Class A common stock held by WRE 2012 Trust LLC (“WRE Trust”), a limited liability company organized under the laws of the State of Delaware. Mr. Edens has the sole right to receive or direct the receipt of dividends on, and the proceeds from, the sale of all such shares. Does not include 8,696,300 shares of Class A common stock held by HoldCo over which Mr. Edens has only shared voting and shared dispositive power. NFE WE LLC and NFE RN LLC, each controlled by Mr. Edens together with Mr. Nardone, have the right to appoint six of the eight members to the Registrant’s board of directors.</w:t>
      </w:r>
    </w:p>
    <w:p>
      <w:pPr>
        <w:spacing w:after="0" w:line="2" w:lineRule="exact"/>
        <w:rPr>
          <w:rFonts w:ascii="Arial" w:cs="Arial" w:eastAsia="Arial" w:hAnsi="Arial"/>
          <w:sz w:val="18"/>
          <w:szCs w:val="18"/>
          <w:color w:val="auto"/>
        </w:rPr>
      </w:pPr>
    </w:p>
    <w:p>
      <w:pPr>
        <w:ind w:left="500" w:right="260" w:hanging="492"/>
        <w:spacing w:after="0" w:line="295"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the Schedule 13D/A filed by Randal A. Nardone on June 3, 2020. Mr. Nardone has the sole right to receive or direct the receipt of dividends on, and the proceeds from, the sale of all such shares of Class A common stock. Does not include 8,696,300 shares of Class A common stock held by HoldCo over which Mr. Nardone has only shared voting and shared dispositive power. NFE WE LLC and NFE RN LLC, each controlled by Mr. Nardone together with Mr. Edens, have the right to appoint six of the eight members to the Registrant’s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2640"/>
        <w:spacing w:after="0"/>
        <w:rPr>
          <w:sz w:val="20"/>
          <w:szCs w:val="20"/>
          <w:color w:val="auto"/>
        </w:rPr>
      </w:pPr>
      <w:r>
        <w:rPr>
          <w:rFonts w:ascii="Arial" w:cs="Arial" w:eastAsia="Arial" w:hAnsi="Arial"/>
          <w:sz w:val="22"/>
          <w:szCs w:val="22"/>
          <w:b w:val="1"/>
          <w:bCs w:val="1"/>
          <w:color w:val="auto"/>
        </w:rPr>
        <w:t>PART II INFORMATION NOT REQUIRED IN PROSPECTUS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14.Other Expenses of Issuance and Distribution.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expenses relating to the registration of the securities will be borne by the registrant.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293,400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FINRA Filing Fee</w:t>
            </w:r>
          </w:p>
        </w:tc>
        <w:tc>
          <w:tcPr>
            <w:tcW w:w="3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225,500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Transfer Agents and Trustees’ Fees and Expenses</w:t>
            </w:r>
          </w:p>
        </w:tc>
        <w:tc>
          <w:tcPr>
            <w:tcW w:w="3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3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747,200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15.Indemnification of Directors and Officers.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Registrant is incorporated under the laws of Delaware.</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Section 145 of the Delaware General Corporation Law (the “DGCL”) provides that a corporation may indemnify its directors and officers as well as other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in which such person was made, is made or is threatened to be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actually and reasonably incurred by such person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Under the Registrant's Certificate of Incorporation and Bylaws, in most circumstances the Registrant will indemnify the following persons (the “Indemnified Persons”), to the fullest extent authorized or permitted by applicable law: (a) any person who is or was a director or officer of the Registrant or its predecessor, (b) any person who is or was serving at the request of the Registrant or its predecessor as an officer, director, member, manager, partner, fiduciary or trustee of another person (including any subsidiary); provided, that a person shall not be an Indemnified Person by reason of providing, on a fee-for-services basis, trustee, fiduciary or custodial services, (c) is or was Fortress Equity Partners (A) LP and Fortress Investment Group LLC or their respective affiliates, (d) is or was NFE WE LLC and NFE RN LLC or their respective affiliates and (e) is or was any person the Board of Directors designates as an “Indemnified Person” for purposes of the Registrant’s Certificate of Incorporation or the Bylaws. In addition to rights to indemnification, the Registrant's Certificate of Incorporation also contains a provision eliminating personal liability of directors of the Registrant for monetary damages for breach of fiduciary duty as a director, except to the extent such exemption from liability or limitation thereof is not permitted under the DGCL as the same exists as of the date of the Registrant’s Certificate of Incorporation or as it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firstLine="324"/>
        <w:spacing w:after="0" w:line="272" w:lineRule="auto"/>
        <w:rPr>
          <w:sz w:val="20"/>
          <w:szCs w:val="20"/>
          <w:color w:val="auto"/>
        </w:rPr>
      </w:pPr>
      <w:r>
        <w:rPr>
          <w:rFonts w:ascii="Arial" w:cs="Arial" w:eastAsia="Arial" w:hAnsi="Arial"/>
          <w:sz w:val="19"/>
          <w:szCs w:val="19"/>
          <w:color w:val="auto"/>
        </w:rPr>
        <w:t>The Registrant has agreed to provide this indemnification on a case-by-case basis upon authorization from (x) in the case of an Indemnified Person who is a director or officer of the Registrant at the time of the determination, (i) a majority vote of the Registrant’s directors who are not parties to such action, suit or proceeding, even though less than a quorum, or (ii) a committee of such directors designated by a majority vote of such directors, even though less than a quorum, or (iii) if there are no such directors, or if such directors so direct, independent legal counsel in a written opinion or (iv) the Registrant’s stockholders, or (y) in the case of any other Indemnified Person, any person or persons having the authority to act on the matter on behalf of the Registrant.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 The Registrant has also agreed to provide this indemnification for criminal proceedings. The Registrant may purchase and maintain insurance on behalf of any Indemnified Person against any liability asserted against such Indemnified Person, regardless of whether the Registrant would have the power or obligation to indemnify the person against such liabilities under the Registrant’s Certificate of Incorporation and Bylaws.</w:t>
      </w:r>
    </w:p>
    <w:p>
      <w:pPr>
        <w:spacing w:after="0" w:line="18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Registrant has entered into indemnification agreements with its directors and executive officers. The indemnification agreements require, among other things, that the Registrant indemnify its directors and executive officers to the fullest extent permitted by law and advance its directors and executive officers all related expenses, subject to reimbursement if it is subsequently determined that indemnification is not permitted.</w:t>
      </w:r>
    </w:p>
    <w:p>
      <w:pPr>
        <w:spacing w:after="0" w:line="21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The Registrant currently maintains an insurance policy on behalf of its directors and officers against any liability asserted against them or which they incur acting in such capacity or arising out of their status as directors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16.List of Exhibits.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Exhibits to this registration statement are listed in the Exhibit Index on page II-3.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0"/>
                <w:szCs w:val="20"/>
                <w:color w:val="auto"/>
              </w:rPr>
            </w:pPr>
          </w:p>
        </w:tc>
        <w:tc>
          <w:tcPr>
            <w:tcW w:w="9740" w:type="dxa"/>
            <w:vAlign w:val="bottom"/>
          </w:tcPr>
          <w:p>
            <w:pPr>
              <w:spacing w:after="0"/>
              <w:rPr>
                <w:sz w:val="20"/>
                <w:szCs w:val="20"/>
                <w:color w:val="auto"/>
              </w:rPr>
            </w:pPr>
          </w:p>
        </w:tc>
      </w:tr>
      <w:tr>
        <w:trPr>
          <w:trHeight w:val="439"/>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320" w:type="dxa"/>
            <w:vAlign w:val="bottom"/>
            <w:tcBorders>
              <w:bottom w:val="single" w:sz="8" w:color="CCEEFF"/>
            </w:tcBorders>
          </w:tcPr>
          <w:p>
            <w:pPr>
              <w:spacing w:after="0"/>
              <w:rPr>
                <w:sz w:val="24"/>
                <w:szCs w:val="24"/>
                <w:color w:val="auto"/>
              </w:rPr>
            </w:pPr>
          </w:p>
        </w:tc>
        <w:tc>
          <w:tcPr>
            <w:tcW w:w="9740" w:type="dxa"/>
            <w:vAlign w:val="bottom"/>
            <w:tcBorders>
              <w:bottom w:val="single" w:sz="8" w:color="auto"/>
            </w:tcBorders>
          </w:tcPr>
          <w:p>
            <w:pPr>
              <w:ind w:left="3980"/>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02"/>
        </w:trPr>
        <w:tc>
          <w:tcPr>
            <w:tcW w:w="1180" w:type="dxa"/>
            <w:vAlign w:val="bottom"/>
          </w:tcPr>
          <w:p>
            <w:pPr>
              <w:spacing w:after="0" w:line="201" w:lineRule="exact"/>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3.1</w:t>
              </w:r>
            </w:hyperlink>
          </w:p>
        </w:tc>
        <w:tc>
          <w:tcPr>
            <w:tcW w:w="1006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4"/>
              </w:rPr>
              <w:t>Certificate of Conversion to a Corporation of New Fortress Energy LLC (incorporated by reference to Exhibit 99.2 to New Fortress</w:t>
            </w:r>
          </w:p>
        </w:tc>
      </w:tr>
      <w:tr>
        <w:trPr>
          <w:trHeight w:val="230"/>
        </w:trPr>
        <w:tc>
          <w:tcPr>
            <w:tcW w:w="1180" w:type="dxa"/>
            <w:vAlign w:val="bottom"/>
          </w:tcPr>
          <w:p>
            <w:pPr>
              <w:spacing w:after="0"/>
              <w:rPr>
                <w:sz w:val="20"/>
                <w:szCs w:val="20"/>
                <w:color w:val="auto"/>
              </w:rPr>
            </w:pPr>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Energy LLC's Quarterly Report on Form 10-Q filed on August 4, 2020).</w:t>
            </w:r>
          </w:p>
        </w:tc>
      </w:tr>
      <w:tr>
        <w:trPr>
          <w:trHeight w:val="202"/>
        </w:trPr>
        <w:tc>
          <w:tcPr>
            <w:tcW w:w="1180" w:type="dxa"/>
            <w:vAlign w:val="bottom"/>
            <w:shd w:val="clear" w:color="auto" w:fill="CCEEFF"/>
          </w:tcPr>
          <w:p>
            <w:pPr>
              <w:spacing w:after="0" w:line="201" w:lineRule="exact"/>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3.2</w:t>
              </w:r>
            </w:hyperlink>
          </w:p>
        </w:tc>
        <w:tc>
          <w:tcPr>
            <w:tcW w:w="100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Certificate of Incorporation of New Fortress Energy Inc. (incorporated by reference to Exhibit 99.3 to New Fortress Energy LLC's</w:t>
            </w:r>
          </w:p>
        </w:tc>
      </w:tr>
      <w:tr>
        <w:trPr>
          <w:trHeight w:val="230"/>
        </w:trPr>
        <w:tc>
          <w:tcPr>
            <w:tcW w:w="1180" w:type="dxa"/>
            <w:vAlign w:val="bottom"/>
            <w:shd w:val="clear" w:color="auto" w:fill="CCEEFF"/>
          </w:tcPr>
          <w:p>
            <w:pPr>
              <w:spacing w:after="0"/>
              <w:rPr>
                <w:sz w:val="20"/>
                <w:szCs w:val="20"/>
                <w:color w:val="auto"/>
              </w:rPr>
            </w:pPr>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Quarterly Report on Form 10-Q filed on August 4, 2020).</w:t>
            </w:r>
          </w:p>
        </w:tc>
      </w:tr>
      <w:tr>
        <w:trPr>
          <w:trHeight w:val="202"/>
        </w:trPr>
        <w:tc>
          <w:tcPr>
            <w:tcW w:w="1180" w:type="dxa"/>
            <w:vAlign w:val="bottom"/>
          </w:tcPr>
          <w:p>
            <w:pPr>
              <w:spacing w:after="0" w:line="201" w:lineRule="exact"/>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3.3</w:t>
              </w:r>
            </w:hyperlink>
          </w:p>
        </w:tc>
        <w:tc>
          <w:tcPr>
            <w:tcW w:w="1006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4"/>
              </w:rPr>
              <w:t>Bylaws of New Fortress Energy Inc. (incorporated by reference to Exhibit 99.4 to New Fortress Energy LLC's Quarterly Report on</w:t>
            </w:r>
          </w:p>
        </w:tc>
      </w:tr>
      <w:tr>
        <w:trPr>
          <w:trHeight w:val="230"/>
        </w:trPr>
        <w:tc>
          <w:tcPr>
            <w:tcW w:w="1180" w:type="dxa"/>
            <w:vAlign w:val="bottom"/>
          </w:tcPr>
          <w:p>
            <w:pPr>
              <w:spacing w:after="0"/>
              <w:rPr>
                <w:sz w:val="20"/>
                <w:szCs w:val="20"/>
                <w:color w:val="auto"/>
              </w:rPr>
            </w:pPr>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Form 10-Q filed on August 4, 2020).</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Form of certificate representing preferred shares.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Form of Depositary Agreement (including form of Depositary Receipt).</w:t>
            </w:r>
          </w:p>
        </w:tc>
      </w:tr>
      <w:tr>
        <w:trPr>
          <w:trHeight w:val="216"/>
        </w:trPr>
        <w:tc>
          <w:tcPr>
            <w:tcW w:w="118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4.2</w:t>
              </w:r>
            </w:hyperlink>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Form of Indenture for debt securities between the registrant and the trustee to be named therein.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216"/>
        </w:trPr>
        <w:tc>
          <w:tcPr>
            <w:tcW w:w="1180" w:type="dxa"/>
            <w:vAlign w:val="bottom"/>
            <w:shd w:val="clear" w:color="auto" w:fill="CCEEFF"/>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5.1</w:t>
              </w:r>
            </w:hyperlink>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Opinion of Skadden, Arps, Slate, Meagher &amp; Flom LLP.</w:t>
            </w:r>
          </w:p>
        </w:tc>
      </w:tr>
      <w:tr>
        <w:trPr>
          <w:trHeight w:val="216"/>
        </w:trPr>
        <w:tc>
          <w:tcPr>
            <w:tcW w:w="118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23.1</w:t>
              </w:r>
            </w:hyperlink>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216"/>
        </w:trPr>
        <w:tc>
          <w:tcPr>
            <w:tcW w:w="11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24.1</w:t>
              </w:r>
            </w:hyperlink>
          </w:p>
        </w:tc>
        <w:tc>
          <w:tcPr>
            <w:tcW w:w="10060" w:type="dxa"/>
            <w:vAlign w:val="bottom"/>
            <w:gridSpan w:val="2"/>
          </w:tcPr>
          <w:p>
            <w:pPr>
              <w:ind w:left="320"/>
              <w:spacing w:after="0"/>
              <w:rPr>
                <w:sz w:val="20"/>
                <w:szCs w:val="20"/>
                <w:color w:val="auto"/>
              </w:rPr>
            </w:pPr>
            <w:r>
              <w:rPr>
                <w:rFonts w:ascii="Arial" w:cs="Arial" w:eastAsia="Arial" w:hAnsi="Arial"/>
                <w:sz w:val="18"/>
                <w:szCs w:val="18"/>
                <w:color w:val="auto"/>
              </w:rPr>
              <w:t>Powers of Attorney.</w:t>
            </w:r>
          </w:p>
        </w:tc>
      </w:tr>
      <w:tr>
        <w:trPr>
          <w:trHeight w:val="216"/>
        </w:trPr>
        <w:tc>
          <w:tcPr>
            <w:tcW w:w="1180" w:type="dxa"/>
            <w:vAlign w:val="bottom"/>
            <w:shd w:val="clear" w:color="auto" w:fill="CCEEFF"/>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25.1</w:t>
              </w:r>
            </w:hyperlink>
          </w:p>
        </w:tc>
        <w:tc>
          <w:tcPr>
            <w:tcW w:w="10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Statement of Eligibility on Form T-1 of trustee under the Indenture.</w:t>
            </w:r>
          </w:p>
        </w:tc>
      </w:tr>
    </w:tbl>
    <w:p>
      <w:pPr>
        <w:spacing w:after="0" w:line="229" w:lineRule="exact"/>
        <w:rPr>
          <w:sz w:val="20"/>
          <w:szCs w:val="20"/>
          <w:color w:val="auto"/>
        </w:rPr>
      </w:pPr>
    </w:p>
    <w:p>
      <w:pPr>
        <w:ind w:left="340" w:right="6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filed by amendment to the registration statement or incorporated by reference from documents filed or to be filed with the SEC under the Securities Exchange Act of 1934,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17.Undertakings.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undersigned registrant hereby undertakes:</w:t>
      </w:r>
    </w:p>
    <w:p>
      <w:pPr>
        <w:spacing w:after="0" w:line="24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980" w:right="140" w:hanging="324"/>
        <w:spacing w:after="0" w:line="25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21" w:lineRule="exact"/>
        <w:rPr>
          <w:rFonts w:ascii="Arial" w:cs="Arial" w:eastAsia="Arial" w:hAnsi="Arial"/>
          <w:sz w:val="18"/>
          <w:szCs w:val="18"/>
          <w:color w:val="auto"/>
        </w:rPr>
      </w:pPr>
    </w:p>
    <w:p>
      <w:pPr>
        <w:ind w:left="980" w:right="52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paragraphs (i), (ii) and (iii) of this section do not apply if the information required to be included in a</w:t>
      </w:r>
      <w:r>
        <w:rPr>
          <w:rFonts w:ascii="Arial" w:cs="Arial" w:eastAsia="Arial" w:hAnsi="Arial"/>
          <w:sz w:val="19"/>
          <w:szCs w:val="19"/>
          <w:i w:val="1"/>
          <w:iCs w:val="1"/>
          <w:color w:val="auto"/>
        </w:rPr>
        <w:t xml:space="preserve"> </w:t>
      </w:r>
      <w:r>
        <w:rPr>
          <w:rFonts w:ascii="Arial" w:cs="Arial" w:eastAsia="Arial" w:hAnsi="Arial"/>
          <w:sz w:val="19"/>
          <w:szCs w:val="19"/>
          <w:color w:val="auto"/>
        </w:rPr>
        <w:t>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78" w:lineRule="exact"/>
        <w:rPr>
          <w:sz w:val="20"/>
          <w:szCs w:val="20"/>
          <w:color w:val="auto"/>
        </w:rPr>
      </w:pPr>
    </w:p>
    <w:p>
      <w:pPr>
        <w:ind w:left="660" w:right="10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97" w:lineRule="exact"/>
        <w:rPr>
          <w:rFonts w:ascii="Arial" w:cs="Arial" w:eastAsia="Arial" w:hAnsi="Arial"/>
          <w:sz w:val="18"/>
          <w:szCs w:val="18"/>
          <w:color w:val="auto"/>
        </w:rPr>
      </w:pPr>
    </w:p>
    <w:p>
      <w:pPr>
        <w:ind w:left="980" w:hanging="324"/>
        <w:spacing w:after="0" w:line="287"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98" w:lineRule="exact"/>
        <w:rPr>
          <w:rFonts w:ascii="Arial" w:cs="Arial" w:eastAsia="Arial" w:hAnsi="Arial"/>
          <w:sz w:val="16"/>
          <w:szCs w:val="16"/>
          <w:color w:val="auto"/>
        </w:rPr>
      </w:pPr>
    </w:p>
    <w:p>
      <w:pPr>
        <w:ind w:left="660" w:right="1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4"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63" w:lineRule="exact"/>
        <w:rPr>
          <w:rFonts w:ascii="Arial" w:cs="Arial" w:eastAsia="Arial" w:hAnsi="Arial"/>
          <w:sz w:val="17"/>
          <w:szCs w:val="17"/>
          <w:color w:val="auto"/>
        </w:rPr>
      </w:pPr>
    </w:p>
    <w:p>
      <w:pPr>
        <w:ind w:left="980" w:right="60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7"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firstLine="360"/>
        <w:spacing w:after="0" w:line="235" w:lineRule="auto"/>
        <w:rPr>
          <w:sz w:val="20"/>
          <w:szCs w:val="20"/>
          <w:color w:val="auto"/>
        </w:rPr>
      </w:pPr>
      <w:r>
        <w:rPr>
          <w:rFonts w:ascii="Arial" w:cs="Arial" w:eastAsia="Arial" w:hAnsi="Arial"/>
          <w:sz w:val="22"/>
          <w:szCs w:val="22"/>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ind w:firstLine="360"/>
        <w:spacing w:after="0" w:line="274" w:lineRule="auto"/>
        <w:rPr>
          <w:sz w:val="20"/>
          <w:szCs w:val="20"/>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0" w:firstLine="360"/>
        <w:spacing w:after="0" w:line="238" w:lineRule="auto"/>
        <w:rPr>
          <w:sz w:val="20"/>
          <w:szCs w:val="20"/>
          <w:color w:val="auto"/>
        </w:rPr>
      </w:pPr>
      <w:r>
        <w:rPr>
          <w:rFonts w:ascii="Arial" w:cs="Arial" w:eastAsia="Arial" w:hAnsi="Arial"/>
          <w:sz w:val="22"/>
          <w:szCs w:val="22"/>
          <w:color w:val="auto"/>
        </w:rPr>
        <w:t>Pursuant to the requirements of the Securities Act, the Registrant certifies that it has reasonable grounds to believe that it meets all of the requirements for filing on Form S-3 and has duly caused this Post-Effective Amendment No. 1 to the registration statement on Form S-3 to be signed on its behalf by the undersigned, thereunto duly authorized, in the City of New York, State of New York on August 7, 2020.</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Wesley R. Edens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31" w:lineRule="exact"/>
        <w:rPr>
          <w:sz w:val="20"/>
          <w:szCs w:val="20"/>
          <w:color w:val="auto"/>
        </w:rPr>
      </w:pPr>
    </w:p>
    <w:p>
      <w:pPr>
        <w:ind w:right="20" w:firstLine="360"/>
        <w:spacing w:after="0" w:line="245" w:lineRule="auto"/>
        <w:rPr>
          <w:sz w:val="20"/>
          <w:szCs w:val="20"/>
          <w:color w:val="auto"/>
        </w:rPr>
      </w:pPr>
      <w:r>
        <w:rPr>
          <w:rFonts w:ascii="Arial" w:cs="Arial" w:eastAsia="Arial" w:hAnsi="Arial"/>
          <w:sz w:val="21"/>
          <w:szCs w:val="21"/>
          <w:color w:val="auto"/>
        </w:rPr>
        <w:t>KNOW ALL PERSONS BY THESE PRESENTS, that each person whose signature appears below constitutes and appoints Wesley R. Edens, Christopher S. Guinta and Yunyoung Shin,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or his or her substitute or substitutes may lawfully do or cause to be done by virtue hereof.</w:t>
      </w:r>
    </w:p>
    <w:p>
      <w:pPr>
        <w:spacing w:after="0" w:line="211"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Pursuant to the requirements of the Securities Act, this Post-Effective Amendment No. 1 to the registration statement on Form S-3 has been signed by the following persons in the capacities and on the dates indicated.</w:t>
      </w:r>
    </w:p>
    <w:p>
      <w:pPr>
        <w:sectPr>
          <w:pgSz w:w="11900" w:h="16838" w:orient="portrait"/>
          <w:cols w:equalWidth="0" w:num="1">
            <w:col w:w="11240"/>
          </w:cols>
          <w:pgMar w:left="320" w:top="112" w:right="339" w:bottom="1440" w:gutter="0" w:footer="0" w:header="0"/>
        </w:sect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741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3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Wesley R. Edens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741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Christopher S. Guinta</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Yunyoung Shin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Randal A. Nardone</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C. William Griffin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J. Mack</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Matthew Wilkinson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David J. Grain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Desmond Iain Catterall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741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Katherine E. Wanner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4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Chief Executive Officer and Chairman</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Chief Financial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7"/>
              </w:rPr>
              <w:t>(Principal Financial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Chief Accounting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5"/>
              </w:rPr>
              <w:t>(Principal Accounting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523240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60" w:space="560"/>
            <w:col w:w="8320"/>
          </w:cols>
          <w:pgMar w:left="320" w:top="112"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INDENTURE</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Dated as of</w:t>
      </w:r>
    </w:p>
    <w:p>
      <w:pPr>
        <w:spacing w:after="0" w:line="1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227330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-20320</wp:posOffset>
            </wp:positionV>
            <wp:extent cx="942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U.S. BANK NATIONAL ASSOCIATION</w:t>
      </w: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585470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2" w:name="page13"/>
    <w:bookmarkEnd w:id="12"/>
    <w:p>
      <w:pPr>
        <w:jc w:val="center"/>
        <w:ind w:right="-1120"/>
        <w:spacing w:after="0"/>
        <w:rPr>
          <w:sz w:val="20"/>
          <w:szCs w:val="20"/>
          <w:color w:val="auto"/>
        </w:rPr>
      </w:pPr>
      <w:r>
        <w:rPr>
          <w:rFonts w:ascii="Arial" w:cs="Arial" w:eastAsia="Arial" w:hAnsi="Arial"/>
          <w:sz w:val="22"/>
          <w:szCs w:val="22"/>
          <w:b w:val="1"/>
          <w:bCs w:val="1"/>
          <w:color w:val="auto"/>
        </w:rPr>
        <w:t>Reconciliation and tie between</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9"/>
          <w:szCs w:val="19"/>
          <w:b w:val="1"/>
          <w:bCs w:val="1"/>
          <w:color w:val="auto"/>
        </w:rPr>
        <w:t>Trust Indenture Act of 1939 and Indenture</w:t>
      </w:r>
      <w:r>
        <w:rPr>
          <w:rFonts w:ascii="Arial" w:cs="Arial" w:eastAsia="Arial" w:hAnsi="Arial"/>
          <w:sz w:val="30"/>
          <w:szCs w:val="30"/>
          <w:b w:val="1"/>
          <w:bCs w:val="1"/>
          <w:color w:val="auto"/>
          <w:vertAlign w:val="superscript"/>
        </w:rPr>
        <w:t>*</w:t>
      </w:r>
    </w:p>
    <w:p>
      <w:pPr>
        <w:sectPr>
          <w:pgSz w:w="11900" w:h="16838" w:orient="portrait"/>
          <w:cols w:equalWidth="0" w:num="1">
            <w:col w:w="10139"/>
          </w:cols>
          <w:pgMar w:left="320" w:top="112" w:right="1440"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 Indenture Act Section</w:t>
      </w:r>
    </w:p>
    <w:p>
      <w:pPr>
        <w:spacing w:after="0" w:line="7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310   (a)</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(b)(1)</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311</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313   (a)</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314</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315   (e)</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316</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317</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1431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26035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11.04(a), 16.02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11.01(f), 11.04(b), 11.05(1),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20320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11.04(b),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11.01(f),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14.02(d),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11.10, 16.02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11.10, 16.02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10.01(a),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11.05, 16.02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16.02</w:t>
      </w:r>
    </w:p>
    <w:p>
      <w:pPr>
        <w:spacing w:after="0" w:line="200" w:lineRule="exact"/>
        <w:rPr>
          <w:sz w:val="20"/>
          <w:szCs w:val="20"/>
          <w:color w:val="auto"/>
        </w:rPr>
      </w:pPr>
    </w:p>
    <w:p>
      <w:pPr>
        <w:sectPr>
          <w:pgSz w:w="11900" w:h="16838" w:orient="portrait"/>
          <w:cols w:equalWidth="0" w:num="2">
            <w:col w:w="6260" w:space="720"/>
            <w:col w:w="3159"/>
          </w:cols>
          <w:pgMar w:left="320" w:top="112" w:right="1440" w:bottom="1440" w:gutter="0" w:footer="0" w:header="0"/>
          <w:type w:val="continuous"/>
        </w:sectPr>
      </w:pPr>
    </w:p>
    <w:p>
      <w:pPr>
        <w:spacing w:after="0" w:line="30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reconciliation and tie shall not, for any purpose, be deemed to be a part of the Indenture.</w:t>
      </w: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457"/>
        </w:trPr>
        <w:tc>
          <w:tcPr>
            <w:tcW w:w="1200" w:type="dxa"/>
            <w:vAlign w:val="bottom"/>
          </w:tcPr>
          <w:p>
            <w:pPr>
              <w:spacing w:after="0"/>
              <w:rPr>
                <w:sz w:val="24"/>
                <w:szCs w:val="24"/>
                <w:color w:val="auto"/>
              </w:rPr>
            </w:pPr>
          </w:p>
        </w:tc>
        <w:tc>
          <w:tcPr>
            <w:tcW w:w="7720" w:type="dxa"/>
            <w:vAlign w:val="bottom"/>
          </w:tcPr>
          <w:p>
            <w:pPr>
              <w:ind w:left="3220"/>
              <w:spacing w:after="0"/>
              <w:rPr>
                <w:sz w:val="20"/>
                <w:szCs w:val="20"/>
                <w:color w:val="auto"/>
              </w:rPr>
            </w:pPr>
            <w:r>
              <w:rPr>
                <w:rFonts w:ascii="Arial" w:cs="Arial" w:eastAsia="Arial" w:hAnsi="Arial"/>
                <w:sz w:val="22"/>
                <w:szCs w:val="22"/>
                <w:b w:val="1"/>
                <w:bCs w:val="1"/>
                <w:color w:val="auto"/>
              </w:rPr>
              <w:t>TABLE OF CONTENTS</w:t>
            </w:r>
            <w:r>
              <w:rPr>
                <w:rFonts w:ascii="Arial" w:cs="Arial" w:eastAsia="Arial" w:hAnsi="Arial"/>
                <w:sz w:val="35"/>
                <w:szCs w:val="35"/>
                <w:b w:val="1"/>
                <w:bCs w:val="1"/>
                <w:color w:val="auto"/>
                <w:vertAlign w:val="superscript"/>
              </w:rPr>
              <w:t>*</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340" w:type="dxa"/>
            <w:vAlign w:val="bottom"/>
            <w:gridSpan w:val="3"/>
          </w:tcPr>
          <w:p>
            <w:pPr>
              <w:ind w:left="186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7"/>
              </w:rPr>
              <w:t>ARTICLE I</w:t>
            </w:r>
          </w:p>
        </w:tc>
        <w:tc>
          <w:tcPr>
            <w:tcW w:w="1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8"/>
              </w:rPr>
              <w:t>DEFINITIONS</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Definitions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rPr>
              <w:t>ARTICLE II</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4"/>
              </w:rPr>
              <w:t>FORMS OF SECURITIES</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Terms of the Securities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2.02</w:t>
            </w:r>
          </w:p>
        </w:tc>
        <w:tc>
          <w:tcPr>
            <w:tcW w:w="772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Trustee’s Certificate of Authentication by an Authenticating Agent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9"/>
              </w:rPr>
              <w:t>ARTICLE III</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5"/>
              </w:rPr>
              <w:t>THE DEBT SECURITIES</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Unlimited; Issuable in Series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3.02</w:t>
            </w:r>
          </w:p>
        </w:tc>
        <w:tc>
          <w:tcPr>
            <w:tcW w:w="772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3.04</w:t>
            </w:r>
          </w:p>
        </w:tc>
        <w:tc>
          <w:tcPr>
            <w:tcW w:w="772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Registrar and Paying Agent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3.06</w:t>
            </w:r>
          </w:p>
        </w:tc>
        <w:tc>
          <w:tcPr>
            <w:tcW w:w="772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3.08</w:t>
            </w:r>
          </w:p>
        </w:tc>
        <w:tc>
          <w:tcPr>
            <w:tcW w:w="7720" w:type="dxa"/>
            <w:vAlign w:val="bottom"/>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3.10</w:t>
            </w:r>
          </w:p>
        </w:tc>
        <w:tc>
          <w:tcPr>
            <w:tcW w:w="772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of Payments in Respect of Securities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3.12</w:t>
            </w:r>
          </w:p>
        </w:tc>
        <w:tc>
          <w:tcPr>
            <w:tcW w:w="7720" w:type="dxa"/>
            <w:vAlign w:val="bottom"/>
          </w:tcPr>
          <w:p>
            <w:pPr>
              <w:ind w:left="280"/>
              <w:spacing w:after="0"/>
              <w:rPr>
                <w:sz w:val="20"/>
                <w:szCs w:val="20"/>
                <w:color w:val="auto"/>
              </w:rPr>
            </w:pPr>
            <w:r>
              <w:rPr>
                <w:rFonts w:ascii="Arial" w:cs="Arial" w:eastAsia="Arial" w:hAnsi="Arial"/>
                <w:sz w:val="18"/>
                <w:szCs w:val="18"/>
                <w:color w:val="auto"/>
              </w:rPr>
              <w:t>Judgments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CUSIP Numbers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rPr>
              <w:t>ARTICLE IV</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tcPr>
          <w:p>
            <w:pPr>
              <w:jc w:val="center"/>
              <w:ind w:left="1389"/>
              <w:spacing w:after="0"/>
              <w:rPr>
                <w:sz w:val="20"/>
                <w:szCs w:val="20"/>
                <w:color w:val="auto"/>
              </w:rPr>
            </w:pPr>
            <w:r>
              <w:rPr>
                <w:rFonts w:ascii="Arial" w:cs="Arial" w:eastAsia="Arial" w:hAnsi="Arial"/>
                <w:sz w:val="18"/>
                <w:szCs w:val="18"/>
                <w:color w:val="auto"/>
                <w:w w:val="94"/>
              </w:rPr>
              <w:t>REDEMPTION OF SECURITIES</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Applicability of Right of Redemption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4.02</w:t>
            </w:r>
          </w:p>
        </w:tc>
        <w:tc>
          <w:tcPr>
            <w:tcW w:w="7720" w:type="dxa"/>
            <w:vAlign w:val="bottom"/>
          </w:tcPr>
          <w:p>
            <w:pPr>
              <w:ind w:left="280"/>
              <w:spacing w:after="0"/>
              <w:rPr>
                <w:sz w:val="20"/>
                <w:szCs w:val="20"/>
                <w:color w:val="auto"/>
              </w:rPr>
            </w:pPr>
            <w:r>
              <w:rPr>
                <w:rFonts w:ascii="Arial" w:cs="Arial" w:eastAsia="Arial" w:hAnsi="Arial"/>
                <w:sz w:val="18"/>
                <w:szCs w:val="18"/>
                <w:color w:val="auto"/>
              </w:rPr>
              <w:t>Selection of Securities to be Redeemed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of Redemption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1431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Table of Contents is not a part of the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 of Redemption Price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4.05</w:t>
            </w:r>
          </w:p>
        </w:tc>
        <w:tc>
          <w:tcPr>
            <w:tcW w:w="8280" w:type="dxa"/>
            <w:vAlign w:val="bottom"/>
          </w:tcPr>
          <w:p>
            <w:pPr>
              <w:ind w:left="280"/>
              <w:spacing w:after="0"/>
              <w:rPr>
                <w:sz w:val="20"/>
                <w:szCs w:val="20"/>
                <w:color w:val="auto"/>
              </w:rPr>
            </w:pPr>
            <w:r>
              <w:rPr>
                <w:rFonts w:ascii="Arial" w:cs="Arial" w:eastAsia="Arial" w:hAnsi="Arial"/>
                <w:sz w:val="18"/>
                <w:szCs w:val="18"/>
                <w:color w:val="auto"/>
              </w:rPr>
              <w:t>Securities Payable on Redemption Date</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4.06</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Redeemed in Part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w w:val="98"/>
              </w:rPr>
              <w:t>ARTICLE V</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w w:val="96"/>
              </w:rPr>
              <w:t>SINKING FUNDS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Applicability of Sinking Fund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280" w:type="dxa"/>
            <w:vAlign w:val="bottom"/>
          </w:tcPr>
          <w:p>
            <w:pPr>
              <w:ind w:left="280"/>
              <w:spacing w:after="0"/>
              <w:rPr>
                <w:sz w:val="20"/>
                <w:szCs w:val="20"/>
                <w:color w:val="auto"/>
              </w:rPr>
            </w:pPr>
            <w:r>
              <w:rPr>
                <w:rFonts w:ascii="Arial" w:cs="Arial" w:eastAsia="Arial" w:hAnsi="Arial"/>
                <w:sz w:val="18"/>
                <w:szCs w:val="18"/>
                <w:color w:val="auto"/>
              </w:rPr>
              <w:t>Mandatory Sinking Fund Obligation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5.03</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Optional Redemption at Sinking Fund Redemption Price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5.04</w:t>
            </w:r>
          </w:p>
        </w:tc>
        <w:tc>
          <w:tcPr>
            <w:tcW w:w="8280" w:type="dxa"/>
            <w:vAlign w:val="bottom"/>
          </w:tcPr>
          <w:p>
            <w:pPr>
              <w:ind w:left="280"/>
              <w:spacing w:after="0"/>
              <w:rPr>
                <w:sz w:val="20"/>
                <w:szCs w:val="20"/>
                <w:color w:val="auto"/>
              </w:rPr>
            </w:pPr>
            <w:r>
              <w:rPr>
                <w:rFonts w:ascii="Arial" w:cs="Arial" w:eastAsia="Arial" w:hAnsi="Arial"/>
                <w:sz w:val="18"/>
                <w:szCs w:val="18"/>
                <w:color w:val="auto"/>
              </w:rPr>
              <w:t>Application of Sinking Fund Payment</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rPr>
              <w:t>ARTICLE VI</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w w:val="96"/>
              </w:rPr>
              <w:t>PARTICULAR COVENANTS OF THE COMPANY</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Securities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280"/>
              <w:spacing w:after="0"/>
              <w:rPr>
                <w:sz w:val="20"/>
                <w:szCs w:val="20"/>
                <w:color w:val="auto"/>
              </w:rPr>
            </w:pPr>
            <w:r>
              <w:rPr>
                <w:rFonts w:ascii="Arial" w:cs="Arial" w:eastAsia="Arial" w:hAnsi="Arial"/>
                <w:sz w:val="18"/>
                <w:szCs w:val="18"/>
                <w:color w:val="auto"/>
              </w:rPr>
              <w:t>Paying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Hold Payment in Trust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280"/>
              <w:spacing w:after="0"/>
              <w:rPr>
                <w:sz w:val="20"/>
                <w:szCs w:val="20"/>
                <w:color w:val="auto"/>
              </w:rPr>
            </w:pPr>
            <w:r>
              <w:rPr>
                <w:rFonts w:ascii="Arial" w:cs="Arial" w:eastAsia="Arial" w:hAnsi="Arial"/>
                <w:sz w:val="18"/>
                <w:szCs w:val="18"/>
                <w:color w:val="auto"/>
              </w:rPr>
              <w:t>Merger, Consolidation and Sale of Assets</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Compliance Certificate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280"/>
              <w:spacing w:after="0"/>
              <w:rPr>
                <w:sz w:val="20"/>
                <w:szCs w:val="20"/>
                <w:color w:val="auto"/>
              </w:rPr>
            </w:pPr>
            <w:r>
              <w:rPr>
                <w:rFonts w:ascii="Arial" w:cs="Arial" w:eastAsia="Arial" w:hAnsi="Arial"/>
                <w:sz w:val="18"/>
                <w:szCs w:val="18"/>
                <w:color w:val="auto"/>
              </w:rPr>
              <w:t>Conditional Waiver by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Statement by Officers as to Default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rPr>
              <w:t>ARTICLE VII</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w w:val="95"/>
              </w:rPr>
              <w:t>REMEDIES OF TRUSTEE AND SECURITYHOLDERS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Events of Default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280"/>
              <w:spacing w:after="0"/>
              <w:rPr>
                <w:sz w:val="20"/>
                <w:szCs w:val="20"/>
                <w:color w:val="auto"/>
              </w:rPr>
            </w:pPr>
            <w:r>
              <w:rPr>
                <w:rFonts w:ascii="Arial" w:cs="Arial" w:eastAsia="Arial" w:hAnsi="Arial"/>
                <w:sz w:val="18"/>
                <w:szCs w:val="18"/>
                <w:color w:val="auto"/>
              </w:rPr>
              <w:t>Acceleration; Rescission and Annulment</w:t>
            </w:r>
          </w:p>
        </w:tc>
        <w:tc>
          <w:tcPr>
            <w:tcW w:w="17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Remedies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280"/>
              <w:spacing w:after="0"/>
              <w:rPr>
                <w:sz w:val="20"/>
                <w:szCs w:val="20"/>
                <w:color w:val="auto"/>
              </w:rPr>
            </w:pPr>
            <w:r>
              <w:rPr>
                <w:rFonts w:ascii="Arial" w:cs="Arial" w:eastAsia="Arial" w:hAnsi="Arial"/>
                <w:sz w:val="18"/>
                <w:szCs w:val="18"/>
                <w:color w:val="auto"/>
              </w:rPr>
              <w:t>Trustee as Attorney-in-Fact</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280" w:type="dxa"/>
            <w:vAlign w:val="bottom"/>
          </w:tcPr>
          <w:p>
            <w:pPr>
              <w:ind w:left="280"/>
              <w:spacing w:after="0"/>
              <w:rPr>
                <w:sz w:val="20"/>
                <w:szCs w:val="20"/>
                <w:color w:val="auto"/>
              </w:rPr>
            </w:pPr>
            <w:r>
              <w:rPr>
                <w:rFonts w:ascii="Arial" w:cs="Arial" w:eastAsia="Arial" w:hAnsi="Arial"/>
                <w:sz w:val="18"/>
                <w:szCs w:val="18"/>
                <w:color w:val="auto"/>
              </w:rPr>
              <w:t>Control by Securityholders; Waiver of Past Defaults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7.07</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Limitation on Suits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28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7.09</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Remedies Cumulative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rPr>
              <w:t>ARTICLE VIII</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8280" w:type="dxa"/>
            <w:vAlign w:val="bottom"/>
          </w:tcPr>
          <w:p>
            <w:pPr>
              <w:jc w:val="center"/>
              <w:ind w:left="830"/>
              <w:spacing w:after="0"/>
              <w:rPr>
                <w:sz w:val="20"/>
                <w:szCs w:val="20"/>
                <w:color w:val="auto"/>
              </w:rPr>
            </w:pPr>
            <w:r>
              <w:rPr>
                <w:rFonts w:ascii="Arial" w:cs="Arial" w:eastAsia="Arial" w:hAnsi="Arial"/>
                <w:sz w:val="18"/>
                <w:szCs w:val="18"/>
                <w:color w:val="auto"/>
                <w:w w:val="95"/>
              </w:rPr>
              <w:t>CONCERNING THE SECURITYHOLDERS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Evidence of Action of Securityholders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280"/>
              <w:spacing w:after="0"/>
              <w:rPr>
                <w:sz w:val="20"/>
                <w:szCs w:val="20"/>
                <w:color w:val="auto"/>
              </w:rPr>
            </w:pPr>
            <w:r>
              <w:rPr>
                <w:rFonts w:ascii="Arial" w:cs="Arial" w:eastAsia="Arial" w:hAnsi="Arial"/>
                <w:sz w:val="18"/>
                <w:szCs w:val="18"/>
                <w:color w:val="auto"/>
              </w:rPr>
              <w:t>Proof of Execution or Holding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Persons Deemed Owners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280"/>
              <w:spacing w:after="0"/>
              <w:rPr>
                <w:sz w:val="20"/>
                <w:szCs w:val="20"/>
                <w:color w:val="auto"/>
              </w:rPr>
            </w:pPr>
            <w:r>
              <w:rPr>
                <w:rFonts w:ascii="Arial" w:cs="Arial" w:eastAsia="Arial" w:hAnsi="Arial"/>
                <w:sz w:val="18"/>
                <w:szCs w:val="18"/>
                <w:color w:val="auto"/>
              </w:rPr>
              <w:t>Effect of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rPr>
              <w:t>ARTICLE IX</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w w:val="96"/>
              </w:rPr>
              <w:t>SECURITYHOLDERS’ MEETINGS</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Purposes of Meetings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8500" w:type="dxa"/>
            <w:vAlign w:val="bottom"/>
          </w:tcPr>
          <w:p>
            <w:pPr>
              <w:ind w:left="240"/>
              <w:spacing w:after="0"/>
              <w:rPr>
                <w:sz w:val="20"/>
                <w:szCs w:val="20"/>
                <w:color w:val="auto"/>
              </w:rPr>
            </w:pPr>
            <w:r>
              <w:rPr>
                <w:rFonts w:ascii="Arial" w:cs="Arial" w:eastAsia="Arial" w:hAnsi="Arial"/>
                <w:sz w:val="18"/>
                <w:szCs w:val="18"/>
                <w:color w:val="auto"/>
              </w:rPr>
              <w:t>Call of Meetings by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Call of Meetings by Company or Securityholders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9.04</w:t>
            </w:r>
          </w:p>
        </w:tc>
        <w:tc>
          <w:tcPr>
            <w:tcW w:w="8500" w:type="dxa"/>
            <w:vAlign w:val="bottom"/>
          </w:tcPr>
          <w:p>
            <w:pPr>
              <w:ind w:left="240"/>
              <w:spacing w:after="0"/>
              <w:rPr>
                <w:sz w:val="20"/>
                <w:szCs w:val="20"/>
                <w:color w:val="auto"/>
              </w:rPr>
            </w:pPr>
            <w:r>
              <w:rPr>
                <w:rFonts w:ascii="Arial" w:cs="Arial" w:eastAsia="Arial" w:hAnsi="Arial"/>
                <w:sz w:val="18"/>
                <w:szCs w:val="18"/>
                <w:color w:val="auto"/>
              </w:rPr>
              <w:t>Qualifications for Voting</w:t>
            </w: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Regulation of Meetings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8500" w:type="dxa"/>
            <w:vAlign w:val="bottom"/>
          </w:tcPr>
          <w:p>
            <w:pPr>
              <w:ind w:left="240"/>
              <w:spacing w:after="0"/>
              <w:rPr>
                <w:sz w:val="20"/>
                <w:szCs w:val="20"/>
                <w:color w:val="auto"/>
              </w:rPr>
            </w:pPr>
            <w:r>
              <w:rPr>
                <w:rFonts w:ascii="Arial" w:cs="Arial" w:eastAsia="Arial" w:hAnsi="Arial"/>
                <w:sz w:val="18"/>
                <w:szCs w:val="18"/>
                <w:color w:val="auto"/>
              </w:rPr>
              <w:t>Voting</w:t>
            </w:r>
          </w:p>
        </w:tc>
        <w:tc>
          <w:tcPr>
            <w:tcW w:w="15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9.07</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Delay of Rights by Meeting</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w w:val="98"/>
              </w:rPr>
              <w:t>ARTICLE X</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w w:val="95"/>
              </w:rPr>
              <w:t>REPORTS BY THE COMPANY AND THE TRUSTEE AND</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w w:val="96"/>
              </w:rPr>
              <w:t>SECURITYHOLDERS’ LISTS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Reports by Trustee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8500" w:type="dxa"/>
            <w:vAlign w:val="bottom"/>
          </w:tcPr>
          <w:p>
            <w:pPr>
              <w:ind w:left="240"/>
              <w:spacing w:after="0"/>
              <w:rPr>
                <w:sz w:val="20"/>
                <w:szCs w:val="20"/>
                <w:color w:val="auto"/>
              </w:rPr>
            </w:pPr>
            <w:r>
              <w:rPr>
                <w:rFonts w:ascii="Arial" w:cs="Arial" w:eastAsia="Arial" w:hAnsi="Arial"/>
                <w:sz w:val="18"/>
                <w:szCs w:val="18"/>
                <w:color w:val="auto"/>
              </w:rPr>
              <w:t>Reports by the Company</w:t>
            </w: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Securityholders’ Lists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rPr>
              <w:t>ARTICLE XI</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w w:val="94"/>
              </w:rPr>
              <w:t>CONCERNING THE TRUSTEE</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11.01</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Rights of Trustees; Compensation and Indemnity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11.02</w:t>
            </w:r>
          </w:p>
        </w:tc>
        <w:tc>
          <w:tcPr>
            <w:tcW w:w="8500" w:type="dxa"/>
            <w:vAlign w:val="bottom"/>
          </w:tcPr>
          <w:p>
            <w:pPr>
              <w:ind w:left="240"/>
              <w:spacing w:after="0"/>
              <w:rPr>
                <w:sz w:val="20"/>
                <w:szCs w:val="20"/>
                <w:color w:val="auto"/>
              </w:rPr>
            </w:pPr>
            <w:r>
              <w:rPr>
                <w:rFonts w:ascii="Arial" w:cs="Arial" w:eastAsia="Arial" w:hAnsi="Arial"/>
                <w:sz w:val="18"/>
                <w:szCs w:val="18"/>
                <w:color w:val="auto"/>
              </w:rPr>
              <w:t>Duties of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11.03</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Defaults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11.04</w:t>
            </w:r>
          </w:p>
        </w:tc>
        <w:tc>
          <w:tcPr>
            <w:tcW w:w="8500" w:type="dxa"/>
            <w:vAlign w:val="bottom"/>
          </w:tcPr>
          <w:p>
            <w:pPr>
              <w:ind w:left="240"/>
              <w:spacing w:after="0"/>
              <w:rPr>
                <w:sz w:val="20"/>
                <w:szCs w:val="20"/>
                <w:color w:val="auto"/>
              </w:rPr>
            </w:pPr>
            <w:r>
              <w:rPr>
                <w:rFonts w:ascii="Arial" w:cs="Arial" w:eastAsia="Arial" w:hAnsi="Arial"/>
                <w:sz w:val="18"/>
                <w:szCs w:val="18"/>
                <w:color w:val="auto"/>
              </w:rPr>
              <w:t>Eligibility; Disqualification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11.05</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Resignation and Notice; Removal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11.06</w:t>
            </w:r>
          </w:p>
        </w:tc>
        <w:tc>
          <w:tcPr>
            <w:tcW w:w="8500" w:type="dxa"/>
            <w:vAlign w:val="bottom"/>
          </w:tcPr>
          <w:p>
            <w:pPr>
              <w:ind w:left="240"/>
              <w:spacing w:after="0"/>
              <w:rPr>
                <w:sz w:val="20"/>
                <w:szCs w:val="20"/>
                <w:color w:val="auto"/>
              </w:rPr>
            </w:pPr>
            <w:r>
              <w:rPr>
                <w:rFonts w:ascii="Arial" w:cs="Arial" w:eastAsia="Arial" w:hAnsi="Arial"/>
                <w:sz w:val="18"/>
                <w:szCs w:val="18"/>
                <w:color w:val="auto"/>
              </w:rPr>
              <w:t>Successor Trustee by Appointment</w:t>
            </w: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11.07</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Successor Trustee by Merger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11.08</w:t>
            </w:r>
          </w:p>
        </w:tc>
        <w:tc>
          <w:tcPr>
            <w:tcW w:w="8500" w:type="dxa"/>
            <w:vAlign w:val="bottom"/>
          </w:tcPr>
          <w:p>
            <w:pPr>
              <w:ind w:left="240"/>
              <w:spacing w:after="0"/>
              <w:rPr>
                <w:sz w:val="20"/>
                <w:szCs w:val="20"/>
                <w:color w:val="auto"/>
              </w:rPr>
            </w:pPr>
            <w:r>
              <w:rPr>
                <w:rFonts w:ascii="Arial" w:cs="Arial" w:eastAsia="Arial" w:hAnsi="Arial"/>
                <w:sz w:val="18"/>
                <w:szCs w:val="18"/>
                <w:color w:val="auto"/>
              </w:rPr>
              <w:t>Right to Rely on Officer’s Certificate</w:t>
            </w: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11.09</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Appointment of Authenticating Agent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11.10</w:t>
            </w:r>
          </w:p>
        </w:tc>
        <w:tc>
          <w:tcPr>
            <w:tcW w:w="8500" w:type="dxa"/>
            <w:vAlign w:val="bottom"/>
          </w:tcPr>
          <w:p>
            <w:pPr>
              <w:ind w:left="240"/>
              <w:spacing w:after="0"/>
              <w:rPr>
                <w:sz w:val="20"/>
                <w:szCs w:val="20"/>
                <w:color w:val="auto"/>
              </w:rPr>
            </w:pPr>
            <w:r>
              <w:rPr>
                <w:rFonts w:ascii="Arial" w:cs="Arial" w:eastAsia="Arial" w:hAnsi="Arial"/>
                <w:sz w:val="18"/>
                <w:szCs w:val="18"/>
                <w:color w:val="auto"/>
              </w:rPr>
              <w:t>Communications by Securityholders with Other Securityholders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500" w:type="dxa"/>
            <w:vAlign w:val="bottom"/>
          </w:tcPr>
          <w:p>
            <w:pPr>
              <w:jc w:val="center"/>
              <w:ind w:left="530"/>
              <w:spacing w:after="0"/>
              <w:rPr>
                <w:sz w:val="20"/>
                <w:szCs w:val="20"/>
                <w:color w:val="auto"/>
              </w:rPr>
            </w:pPr>
            <w:r>
              <w:rPr>
                <w:rFonts w:ascii="Arial" w:cs="Arial" w:eastAsia="Arial" w:hAnsi="Arial"/>
                <w:sz w:val="18"/>
                <w:szCs w:val="18"/>
                <w:color w:val="auto"/>
              </w:rPr>
              <w:t>ARTICLE XII</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500" w:type="dxa"/>
            <w:vAlign w:val="bottom"/>
          </w:tcPr>
          <w:p>
            <w:pPr>
              <w:jc w:val="center"/>
              <w:ind w:left="510"/>
              <w:spacing w:after="0"/>
              <w:rPr>
                <w:sz w:val="20"/>
                <w:szCs w:val="20"/>
                <w:color w:val="auto"/>
              </w:rPr>
            </w:pPr>
            <w:r>
              <w:rPr>
                <w:rFonts w:ascii="Arial" w:cs="Arial" w:eastAsia="Arial" w:hAnsi="Arial"/>
                <w:sz w:val="18"/>
                <w:szCs w:val="18"/>
                <w:color w:val="auto"/>
                <w:w w:val="96"/>
              </w:rPr>
              <w:t>SATISFACTION AND DISCHARGE; DEFEASANCE</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12.01</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Applicability of Article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12.02</w:t>
            </w:r>
          </w:p>
        </w:tc>
        <w:tc>
          <w:tcPr>
            <w:tcW w:w="8500" w:type="dxa"/>
            <w:vAlign w:val="bottom"/>
          </w:tcPr>
          <w:p>
            <w:pPr>
              <w:ind w:left="240"/>
              <w:spacing w:after="0"/>
              <w:rPr>
                <w:sz w:val="20"/>
                <w:szCs w:val="20"/>
                <w:color w:val="auto"/>
              </w:rPr>
            </w:pPr>
            <w:r>
              <w:rPr>
                <w:rFonts w:ascii="Arial" w:cs="Arial" w:eastAsia="Arial" w:hAnsi="Arial"/>
                <w:sz w:val="18"/>
                <w:szCs w:val="18"/>
                <w:color w:val="auto"/>
              </w:rPr>
              <w:t>Satisfaction and Discharge of Indenture</w:t>
            </w: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12.03</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Defeasance and Covenant Defeasance upon Deposit of Moneys or U.S. Government Obligations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12.04</w:t>
            </w:r>
          </w:p>
        </w:tc>
        <w:tc>
          <w:tcPr>
            <w:tcW w:w="8500" w:type="dxa"/>
            <w:vAlign w:val="bottom"/>
          </w:tcPr>
          <w:p>
            <w:pPr>
              <w:ind w:left="240"/>
              <w:spacing w:after="0"/>
              <w:rPr>
                <w:sz w:val="20"/>
                <w:szCs w:val="20"/>
                <w:color w:val="auto"/>
              </w:rPr>
            </w:pPr>
            <w:r>
              <w:rPr>
                <w:rFonts w:ascii="Arial" w:cs="Arial" w:eastAsia="Arial" w:hAnsi="Arial"/>
                <w:sz w:val="18"/>
                <w:szCs w:val="18"/>
                <w:color w:val="auto"/>
              </w:rPr>
              <w:t>Repayment to Company</w:t>
            </w: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12.05</w:t>
            </w: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Indemnity for U.S. Government Obligations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12.06</w:t>
            </w:r>
          </w:p>
        </w:tc>
        <w:tc>
          <w:tcPr>
            <w:tcW w:w="8500" w:type="dxa"/>
            <w:vAlign w:val="bottom"/>
          </w:tcPr>
          <w:p>
            <w:pPr>
              <w:ind w:left="240"/>
              <w:spacing w:after="0"/>
              <w:rPr>
                <w:sz w:val="20"/>
                <w:szCs w:val="20"/>
                <w:color w:val="auto"/>
              </w:rPr>
            </w:pPr>
            <w:r>
              <w:rPr>
                <w:rFonts w:ascii="Arial" w:cs="Arial" w:eastAsia="Arial" w:hAnsi="Arial"/>
                <w:sz w:val="18"/>
                <w:szCs w:val="18"/>
                <w:color w:val="auto"/>
              </w:rPr>
              <w:t>Deposits to Be Held in Escrow</w:t>
            </w: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12.07</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Application of Trust Money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12.08</w:t>
            </w:r>
          </w:p>
        </w:tc>
        <w:tc>
          <w:tcPr>
            <w:tcW w:w="8160" w:type="dxa"/>
            <w:vAlign w:val="bottom"/>
          </w:tcPr>
          <w:p>
            <w:pPr>
              <w:ind w:left="240"/>
              <w:spacing w:after="0"/>
              <w:rPr>
                <w:sz w:val="20"/>
                <w:szCs w:val="20"/>
                <w:color w:val="auto"/>
              </w:rPr>
            </w:pPr>
            <w:r>
              <w:rPr>
                <w:rFonts w:ascii="Arial" w:cs="Arial" w:eastAsia="Arial" w:hAnsi="Arial"/>
                <w:sz w:val="18"/>
                <w:szCs w:val="18"/>
                <w:color w:val="auto"/>
              </w:rPr>
              <w:t>Deposits of Non-U.S. Currencies</w:t>
            </w:r>
          </w:p>
        </w:tc>
        <w:tc>
          <w:tcPr>
            <w:tcW w:w="18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rPr>
              <w:t>ARTICLE XIII</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w w:val="95"/>
              </w:rPr>
              <w:t>IMMUNITY OF CERTAIN PERSONS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13.01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Personal Liability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rPr>
              <w:t>ARTICLE XIV</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w w:val="96"/>
              </w:rPr>
              <w:t>SUPPLEMENTAL INDENTURES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14.01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Without Consent of Securityholders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14.02</w:t>
            </w:r>
          </w:p>
        </w:tc>
        <w:tc>
          <w:tcPr>
            <w:tcW w:w="8160" w:type="dxa"/>
            <w:vAlign w:val="bottom"/>
          </w:tcPr>
          <w:p>
            <w:pPr>
              <w:ind w:left="240"/>
              <w:spacing w:after="0"/>
              <w:rPr>
                <w:sz w:val="20"/>
                <w:szCs w:val="20"/>
                <w:color w:val="auto"/>
              </w:rPr>
            </w:pPr>
            <w:r>
              <w:rPr>
                <w:rFonts w:ascii="Arial" w:cs="Arial" w:eastAsia="Arial" w:hAnsi="Arial"/>
                <w:sz w:val="18"/>
                <w:szCs w:val="18"/>
                <w:color w:val="auto"/>
              </w:rPr>
              <w:t>With Consent of Securityholders; Limitations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14.03</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Trustee Protected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14.04</w:t>
            </w:r>
          </w:p>
        </w:tc>
        <w:tc>
          <w:tcPr>
            <w:tcW w:w="8160" w:type="dxa"/>
            <w:vAlign w:val="bottom"/>
          </w:tcPr>
          <w:p>
            <w:pPr>
              <w:ind w:left="240"/>
              <w:spacing w:after="0"/>
              <w:rPr>
                <w:sz w:val="20"/>
                <w:szCs w:val="20"/>
                <w:color w:val="auto"/>
              </w:rPr>
            </w:pPr>
            <w:r>
              <w:rPr>
                <w:rFonts w:ascii="Arial" w:cs="Arial" w:eastAsia="Arial" w:hAnsi="Arial"/>
                <w:sz w:val="18"/>
                <w:szCs w:val="18"/>
                <w:color w:val="auto"/>
              </w:rPr>
              <w:t>Effect of Execution of Supplemental Indenture</w:t>
            </w:r>
          </w:p>
        </w:tc>
        <w:tc>
          <w:tcPr>
            <w:tcW w:w="18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14.05</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Notation on or Exchange of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14.06</w:t>
            </w:r>
          </w:p>
        </w:tc>
        <w:tc>
          <w:tcPr>
            <w:tcW w:w="8160" w:type="dxa"/>
            <w:vAlign w:val="bottom"/>
          </w:tcPr>
          <w:p>
            <w:pPr>
              <w:ind w:left="240"/>
              <w:spacing w:after="0"/>
              <w:rPr>
                <w:sz w:val="20"/>
                <w:szCs w:val="20"/>
                <w:color w:val="auto"/>
              </w:rPr>
            </w:pPr>
            <w:r>
              <w:rPr>
                <w:rFonts w:ascii="Arial" w:cs="Arial" w:eastAsia="Arial" w:hAnsi="Arial"/>
                <w:sz w:val="18"/>
                <w:szCs w:val="18"/>
                <w:color w:val="auto"/>
              </w:rPr>
              <w:t>Conformity with TIA</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w w:val="98"/>
              </w:rPr>
              <w:t>ARTICLE XV</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w w:val="95"/>
              </w:rPr>
              <w:t>SUBORDINATION OF SECURITIES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15.01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Agreement to Subordinate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15.02</w:t>
            </w:r>
          </w:p>
        </w:tc>
        <w:tc>
          <w:tcPr>
            <w:tcW w:w="8160" w:type="dxa"/>
            <w:vAlign w:val="bottom"/>
          </w:tcPr>
          <w:p>
            <w:pPr>
              <w:ind w:left="240"/>
              <w:spacing w:after="0"/>
              <w:rPr>
                <w:sz w:val="20"/>
                <w:szCs w:val="20"/>
                <w:color w:val="auto"/>
              </w:rPr>
            </w:pPr>
            <w:r>
              <w:rPr>
                <w:rFonts w:ascii="Arial" w:cs="Arial" w:eastAsia="Arial" w:hAnsi="Arial"/>
                <w:sz w:val="18"/>
                <w:szCs w:val="18"/>
                <w:color w:val="auto"/>
              </w:rPr>
              <w:t>Distribution on Dissolution, Liquidation and Reorganization; Subrogation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15.03</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Payment on Securities in Event of Default on Senior Indebtedness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15.04</w:t>
            </w:r>
          </w:p>
        </w:tc>
        <w:tc>
          <w:tcPr>
            <w:tcW w:w="8160" w:type="dxa"/>
            <w:vAlign w:val="bottom"/>
          </w:tcPr>
          <w:p>
            <w:pPr>
              <w:ind w:left="240"/>
              <w:spacing w:after="0"/>
              <w:rPr>
                <w:sz w:val="20"/>
                <w:szCs w:val="20"/>
                <w:color w:val="auto"/>
              </w:rPr>
            </w:pPr>
            <w:r>
              <w:rPr>
                <w:rFonts w:ascii="Arial" w:cs="Arial" w:eastAsia="Arial" w:hAnsi="Arial"/>
                <w:sz w:val="18"/>
                <w:szCs w:val="18"/>
                <w:color w:val="auto"/>
              </w:rPr>
              <w:t>Payments on Securities Permitted</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15.05</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Authorization of Securityholders to Trustee to Effect Subordination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15.06</w:t>
            </w:r>
          </w:p>
        </w:tc>
        <w:tc>
          <w:tcPr>
            <w:tcW w:w="8160" w:type="dxa"/>
            <w:vAlign w:val="bottom"/>
          </w:tcPr>
          <w:p>
            <w:pPr>
              <w:ind w:left="240"/>
              <w:spacing w:after="0"/>
              <w:rPr>
                <w:sz w:val="20"/>
                <w:szCs w:val="20"/>
                <w:color w:val="auto"/>
              </w:rPr>
            </w:pPr>
            <w:r>
              <w:rPr>
                <w:rFonts w:ascii="Arial" w:cs="Arial" w:eastAsia="Arial" w:hAnsi="Arial"/>
                <w:sz w:val="18"/>
                <w:szCs w:val="18"/>
                <w:color w:val="auto"/>
              </w:rPr>
              <w:t>Notices to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15.07</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Trustee as Holder of Senior Indebtedness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15.08</w:t>
            </w:r>
          </w:p>
        </w:tc>
        <w:tc>
          <w:tcPr>
            <w:tcW w:w="8160" w:type="dxa"/>
            <w:vAlign w:val="bottom"/>
          </w:tcPr>
          <w:p>
            <w:pPr>
              <w:ind w:left="240"/>
              <w:spacing w:after="0"/>
              <w:rPr>
                <w:sz w:val="20"/>
                <w:szCs w:val="20"/>
                <w:color w:val="auto"/>
              </w:rPr>
            </w:pPr>
            <w:r>
              <w:rPr>
                <w:rFonts w:ascii="Arial" w:cs="Arial" w:eastAsia="Arial" w:hAnsi="Arial"/>
                <w:sz w:val="18"/>
                <w:szCs w:val="18"/>
                <w:color w:val="auto"/>
              </w:rPr>
              <w:t>Modifications of Terms of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15.09</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Reliance on Judicial Order or Certificate of Liquidating Agent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15.10</w:t>
            </w:r>
          </w:p>
        </w:tc>
        <w:tc>
          <w:tcPr>
            <w:tcW w:w="8160" w:type="dxa"/>
            <w:vAlign w:val="bottom"/>
          </w:tcPr>
          <w:p>
            <w:pPr>
              <w:ind w:left="240"/>
              <w:spacing w:after="0"/>
              <w:rPr>
                <w:sz w:val="20"/>
                <w:szCs w:val="20"/>
                <w:color w:val="auto"/>
              </w:rPr>
            </w:pPr>
            <w:r>
              <w:rPr>
                <w:rFonts w:ascii="Arial" w:cs="Arial" w:eastAsia="Arial" w:hAnsi="Arial"/>
                <w:sz w:val="18"/>
                <w:szCs w:val="18"/>
                <w:color w:val="auto"/>
              </w:rPr>
              <w:t>Satisfaction and Discharge; Defeasance and Covenant Defeasance</w:t>
            </w:r>
          </w:p>
        </w:tc>
        <w:tc>
          <w:tcPr>
            <w:tcW w:w="18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15.11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Trustee Not Fiduciary for Holders of Senior Indebtedness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rPr>
              <w:t>ARTICLE XVI</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8160" w:type="dxa"/>
            <w:vAlign w:val="bottom"/>
          </w:tcPr>
          <w:p>
            <w:pPr>
              <w:jc w:val="center"/>
              <w:ind w:left="870"/>
              <w:spacing w:after="0"/>
              <w:rPr>
                <w:sz w:val="20"/>
                <w:szCs w:val="20"/>
                <w:color w:val="auto"/>
              </w:rPr>
            </w:pPr>
            <w:r>
              <w:rPr>
                <w:rFonts w:ascii="Arial" w:cs="Arial" w:eastAsia="Arial" w:hAnsi="Arial"/>
                <w:sz w:val="18"/>
                <w:szCs w:val="18"/>
                <w:color w:val="auto"/>
                <w:w w:val="96"/>
              </w:rPr>
              <w:t>MISCELLANEOUS PROVISIONS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16.01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and Opinions as to Conditions Precedent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16.02</w:t>
            </w:r>
          </w:p>
        </w:tc>
        <w:tc>
          <w:tcPr>
            <w:tcW w:w="8160" w:type="dxa"/>
            <w:vAlign w:val="bottom"/>
          </w:tcPr>
          <w:p>
            <w:pPr>
              <w:ind w:left="240"/>
              <w:spacing w:after="0"/>
              <w:rPr>
                <w:sz w:val="20"/>
                <w:szCs w:val="20"/>
                <w:color w:val="auto"/>
              </w:rPr>
            </w:pPr>
            <w:r>
              <w:rPr>
                <w:rFonts w:ascii="Arial" w:cs="Arial" w:eastAsia="Arial" w:hAnsi="Arial"/>
                <w:sz w:val="18"/>
                <w:szCs w:val="18"/>
                <w:color w:val="auto"/>
              </w:rPr>
              <w:t>Trust Indenture Act Controls</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16.03</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 to the Company and Trustee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16.04</w:t>
            </w:r>
          </w:p>
        </w:tc>
        <w:tc>
          <w:tcPr>
            <w:tcW w:w="8160" w:type="dxa"/>
            <w:vAlign w:val="bottom"/>
          </w:tcPr>
          <w:p>
            <w:pPr>
              <w:ind w:left="240"/>
              <w:spacing w:after="0"/>
              <w:rPr>
                <w:sz w:val="20"/>
                <w:szCs w:val="20"/>
                <w:color w:val="auto"/>
              </w:rPr>
            </w:pPr>
            <w:r>
              <w:rPr>
                <w:rFonts w:ascii="Arial" w:cs="Arial" w:eastAsia="Arial" w:hAnsi="Arial"/>
                <w:sz w:val="18"/>
                <w:szCs w:val="18"/>
                <w:color w:val="auto"/>
              </w:rPr>
              <w:t>Notices to Securityholders; Waiver</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16.05</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Holiday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16.06</w:t>
            </w:r>
          </w:p>
        </w:tc>
        <w:tc>
          <w:tcPr>
            <w:tcW w:w="8160" w:type="dxa"/>
            <w:vAlign w:val="bottom"/>
          </w:tcPr>
          <w:p>
            <w:pPr>
              <w:ind w:left="240"/>
              <w:spacing w:after="0"/>
              <w:rPr>
                <w:sz w:val="20"/>
                <w:szCs w:val="20"/>
                <w:color w:val="auto"/>
              </w:rPr>
            </w:pPr>
            <w:r>
              <w:rPr>
                <w:rFonts w:ascii="Arial" w:cs="Arial" w:eastAsia="Arial" w:hAnsi="Arial"/>
                <w:sz w:val="18"/>
                <w:szCs w:val="18"/>
                <w:color w:val="auto"/>
              </w:rPr>
              <w:t>Effects of Headings and Table of Contents</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16.07</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Successors and Assigns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16.08</w:t>
            </w:r>
          </w:p>
        </w:tc>
        <w:tc>
          <w:tcPr>
            <w:tcW w:w="8160" w:type="dxa"/>
            <w:vAlign w:val="bottom"/>
          </w:tcPr>
          <w:p>
            <w:pPr>
              <w:ind w:left="240"/>
              <w:spacing w:after="0"/>
              <w:rPr>
                <w:sz w:val="20"/>
                <w:szCs w:val="20"/>
                <w:color w:val="auto"/>
              </w:rPr>
            </w:pPr>
            <w:r>
              <w:rPr>
                <w:rFonts w:ascii="Arial" w:cs="Arial" w:eastAsia="Arial" w:hAnsi="Arial"/>
                <w:sz w:val="18"/>
                <w:szCs w:val="18"/>
                <w:color w:val="auto"/>
              </w:rPr>
              <w:t>Separability Clause</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16.09</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Benefits of Indenture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16.10</w:t>
            </w:r>
          </w:p>
        </w:tc>
        <w:tc>
          <w:tcPr>
            <w:tcW w:w="8160" w:type="dxa"/>
            <w:vAlign w:val="bottom"/>
          </w:tcPr>
          <w:p>
            <w:pPr>
              <w:ind w:left="240"/>
              <w:spacing w:after="0"/>
              <w:rPr>
                <w:sz w:val="20"/>
                <w:szCs w:val="20"/>
                <w:color w:val="auto"/>
              </w:rPr>
            </w:pPr>
            <w:r>
              <w:rPr>
                <w:rFonts w:ascii="Arial" w:cs="Arial" w:eastAsia="Arial" w:hAnsi="Arial"/>
                <w:sz w:val="18"/>
                <w:szCs w:val="18"/>
                <w:color w:val="auto"/>
              </w:rPr>
              <w:t>Counterparts Originals</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16.11</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 Waiver of Trial by Jury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16.12</w:t>
            </w:r>
          </w:p>
        </w:tc>
        <w:tc>
          <w:tcPr>
            <w:tcW w:w="816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Section 16.13</w:t>
            </w:r>
          </w:p>
        </w:tc>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U.S.A. Patriot Act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tabs>
          <w:tab w:leader="none" w:pos="2920" w:val="left"/>
          <w:tab w:leader="none" w:pos="3680" w:val="left"/>
        </w:tabs>
        <w:rPr>
          <w:sz w:val="20"/>
          <w:szCs w:val="20"/>
          <w:color w:val="auto"/>
        </w:rPr>
      </w:pPr>
      <w:r>
        <w:rPr>
          <w:rFonts w:ascii="Arial" w:cs="Arial" w:eastAsia="Arial" w:hAnsi="Arial"/>
          <w:sz w:val="22"/>
          <w:szCs w:val="22"/>
          <w:color w:val="auto"/>
        </w:rPr>
        <w:t>INDENTURE dated as of</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between New Fortress Energy Inc., a Delaware corporation (the “Company”), and</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 a national banking association, as trustee (the “Trustee”).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ind w:right="440"/>
        <w:spacing w:after="0" w:line="297" w:lineRule="auto"/>
        <w:rPr>
          <w:sz w:val="20"/>
          <w:szCs w:val="20"/>
          <w:color w:val="auto"/>
        </w:rPr>
      </w:pPr>
      <w:r>
        <w:rPr>
          <w:rFonts w:ascii="Arial" w:cs="Arial" w:eastAsia="Arial" w:hAnsi="Arial"/>
          <w:sz w:val="19"/>
          <w:szCs w:val="19"/>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61"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WHEREAS, all things necessary to make this Indenture a valid and legally binding agreement of the Company, in accordance with its terms, have been done.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THIS INDENTURE WITNESSETH:</w:t>
      </w:r>
    </w:p>
    <w:p>
      <w:pPr>
        <w:spacing w:after="0" w:line="233"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For all purposes of this Indenture, except as otherwise expressly provided or unless the context otherwise requires:</w:t>
      </w:r>
    </w:p>
    <w:p>
      <w:pPr>
        <w:spacing w:after="0" w:line="245" w:lineRule="exact"/>
        <w:rPr>
          <w:sz w:val="20"/>
          <w:szCs w:val="20"/>
          <w:color w:val="auto"/>
        </w:rPr>
      </w:pPr>
    </w:p>
    <w:p>
      <w:pPr>
        <w:ind w:left="1440" w:hanging="784"/>
        <w:spacing w:after="0"/>
        <w:tabs>
          <w:tab w:leader="none" w:pos="1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terms defined in this Article have the meanings assigned to them in this Article and include the plural as well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the singular;</w:t>
      </w:r>
    </w:p>
    <w:p>
      <w:pPr>
        <w:spacing w:after="0" w:line="215" w:lineRule="exact"/>
        <w:rPr>
          <w:rFonts w:ascii="Arial" w:cs="Arial" w:eastAsia="Arial" w:hAnsi="Arial"/>
          <w:sz w:val="19"/>
          <w:szCs w:val="19"/>
          <w:color w:val="auto"/>
        </w:rPr>
      </w:pPr>
    </w:p>
    <w:p>
      <w:pPr>
        <w:ind w:right="380" w:firstLine="656"/>
        <w:spacing w:after="0"/>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213" w:lineRule="exact"/>
        <w:rPr>
          <w:rFonts w:ascii="Arial" w:cs="Arial" w:eastAsia="Arial" w:hAnsi="Arial"/>
          <w:sz w:val="22"/>
          <w:szCs w:val="22"/>
          <w:color w:val="auto"/>
        </w:rPr>
      </w:pPr>
    </w:p>
    <w:p>
      <w:pPr>
        <w:ind w:right="500" w:firstLine="656"/>
        <w:spacing w:after="0" w:line="250" w:lineRule="auto"/>
        <w:tabs>
          <w:tab w:leader="none" w:pos="14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201" w:lineRule="exact"/>
        <w:rPr>
          <w:rFonts w:ascii="Arial" w:cs="Arial" w:eastAsia="Arial" w:hAnsi="Arial"/>
          <w:sz w:val="22"/>
          <w:szCs w:val="22"/>
          <w:color w:val="auto"/>
        </w:rPr>
      </w:pPr>
    </w:p>
    <w:p>
      <w:pPr>
        <w:ind w:right="400" w:firstLine="656"/>
        <w:spacing w:after="0" w:line="250" w:lineRule="auto"/>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references to “Article” or “Section” or other subdivision herein are references to an Article, Section or other subdivision of the Indenture, unless the context otherwise requires.</w:t>
      </w:r>
    </w:p>
    <w:p>
      <w:pPr>
        <w:spacing w:after="0" w:line="20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Unless the context otherwise requires, the terms defined in this Section 1.01 shall for all purposes of this Indenture have the meanings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Affiliate:</w:t>
      </w:r>
    </w:p>
    <w:p>
      <w:pPr>
        <w:spacing w:after="0" w:line="240"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Authenticating Agent: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“Authenticating Agent” shall have the meaning assigned to it in Section 11.09.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239"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term “Board of Directors” shall mean either the board of directors of the Company or the executive or any other committee of that board duly authorized to act in respect hereof.</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Resolution:</w:t>
      </w:r>
    </w:p>
    <w:p>
      <w:pPr>
        <w:spacing w:after="0" w:line="23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Day:</w:t>
      </w:r>
    </w:p>
    <w:p>
      <w:pPr>
        <w:spacing w:after="0" w:line="239"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other location are authorized or obligated by law or executive order to close.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“Capital Stock” shall mean:</w:t>
      </w:r>
    </w:p>
    <w:p>
      <w:pPr>
        <w:spacing w:after="0" w:line="233" w:lineRule="exact"/>
        <w:rPr>
          <w:sz w:val="20"/>
          <w:szCs w:val="20"/>
          <w:color w:val="auto"/>
        </w:rPr>
      </w:pPr>
    </w:p>
    <w:p>
      <w:pPr>
        <w:ind w:left="1440" w:hanging="784"/>
        <w:spacing w:after="0"/>
        <w:tabs>
          <w:tab w:leader="none" w:pos="14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right="700" w:firstLine="656"/>
        <w:spacing w:after="0" w:line="250" w:lineRule="auto"/>
        <w:tabs>
          <w:tab w:leader="none" w:pos="14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1" w:lineRule="exact"/>
        <w:rPr>
          <w:rFonts w:ascii="Arial" w:cs="Arial" w:eastAsia="Arial" w:hAnsi="Arial"/>
          <w:sz w:val="22"/>
          <w:szCs w:val="22"/>
          <w:color w:val="auto"/>
        </w:rPr>
      </w:pPr>
    </w:p>
    <w:p>
      <w:pPr>
        <w:ind w:right="440" w:firstLine="656"/>
        <w:spacing w:after="0" w:line="250" w:lineRule="auto"/>
        <w:tabs>
          <w:tab w:leader="none" w:pos="1428"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 w:name="page20"/>
    <w:bookmarkEnd w:id="19"/>
    <w:p>
      <w:pPr>
        <w:ind w:right="60" w:firstLine="656"/>
        <w:spacing w:after="0" w:line="258" w:lineRule="auto"/>
        <w:tabs>
          <w:tab w:leader="none" w:pos="14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“Code” shall mean the Internal Revenue Code of 1986, as amended.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Order:</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term “Company Order” shall mean a written order signed in the name of the Company by the Chairman of the Board of Directors, Chief Executive Officer, Chief Financial Officer, President, Executive Vice President, Senior Vice President, Treasurer, Assistant Treasurer, Controller, Assistant Controller, Secretary or Assistant Secretary of the Company, and delivered to the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Trust Office:</w:t>
      </w:r>
    </w:p>
    <w:p>
      <w:pPr>
        <w:spacing w:after="0" w:line="239"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The term “Corporate Trust Office,” or other similar term, shall mean the principal office of the Trustee at which at any particular time its corporate trust business shall be administered, which office at the date hereof is located at U.S. Bank National Association, 60 Livingston Avenue, St. Paul MN 55107-2292, Attention: Corporate Trust Services – Administrator for New Fortress Energy Inc.,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“Currency” shall mean U.S. Dollars or Foreign Currency.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“Default” shall have the meaning assigned to it in Section 11.03.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Defaulted Interest: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“Defaulted Interest” shall have the same meaning assigned to it in Section 3.08(b).</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Depositary:</w:t>
      </w:r>
    </w:p>
    <w:p>
      <w:pPr>
        <w:spacing w:after="0" w:line="24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Designated Currency: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“Designated Currency” shall have the same meaning assigned to it in Section 3.12.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“Discharged” shall have the meaning assigned to it in Section 12.03.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DTC: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“DTC” shall mean The Depository Trust Company, Inc. and its successors.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 of Default: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“Event of Default” shall have the meaning specified in Section 7.01.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Act:</w:t>
      </w:r>
    </w:p>
    <w:p>
      <w:pPr>
        <w:spacing w:after="0" w:line="239" w:lineRule="exact"/>
        <w:rPr>
          <w:sz w:val="20"/>
          <w:szCs w:val="20"/>
          <w:color w:val="auto"/>
        </w:rPr>
      </w:pPr>
    </w:p>
    <w:p>
      <w:pPr>
        <w:ind w:right="820"/>
        <w:spacing w:after="0" w:line="328" w:lineRule="auto"/>
        <w:rPr>
          <w:sz w:val="20"/>
          <w:szCs w:val="20"/>
          <w:color w:val="auto"/>
        </w:rPr>
      </w:pPr>
      <w:r>
        <w:rPr>
          <w:rFonts w:ascii="Arial" w:cs="Arial" w:eastAsia="Arial" w:hAnsi="Arial"/>
          <w:sz w:val="19"/>
          <w:szCs w:val="19"/>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Rate: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“Exchange Rate” shall have the meaning assigned to it in Section 7.01.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Floating Rate Security:</w:t>
      </w:r>
    </w:p>
    <w:p>
      <w:pPr>
        <w:spacing w:after="0" w:line="23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term “Floating Rate Security” shall mean a Security that provides for the payment of interest at a variable rate determined periodically by reference to an interest rate index specified pursuant to Section 3.01.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239"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GAAP:</w:t>
      </w:r>
    </w:p>
    <w:p>
      <w:pPr>
        <w:spacing w:after="0" w:line="240"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 xml:space="preserve">The term “GAAP,” with respect to any computations required or permitted hereunder, shall mean generally accepted accounting principles in effect in the United States as in effect from time to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Security:</w:t>
      </w:r>
    </w:p>
    <w:p>
      <w:pPr>
        <w:spacing w:after="0" w:line="239"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 Holder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terms “Holder” and “Holder of Securities” are defined under “Securityholder; Holder of Securities; Holder.”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Indebtedness:</w:t>
      </w:r>
    </w:p>
    <w:p>
      <w:pPr>
        <w:spacing w:after="0" w:line="239" w:lineRule="exact"/>
        <w:rPr>
          <w:sz w:val="20"/>
          <w:szCs w:val="20"/>
          <w:color w:val="auto"/>
        </w:rPr>
      </w:pPr>
    </w:p>
    <w:p>
      <w:pPr>
        <w:jc w:val="both"/>
        <w:ind w:right="160"/>
        <w:spacing w:after="0" w:line="328" w:lineRule="auto"/>
        <w:rPr>
          <w:sz w:val="20"/>
          <w:szCs w:val="20"/>
          <w:color w:val="auto"/>
        </w:rPr>
      </w:pPr>
      <w:r>
        <w:rPr>
          <w:rFonts w:ascii="Arial" w:cs="Arial" w:eastAsia="Arial" w:hAnsi="Arial"/>
          <w:sz w:val="19"/>
          <w:szCs w:val="19"/>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Indenture:</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at any time more than one Person is acting as Trustee under this Indenture due to the appointment of one or more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Individual Securities: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term “Individual Securities” shall have the meaning specified in Section 3.01(p).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39"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 Date:</w:t>
      </w:r>
    </w:p>
    <w:p>
      <w:pPr>
        <w:spacing w:after="0" w:line="23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term “Interest Payment Date” shall mean, with respect to any Security, the Stated Maturity of an installment of interest on such Security.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Sinking Fund Payment: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“Mandatory Sinking Fund Payment” shall have the meaning assigned to it in Section 5.01(b).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Maturity:</w:t>
      </w: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“Members” shall have the meaning assigned to it in Section 3.03(i).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Officer’s Certificate:</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term “Officer’s Certificate” shall mean a certificate signed by any of the Chairman of the Board of Directors, Chief Executive Officer, Chief Financial Officer the President or a Vice President, Treasurer, an Assistant Treasurer, the Controller, the Secretary or an Assistant Secretary of the Company and delivered to the Trustee. Each such certificate shall include the statements provided for in Section 16.01 if and to the extent required by the provisions of such Section.</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Opinion of Counsel:</w:t>
      </w:r>
    </w:p>
    <w:p>
      <w:pPr>
        <w:spacing w:after="0" w:line="240" w:lineRule="exact"/>
        <w:rPr>
          <w:sz w:val="20"/>
          <w:szCs w:val="20"/>
          <w:color w:val="auto"/>
        </w:rPr>
      </w:pPr>
    </w:p>
    <w:p>
      <w:pPr>
        <w:jc w:val="both"/>
        <w:ind w:right="60"/>
        <w:spacing w:after="0" w:line="328" w:lineRule="auto"/>
        <w:rPr>
          <w:sz w:val="20"/>
          <w:szCs w:val="20"/>
          <w:color w:val="auto"/>
        </w:rPr>
      </w:pPr>
      <w:r>
        <w:rPr>
          <w:rFonts w:ascii="Arial" w:cs="Arial" w:eastAsia="Arial" w:hAnsi="Arial"/>
          <w:sz w:val="19"/>
          <w:szCs w:val="19"/>
          <w:color w:val="auto"/>
        </w:rPr>
        <w:t>The term “Opinion of Counsel” shall mean an opinion in writing signed by one or more legal counsel, who may be an employee of or of counsel to the Company, or may be one or more other counsel that meets the requirements provided for in Section 16.01.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Sinking Fund Payment: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“Optional Sinking Fund Payment” shall have the meaning assigned to it in Section 5.01(b).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Original Issue Discount Security:</w:t>
      </w:r>
    </w:p>
    <w:p>
      <w:pPr>
        <w:spacing w:after="0" w:line="239" w:lineRule="exact"/>
        <w:rPr>
          <w:sz w:val="20"/>
          <w:szCs w:val="20"/>
          <w:color w:val="auto"/>
        </w:rPr>
      </w:pPr>
    </w:p>
    <w:p>
      <w:pPr>
        <w:jc w:val="both"/>
        <w:ind w:right="500"/>
        <w:spacing w:after="0" w:line="297" w:lineRule="auto"/>
        <w:rPr>
          <w:sz w:val="20"/>
          <w:szCs w:val="20"/>
          <w:color w:val="auto"/>
        </w:rPr>
      </w:pPr>
      <w:r>
        <w:rPr>
          <w:rFonts w:ascii="Arial" w:cs="Arial" w:eastAsia="Arial" w:hAnsi="Arial"/>
          <w:sz w:val="19"/>
          <w:szCs w:val="19"/>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w:t>
      </w:r>
    </w:p>
    <w:p>
      <w:pPr>
        <w:spacing w:after="0" w:line="239"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term “Outstanding,” when used with respect to Securities means, as of the date of determination, all Securities theretofore authenticated and delivered under this Indenture, except:</w:t>
      </w:r>
    </w:p>
    <w:p>
      <w:pPr>
        <w:spacing w:after="0" w:line="202"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Securities theretofore canceled by the Trustee or delivered to the Trustee for cancellation;</w:t>
      </w:r>
    </w:p>
    <w:p>
      <w:pPr>
        <w:spacing w:after="0" w:line="233" w:lineRule="exact"/>
        <w:rPr>
          <w:rFonts w:ascii="Arial" w:cs="Arial" w:eastAsia="Arial" w:hAnsi="Arial"/>
          <w:sz w:val="22"/>
          <w:szCs w:val="22"/>
          <w:color w:val="auto"/>
        </w:rPr>
      </w:pPr>
    </w:p>
    <w:p>
      <w:pPr>
        <w:ind w:right="120" w:firstLine="656"/>
        <w:spacing w:after="0" w:line="235" w:lineRule="auto"/>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Securities or portions thereof are to be redeemed, notice of such redemption has been duly given pursuant to this Indenture or provision therefor satisfactory to the Trustee has been made; and</w:t>
      </w:r>
    </w:p>
    <w:p>
      <w:pPr>
        <w:spacing w:after="0" w:line="214" w:lineRule="exact"/>
        <w:rPr>
          <w:rFonts w:ascii="Arial" w:cs="Arial" w:eastAsia="Arial" w:hAnsi="Arial"/>
          <w:sz w:val="22"/>
          <w:szCs w:val="22"/>
          <w:color w:val="auto"/>
        </w:rPr>
      </w:pPr>
    </w:p>
    <w:p>
      <w:pPr>
        <w:ind w:right="120" w:firstLine="656"/>
        <w:spacing w:after="0" w:line="252" w:lineRule="auto"/>
        <w:tabs>
          <w:tab w:leader="none" w:pos="1428"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Securities of a series Outstanding have performed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Paying Agent: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term “Paying Agent” shall have the meaning assigned to it in Section 6.02(a).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w:t>
      </w:r>
    </w:p>
    <w:p>
      <w:pPr>
        <w:spacing w:after="0" w:line="23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Place of Payment:</w:t>
      </w:r>
    </w:p>
    <w:p>
      <w:pPr>
        <w:spacing w:after="0" w:line="239" w:lineRule="exact"/>
        <w:rPr>
          <w:sz w:val="20"/>
          <w:szCs w:val="20"/>
          <w:color w:val="auto"/>
        </w:rPr>
      </w:pPr>
    </w:p>
    <w:p>
      <w:pPr>
        <w:jc w:val="both"/>
        <w:ind w:right="320"/>
        <w:spacing w:after="0" w:line="328" w:lineRule="auto"/>
        <w:rPr>
          <w:sz w:val="20"/>
          <w:szCs w:val="20"/>
          <w:color w:val="auto"/>
        </w:rPr>
      </w:pPr>
      <w:r>
        <w:rPr>
          <w:rFonts w:ascii="Arial" w:cs="Arial" w:eastAsia="Arial" w:hAnsi="Arial"/>
          <w:sz w:val="19"/>
          <w:szCs w:val="19"/>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Predecessor Security:</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 term “Record Date” shall mean, with respect to any interest payable on any Security on any Interest Payment Date, the close of business on any date specified in such Security for the payment of interest pursuant to Section 3.01.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Date:</w:t>
      </w:r>
    </w:p>
    <w:p>
      <w:pPr>
        <w:spacing w:after="0" w:line="239"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Redemption Price: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“Register” shall have the meaning assigned to it in Section 3.05(a).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“Registrar” shall have the meaning assigned to it in Section 3.05(a).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Responsible Officers:</w:t>
      </w:r>
    </w:p>
    <w:p>
      <w:pPr>
        <w:spacing w:after="0" w:line="239"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term “SEC” shall mean the United States Securities and Exchange Commission, as constituted from time to time.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Act:</w:t>
      </w:r>
    </w:p>
    <w:p>
      <w:pPr>
        <w:spacing w:after="0" w:line="239"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term “Securities Act” shall mean the United States Securities Act of 1933 and the rules and regulations promulgated by the SEC thereunder and any statute successor thereto, in each case as amended from time to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w:t>
      </w: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Custodian:</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The term “Security Custodian” shall mean the custodian with respect to any Global Security appointed by the Depositary, or any successor Person thereto, and shall initially be the Trustee.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Securityholder; Holder of Securities; Holder:</w:t>
      </w:r>
    </w:p>
    <w:p>
      <w:pPr>
        <w:spacing w:after="0" w:line="240"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The term “Securityholder” or “Holder of Securities” or “Holder,” shall mean the Person in whose name Securities shall be registered in the Register kept for that purpose hereunder.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Indebtedness:</w:t>
      </w:r>
    </w:p>
    <w:p>
      <w:pPr>
        <w:spacing w:after="0" w:line="239"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w:t>
      </w:r>
    </w:p>
    <w:p>
      <w:pPr>
        <w:spacing w:after="0" w:line="1" w:lineRule="exact"/>
        <w:rPr>
          <w:sz w:val="20"/>
          <w:szCs w:val="20"/>
          <w:color w:val="auto"/>
        </w:rPr>
      </w:pPr>
    </w:p>
    <w:p>
      <w:pPr>
        <w:ind w:firstLine="8"/>
        <w:spacing w:after="0" w:line="243" w:lineRule="auto"/>
        <w:tabs>
          <w:tab w:leader="none" w:pos="306" w:val="left"/>
        </w:tabs>
        <w:numPr>
          <w:ilvl w:val="0"/>
          <w:numId w:val="14"/>
        </w:numPr>
        <w:rPr>
          <w:rFonts w:ascii="Arial" w:cs="Arial" w:eastAsia="Arial" w:hAnsi="Arial"/>
          <w:sz w:val="21"/>
          <w:szCs w:val="21"/>
          <w:color w:val="auto"/>
        </w:rPr>
      </w:pPr>
      <w:r>
        <w:rPr>
          <w:rFonts w:ascii="Arial" w:cs="Arial" w:eastAsia="Arial" w:hAnsi="Arial"/>
          <w:sz w:val="21"/>
          <w:szCs w:val="21"/>
          <w:color w:val="auto"/>
        </w:rPr>
        <w:t>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Record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“Special Record Date” shall have the meaning assigned to it in Section 3.08(b)(i).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Stated Maturity:</w:t>
      </w:r>
    </w:p>
    <w:p>
      <w:pPr>
        <w:spacing w:after="0" w:line="239"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“Subsidiary,” when used with respect to any Person, shall mean:</w:t>
      </w:r>
    </w:p>
    <w:p>
      <w:pPr>
        <w:spacing w:after="0" w:line="233" w:lineRule="exact"/>
        <w:rPr>
          <w:sz w:val="20"/>
          <w:szCs w:val="20"/>
          <w:color w:val="auto"/>
        </w:rPr>
      </w:pPr>
    </w:p>
    <w:p>
      <w:pPr>
        <w:ind w:firstLine="656"/>
        <w:spacing w:after="0" w:line="235" w:lineRule="auto"/>
        <w:tabs>
          <w:tab w:leader="none" w:pos="1428"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limited liability company, association or other business entity is at the time owned or controlled, directly or indirectly, by that Person or one or more of the other Subsidiaries of that Person (or a combination thereof);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7" w:name="page28"/>
    <w:bookmarkEnd w:id="27"/>
    <w:p>
      <w:pPr>
        <w:ind w:right="40" w:firstLine="656"/>
        <w:spacing w:after="0"/>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Successor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“Successor Company” shall have the meaning assigned to it in Section 3.06(i).</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Payables:</w:t>
      </w:r>
    </w:p>
    <w:p>
      <w:pPr>
        <w:spacing w:after="0" w:line="239"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Indenture Act; TIA:</w:t>
      </w:r>
    </w:p>
    <w:p>
      <w:pPr>
        <w:spacing w:after="0" w:line="239"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w:t>
      </w:r>
    </w:p>
    <w:p>
      <w:pPr>
        <w:spacing w:after="0" w:line="239"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The term “U.S. Dollars” shall mean such currency of the United States as at the time of payment shall be legal tender for the payment of public and private debts.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Government Obligations: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term “U.S. Government Obligations” shall have the meaning assigned to it in Section 12.03.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States:</w:t>
      </w:r>
    </w:p>
    <w:p>
      <w:pPr>
        <w:spacing w:after="0" w:line="239"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The term “United States” shall mean the United States of America (including the States and the District of Columbia), its territories and its possessions and other areas subject to its jurisdiction.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ARTICLE 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FORMS OF SECURITIES</w:t>
      </w:r>
    </w:p>
    <w:p>
      <w:pPr>
        <w:spacing w:after="0" w:line="23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Terms of the Securities</w:t>
      </w:r>
      <w:r>
        <w:rPr>
          <w:rFonts w:ascii="Arial" w:cs="Arial" w:eastAsia="Arial" w:hAnsi="Arial"/>
          <w:sz w:val="19"/>
          <w:szCs w:val="19"/>
          <w:color w:val="auto"/>
        </w:rPr>
        <w:t>.</w:t>
      </w:r>
    </w:p>
    <w:p>
      <w:pPr>
        <w:spacing w:after="0" w:line="233" w:lineRule="exact"/>
        <w:rPr>
          <w:sz w:val="20"/>
          <w:szCs w:val="20"/>
          <w:color w:val="auto"/>
        </w:rPr>
      </w:pPr>
    </w:p>
    <w:p>
      <w:pPr>
        <w:ind w:right="20" w:firstLine="1304"/>
        <w:spacing w:after="0" w:line="275" w:lineRule="auto"/>
        <w:tabs>
          <w:tab w:leader="none" w:pos="2076"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84" w:lineRule="exact"/>
        <w:rPr>
          <w:rFonts w:ascii="Arial" w:cs="Arial" w:eastAsia="Arial" w:hAnsi="Arial"/>
          <w:sz w:val="19"/>
          <w:szCs w:val="19"/>
          <w:color w:val="auto"/>
        </w:rPr>
      </w:pPr>
    </w:p>
    <w:p>
      <w:pPr>
        <w:ind w:right="80" w:firstLine="1304"/>
        <w:spacing w:after="0"/>
        <w:tabs>
          <w:tab w:leader="none" w:pos="20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21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Form of Trustee’s Certificate of Authentication</w:t>
      </w:r>
      <w:r>
        <w:rPr>
          <w:rFonts w:ascii="Arial" w:cs="Arial" w:eastAsia="Arial" w:hAnsi="Arial"/>
          <w:sz w:val="19"/>
          <w:szCs w:val="19"/>
          <w:color w:val="auto"/>
        </w:rPr>
        <w:t>.</w:t>
      </w:r>
    </w:p>
    <w:p>
      <w:pPr>
        <w:spacing w:after="0" w:line="233" w:lineRule="exact"/>
        <w:rPr>
          <w:sz w:val="20"/>
          <w:szCs w:val="20"/>
          <w:color w:val="auto"/>
        </w:rPr>
      </w:pPr>
    </w:p>
    <w:p>
      <w:pPr>
        <w:ind w:right="100" w:firstLine="1304"/>
        <w:spacing w:after="0"/>
        <w:tabs>
          <w:tab w:leader="none" w:pos="2076" w:val="left"/>
        </w:tabs>
        <w:numPr>
          <w:ilvl w:val="0"/>
          <w:numId w:val="18"/>
        </w:numPr>
        <w:rPr>
          <w:rFonts w:ascii="Arial" w:cs="Arial" w:eastAsia="Arial" w:hAnsi="Arial"/>
          <w:sz w:val="22"/>
          <w:szCs w:val="22"/>
          <w:color w:val="auto"/>
        </w:rPr>
      </w:pPr>
      <w:r>
        <w:rPr>
          <w:rFonts w:ascii="Arial" w:cs="Arial" w:eastAsia="Arial" w:hAnsi="Arial"/>
          <w:sz w:val="22"/>
          <w:szCs w:val="22"/>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213" w:lineRule="exact"/>
        <w:rPr>
          <w:rFonts w:ascii="Arial" w:cs="Arial" w:eastAsia="Arial" w:hAnsi="Arial"/>
          <w:sz w:val="22"/>
          <w:szCs w:val="22"/>
          <w:color w:val="auto"/>
        </w:rPr>
      </w:pPr>
    </w:p>
    <w:p>
      <w:pPr>
        <w:ind w:right="120" w:firstLine="1304"/>
        <w:spacing w:after="0" w:line="250" w:lineRule="auto"/>
        <w:tabs>
          <w:tab w:leader="none" w:pos="2088"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Each Security shall be dated the date of its authentication, except that any Global Security shall be dated as of the date specified as contemplated in Section 3.01.</w:t>
      </w:r>
    </w:p>
    <w:p>
      <w:pPr>
        <w:spacing w:after="0" w:line="201" w:lineRule="exact"/>
        <w:rPr>
          <w:rFonts w:ascii="Arial" w:cs="Arial" w:eastAsia="Arial" w:hAnsi="Arial"/>
          <w:sz w:val="22"/>
          <w:szCs w:val="22"/>
          <w:color w:val="auto"/>
        </w:rPr>
      </w:pPr>
    </w:p>
    <w:p>
      <w:pPr>
        <w:ind w:left="2080" w:hanging="776"/>
        <w:spacing w:after="0"/>
        <w:tabs>
          <w:tab w:leader="none" w:pos="20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form of the Trustee’s certificate of authentication to be borne by the Securities shall be substantially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Date of authentication: ________</w:t>
            </w:r>
          </w:p>
        </w:tc>
        <w:tc>
          <w:tcPr>
            <w:tcW w:w="7500" w:type="dxa"/>
            <w:vAlign w:val="bottom"/>
            <w:gridSpan w:val="2"/>
          </w:tcPr>
          <w:p>
            <w:pPr>
              <w:ind w:left="1380"/>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3740" w:type="dxa"/>
            <w:vAlign w:val="bottom"/>
          </w:tcPr>
          <w:p>
            <w:pPr>
              <w:spacing w:after="0"/>
              <w:rPr>
                <w:sz w:val="20"/>
                <w:szCs w:val="20"/>
                <w:color w:val="auto"/>
              </w:rPr>
            </w:pPr>
          </w:p>
        </w:tc>
        <w:tc>
          <w:tcPr>
            <w:tcW w:w="7500" w:type="dxa"/>
            <w:vAlign w:val="bottom"/>
            <w:gridSpan w:val="2"/>
          </w:tcPr>
          <w:p>
            <w:pPr>
              <w:ind w:left="1380"/>
              <w:spacing w:after="0"/>
              <w:rPr>
                <w:sz w:val="20"/>
                <w:szCs w:val="20"/>
                <w:color w:val="auto"/>
              </w:rPr>
            </w:pPr>
            <w:r>
              <w:rPr>
                <w:rFonts w:ascii="Arial" w:cs="Arial" w:eastAsia="Arial" w:hAnsi="Arial"/>
                <w:sz w:val="18"/>
                <w:szCs w:val="18"/>
                <w:color w:val="auto"/>
              </w:rPr>
              <w:t>as Trustee</w:t>
            </w:r>
          </w:p>
        </w:tc>
      </w:tr>
      <w:tr>
        <w:trPr>
          <w:trHeight w:val="466"/>
        </w:trPr>
        <w:tc>
          <w:tcPr>
            <w:tcW w:w="3740" w:type="dxa"/>
            <w:vAlign w:val="bottom"/>
          </w:tcPr>
          <w:p>
            <w:pPr>
              <w:spacing w:after="0"/>
              <w:rPr>
                <w:sz w:val="24"/>
                <w:szCs w:val="24"/>
                <w:color w:val="auto"/>
              </w:rPr>
            </w:pPr>
          </w:p>
        </w:tc>
        <w:tc>
          <w:tcPr>
            <w:tcW w:w="7500" w:type="dxa"/>
            <w:vAlign w:val="bottom"/>
            <w:gridSpan w:val="2"/>
          </w:tcPr>
          <w:p>
            <w:pPr>
              <w:ind w:left="1340"/>
              <w:spacing w:after="0"/>
              <w:rPr>
                <w:sz w:val="20"/>
                <w:szCs w:val="20"/>
                <w:color w:val="auto"/>
              </w:rPr>
            </w:pPr>
            <w:r>
              <w:rPr>
                <w:rFonts w:ascii="Arial" w:cs="Arial" w:eastAsia="Arial" w:hAnsi="Arial"/>
                <w:sz w:val="18"/>
                <w:szCs w:val="18"/>
                <w:color w:val="auto"/>
              </w:rPr>
              <w:t>By:</w:t>
            </w:r>
          </w:p>
        </w:tc>
      </w:tr>
      <w:tr>
        <w:trPr>
          <w:trHeight w:val="230"/>
        </w:trPr>
        <w:tc>
          <w:tcPr>
            <w:tcW w:w="3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40" w:type="dxa"/>
            <w:vAlign w:val="bottom"/>
            <w:tcBorders>
              <w:top w:val="single" w:sz="8" w:color="auto"/>
            </w:tcBorders>
          </w:tcPr>
          <w:p>
            <w:pPr>
              <w:jc w:val="right"/>
              <w:ind w:right="4190"/>
              <w:spacing w:after="0"/>
              <w:rPr>
                <w:sz w:val="20"/>
                <w:szCs w:val="20"/>
                <w:color w:val="auto"/>
              </w:rPr>
            </w:pPr>
            <w:r>
              <w:rPr>
                <w:rFonts w:ascii="Arial" w:cs="Arial" w:eastAsia="Arial" w:hAnsi="Arial"/>
                <w:sz w:val="18"/>
                <w:szCs w:val="18"/>
                <w:color w:val="auto"/>
                <w:w w:val="92"/>
              </w:rPr>
              <w:t>Authorized Signatory</w:t>
            </w:r>
          </w:p>
        </w:tc>
      </w:tr>
      <w:tr>
        <w:trPr>
          <w:trHeight w:val="568"/>
        </w:trPr>
        <w:tc>
          <w:tcPr>
            <w:tcW w:w="3740" w:type="dxa"/>
            <w:vAlign w:val="bottom"/>
          </w:tcPr>
          <w:p>
            <w:pPr>
              <w:spacing w:after="0"/>
              <w:rPr>
                <w:sz w:val="24"/>
                <w:szCs w:val="24"/>
                <w:color w:val="auto"/>
              </w:rPr>
            </w:pPr>
          </w:p>
        </w:tc>
        <w:tc>
          <w:tcPr>
            <w:tcW w:w="7500" w:type="dxa"/>
            <w:vAlign w:val="bottom"/>
            <w:gridSpan w:val="2"/>
          </w:tcPr>
          <w:p>
            <w:pPr>
              <w:jc w:val="right"/>
              <w:ind w:right="5450"/>
              <w:spacing w:after="0"/>
              <w:rPr>
                <w:sz w:val="20"/>
                <w:szCs w:val="20"/>
                <w:color w:val="auto"/>
              </w:rPr>
            </w:pPr>
            <w:r>
              <w:rPr>
                <w:rFonts w:ascii="Arial" w:cs="Arial" w:eastAsia="Arial" w:hAnsi="Arial"/>
                <w:sz w:val="14"/>
                <w:szCs w:val="14"/>
                <w:color w:val="auto"/>
              </w:rPr>
              <w:t>12</w:t>
            </w:r>
          </w:p>
        </w:tc>
      </w:tr>
      <w:tr>
        <w:trPr>
          <w:trHeight w:val="46"/>
        </w:trPr>
        <w:tc>
          <w:tcPr>
            <w:tcW w:w="37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29" w:name="page30"/>
    <w:bookmarkEnd w:id="29"/>
    <w:p>
      <w:pPr>
        <w:jc w:val="both"/>
        <w:ind w:right="120" w:firstLine="648"/>
        <w:spacing w:after="0" w:line="29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Form of Trustee’s Certificate of Authentication by an Authenticating Agent</w:t>
      </w:r>
      <w:r>
        <w:rPr>
          <w:rFonts w:ascii="Arial" w:cs="Arial" w:eastAsia="Arial" w:hAnsi="Arial"/>
          <w:sz w:val="19"/>
          <w:szCs w:val="19"/>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Date of authentication: _________</w:t>
            </w:r>
          </w:p>
        </w:tc>
        <w:tc>
          <w:tcPr>
            <w:tcW w:w="6840" w:type="dxa"/>
            <w:vAlign w:val="bottom"/>
            <w:gridSpan w:val="3"/>
          </w:tcPr>
          <w:p>
            <w:pPr>
              <w:ind w:left="720"/>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4400" w:type="dxa"/>
            <w:vAlign w:val="bottom"/>
          </w:tcPr>
          <w:p>
            <w:pPr>
              <w:spacing w:after="0"/>
              <w:rPr>
                <w:sz w:val="20"/>
                <w:szCs w:val="20"/>
                <w:color w:val="auto"/>
              </w:rPr>
            </w:pPr>
          </w:p>
        </w:tc>
        <w:tc>
          <w:tcPr>
            <w:tcW w:w="6840" w:type="dxa"/>
            <w:vAlign w:val="bottom"/>
            <w:gridSpan w:val="3"/>
          </w:tcPr>
          <w:p>
            <w:pPr>
              <w:ind w:left="720"/>
              <w:spacing w:after="0"/>
              <w:rPr>
                <w:sz w:val="20"/>
                <w:szCs w:val="20"/>
                <w:color w:val="auto"/>
              </w:rPr>
            </w:pPr>
            <w:r>
              <w:rPr>
                <w:rFonts w:ascii="Arial" w:cs="Arial" w:eastAsia="Arial" w:hAnsi="Arial"/>
                <w:sz w:val="18"/>
                <w:szCs w:val="18"/>
                <w:color w:val="auto"/>
              </w:rPr>
              <w:t>as Trustee</w:t>
            </w:r>
          </w:p>
        </w:tc>
      </w:tr>
      <w:tr>
        <w:trPr>
          <w:trHeight w:val="479"/>
        </w:trPr>
        <w:tc>
          <w:tcPr>
            <w:tcW w:w="4400" w:type="dxa"/>
            <w:vAlign w:val="bottom"/>
          </w:tcPr>
          <w:p>
            <w:pPr>
              <w:spacing w:after="0"/>
              <w:rPr>
                <w:sz w:val="24"/>
                <w:szCs w:val="24"/>
                <w:color w:val="auto"/>
              </w:rPr>
            </w:pP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By: [NAME OF AUTHENTICATING AGENT]</w:t>
            </w:r>
          </w:p>
        </w:tc>
      </w:tr>
      <w:tr>
        <w:trPr>
          <w:trHeight w:val="230"/>
        </w:trPr>
        <w:tc>
          <w:tcPr>
            <w:tcW w:w="4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Authenticating Agent</w:t>
            </w:r>
          </w:p>
        </w:tc>
      </w:tr>
      <w:tr>
        <w:trPr>
          <w:trHeight w:val="438"/>
        </w:trPr>
        <w:tc>
          <w:tcPr>
            <w:tcW w:w="4400" w:type="dxa"/>
            <w:vAlign w:val="bottom"/>
          </w:tcPr>
          <w:p>
            <w:pPr>
              <w:spacing w:after="0"/>
              <w:rPr>
                <w:sz w:val="24"/>
                <w:szCs w:val="24"/>
                <w:color w:val="auto"/>
              </w:rPr>
            </w:pP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r>
      <w:tr>
        <w:trPr>
          <w:trHeight w:val="482"/>
        </w:trPr>
        <w:tc>
          <w:tcPr>
            <w:tcW w:w="4400" w:type="dxa"/>
            <w:vAlign w:val="bottom"/>
          </w:tcPr>
          <w:p>
            <w:pPr>
              <w:spacing w:after="0"/>
              <w:rPr>
                <w:sz w:val="24"/>
                <w:szCs w:val="24"/>
                <w:color w:val="auto"/>
              </w:rPr>
            </w:pPr>
          </w:p>
        </w:tc>
        <w:tc>
          <w:tcPr>
            <w:tcW w:w="6840" w:type="dxa"/>
            <w:vAlign w:val="bottom"/>
            <w:gridSpan w:val="3"/>
          </w:tcPr>
          <w:p>
            <w:pPr>
              <w:ind w:left="580"/>
              <w:spacing w:after="0"/>
              <w:rPr>
                <w:sz w:val="20"/>
                <w:szCs w:val="20"/>
                <w:color w:val="auto"/>
              </w:rPr>
            </w:pPr>
            <w:r>
              <w:rPr>
                <w:rFonts w:ascii="Arial" w:cs="Arial" w:eastAsia="Arial" w:hAnsi="Arial"/>
                <w:sz w:val="22"/>
                <w:szCs w:val="22"/>
                <w:b w:val="1"/>
                <w:bCs w:val="1"/>
                <w:color w:val="auto"/>
              </w:rPr>
              <w:t>ARTICLE III</w:t>
            </w:r>
          </w:p>
        </w:tc>
      </w:tr>
      <w:tr>
        <w:trPr>
          <w:trHeight w:val="435"/>
        </w:trPr>
        <w:tc>
          <w:tcPr>
            <w:tcW w:w="4400" w:type="dxa"/>
            <w:vAlign w:val="bottom"/>
          </w:tcPr>
          <w:p>
            <w:pPr>
              <w:spacing w:after="0"/>
              <w:rPr>
                <w:sz w:val="24"/>
                <w:szCs w:val="24"/>
                <w:color w:val="auto"/>
              </w:rPr>
            </w:pP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8"/>
              </w:rPr>
              <w:t>THE DEBT SECURITIES</w:t>
            </w:r>
          </w:p>
        </w:tc>
        <w:tc>
          <w:tcPr>
            <w:tcW w:w="4380" w:type="dxa"/>
            <w:vAlign w:val="bottom"/>
          </w:tcPr>
          <w:p>
            <w:pPr>
              <w:spacing w:after="0"/>
              <w:rPr>
                <w:sz w:val="24"/>
                <w:szCs w:val="24"/>
                <w:color w:val="auto"/>
              </w:rPr>
            </w:pPr>
          </w:p>
        </w:tc>
      </w:tr>
    </w:tbl>
    <w:p>
      <w:pPr>
        <w:spacing w:after="0" w:line="249"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Amount Unlimited; Issuable in Series</w:t>
      </w:r>
      <w:r>
        <w:rPr>
          <w:rFonts w:ascii="Arial" w:cs="Arial" w:eastAsia="Arial" w:hAnsi="Arial"/>
          <w:sz w:val="22"/>
          <w:szCs w:val="22"/>
          <w:color w:val="auto"/>
        </w:rPr>
        <w:t>. The aggregate principal amount of Securities that may be authenticated and delivered under this Indenture is unlimited. The Securities may be issued in one or more series. The title and terms on each series of Securities shall be as set forth in a Board Resolution, Company Order or in one or more indentures supplemental hereto, prior to the issuance of Securities of any series:</w:t>
      </w:r>
    </w:p>
    <w:p>
      <w:pPr>
        <w:spacing w:after="0" w:line="212" w:lineRule="exact"/>
        <w:rPr>
          <w:sz w:val="20"/>
          <w:szCs w:val="20"/>
          <w:color w:val="auto"/>
        </w:rPr>
      </w:pPr>
    </w:p>
    <w:p>
      <w:pPr>
        <w:ind w:right="580" w:firstLine="1304"/>
        <w:spacing w:after="0" w:line="328" w:lineRule="auto"/>
        <w:tabs>
          <w:tab w:leader="none" w:pos="207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31" w:lineRule="exact"/>
        <w:rPr>
          <w:rFonts w:ascii="Arial" w:cs="Arial" w:eastAsia="Arial" w:hAnsi="Arial"/>
          <w:sz w:val="19"/>
          <w:szCs w:val="19"/>
          <w:color w:val="auto"/>
        </w:rPr>
      </w:pPr>
    </w:p>
    <w:p>
      <w:pPr>
        <w:jc w:val="both"/>
        <w:ind w:right="320" w:firstLine="1304"/>
        <w:spacing w:after="0" w:line="257" w:lineRule="auto"/>
        <w:tabs>
          <w:tab w:leader="none" w:pos="2088" w:val="left"/>
        </w:tabs>
        <w:numPr>
          <w:ilvl w:val="0"/>
          <w:numId w:val="19"/>
        </w:numPr>
        <w:rPr>
          <w:rFonts w:ascii="Arial" w:cs="Arial" w:eastAsia="Arial" w:hAnsi="Arial"/>
          <w:sz w:val="21"/>
          <w:szCs w:val="21"/>
          <w:color w:val="auto"/>
        </w:rPr>
      </w:pPr>
      <w:r>
        <w:rPr>
          <w:rFonts w:ascii="Arial" w:cs="Arial" w:eastAsia="Arial" w:hAnsi="Arial"/>
          <w:sz w:val="21"/>
          <w:szCs w:val="21"/>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96" w:lineRule="exact"/>
        <w:rPr>
          <w:rFonts w:ascii="Arial" w:cs="Arial" w:eastAsia="Arial" w:hAnsi="Arial"/>
          <w:sz w:val="21"/>
          <w:szCs w:val="21"/>
          <w:color w:val="auto"/>
        </w:rPr>
      </w:pPr>
    </w:p>
    <w:p>
      <w:pPr>
        <w:jc w:val="both"/>
        <w:ind w:firstLine="1304"/>
        <w:spacing w:after="0"/>
        <w:tabs>
          <w:tab w:leader="none" w:pos="207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40" w:right="40" w:firstLine="1304"/>
        <w:spacing w:after="0" w:line="277" w:lineRule="auto"/>
        <w:tabs>
          <w:tab w:leader="none" w:pos="20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79" w:lineRule="exact"/>
        <w:rPr>
          <w:rFonts w:ascii="Arial" w:cs="Arial" w:eastAsia="Arial" w:hAnsi="Arial"/>
          <w:sz w:val="19"/>
          <w:szCs w:val="19"/>
          <w:color w:val="auto"/>
        </w:rPr>
      </w:pPr>
    </w:p>
    <w:p>
      <w:pPr>
        <w:ind w:left="-40" w:right="40" w:firstLine="1304"/>
        <w:spacing w:after="0"/>
        <w:tabs>
          <w:tab w:leader="none" w:pos="2036"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213" w:lineRule="exact"/>
        <w:rPr>
          <w:rFonts w:ascii="Arial" w:cs="Arial" w:eastAsia="Arial" w:hAnsi="Arial"/>
          <w:sz w:val="22"/>
          <w:szCs w:val="22"/>
          <w:color w:val="auto"/>
        </w:rPr>
      </w:pPr>
    </w:p>
    <w:p>
      <w:pPr>
        <w:jc w:val="both"/>
        <w:ind w:left="-40" w:right="60" w:firstLine="1304"/>
        <w:spacing w:after="0" w:line="238" w:lineRule="auto"/>
        <w:tabs>
          <w:tab w:leader="none" w:pos="21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211" w:lineRule="exact"/>
        <w:rPr>
          <w:rFonts w:ascii="Arial" w:cs="Arial" w:eastAsia="Arial" w:hAnsi="Arial"/>
          <w:sz w:val="22"/>
          <w:szCs w:val="22"/>
          <w:color w:val="auto"/>
        </w:rPr>
      </w:pPr>
    </w:p>
    <w:p>
      <w:pPr>
        <w:jc w:val="both"/>
        <w:ind w:left="-40" w:firstLine="1304"/>
        <w:spacing w:after="0" w:line="282" w:lineRule="auto"/>
        <w:tabs>
          <w:tab w:leader="none" w:pos="20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74" w:lineRule="exact"/>
        <w:rPr>
          <w:rFonts w:ascii="Arial" w:cs="Arial" w:eastAsia="Arial" w:hAnsi="Arial"/>
          <w:sz w:val="19"/>
          <w:szCs w:val="19"/>
          <w:color w:val="auto"/>
        </w:rPr>
      </w:pPr>
    </w:p>
    <w:p>
      <w:pPr>
        <w:ind w:left="-40" w:right="40" w:firstLine="1304"/>
        <w:spacing w:after="0" w:line="252" w:lineRule="auto"/>
        <w:tabs>
          <w:tab w:leader="none" w:pos="204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200" w:lineRule="exact"/>
        <w:rPr>
          <w:rFonts w:ascii="Arial" w:cs="Arial" w:eastAsia="Arial" w:hAnsi="Arial"/>
          <w:sz w:val="21"/>
          <w:szCs w:val="21"/>
          <w:color w:val="auto"/>
        </w:rPr>
      </w:pPr>
    </w:p>
    <w:p>
      <w:pPr>
        <w:ind w:left="-40" w:right="180" w:firstLine="1304"/>
        <w:spacing w:after="0"/>
        <w:tabs>
          <w:tab w:leader="none" w:pos="210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213" w:lineRule="exact"/>
        <w:rPr>
          <w:rFonts w:ascii="Arial" w:cs="Arial" w:eastAsia="Arial" w:hAnsi="Arial"/>
          <w:sz w:val="22"/>
          <w:szCs w:val="22"/>
          <w:color w:val="auto"/>
        </w:rPr>
      </w:pPr>
    </w:p>
    <w:p>
      <w:pPr>
        <w:ind w:left="-40" w:right="140" w:firstLine="1304"/>
        <w:spacing w:after="0" w:line="236" w:lineRule="auto"/>
        <w:tabs>
          <w:tab w:leader="none" w:pos="210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214" w:lineRule="exact"/>
        <w:rPr>
          <w:rFonts w:ascii="Arial" w:cs="Arial" w:eastAsia="Arial" w:hAnsi="Arial"/>
          <w:sz w:val="22"/>
          <w:szCs w:val="22"/>
          <w:color w:val="auto"/>
        </w:rPr>
      </w:pPr>
    </w:p>
    <w:p>
      <w:pPr>
        <w:ind w:left="-40" w:right="800" w:firstLine="1304"/>
        <w:spacing w:after="0" w:line="250" w:lineRule="auto"/>
        <w:tabs>
          <w:tab w:leader="none" w:pos="2102"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other than denominations of $2,000 and any integral multiple of $1,000 in excess thereof, the denominations in which Securities of the series shall be issuable;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31" w:name="page32"/>
    <w:bookmarkEnd w:id="31"/>
    <w:p>
      <w:pPr>
        <w:ind w:left="-20" w:right="380" w:firstLine="1304"/>
        <w:spacing w:after="0" w:line="274" w:lineRule="auto"/>
        <w:tabs>
          <w:tab w:leader="none" w:pos="2128" w:val="left"/>
        </w:tabs>
        <w:numPr>
          <w:ilvl w:val="0"/>
          <w:numId w:val="21"/>
        </w:numPr>
        <w:rPr>
          <w:rFonts w:ascii="Arial" w:cs="Arial" w:eastAsia="Arial" w:hAnsi="Arial"/>
          <w:sz w:val="21"/>
          <w:szCs w:val="21"/>
          <w:color w:val="auto"/>
        </w:rPr>
      </w:pPr>
      <w:r>
        <w:rPr>
          <w:rFonts w:ascii="Arial" w:cs="Arial" w:eastAsia="Arial" w:hAnsi="Arial"/>
          <w:sz w:val="21"/>
          <w:szCs w:val="21"/>
          <w:color w:val="auto"/>
        </w:rPr>
        <w:t>if other than the principal amount thereof, the portion of the principal amount of the Securities of the series which shall be payable upon declaration of acceleration of the Maturity thereof pursuant to Section 7.02;</w:t>
      </w:r>
    </w:p>
    <w:p>
      <w:pPr>
        <w:spacing w:after="0" w:line="178" w:lineRule="exact"/>
        <w:rPr>
          <w:rFonts w:ascii="Arial" w:cs="Arial" w:eastAsia="Arial" w:hAnsi="Arial"/>
          <w:sz w:val="21"/>
          <w:szCs w:val="21"/>
          <w:color w:val="auto"/>
        </w:rPr>
      </w:pPr>
    </w:p>
    <w:p>
      <w:pPr>
        <w:ind w:left="-20" w:right="40" w:firstLine="1304"/>
        <w:spacing w:after="0"/>
        <w:tabs>
          <w:tab w:leader="none" w:pos="21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213" w:lineRule="exact"/>
        <w:rPr>
          <w:rFonts w:ascii="Arial" w:cs="Arial" w:eastAsia="Arial" w:hAnsi="Arial"/>
          <w:sz w:val="22"/>
          <w:szCs w:val="22"/>
          <w:color w:val="auto"/>
        </w:rPr>
      </w:pPr>
    </w:p>
    <w:p>
      <w:pPr>
        <w:ind w:left="-20" w:right="100" w:firstLine="1304"/>
        <w:spacing w:after="0" w:line="250" w:lineRule="auto"/>
        <w:tabs>
          <w:tab w:leader="none" w:pos="20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whether the Securities of the series are to be issued as Original Issue Discount Securities and the amount of discount with which such Securities may be issued;</w:t>
      </w:r>
    </w:p>
    <w:p>
      <w:pPr>
        <w:spacing w:after="0" w:line="201" w:lineRule="exact"/>
        <w:rPr>
          <w:rFonts w:ascii="Arial" w:cs="Arial" w:eastAsia="Arial" w:hAnsi="Arial"/>
          <w:sz w:val="22"/>
          <w:szCs w:val="22"/>
          <w:color w:val="auto"/>
        </w:rPr>
      </w:pPr>
    </w:p>
    <w:p>
      <w:pPr>
        <w:ind w:left="-20" w:firstLine="1304"/>
        <w:spacing w:after="0" w:line="238" w:lineRule="auto"/>
        <w:tabs>
          <w:tab w:leader="none" w:pos="2122"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211" w:lineRule="exact"/>
        <w:rPr>
          <w:rFonts w:ascii="Arial" w:cs="Arial" w:eastAsia="Arial" w:hAnsi="Arial"/>
          <w:sz w:val="22"/>
          <w:szCs w:val="22"/>
          <w:color w:val="auto"/>
        </w:rPr>
      </w:pPr>
    </w:p>
    <w:p>
      <w:pPr>
        <w:ind w:left="-20" w:right="100" w:firstLine="1304"/>
        <w:spacing w:after="0" w:line="236" w:lineRule="auto"/>
        <w:tabs>
          <w:tab w:leader="none" w:pos="20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214" w:lineRule="exact"/>
        <w:rPr>
          <w:rFonts w:ascii="Arial" w:cs="Arial" w:eastAsia="Arial" w:hAnsi="Arial"/>
          <w:sz w:val="22"/>
          <w:szCs w:val="22"/>
          <w:color w:val="auto"/>
        </w:rPr>
      </w:pPr>
    </w:p>
    <w:p>
      <w:pPr>
        <w:ind w:left="-20" w:right="120" w:firstLine="1304"/>
        <w:spacing w:after="0" w:line="250" w:lineRule="auto"/>
        <w:tabs>
          <w:tab w:leader="none" w:pos="20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date as of which any Global Security of the series shall be dated if other than the original issuance of the first Security of the series to be issued;</w:t>
      </w:r>
    </w:p>
    <w:p>
      <w:pPr>
        <w:spacing w:after="0" w:line="201" w:lineRule="exact"/>
        <w:rPr>
          <w:rFonts w:ascii="Arial" w:cs="Arial" w:eastAsia="Arial" w:hAnsi="Arial"/>
          <w:sz w:val="22"/>
          <w:szCs w:val="22"/>
          <w:color w:val="auto"/>
        </w:rPr>
      </w:pPr>
    </w:p>
    <w:p>
      <w:pPr>
        <w:ind w:left="2100" w:hanging="816"/>
        <w:spacing w:after="0"/>
        <w:tabs>
          <w:tab w:leader="none" w:pos="21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form of the Securities of the series;</w:t>
      </w:r>
    </w:p>
    <w:p>
      <w:pPr>
        <w:spacing w:after="0" w:line="233" w:lineRule="exact"/>
        <w:rPr>
          <w:rFonts w:ascii="Arial" w:cs="Arial" w:eastAsia="Arial" w:hAnsi="Arial"/>
          <w:sz w:val="22"/>
          <w:szCs w:val="22"/>
          <w:color w:val="auto"/>
        </w:rPr>
      </w:pPr>
    </w:p>
    <w:p>
      <w:pPr>
        <w:ind w:left="-20" w:right="180" w:firstLine="1304"/>
        <w:spacing w:after="0" w:line="257" w:lineRule="auto"/>
        <w:tabs>
          <w:tab w:leader="none" w:pos="2098" w:val="left"/>
        </w:tabs>
        <w:numPr>
          <w:ilvl w:val="0"/>
          <w:numId w:val="21"/>
        </w:numPr>
        <w:rPr>
          <w:rFonts w:ascii="Arial" w:cs="Arial" w:eastAsia="Arial" w:hAnsi="Arial"/>
          <w:sz w:val="21"/>
          <w:szCs w:val="21"/>
          <w:color w:val="auto"/>
        </w:rPr>
      </w:pPr>
      <w:r>
        <w:rPr>
          <w:rFonts w:ascii="Arial" w:cs="Arial" w:eastAsia="Arial" w:hAnsi="Arial"/>
          <w:sz w:val="21"/>
          <w:szCs w:val="21"/>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96" w:lineRule="exact"/>
        <w:rPr>
          <w:rFonts w:ascii="Arial" w:cs="Arial" w:eastAsia="Arial" w:hAnsi="Arial"/>
          <w:sz w:val="21"/>
          <w:szCs w:val="21"/>
          <w:color w:val="auto"/>
        </w:rPr>
      </w:pPr>
    </w:p>
    <w:p>
      <w:pPr>
        <w:ind w:left="2080" w:hanging="796"/>
        <w:spacing w:after="0"/>
        <w:tabs>
          <w:tab w:leader="none" w:pos="20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whether the Securities of such series are subject to subordination and the terms of such subordination;</w:t>
      </w:r>
    </w:p>
    <w:p>
      <w:pPr>
        <w:spacing w:after="0" w:line="267" w:lineRule="exact"/>
        <w:rPr>
          <w:rFonts w:ascii="Arial" w:cs="Arial" w:eastAsia="Arial" w:hAnsi="Arial"/>
          <w:sz w:val="19"/>
          <w:szCs w:val="19"/>
          <w:color w:val="auto"/>
        </w:rPr>
      </w:pPr>
    </w:p>
    <w:p>
      <w:pPr>
        <w:ind w:left="2080" w:hanging="796"/>
        <w:spacing w:after="0"/>
        <w:tabs>
          <w:tab w:leader="none" w:pos="2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whether the Securities of such series are to be secured and the terms of such Security;</w:t>
      </w:r>
    </w:p>
    <w:p>
      <w:pPr>
        <w:spacing w:after="0" w:line="233" w:lineRule="exact"/>
        <w:rPr>
          <w:rFonts w:ascii="Arial" w:cs="Arial" w:eastAsia="Arial" w:hAnsi="Arial"/>
          <w:sz w:val="22"/>
          <w:szCs w:val="22"/>
          <w:color w:val="auto"/>
        </w:rPr>
      </w:pPr>
    </w:p>
    <w:p>
      <w:pPr>
        <w:ind w:left="2080" w:hanging="796"/>
        <w:spacing w:after="0"/>
        <w:tabs>
          <w:tab w:leader="none" w:pos="2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restriction or condition on the transferability of the Securities of such series;</w:t>
      </w:r>
    </w:p>
    <w:p>
      <w:pPr>
        <w:spacing w:after="0" w:line="233" w:lineRule="exact"/>
        <w:rPr>
          <w:rFonts w:ascii="Arial" w:cs="Arial" w:eastAsia="Arial" w:hAnsi="Arial"/>
          <w:sz w:val="22"/>
          <w:szCs w:val="22"/>
          <w:color w:val="auto"/>
        </w:rPr>
      </w:pPr>
    </w:p>
    <w:p>
      <w:pPr>
        <w:ind w:left="-20" w:right="560" w:firstLine="1304"/>
        <w:spacing w:after="0" w:line="250" w:lineRule="auto"/>
        <w:tabs>
          <w:tab w:leader="none" w:pos="2116"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addition or change in the provisions related to compensation and reimbursement of the Trustee which applies to Securities of such series;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2" w:name="page33"/>
    <w:bookmarkEnd w:id="32"/>
    <w:p>
      <w:pPr>
        <w:ind w:right="220" w:firstLine="1304"/>
        <w:spacing w:after="0" w:line="251" w:lineRule="auto"/>
        <w:tabs>
          <w:tab w:leader="none" w:pos="2142"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addition or change in the provisions related to supplemental indentures set forth in Sections 14.01, 14.02 and 14.04 which applies to Securities of such series;</w:t>
      </w:r>
    </w:p>
    <w:p>
      <w:pPr>
        <w:spacing w:after="0" w:line="200" w:lineRule="exact"/>
        <w:rPr>
          <w:rFonts w:ascii="Arial" w:cs="Arial" w:eastAsia="Arial" w:hAnsi="Arial"/>
          <w:sz w:val="22"/>
          <w:szCs w:val="22"/>
          <w:color w:val="auto"/>
        </w:rPr>
      </w:pPr>
    </w:p>
    <w:p>
      <w:pPr>
        <w:ind w:left="2100" w:hanging="796"/>
        <w:spacing w:after="0"/>
        <w:tabs>
          <w:tab w:leader="none" w:pos="21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provisions, if any, granting special rights to Holders upon the occurrence of specified events;</w:t>
      </w:r>
    </w:p>
    <w:p>
      <w:pPr>
        <w:spacing w:after="0" w:line="233" w:lineRule="exact"/>
        <w:rPr>
          <w:rFonts w:ascii="Arial" w:cs="Arial" w:eastAsia="Arial" w:hAnsi="Arial"/>
          <w:sz w:val="22"/>
          <w:szCs w:val="22"/>
          <w:color w:val="auto"/>
        </w:rPr>
      </w:pPr>
    </w:p>
    <w:p>
      <w:pPr>
        <w:ind w:right="140" w:firstLine="1304"/>
        <w:spacing w:after="0" w:line="238" w:lineRule="auto"/>
        <w:tabs>
          <w:tab w:leader="none" w:pos="213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212" w:lineRule="exact"/>
        <w:rPr>
          <w:sz w:val="20"/>
          <w:szCs w:val="20"/>
          <w:color w:val="auto"/>
        </w:rPr>
      </w:pPr>
    </w:p>
    <w:p>
      <w:pPr>
        <w:ind w:left="2120" w:hanging="816"/>
        <w:spacing w:after="0"/>
        <w:tabs>
          <w:tab w:leader="none" w:pos="21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addition to or change in the covenants set forth in Article VI which applies to Securities of the series;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right="80" w:firstLine="1304"/>
        <w:spacing w:after="0" w:line="328" w:lineRule="auto"/>
        <w:tabs>
          <w:tab w:leader="none" w:pos="20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32"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32" w:lineRule="exact"/>
        <w:rPr>
          <w:sz w:val="20"/>
          <w:szCs w:val="20"/>
          <w:color w:val="auto"/>
        </w:rPr>
      </w:pPr>
    </w:p>
    <w:p>
      <w:pPr>
        <w:jc w:val="both"/>
        <w:ind w:right="500"/>
        <w:spacing w:after="0" w:line="297" w:lineRule="auto"/>
        <w:rPr>
          <w:sz w:val="20"/>
          <w:szCs w:val="20"/>
          <w:color w:val="auto"/>
        </w:rPr>
      </w:pPr>
      <w:r>
        <w:rPr>
          <w:rFonts w:ascii="Arial" w:cs="Arial" w:eastAsia="Arial" w:hAnsi="Arial"/>
          <w:sz w:val="19"/>
          <w:szCs w:val="19"/>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161"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Denominations</w:t>
      </w:r>
      <w:r>
        <w:rPr>
          <w:rFonts w:ascii="Arial" w:cs="Arial" w:eastAsia="Arial" w:hAnsi="Arial"/>
          <w:sz w:val="22"/>
          <w:szCs w:val="22"/>
          <w:color w:val="auto"/>
        </w:rPr>
        <w:t>. In the absence of any specification pursuant to Section 3.01 with respect to Securities of any series, the Securities of such series shall be issuable only as Securities in denominations of $2,000 and in integral multiples of $1,000, and shall be payable only in U.S. Dollars.</w:t>
      </w:r>
    </w:p>
    <w:p>
      <w:pPr>
        <w:spacing w:after="0" w:line="21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Execution, Authentication, Delivery and Dating</w:t>
      </w:r>
      <w:r>
        <w:rPr>
          <w:rFonts w:ascii="Arial" w:cs="Arial" w:eastAsia="Arial" w:hAnsi="Arial"/>
          <w:sz w:val="19"/>
          <w:szCs w:val="19"/>
          <w:color w:val="auto"/>
        </w:rPr>
        <w:t>.</w:t>
      </w:r>
    </w:p>
    <w:p>
      <w:pPr>
        <w:spacing w:after="0" w:line="233" w:lineRule="exact"/>
        <w:rPr>
          <w:sz w:val="20"/>
          <w:szCs w:val="20"/>
          <w:color w:val="auto"/>
        </w:rPr>
      </w:pPr>
    </w:p>
    <w:p>
      <w:pPr>
        <w:ind w:right="20" w:firstLine="1304"/>
        <w:spacing w:after="0" w:line="238" w:lineRule="auto"/>
        <w:tabs>
          <w:tab w:leader="none" w:pos="207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Securities shall be executed in the name and on behalf of the Company by the manual or facsimile signature of its Chairman of the Board of Directors, its Chief Executive Officer, President, one of its Vice Presidents or Treasurer. If the Person whose signature is on a Security no longer holds that office at the time the Security is authenticated and delivered, the Security shall nevertheless be valid.</w:t>
      </w:r>
    </w:p>
    <w:p>
      <w:pPr>
        <w:spacing w:after="0" w:line="211" w:lineRule="exact"/>
        <w:rPr>
          <w:rFonts w:ascii="Arial" w:cs="Arial" w:eastAsia="Arial" w:hAnsi="Arial"/>
          <w:sz w:val="22"/>
          <w:szCs w:val="22"/>
          <w:color w:val="auto"/>
        </w:rPr>
      </w:pPr>
    </w:p>
    <w:p>
      <w:pPr>
        <w:ind w:right="40" w:firstLine="1304"/>
        <w:spacing w:after="0" w:line="279" w:lineRule="auto"/>
        <w:tabs>
          <w:tab w:leader="none" w:pos="208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ind w:right="80" w:firstLine="1304"/>
        <w:spacing w:after="0" w:line="252" w:lineRule="auto"/>
        <w:tabs>
          <w:tab w:leader="none" w:pos="2076" w:val="left"/>
        </w:tabs>
        <w:numPr>
          <w:ilvl w:val="0"/>
          <w:numId w:val="26"/>
        </w:numPr>
        <w:rPr>
          <w:rFonts w:ascii="Arial" w:cs="Arial" w:eastAsia="Arial" w:hAnsi="Arial"/>
          <w:sz w:val="21"/>
          <w:szCs w:val="21"/>
          <w:color w:val="auto"/>
        </w:rPr>
      </w:pPr>
      <w:r>
        <w:rPr>
          <w:rFonts w:ascii="Arial" w:cs="Arial" w:eastAsia="Arial" w:hAnsi="Arial"/>
          <w:sz w:val="21"/>
          <w:szCs w:val="21"/>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201" w:lineRule="exact"/>
        <w:rPr>
          <w:rFonts w:ascii="Arial" w:cs="Arial" w:eastAsia="Arial" w:hAnsi="Arial"/>
          <w:sz w:val="21"/>
          <w:szCs w:val="21"/>
          <w:color w:val="auto"/>
        </w:rPr>
      </w:pPr>
    </w:p>
    <w:p>
      <w:pPr>
        <w:jc w:val="both"/>
        <w:ind w:right="300" w:firstLine="1304"/>
        <w:spacing w:after="0" w:line="297" w:lineRule="auto"/>
        <w:tabs>
          <w:tab w:leader="none" w:pos="2088"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60" w:lineRule="exact"/>
        <w:rPr>
          <w:rFonts w:ascii="Arial" w:cs="Arial" w:eastAsia="Arial" w:hAnsi="Arial"/>
          <w:sz w:val="19"/>
          <w:szCs w:val="19"/>
          <w:color w:val="auto"/>
        </w:rPr>
      </w:pPr>
    </w:p>
    <w:p>
      <w:pPr>
        <w:ind w:right="480" w:firstLine="1304"/>
        <w:spacing w:after="0" w:line="250" w:lineRule="auto"/>
        <w:tabs>
          <w:tab w:leader="none" w:pos="213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Each Security shall be dated the date of its authentication, except as otherwise provided pursuant to Section 3.01 with respect to the Securities of such series.</w:t>
      </w:r>
    </w:p>
    <w:p>
      <w:pPr>
        <w:spacing w:after="0" w:line="201" w:lineRule="exact"/>
        <w:rPr>
          <w:rFonts w:ascii="Arial" w:cs="Arial" w:eastAsia="Arial" w:hAnsi="Arial"/>
          <w:sz w:val="22"/>
          <w:szCs w:val="22"/>
          <w:color w:val="auto"/>
        </w:rPr>
      </w:pPr>
    </w:p>
    <w:p>
      <w:pPr>
        <w:ind w:right="200" w:firstLine="1304"/>
        <w:spacing w:after="0" w:line="297" w:lineRule="auto"/>
        <w:tabs>
          <w:tab w:leader="none" w:pos="2106"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60" w:lineRule="exact"/>
        <w:rPr>
          <w:rFonts w:ascii="Arial" w:cs="Arial" w:eastAsia="Arial" w:hAnsi="Arial"/>
          <w:sz w:val="19"/>
          <w:szCs w:val="19"/>
          <w:color w:val="auto"/>
        </w:rPr>
      </w:pPr>
    </w:p>
    <w:p>
      <w:pPr>
        <w:ind w:firstLine="1304"/>
        <w:spacing w:after="0" w:line="246" w:lineRule="auto"/>
        <w:tabs>
          <w:tab w:leader="none" w:pos="2142" w:val="left"/>
        </w:tabs>
        <w:numPr>
          <w:ilvl w:val="0"/>
          <w:numId w:val="26"/>
        </w:numPr>
        <w:rPr>
          <w:rFonts w:ascii="Arial" w:cs="Arial" w:eastAsia="Arial" w:hAnsi="Arial"/>
          <w:sz w:val="21"/>
          <w:szCs w:val="21"/>
          <w:color w:val="auto"/>
        </w:rPr>
      </w:pPr>
      <w:r>
        <w:rPr>
          <w:rFonts w:ascii="Arial" w:cs="Arial" w:eastAsia="Arial" w:hAnsi="Arial"/>
          <w:sz w:val="21"/>
          <w:szCs w:val="21"/>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21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212" w:lineRule="exact"/>
        <w:rPr>
          <w:sz w:val="20"/>
          <w:szCs w:val="20"/>
          <w:color w:val="auto"/>
        </w:rPr>
      </w:pPr>
    </w:p>
    <w:p>
      <w:pPr>
        <w:ind w:right="380"/>
        <w:spacing w:after="0" w:line="275" w:lineRule="auto"/>
        <w:rPr>
          <w:sz w:val="20"/>
          <w:szCs w:val="20"/>
          <w:color w:val="auto"/>
        </w:rPr>
      </w:pPr>
      <w:r>
        <w:rPr>
          <w:rFonts w:ascii="Arial" w:cs="Arial" w:eastAsia="Arial" w:hAnsi="Arial"/>
          <w:sz w:val="19"/>
          <w:szCs w:val="19"/>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ind w:right="40"/>
        <w:spacing w:after="0" w:line="252" w:lineRule="auto"/>
        <w:rPr>
          <w:sz w:val="20"/>
          <w:szCs w:val="20"/>
          <w:color w:val="auto"/>
        </w:rPr>
      </w:pPr>
      <w:r>
        <w:rPr>
          <w:rFonts w:ascii="Arial" w:cs="Arial" w:eastAsia="Arial" w:hAnsi="Arial"/>
          <w:sz w:val="21"/>
          <w:szCs w:val="21"/>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1"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aggregate principal amount of each Global Security may from time to time be increased or decreased by adjustments made on the records of the Security Custodian, as provided in this Indenture.</w:t>
      </w:r>
    </w:p>
    <w:p>
      <w:pPr>
        <w:spacing w:after="0" w:line="202" w:lineRule="exact"/>
        <w:rPr>
          <w:sz w:val="20"/>
          <w:szCs w:val="20"/>
          <w:color w:val="auto"/>
        </w:rPr>
      </w:pPr>
    </w:p>
    <w:p>
      <w:pPr>
        <w:jc w:val="both"/>
        <w:ind w:right="20" w:firstLine="1304"/>
        <w:spacing w:after="0"/>
        <w:tabs>
          <w:tab w:leader="none" w:pos="2088" w:val="left"/>
        </w:tabs>
        <w:numPr>
          <w:ilvl w:val="0"/>
          <w:numId w:val="27"/>
        </w:numPr>
        <w:rPr>
          <w:rFonts w:ascii="Arial" w:cs="Arial" w:eastAsia="Arial" w:hAnsi="Arial"/>
          <w:sz w:val="22"/>
          <w:szCs w:val="22"/>
          <w:color w:val="auto"/>
        </w:rPr>
      </w:pPr>
      <w:r>
        <w:rPr>
          <w:rFonts w:ascii="Arial" w:cs="Arial" w:eastAsia="Arial" w:hAnsi="Arial"/>
          <w:sz w:val="22"/>
          <w:szCs w:val="22"/>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213" w:lineRule="exact"/>
        <w:rPr>
          <w:rFonts w:ascii="Arial" w:cs="Arial" w:eastAsia="Arial" w:hAnsi="Arial"/>
          <w:sz w:val="22"/>
          <w:szCs w:val="22"/>
          <w:color w:val="auto"/>
        </w:rPr>
      </w:pPr>
    </w:p>
    <w:p>
      <w:pPr>
        <w:ind w:right="60" w:firstLine="1304"/>
        <w:spacing w:after="0" w:line="274" w:lineRule="auto"/>
        <w:tabs>
          <w:tab w:leader="none" w:pos="21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firstLine="1304"/>
        <w:spacing w:after="0" w:line="282" w:lineRule="auto"/>
        <w:tabs>
          <w:tab w:leader="none" w:pos="21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7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33" w:lineRule="exact"/>
        <w:rPr>
          <w:sz w:val="20"/>
          <w:szCs w:val="20"/>
          <w:color w:val="auto"/>
        </w:rPr>
      </w:pPr>
    </w:p>
    <w:p>
      <w:pPr>
        <w:ind w:right="80" w:firstLine="1304"/>
        <w:spacing w:after="0" w:line="274" w:lineRule="auto"/>
        <w:tabs>
          <w:tab w:leader="none" w:pos="213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ind w:left="-20" w:right="20" w:firstLine="1304"/>
        <w:spacing w:after="0" w:line="275" w:lineRule="auto"/>
        <w:tabs>
          <w:tab w:leader="none" w:pos="2068"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84" w:lineRule="exact"/>
        <w:rPr>
          <w:rFonts w:ascii="Arial" w:cs="Arial" w:eastAsia="Arial" w:hAnsi="Arial"/>
          <w:sz w:val="19"/>
          <w:szCs w:val="19"/>
          <w:color w:val="auto"/>
        </w:rPr>
      </w:pPr>
    </w:p>
    <w:p>
      <w:pPr>
        <w:ind w:left="-20" w:firstLine="1304"/>
        <w:spacing w:after="0" w:line="287" w:lineRule="auto"/>
        <w:tabs>
          <w:tab w:leader="none" w:pos="2056" w:val="left"/>
        </w:tabs>
        <w:numPr>
          <w:ilvl w:val="0"/>
          <w:numId w:val="29"/>
        </w:numPr>
        <w:rPr>
          <w:rFonts w:ascii="Arial" w:cs="Arial" w:eastAsia="Arial" w:hAnsi="Arial"/>
          <w:sz w:val="19"/>
          <w:szCs w:val="19"/>
          <w:color w:val="auto"/>
        </w:rPr>
      </w:pPr>
      <w:r>
        <w:rPr>
          <w:rFonts w:ascii="Arial" w:cs="Arial" w:eastAsia="Arial" w:hAnsi="Arial"/>
          <w:sz w:val="19"/>
          <w:szCs w:val="19"/>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70"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w:t>
      </w:r>
    </w:p>
    <w:p>
      <w:pPr>
        <w:spacing w:after="0" w:line="233" w:lineRule="exact"/>
        <w:rPr>
          <w:sz w:val="20"/>
          <w:szCs w:val="20"/>
          <w:color w:val="auto"/>
        </w:rPr>
      </w:pPr>
    </w:p>
    <w:p>
      <w:pPr>
        <w:ind w:left="-20" w:firstLine="1304"/>
        <w:spacing w:after="0" w:line="275" w:lineRule="auto"/>
        <w:tabs>
          <w:tab w:leader="none" w:pos="20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84" w:lineRule="exact"/>
        <w:rPr>
          <w:rFonts w:ascii="Arial" w:cs="Arial" w:eastAsia="Arial" w:hAnsi="Arial"/>
          <w:sz w:val="19"/>
          <w:szCs w:val="19"/>
          <w:color w:val="auto"/>
        </w:rPr>
      </w:pPr>
    </w:p>
    <w:p>
      <w:pPr>
        <w:ind w:left="-20" w:right="160" w:firstLine="1304"/>
        <w:spacing w:after="0" w:line="282" w:lineRule="auto"/>
        <w:tabs>
          <w:tab w:leader="none" w:pos="206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74" w:lineRule="exact"/>
        <w:rPr>
          <w:rFonts w:ascii="Arial" w:cs="Arial" w:eastAsia="Arial" w:hAnsi="Arial"/>
          <w:sz w:val="19"/>
          <w:szCs w:val="19"/>
          <w:color w:val="auto"/>
        </w:rPr>
      </w:pPr>
    </w:p>
    <w:p>
      <w:pPr>
        <w:ind w:left="-20" w:right="180" w:firstLine="1304"/>
        <w:spacing w:after="0" w:line="250" w:lineRule="auto"/>
        <w:tabs>
          <w:tab w:leader="none" w:pos="211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hereby appoints the Trustee at its Corporate Trust Office as Registrar in connection with the Securities and this Indenture, until such time as another Person is appointed as such.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6" w:name="page37"/>
    <w:bookmarkEnd w:id="36"/>
    <w:p>
      <w:pPr>
        <w:ind w:left="640"/>
        <w:spacing w:after="0"/>
        <w:tabs>
          <w:tab w:leader="none" w:pos="22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34" w:lineRule="exact"/>
        <w:rPr>
          <w:sz w:val="20"/>
          <w:szCs w:val="20"/>
          <w:color w:val="auto"/>
        </w:rPr>
      </w:pPr>
    </w:p>
    <w:p>
      <w:pPr>
        <w:ind w:left="2120" w:hanging="836"/>
        <w:spacing w:after="0"/>
        <w:tabs>
          <w:tab w:leader="none" w:pos="2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Transfer.</w:t>
      </w:r>
    </w:p>
    <w:p>
      <w:pPr>
        <w:spacing w:after="0" w:line="233" w:lineRule="exact"/>
        <w:rPr>
          <w:rFonts w:ascii="Arial" w:cs="Arial" w:eastAsia="Arial" w:hAnsi="Arial"/>
          <w:sz w:val="22"/>
          <w:szCs w:val="22"/>
          <w:color w:val="auto"/>
        </w:rPr>
      </w:pPr>
    </w:p>
    <w:p>
      <w:pPr>
        <w:ind w:left="640" w:firstLine="1292"/>
        <w:spacing w:after="0" w:line="235" w:lineRule="auto"/>
        <w:tabs>
          <w:tab w:leader="none" w:pos="26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214" w:lineRule="exact"/>
        <w:rPr>
          <w:rFonts w:ascii="Arial" w:cs="Arial" w:eastAsia="Arial" w:hAnsi="Arial"/>
          <w:sz w:val="22"/>
          <w:szCs w:val="22"/>
          <w:color w:val="auto"/>
        </w:rPr>
      </w:pPr>
    </w:p>
    <w:p>
      <w:pPr>
        <w:ind w:left="640" w:right="40" w:firstLine="1292"/>
        <w:spacing w:after="0" w:line="282" w:lineRule="auto"/>
        <w:tabs>
          <w:tab w:leader="none" w:pos="2686"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4" w:lineRule="exact"/>
        <w:rPr>
          <w:rFonts w:ascii="Arial" w:cs="Arial" w:eastAsia="Arial" w:hAnsi="Arial"/>
          <w:sz w:val="19"/>
          <w:szCs w:val="19"/>
          <w:color w:val="auto"/>
        </w:rPr>
      </w:pPr>
    </w:p>
    <w:p>
      <w:pPr>
        <w:ind w:left="2080" w:hanging="796"/>
        <w:spacing w:after="0"/>
        <w:tabs>
          <w:tab w:leader="none" w:pos="2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Exchange.</w:t>
      </w:r>
    </w:p>
    <w:p>
      <w:pPr>
        <w:spacing w:after="0" w:line="233" w:lineRule="exact"/>
        <w:rPr>
          <w:rFonts w:ascii="Arial" w:cs="Arial" w:eastAsia="Arial" w:hAnsi="Arial"/>
          <w:sz w:val="22"/>
          <w:szCs w:val="22"/>
          <w:color w:val="auto"/>
        </w:rPr>
      </w:pPr>
    </w:p>
    <w:p>
      <w:pPr>
        <w:ind w:left="640" w:right="340" w:firstLine="1292"/>
        <w:spacing w:after="0" w:line="297" w:lineRule="auto"/>
        <w:tabs>
          <w:tab w:leader="none" w:pos="26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60" w:lineRule="exact"/>
        <w:rPr>
          <w:rFonts w:ascii="Arial" w:cs="Arial" w:eastAsia="Arial" w:hAnsi="Arial"/>
          <w:sz w:val="19"/>
          <w:szCs w:val="19"/>
          <w:color w:val="auto"/>
        </w:rPr>
      </w:pPr>
    </w:p>
    <w:p>
      <w:pPr>
        <w:ind w:left="640" w:right="360" w:firstLine="1292"/>
        <w:spacing w:after="0"/>
        <w:tabs>
          <w:tab w:leader="none" w:pos="2686" w:val="left"/>
        </w:tabs>
        <w:numPr>
          <w:ilvl w:val="1"/>
          <w:numId w:val="31"/>
        </w:numPr>
        <w:rPr>
          <w:rFonts w:ascii="Arial" w:cs="Arial" w:eastAsia="Arial" w:hAnsi="Arial"/>
          <w:sz w:val="22"/>
          <w:szCs w:val="22"/>
          <w:color w:val="auto"/>
        </w:rPr>
      </w:pPr>
      <w:r>
        <w:rPr>
          <w:rFonts w:ascii="Arial" w:cs="Arial" w:eastAsia="Arial" w:hAnsi="Arial"/>
          <w:sz w:val="22"/>
          <w:szCs w:val="22"/>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213" w:lineRule="exact"/>
        <w:rPr>
          <w:rFonts w:ascii="Arial" w:cs="Arial" w:eastAsia="Arial" w:hAnsi="Arial"/>
          <w:sz w:val="22"/>
          <w:szCs w:val="22"/>
          <w:color w:val="auto"/>
        </w:rPr>
      </w:pPr>
    </w:p>
    <w:p>
      <w:pPr>
        <w:ind w:left="-20" w:right="100" w:firstLine="1304"/>
        <w:spacing w:after="0" w:line="250" w:lineRule="auto"/>
        <w:tabs>
          <w:tab w:leader="none" w:pos="211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Exchange of Global Securities for Individual Securities. Except as provided below, owners of beneficial interests in Global Securities will not be entitled to receive Individual Securities.</w:t>
      </w:r>
    </w:p>
    <w:p>
      <w:pPr>
        <w:spacing w:after="0" w:line="201" w:lineRule="exact"/>
        <w:rPr>
          <w:rFonts w:ascii="Arial" w:cs="Arial" w:eastAsia="Arial" w:hAnsi="Arial"/>
          <w:sz w:val="22"/>
          <w:szCs w:val="22"/>
          <w:color w:val="auto"/>
        </w:rPr>
      </w:pPr>
    </w:p>
    <w:p>
      <w:pPr>
        <w:ind w:left="640" w:right="120" w:firstLine="1292"/>
        <w:spacing w:after="0" w:line="279" w:lineRule="auto"/>
        <w:tabs>
          <w:tab w:leader="none" w:pos="26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7" w:name="page38"/>
    <w:bookmarkEnd w:id="37"/>
    <w:p>
      <w:pPr>
        <w:spacing w:after="0" w:line="282" w:lineRule="auto"/>
        <w:rPr>
          <w:sz w:val="20"/>
          <w:szCs w:val="20"/>
          <w:color w:val="auto"/>
        </w:rPr>
      </w:pPr>
      <w:r>
        <w:rPr>
          <w:rFonts w:ascii="Arial" w:cs="Arial" w:eastAsia="Arial" w:hAnsi="Arial"/>
          <w:sz w:val="19"/>
          <w:szCs w:val="19"/>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75" w:lineRule="exact"/>
        <w:rPr>
          <w:sz w:val="20"/>
          <w:szCs w:val="20"/>
          <w:color w:val="auto"/>
        </w:rPr>
      </w:pPr>
    </w:p>
    <w:p>
      <w:pPr>
        <w:ind w:left="660" w:right="80" w:firstLine="1292"/>
        <w:spacing w:after="0" w:line="248" w:lineRule="auto"/>
        <w:tabs>
          <w:tab w:leader="none" w:pos="2706"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203" w:lineRule="exact"/>
        <w:rPr>
          <w:rFonts w:ascii="Arial" w:cs="Arial" w:eastAsia="Arial" w:hAnsi="Arial"/>
          <w:sz w:val="21"/>
          <w:szCs w:val="21"/>
          <w:color w:val="auto"/>
        </w:rPr>
      </w:pPr>
    </w:p>
    <w:p>
      <w:pPr>
        <w:ind w:left="660" w:right="300" w:firstLine="1940"/>
        <w:spacing w:after="0" w:line="274" w:lineRule="auto"/>
        <w:tabs>
          <w:tab w:leader="none" w:pos="3444"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Security Custodian and Registrar shall notify the Company and the Trustee of such instructions, identifying the owner and amount of such beneficial interest in such Global Security;</w:t>
      </w:r>
    </w:p>
    <w:p>
      <w:pPr>
        <w:spacing w:after="0" w:line="177" w:lineRule="exact"/>
        <w:rPr>
          <w:rFonts w:ascii="Arial" w:cs="Arial" w:eastAsia="Arial" w:hAnsi="Arial"/>
          <w:sz w:val="21"/>
          <w:szCs w:val="21"/>
          <w:color w:val="auto"/>
        </w:rPr>
      </w:pPr>
    </w:p>
    <w:p>
      <w:pPr>
        <w:ind w:left="660" w:right="60" w:firstLine="1940"/>
        <w:spacing w:after="0" w:line="297" w:lineRule="auto"/>
        <w:tabs>
          <w:tab w:leader="none" w:pos="3486"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60" w:lineRule="exact"/>
        <w:rPr>
          <w:rFonts w:ascii="Arial" w:cs="Arial" w:eastAsia="Arial" w:hAnsi="Arial"/>
          <w:sz w:val="19"/>
          <w:szCs w:val="19"/>
          <w:color w:val="auto"/>
        </w:rPr>
      </w:pPr>
    </w:p>
    <w:p>
      <w:pPr>
        <w:ind w:left="660" w:right="20" w:firstLine="1940"/>
        <w:spacing w:after="0" w:line="279" w:lineRule="auto"/>
        <w:tabs>
          <w:tab w:leader="none" w:pos="3486"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77" w:lineRule="exact"/>
        <w:rPr>
          <w:rFonts w:ascii="Arial" w:cs="Arial" w:eastAsia="Arial" w:hAnsi="Arial"/>
          <w:sz w:val="19"/>
          <w:szCs w:val="19"/>
          <w:color w:val="auto"/>
        </w:rPr>
      </w:pPr>
    </w:p>
    <w:p>
      <w:pPr>
        <w:ind w:left="660" w:right="20" w:firstLine="1292"/>
        <w:spacing w:after="0" w:line="287" w:lineRule="auto"/>
        <w:tabs>
          <w:tab w:leader="none" w:pos="28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jc w:val="both"/>
        <w:ind w:left="640" w:right="100" w:firstLine="1940"/>
        <w:spacing w:after="0" w:line="297" w:lineRule="auto"/>
        <w:tabs>
          <w:tab w:leader="none" w:pos="3424" w:val="left"/>
        </w:tabs>
        <w:numPr>
          <w:ilvl w:val="2"/>
          <w:numId w:val="33"/>
        </w:numPr>
        <w:rPr>
          <w:rFonts w:ascii="Arial" w:cs="Arial" w:eastAsia="Arial" w:hAnsi="Arial"/>
          <w:sz w:val="19"/>
          <w:szCs w:val="19"/>
          <w:color w:val="auto"/>
        </w:rPr>
      </w:pPr>
      <w:r>
        <w:rPr>
          <w:rFonts w:ascii="Arial" w:cs="Arial" w:eastAsia="Arial" w:hAnsi="Arial"/>
          <w:sz w:val="19"/>
          <w:szCs w:val="19"/>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61" w:lineRule="exact"/>
        <w:rPr>
          <w:rFonts w:ascii="Arial" w:cs="Arial" w:eastAsia="Arial" w:hAnsi="Arial"/>
          <w:sz w:val="19"/>
          <w:szCs w:val="19"/>
          <w:color w:val="auto"/>
        </w:rPr>
      </w:pPr>
    </w:p>
    <w:p>
      <w:pPr>
        <w:jc w:val="both"/>
        <w:ind w:left="640" w:right="280" w:firstLine="1940"/>
        <w:spacing w:after="0"/>
        <w:tabs>
          <w:tab w:leader="none" w:pos="3466" w:val="left"/>
        </w:tabs>
        <w:numPr>
          <w:ilvl w:val="2"/>
          <w:numId w:val="33"/>
        </w:numPr>
        <w:rPr>
          <w:rFonts w:ascii="Arial" w:cs="Arial" w:eastAsia="Arial" w:hAnsi="Arial"/>
          <w:sz w:val="22"/>
          <w:szCs w:val="22"/>
          <w:color w:val="auto"/>
        </w:rPr>
      </w:pPr>
      <w:r>
        <w:rPr>
          <w:rFonts w:ascii="Arial" w:cs="Arial" w:eastAsia="Arial" w:hAnsi="Arial"/>
          <w:sz w:val="22"/>
          <w:szCs w:val="22"/>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213" w:lineRule="exact"/>
        <w:rPr>
          <w:rFonts w:ascii="Arial" w:cs="Arial" w:eastAsia="Arial" w:hAnsi="Arial"/>
          <w:sz w:val="22"/>
          <w:szCs w:val="22"/>
          <w:color w:val="auto"/>
        </w:rPr>
      </w:pPr>
    </w:p>
    <w:p>
      <w:pPr>
        <w:ind w:left="640" w:right="560" w:firstLine="1292"/>
        <w:spacing w:after="0" w:line="328" w:lineRule="auto"/>
        <w:tabs>
          <w:tab w:leader="none" w:pos="2788"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any exchange provided for in clauses (i) through (iii), the Company will execute and the Trustee will authenticate and deliver Individual Securities in registered form in authorized denominations.</w:t>
      </w:r>
    </w:p>
    <w:p>
      <w:pPr>
        <w:spacing w:after="0" w:line="131" w:lineRule="exact"/>
        <w:rPr>
          <w:rFonts w:ascii="Arial" w:cs="Arial" w:eastAsia="Arial" w:hAnsi="Arial"/>
          <w:sz w:val="19"/>
          <w:szCs w:val="19"/>
          <w:color w:val="auto"/>
        </w:rPr>
      </w:pPr>
    </w:p>
    <w:p>
      <w:pPr>
        <w:ind w:left="640" w:right="260" w:firstLine="1292"/>
        <w:spacing w:after="0" w:line="282" w:lineRule="auto"/>
        <w:tabs>
          <w:tab w:leader="none" w:pos="2728" w:val="left"/>
        </w:tabs>
        <w:numPr>
          <w:ilvl w:val="1"/>
          <w:numId w:val="34"/>
        </w:numPr>
        <w:rPr>
          <w:rFonts w:ascii="Arial" w:cs="Arial" w:eastAsia="Arial" w:hAnsi="Arial"/>
          <w:sz w:val="19"/>
          <w:szCs w:val="19"/>
          <w:color w:val="auto"/>
        </w:rPr>
      </w:pPr>
      <w:r>
        <w:rPr>
          <w:rFonts w:ascii="Arial" w:cs="Arial" w:eastAsia="Arial" w:hAnsi="Arial"/>
          <w:sz w:val="19"/>
          <w:szCs w:val="19"/>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4" w:lineRule="exact"/>
        <w:rPr>
          <w:rFonts w:ascii="Arial" w:cs="Arial" w:eastAsia="Arial" w:hAnsi="Arial"/>
          <w:sz w:val="19"/>
          <w:szCs w:val="19"/>
          <w:color w:val="auto"/>
        </w:rPr>
      </w:pPr>
    </w:p>
    <w:p>
      <w:pPr>
        <w:jc w:val="both"/>
        <w:ind w:left="-20" w:firstLine="1304"/>
        <w:spacing w:after="0"/>
        <w:tabs>
          <w:tab w:leader="none" w:pos="206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213" w:lineRule="exact"/>
        <w:rPr>
          <w:rFonts w:ascii="Arial" w:cs="Arial" w:eastAsia="Arial" w:hAnsi="Arial"/>
          <w:sz w:val="22"/>
          <w:szCs w:val="22"/>
          <w:color w:val="auto"/>
        </w:rPr>
      </w:pPr>
    </w:p>
    <w:p>
      <w:pPr>
        <w:ind w:left="-20" w:right="40" w:firstLine="1304"/>
        <w:spacing w:after="0" w:line="238" w:lineRule="auto"/>
        <w:tabs>
          <w:tab w:leader="none" w:pos="211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211" w:lineRule="exact"/>
        <w:rPr>
          <w:rFonts w:ascii="Arial" w:cs="Arial" w:eastAsia="Arial" w:hAnsi="Arial"/>
          <w:sz w:val="22"/>
          <w:szCs w:val="22"/>
          <w:color w:val="auto"/>
        </w:rPr>
      </w:pPr>
    </w:p>
    <w:p>
      <w:pPr>
        <w:ind w:left="-20" w:right="80" w:firstLine="1304"/>
        <w:spacing w:after="0" w:line="287" w:lineRule="auto"/>
        <w:tabs>
          <w:tab w:leader="none" w:pos="21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69" w:lineRule="exact"/>
        <w:rPr>
          <w:rFonts w:ascii="Arial" w:cs="Arial" w:eastAsia="Arial" w:hAnsi="Arial"/>
          <w:sz w:val="19"/>
          <w:szCs w:val="19"/>
          <w:color w:val="auto"/>
        </w:rPr>
      </w:pPr>
    </w:p>
    <w:p>
      <w:pPr>
        <w:ind w:left="-20" w:right="60" w:firstLine="1304"/>
        <w:spacing w:after="0" w:line="236" w:lineRule="auto"/>
        <w:tabs>
          <w:tab w:leader="none" w:pos="206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9" w:name="page40"/>
    <w:bookmarkEnd w:id="39"/>
    <w:p>
      <w:pPr>
        <w:ind w:right="140" w:firstLine="1304"/>
        <w:spacing w:after="0" w:line="282" w:lineRule="auto"/>
        <w:tabs>
          <w:tab w:leader="none" w:pos="2088"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74" w:lineRule="exact"/>
        <w:rPr>
          <w:rFonts w:ascii="Arial" w:cs="Arial" w:eastAsia="Arial" w:hAnsi="Arial"/>
          <w:sz w:val="19"/>
          <w:szCs w:val="19"/>
          <w:color w:val="auto"/>
        </w:rPr>
      </w:pPr>
    </w:p>
    <w:p>
      <w:pPr>
        <w:ind w:right="40" w:firstLine="1304"/>
        <w:spacing w:after="0" w:line="245" w:lineRule="auto"/>
        <w:tabs>
          <w:tab w:leader="none" w:pos="2148"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case a successor Company (“Successor Company”)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207" w:lineRule="exact"/>
        <w:rPr>
          <w:rFonts w:ascii="Arial" w:cs="Arial" w:eastAsia="Arial" w:hAnsi="Arial"/>
          <w:sz w:val="21"/>
          <w:szCs w:val="21"/>
          <w:color w:val="auto"/>
        </w:rPr>
      </w:pPr>
    </w:p>
    <w:p>
      <w:pPr>
        <w:jc w:val="both"/>
        <w:ind w:right="340" w:firstLine="1304"/>
        <w:spacing w:after="0"/>
        <w:tabs>
          <w:tab w:leader="none" w:pos="21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213" w:lineRule="exact"/>
        <w:rPr>
          <w:rFonts w:ascii="Arial" w:cs="Arial" w:eastAsia="Arial" w:hAnsi="Arial"/>
          <w:sz w:val="22"/>
          <w:szCs w:val="22"/>
          <w:color w:val="auto"/>
        </w:rPr>
      </w:pPr>
    </w:p>
    <w:p>
      <w:pPr>
        <w:ind w:right="120" w:firstLine="1304"/>
        <w:spacing w:after="0" w:line="249" w:lineRule="auto"/>
        <w:tabs>
          <w:tab w:leader="none" w:pos="2142"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5" w:lineRule="exact"/>
        <w:rPr>
          <w:rFonts w:ascii="Arial" w:cs="Arial" w:eastAsia="Arial" w:hAnsi="Arial"/>
          <w:sz w:val="21"/>
          <w:szCs w:val="21"/>
          <w:color w:val="auto"/>
        </w:rPr>
      </w:pPr>
    </w:p>
    <w:p>
      <w:pPr>
        <w:ind w:left="2160" w:hanging="856"/>
        <w:spacing w:after="0"/>
        <w:tabs>
          <w:tab w:leader="none" w:pos="21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Neither the Trustee nor any agent of the Trustee shall have any responsibility for any actions taken or 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taken by the Depositary.</w:t>
      </w:r>
    </w:p>
    <w:p>
      <w:pPr>
        <w:spacing w:after="0" w:line="21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Mutilated, Destroyed, Lost and Stolen Securities</w:t>
      </w:r>
      <w:r>
        <w:rPr>
          <w:rFonts w:ascii="Arial" w:cs="Arial" w:eastAsia="Arial" w:hAnsi="Arial"/>
          <w:sz w:val="19"/>
          <w:szCs w:val="19"/>
          <w:color w:val="auto"/>
        </w:rPr>
        <w:t>.</w:t>
      </w:r>
    </w:p>
    <w:p>
      <w:pPr>
        <w:spacing w:after="0" w:line="233" w:lineRule="exact"/>
        <w:rPr>
          <w:sz w:val="20"/>
          <w:szCs w:val="20"/>
          <w:color w:val="auto"/>
        </w:rPr>
      </w:pPr>
    </w:p>
    <w:p>
      <w:pPr>
        <w:ind w:right="60" w:firstLine="1304"/>
        <w:spacing w:after="0" w:line="275" w:lineRule="auto"/>
        <w:tabs>
          <w:tab w:leader="none" w:pos="213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20" w:firstLine="1304"/>
        <w:spacing w:after="0" w:line="241" w:lineRule="auto"/>
        <w:tabs>
          <w:tab w:leader="none" w:pos="206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210" w:lineRule="exact"/>
        <w:rPr>
          <w:rFonts w:ascii="Arial" w:cs="Arial" w:eastAsia="Arial" w:hAnsi="Arial"/>
          <w:sz w:val="22"/>
          <w:szCs w:val="22"/>
          <w:color w:val="auto"/>
        </w:rPr>
      </w:pPr>
    </w:p>
    <w:p>
      <w:pPr>
        <w:ind w:left="-20" w:right="320" w:firstLine="1304"/>
        <w:spacing w:after="0"/>
        <w:tabs>
          <w:tab w:leader="none" w:pos="20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213" w:lineRule="exact"/>
        <w:rPr>
          <w:rFonts w:ascii="Arial" w:cs="Arial" w:eastAsia="Arial" w:hAnsi="Arial"/>
          <w:sz w:val="22"/>
          <w:szCs w:val="22"/>
          <w:color w:val="auto"/>
        </w:rPr>
      </w:pPr>
    </w:p>
    <w:p>
      <w:pPr>
        <w:ind w:left="-20" w:right="220" w:firstLine="1304"/>
        <w:spacing w:after="0" w:line="238" w:lineRule="auto"/>
        <w:tabs>
          <w:tab w:leader="none" w:pos="2068" w:val="left"/>
        </w:tabs>
        <w:numPr>
          <w:ilvl w:val="0"/>
          <w:numId w:val="38"/>
        </w:numPr>
        <w:rPr>
          <w:rFonts w:ascii="Arial" w:cs="Arial" w:eastAsia="Arial" w:hAnsi="Arial"/>
          <w:sz w:val="22"/>
          <w:szCs w:val="22"/>
          <w:color w:val="auto"/>
        </w:rPr>
      </w:pPr>
      <w:r>
        <w:rPr>
          <w:rFonts w:ascii="Arial" w:cs="Arial" w:eastAsia="Arial" w:hAnsi="Arial"/>
          <w:sz w:val="22"/>
          <w:szCs w:val="22"/>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11" w:lineRule="exact"/>
        <w:rPr>
          <w:rFonts w:ascii="Arial" w:cs="Arial" w:eastAsia="Arial" w:hAnsi="Arial"/>
          <w:sz w:val="22"/>
          <w:szCs w:val="22"/>
          <w:color w:val="auto"/>
        </w:rPr>
      </w:pPr>
    </w:p>
    <w:p>
      <w:pPr>
        <w:ind w:left="-20" w:right="200" w:firstLine="1304"/>
        <w:spacing w:after="0" w:line="250" w:lineRule="auto"/>
        <w:tabs>
          <w:tab w:leader="none" w:pos="20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202"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Payment of Interest; Interest Rights Preserved</w:t>
      </w:r>
      <w:r>
        <w:rPr>
          <w:rFonts w:ascii="Arial" w:cs="Arial" w:eastAsia="Arial" w:hAnsi="Arial"/>
          <w:sz w:val="19"/>
          <w:szCs w:val="19"/>
          <w:color w:val="auto"/>
        </w:rPr>
        <w:t>.</w:t>
      </w:r>
    </w:p>
    <w:p>
      <w:pPr>
        <w:spacing w:after="0" w:line="233" w:lineRule="exact"/>
        <w:rPr>
          <w:sz w:val="20"/>
          <w:szCs w:val="20"/>
          <w:color w:val="auto"/>
        </w:rPr>
      </w:pPr>
    </w:p>
    <w:p>
      <w:pPr>
        <w:ind w:left="-20" w:right="20" w:firstLine="1304"/>
        <w:spacing w:after="0" w:line="246" w:lineRule="auto"/>
        <w:tabs>
          <w:tab w:leader="none" w:pos="211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211" w:lineRule="exact"/>
        <w:rPr>
          <w:rFonts w:ascii="Arial" w:cs="Arial" w:eastAsia="Arial" w:hAnsi="Arial"/>
          <w:sz w:val="21"/>
          <w:szCs w:val="21"/>
          <w:color w:val="auto"/>
        </w:rPr>
      </w:pPr>
    </w:p>
    <w:p>
      <w:pPr>
        <w:jc w:val="both"/>
        <w:ind w:left="-20" w:right="240" w:firstLine="1304"/>
        <w:spacing w:after="0" w:line="238" w:lineRule="auto"/>
        <w:tabs>
          <w:tab w:leader="none" w:pos="2068"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1" w:name="page42"/>
    <w:bookmarkEnd w:id="41"/>
    <w:p>
      <w:pPr>
        <w:ind w:left="660" w:firstLine="1292"/>
        <w:spacing w:after="0" w:line="270" w:lineRule="auto"/>
        <w:tabs>
          <w:tab w:leader="none" w:pos="27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93" w:lineRule="exact"/>
        <w:rPr>
          <w:rFonts w:ascii="Arial" w:cs="Arial" w:eastAsia="Arial" w:hAnsi="Arial"/>
          <w:sz w:val="19"/>
          <w:szCs w:val="19"/>
          <w:color w:val="auto"/>
        </w:rPr>
      </w:pPr>
    </w:p>
    <w:p>
      <w:pPr>
        <w:jc w:val="both"/>
        <w:ind w:left="660" w:right="360" w:firstLine="1292"/>
        <w:spacing w:after="0" w:line="287" w:lineRule="auto"/>
        <w:tabs>
          <w:tab w:leader="none" w:pos="27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9" w:lineRule="exact"/>
        <w:rPr>
          <w:rFonts w:ascii="Arial" w:cs="Arial" w:eastAsia="Arial" w:hAnsi="Arial"/>
          <w:sz w:val="19"/>
          <w:szCs w:val="19"/>
          <w:color w:val="auto"/>
        </w:rPr>
      </w:pPr>
    </w:p>
    <w:p>
      <w:pPr>
        <w:jc w:val="both"/>
        <w:ind w:right="200" w:firstLine="1304"/>
        <w:spacing w:after="0" w:line="297" w:lineRule="auto"/>
        <w:tabs>
          <w:tab w:leader="none" w:pos="213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Cancellation</w:t>
      </w:r>
      <w:r>
        <w:rPr>
          <w:rFonts w:ascii="Arial" w:cs="Arial" w:eastAsia="Arial" w:hAnsi="Arial"/>
          <w:sz w:val="19"/>
          <w:szCs w:val="19"/>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written request therefor. The acquisition of any Securities by the Company shall not operate as a redemption or satisfaction of the Indebtedness represented thereby unless and until such Securities are surrendered to the Trustee for cancellation.</w:t>
      </w:r>
    </w:p>
    <w:p>
      <w:pPr>
        <w:spacing w:after="0" w:line="182"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Computation of Interest</w:t>
      </w:r>
      <w:r>
        <w:rPr>
          <w:rFonts w:ascii="Arial" w:cs="Arial" w:eastAsia="Arial" w:hAnsi="Arial"/>
          <w:sz w:val="19"/>
          <w:szCs w:val="19"/>
          <w:color w:val="auto"/>
        </w:rPr>
        <w:t>. Except as otherwise specified pursuant to Section 3.01 for Securities of any series, interest on the Securities of each series shall be computed on the basis of a 360-day year of twelve 30-day months.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ind w:left="660"/>
        <w:spacing w:after="0"/>
        <w:tabs>
          <w:tab w:leader="none" w:pos="22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Currency of Payments in Respect of Securities</w:t>
      </w:r>
      <w:r>
        <w:rPr>
          <w:rFonts w:ascii="Arial" w:cs="Arial" w:eastAsia="Arial" w:hAnsi="Arial"/>
          <w:sz w:val="19"/>
          <w:szCs w:val="19"/>
          <w:color w:val="auto"/>
        </w:rPr>
        <w:t>.</w:t>
      </w:r>
    </w:p>
    <w:p>
      <w:pPr>
        <w:spacing w:after="0" w:line="234" w:lineRule="exact"/>
        <w:rPr>
          <w:sz w:val="20"/>
          <w:szCs w:val="20"/>
          <w:color w:val="auto"/>
        </w:rPr>
      </w:pPr>
    </w:p>
    <w:p>
      <w:pPr>
        <w:ind w:right="600" w:firstLine="1304"/>
        <w:spacing w:after="0" w:line="328" w:lineRule="auto"/>
        <w:tabs>
          <w:tab w:leader="none" w:pos="21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Except as otherwise specified pursuant to Section 3.01 for Securities of any series, payment of the principal of and premium, if any, and interest on Securities of such series will be made in U.S. Dollars.</w:t>
      </w:r>
    </w:p>
    <w:p>
      <w:pPr>
        <w:spacing w:after="0" w:line="131" w:lineRule="exact"/>
        <w:rPr>
          <w:rFonts w:ascii="Arial" w:cs="Arial" w:eastAsia="Arial" w:hAnsi="Arial"/>
          <w:sz w:val="19"/>
          <w:szCs w:val="19"/>
          <w:color w:val="auto"/>
        </w:rPr>
      </w:pPr>
    </w:p>
    <w:p>
      <w:pPr>
        <w:ind w:right="40" w:firstLine="1304"/>
        <w:spacing w:after="0" w:line="246" w:lineRule="auto"/>
        <w:tabs>
          <w:tab w:leader="none" w:pos="2088" w:val="left"/>
        </w:tabs>
        <w:numPr>
          <w:ilvl w:val="0"/>
          <w:numId w:val="42"/>
        </w:numPr>
        <w:rPr>
          <w:rFonts w:ascii="Arial" w:cs="Arial" w:eastAsia="Arial" w:hAnsi="Arial"/>
          <w:sz w:val="21"/>
          <w:szCs w:val="21"/>
          <w:color w:val="auto"/>
        </w:rPr>
      </w:pPr>
      <w:r>
        <w:rPr>
          <w:rFonts w:ascii="Arial" w:cs="Arial" w:eastAsia="Arial" w:hAnsi="Arial"/>
          <w:sz w:val="21"/>
          <w:szCs w:val="21"/>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206" w:lineRule="exact"/>
        <w:rPr>
          <w:rFonts w:ascii="Arial" w:cs="Arial" w:eastAsia="Arial" w:hAnsi="Arial"/>
          <w:sz w:val="21"/>
          <w:szCs w:val="21"/>
          <w:color w:val="auto"/>
        </w:rPr>
      </w:pPr>
    </w:p>
    <w:p>
      <w:pPr>
        <w:ind w:right="40" w:firstLine="1304"/>
        <w:spacing w:after="0" w:line="279" w:lineRule="auto"/>
        <w:tabs>
          <w:tab w:leader="none" w:pos="207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Any decision or determination to be made regarding exchange rates shall be made by an agent appointed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Judgments</w:t>
      </w:r>
      <w:r>
        <w:rPr>
          <w:rFonts w:ascii="Arial" w:cs="Arial" w:eastAsia="Arial" w:hAnsi="Arial"/>
          <w:sz w:val="19"/>
          <w:szCs w:val="19"/>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ind w:right="60" w:firstLine="648"/>
        <w:spacing w:after="0" w:line="247"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CUSIP Numbers</w:t>
      </w:r>
      <w:r>
        <w:rPr>
          <w:rFonts w:ascii="Arial" w:cs="Arial" w:eastAsia="Arial" w:hAnsi="Arial"/>
          <w:sz w:val="21"/>
          <w:szCs w:val="21"/>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Applicability of Right of Redemption</w:t>
      </w:r>
      <w:r>
        <w:rPr>
          <w:rFonts w:ascii="Arial" w:cs="Arial" w:eastAsia="Arial" w:hAnsi="Arial"/>
          <w:sz w:val="19"/>
          <w:szCs w:val="19"/>
          <w:color w:val="auto"/>
        </w:rPr>
        <w:t xml:space="preserve">.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terms of a series of Securities shall conflict with any provision of this Article, the terms of such series shall govern.</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w:t>
      </w:r>
    </w:p>
    <w:p>
      <w:pPr>
        <w:spacing w:after="0" w:line="233" w:lineRule="exact"/>
        <w:rPr>
          <w:sz w:val="20"/>
          <w:szCs w:val="20"/>
          <w:color w:val="auto"/>
        </w:rPr>
      </w:pPr>
    </w:p>
    <w:p>
      <w:pPr>
        <w:ind w:right="60" w:firstLine="1304"/>
        <w:spacing w:after="0" w:line="245" w:lineRule="auto"/>
        <w:tabs>
          <w:tab w:leader="none" w:pos="2076"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If the Company shall at any time elect to redeem all or any portion of the Securities of a series then Outstanding, it shall at least 45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207" w:lineRule="exact"/>
        <w:rPr>
          <w:rFonts w:ascii="Arial" w:cs="Arial" w:eastAsia="Arial" w:hAnsi="Arial"/>
          <w:sz w:val="21"/>
          <w:szCs w:val="21"/>
          <w:color w:val="auto"/>
        </w:rPr>
      </w:pPr>
    </w:p>
    <w:p>
      <w:pPr>
        <w:ind w:right="180" w:firstLine="1304"/>
        <w:spacing w:after="0" w:line="287" w:lineRule="auto"/>
        <w:tabs>
          <w:tab w:leader="none" w:pos="20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ind w:left="660"/>
        <w:spacing w:after="0"/>
        <w:tabs>
          <w:tab w:leader="none" w:pos="22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34" w:lineRule="exact"/>
        <w:rPr>
          <w:sz w:val="20"/>
          <w:szCs w:val="20"/>
          <w:color w:val="auto"/>
        </w:rPr>
      </w:pPr>
    </w:p>
    <w:p>
      <w:pPr>
        <w:ind w:firstLine="1304"/>
        <w:spacing w:after="0" w:line="277" w:lineRule="auto"/>
        <w:tabs>
          <w:tab w:leader="none" w:pos="20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Notice of redemption shall be given by the Company or, at the Company’s request, by the Trustee in the name and at the expense of the Company, not less than 30 nor more than 60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78" w:lineRule="exact"/>
        <w:rPr>
          <w:rFonts w:ascii="Arial" w:cs="Arial" w:eastAsia="Arial" w:hAnsi="Arial"/>
          <w:sz w:val="19"/>
          <w:szCs w:val="19"/>
          <w:color w:val="auto"/>
        </w:rPr>
      </w:pPr>
    </w:p>
    <w:p>
      <w:pPr>
        <w:ind w:right="280" w:firstLine="1304"/>
        <w:spacing w:after="0" w:line="250" w:lineRule="auto"/>
        <w:tabs>
          <w:tab w:leader="none" w:pos="208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notices of redemption shall identify the Securities to be redeemed (including CUSIP, ISIN or other similar numbers, if available) and shall state:</w:t>
      </w:r>
    </w:p>
    <w:p>
      <w:pPr>
        <w:spacing w:after="0" w:line="201" w:lineRule="exact"/>
        <w:rPr>
          <w:rFonts w:ascii="Arial" w:cs="Arial" w:eastAsia="Arial" w:hAnsi="Arial"/>
          <w:sz w:val="22"/>
          <w:szCs w:val="22"/>
          <w:color w:val="auto"/>
        </w:rPr>
      </w:pPr>
    </w:p>
    <w:p>
      <w:pPr>
        <w:ind w:left="660" w:right="480" w:firstLine="1292"/>
        <w:spacing w:after="0"/>
        <w:tabs>
          <w:tab w:leader="none" w:pos="2754" w:val="left"/>
        </w:tabs>
        <w:numPr>
          <w:ilvl w:val="1"/>
          <w:numId w:val="44"/>
        </w:numPr>
        <w:rPr>
          <w:rFonts w:ascii="Arial" w:cs="Arial" w:eastAsia="Arial" w:hAnsi="Arial"/>
          <w:sz w:val="22"/>
          <w:szCs w:val="22"/>
          <w:color w:val="auto"/>
        </w:rPr>
      </w:pPr>
      <w:r>
        <w:rPr>
          <w:rFonts w:ascii="Arial" w:cs="Arial" w:eastAsia="Arial" w:hAnsi="Arial"/>
          <w:sz w:val="22"/>
          <w:szCs w:val="22"/>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213" w:lineRule="exact"/>
        <w:rPr>
          <w:rFonts w:ascii="Arial" w:cs="Arial" w:eastAsia="Arial" w:hAnsi="Arial"/>
          <w:sz w:val="22"/>
          <w:szCs w:val="22"/>
          <w:color w:val="auto"/>
        </w:rPr>
      </w:pPr>
    </w:p>
    <w:p>
      <w:pPr>
        <w:ind w:left="2760" w:hanging="808"/>
        <w:spacing w:after="0"/>
        <w:tabs>
          <w:tab w:leader="none" w:pos="27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2760" w:hanging="808"/>
        <w:spacing w:after="0"/>
        <w:tabs>
          <w:tab w:leader="none" w:pos="27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ind w:left="660" w:right="120" w:firstLine="1292"/>
        <w:spacing w:after="0" w:line="274" w:lineRule="auto"/>
        <w:tabs>
          <w:tab w:leader="none" w:pos="2754" w:val="left"/>
        </w:tabs>
        <w:numPr>
          <w:ilvl w:val="1"/>
          <w:numId w:val="44"/>
        </w:numPr>
        <w:rPr>
          <w:rFonts w:ascii="Arial" w:cs="Arial" w:eastAsia="Arial" w:hAnsi="Arial"/>
          <w:sz w:val="21"/>
          <w:szCs w:val="21"/>
          <w:color w:val="auto"/>
        </w:rPr>
      </w:pPr>
      <w:r>
        <w:rPr>
          <w:rFonts w:ascii="Arial" w:cs="Arial" w:eastAsia="Arial" w:hAnsi="Arial"/>
          <w:sz w:val="21"/>
          <w:szCs w:val="21"/>
          <w:color w:val="auto"/>
        </w:rPr>
        <w:t>if less than all Outstanding Securities of any series are to be redeemed, the identification (and, in the case of partial redemption, the principal amounts) of the Securities of such series to be redeemed;</w:t>
      </w:r>
    </w:p>
    <w:p>
      <w:pPr>
        <w:spacing w:after="0" w:line="177" w:lineRule="exact"/>
        <w:rPr>
          <w:rFonts w:ascii="Arial" w:cs="Arial" w:eastAsia="Arial" w:hAnsi="Arial"/>
          <w:sz w:val="21"/>
          <w:szCs w:val="21"/>
          <w:color w:val="auto"/>
        </w:rPr>
      </w:pPr>
    </w:p>
    <w:p>
      <w:pPr>
        <w:ind w:left="660" w:right="100" w:firstLine="1292"/>
        <w:spacing w:after="0" w:line="328" w:lineRule="auto"/>
        <w:tabs>
          <w:tab w:leader="none" w:pos="2748"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that on the Redemption Date the Redemption Price will become due and payable upon each such Security to be redeemed, and that, if applicable, interest thereon shall cease to accrue on and after said date;</w:t>
      </w:r>
    </w:p>
    <w:p>
      <w:pPr>
        <w:spacing w:after="0" w:line="131" w:lineRule="exact"/>
        <w:rPr>
          <w:rFonts w:ascii="Arial" w:cs="Arial" w:eastAsia="Arial" w:hAnsi="Arial"/>
          <w:sz w:val="19"/>
          <w:szCs w:val="19"/>
          <w:color w:val="auto"/>
        </w:rPr>
      </w:pPr>
    </w:p>
    <w:p>
      <w:pPr>
        <w:ind w:left="2740" w:hanging="788"/>
        <w:spacing w:after="0"/>
        <w:tabs>
          <w:tab w:leader="none" w:pos="27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Place or Places of Payment where such Securities are to be surrendered for payment of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Redemption Price; and</w:t>
      </w:r>
    </w:p>
    <w:p>
      <w:pPr>
        <w:spacing w:after="0" w:line="215" w:lineRule="exact"/>
        <w:rPr>
          <w:rFonts w:ascii="Arial" w:cs="Arial" w:eastAsia="Arial" w:hAnsi="Arial"/>
          <w:sz w:val="19"/>
          <w:szCs w:val="19"/>
          <w:color w:val="auto"/>
        </w:rPr>
      </w:pPr>
    </w:p>
    <w:p>
      <w:pPr>
        <w:ind w:left="2760" w:hanging="808"/>
        <w:spacing w:after="0"/>
        <w:tabs>
          <w:tab w:leader="none" w:pos="27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33"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 xml:space="preserve">Section 4.04 </w:t>
      </w:r>
      <w:r>
        <w:rPr>
          <w:rFonts w:ascii="Arial" w:cs="Arial" w:eastAsia="Arial" w:hAnsi="Arial"/>
          <w:sz w:val="21"/>
          <w:szCs w:val="21"/>
          <w:u w:val="single" w:color="auto"/>
          <w:color w:val="auto"/>
        </w:rPr>
        <w:t>Deposit of Redemption Price</w:t>
      </w:r>
      <w:r>
        <w:rPr>
          <w:rFonts w:ascii="Arial" w:cs="Arial" w:eastAsia="Arial" w:hAnsi="Arial"/>
          <w:sz w:val="21"/>
          <w:szCs w:val="21"/>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205"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Securities Payable on Redemption Date</w:t>
      </w:r>
      <w:r>
        <w:rPr>
          <w:rFonts w:ascii="Arial" w:cs="Arial" w:eastAsia="Arial" w:hAnsi="Arial"/>
          <w:sz w:val="21"/>
          <w:szCs w:val="21"/>
          <w:color w:val="auto"/>
        </w:rPr>
        <w:t xml:space="preserve">.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ind w:right="220"/>
        <w:spacing w:after="0" w:line="329" w:lineRule="auto"/>
        <w:rPr>
          <w:sz w:val="20"/>
          <w:szCs w:val="20"/>
          <w:color w:val="auto"/>
        </w:rPr>
      </w:pPr>
      <w:r>
        <w:rPr>
          <w:rFonts w:ascii="Arial" w:cs="Arial" w:eastAsia="Arial" w:hAnsi="Arial"/>
          <w:sz w:val="19"/>
          <w:szCs w:val="19"/>
          <w:color w:val="auto"/>
        </w:rPr>
        <w:t>If any Security called for redemption shall not be so paid upon surrender thereof for redemption, the principal thereof and premium, if any, thereon shall, until paid, bear interest from the Redemption Date at the rate prescribed therefor in the Security.</w:t>
      </w:r>
    </w:p>
    <w:p>
      <w:pPr>
        <w:spacing w:after="0" w:line="131" w:lineRule="exact"/>
        <w:rPr>
          <w:sz w:val="20"/>
          <w:szCs w:val="20"/>
          <w:color w:val="auto"/>
        </w:rPr>
      </w:pPr>
    </w:p>
    <w:p>
      <w:pPr>
        <w:ind w:right="120" w:firstLine="648"/>
        <w:spacing w:after="0" w:line="244" w:lineRule="auto"/>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u w:val="single" w:color="auto"/>
          <w:color w:val="auto"/>
        </w:rPr>
        <w:t>Securities Redeemed in Part</w:t>
      </w:r>
      <w:r>
        <w:rPr>
          <w:rFonts w:ascii="Arial" w:cs="Arial" w:eastAsia="Arial" w:hAnsi="Arial"/>
          <w:sz w:val="21"/>
          <w:szCs w:val="21"/>
          <w:color w:val="auto"/>
        </w:rPr>
        <w:t>. 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SINKING FUNDS</w:t>
      </w:r>
    </w:p>
    <w:p>
      <w:pPr>
        <w:spacing w:after="0" w:line="23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Applicability of Sinking Fund</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87" w:lineRule="auto"/>
        <w:tabs>
          <w:tab w:leader="none" w:pos="213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terms of a series of Securities shall conflict with any provision of this Article, the terms of such series shall govern.</w:t>
      </w:r>
    </w:p>
    <w:p>
      <w:pPr>
        <w:spacing w:after="0" w:line="169" w:lineRule="exact"/>
        <w:rPr>
          <w:rFonts w:ascii="Arial" w:cs="Arial" w:eastAsia="Arial" w:hAnsi="Arial"/>
          <w:sz w:val="19"/>
          <w:szCs w:val="19"/>
          <w:color w:val="auto"/>
        </w:rPr>
      </w:pPr>
    </w:p>
    <w:p>
      <w:pPr>
        <w:jc w:val="both"/>
        <w:ind w:right="100" w:firstLine="1304"/>
        <w:spacing w:after="0" w:line="236" w:lineRule="auto"/>
        <w:tabs>
          <w:tab w:leader="none" w:pos="20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right="40" w:firstLine="648"/>
        <w:spacing w:after="0" w:line="272"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Mandatory Sinking Fund Obligation</w:t>
      </w:r>
      <w:r>
        <w:rPr>
          <w:rFonts w:ascii="Arial" w:cs="Arial" w:eastAsia="Arial" w:hAnsi="Arial"/>
          <w:sz w:val="19"/>
          <w:szCs w:val="19"/>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Optional Redemption at Sinking Fund Redemption Price</w:t>
      </w:r>
      <w:r>
        <w:rPr>
          <w:rFonts w:ascii="Arial" w:cs="Arial" w:eastAsia="Arial" w:hAnsi="Arial"/>
          <w:sz w:val="19"/>
          <w:szCs w:val="19"/>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u w:val="single" w:color="auto"/>
          <w:color w:val="auto"/>
        </w:rPr>
        <w:t>Application of Sinking Fund Payment</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1" w:lineRule="auto"/>
        <w:tabs>
          <w:tab w:leader="none" w:pos="213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ind w:right="240" w:firstLine="1304"/>
        <w:spacing w:after="0" w:line="241" w:lineRule="auto"/>
        <w:tabs>
          <w:tab w:leader="none" w:pos="2088" w:val="left"/>
        </w:tabs>
        <w:numPr>
          <w:ilvl w:val="0"/>
          <w:numId w:val="47"/>
        </w:numPr>
        <w:rPr>
          <w:rFonts w:ascii="Arial" w:cs="Arial" w:eastAsia="Arial" w:hAnsi="Arial"/>
          <w:sz w:val="22"/>
          <w:szCs w:val="22"/>
          <w:color w:val="auto"/>
        </w:rPr>
      </w:pPr>
      <w:r>
        <w:rPr>
          <w:rFonts w:ascii="Arial" w:cs="Arial" w:eastAsia="Arial" w:hAnsi="Arial"/>
          <w:sz w:val="22"/>
          <w:szCs w:val="22"/>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210" w:lineRule="exact"/>
        <w:rPr>
          <w:rFonts w:ascii="Arial" w:cs="Arial" w:eastAsia="Arial" w:hAnsi="Arial"/>
          <w:sz w:val="22"/>
          <w:szCs w:val="22"/>
          <w:color w:val="auto"/>
        </w:rPr>
      </w:pPr>
    </w:p>
    <w:p>
      <w:pPr>
        <w:ind w:firstLine="1304"/>
        <w:spacing w:after="0" w:line="273" w:lineRule="auto"/>
        <w:tabs>
          <w:tab w:leader="none" w:pos="2130"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PARTICULAR COVENANTS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 hereby covenants and agrees as follows:</w:t>
      </w:r>
    </w:p>
    <w:p>
      <w:pPr>
        <w:spacing w:after="0" w:line="233"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Payments of Securities</w:t>
      </w:r>
      <w:r>
        <w:rPr>
          <w:rFonts w:ascii="Arial" w:cs="Arial" w:eastAsia="Arial" w:hAnsi="Arial"/>
          <w:sz w:val="22"/>
          <w:szCs w:val="22"/>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21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Paying Agent</w:t>
      </w:r>
      <w:r>
        <w:rPr>
          <w:rFonts w:ascii="Arial" w:cs="Arial" w:eastAsia="Arial" w:hAnsi="Arial"/>
          <w:sz w:val="19"/>
          <w:szCs w:val="19"/>
          <w:color w:val="auto"/>
        </w:rPr>
        <w:t>.</w:t>
      </w:r>
    </w:p>
    <w:p>
      <w:pPr>
        <w:spacing w:after="0" w:line="233" w:lineRule="exact"/>
        <w:rPr>
          <w:sz w:val="20"/>
          <w:szCs w:val="20"/>
          <w:color w:val="auto"/>
        </w:rPr>
      </w:pPr>
    </w:p>
    <w:p>
      <w:pPr>
        <w:ind w:right="100" w:firstLine="1304"/>
        <w:spacing w:after="0" w:line="275" w:lineRule="auto"/>
        <w:tabs>
          <w:tab w:leader="none" w:pos="213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Company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40" w:right="40" w:firstLine="1304"/>
        <w:spacing w:after="0" w:line="245" w:lineRule="auto"/>
        <w:tabs>
          <w:tab w:leader="none" w:pos="2102"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212" w:lineRule="exact"/>
        <w:rPr>
          <w:sz w:val="20"/>
          <w:szCs w:val="20"/>
          <w:color w:val="auto"/>
        </w:rPr>
      </w:pPr>
    </w:p>
    <w:p>
      <w:pPr>
        <w:ind w:left="620"/>
        <w:spacing w:after="0"/>
        <w:tabs>
          <w:tab w:leader="none" w:pos="222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To Hold Payment in Trust</w:t>
      </w:r>
      <w:r>
        <w:rPr>
          <w:rFonts w:ascii="Arial" w:cs="Arial" w:eastAsia="Arial" w:hAnsi="Arial"/>
          <w:sz w:val="19"/>
          <w:szCs w:val="19"/>
          <w:color w:val="auto"/>
        </w:rPr>
        <w:t>.</w:t>
      </w:r>
    </w:p>
    <w:p>
      <w:pPr>
        <w:spacing w:after="0" w:line="233" w:lineRule="exact"/>
        <w:rPr>
          <w:sz w:val="20"/>
          <w:szCs w:val="20"/>
          <w:color w:val="auto"/>
        </w:rPr>
      </w:pPr>
    </w:p>
    <w:p>
      <w:pPr>
        <w:ind w:left="-40" w:firstLine="1304"/>
        <w:spacing w:after="0" w:line="275" w:lineRule="auto"/>
        <w:tabs>
          <w:tab w:leader="none" w:pos="20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84" w:lineRule="exact"/>
        <w:rPr>
          <w:rFonts w:ascii="Arial" w:cs="Arial" w:eastAsia="Arial" w:hAnsi="Arial"/>
          <w:sz w:val="19"/>
          <w:szCs w:val="19"/>
          <w:color w:val="auto"/>
        </w:rPr>
      </w:pPr>
    </w:p>
    <w:p>
      <w:pPr>
        <w:ind w:left="-40" w:right="40" w:firstLine="1304"/>
        <w:spacing w:after="0" w:line="277" w:lineRule="auto"/>
        <w:tabs>
          <w:tab w:leader="none" w:pos="21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78" w:lineRule="exact"/>
        <w:rPr>
          <w:rFonts w:ascii="Arial" w:cs="Arial" w:eastAsia="Arial" w:hAnsi="Arial"/>
          <w:sz w:val="19"/>
          <w:szCs w:val="19"/>
          <w:color w:val="auto"/>
        </w:rPr>
      </w:pPr>
    </w:p>
    <w:p>
      <w:pPr>
        <w:ind w:left="-40" w:right="640" w:firstLine="1304"/>
        <w:spacing w:after="0"/>
        <w:tabs>
          <w:tab w:leader="none" w:pos="209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213" w:lineRule="exact"/>
        <w:rPr>
          <w:rFonts w:ascii="Arial" w:cs="Arial" w:eastAsia="Arial" w:hAnsi="Arial"/>
          <w:sz w:val="22"/>
          <w:szCs w:val="22"/>
          <w:color w:val="auto"/>
        </w:rPr>
      </w:pPr>
    </w:p>
    <w:p>
      <w:pPr>
        <w:jc w:val="both"/>
        <w:ind w:left="620" w:right="160" w:firstLine="1292"/>
        <w:spacing w:after="0"/>
        <w:tabs>
          <w:tab w:leader="none" w:pos="2714" w:val="left"/>
        </w:tabs>
        <w:numPr>
          <w:ilvl w:val="1"/>
          <w:numId w:val="50"/>
        </w:numPr>
        <w:rPr>
          <w:rFonts w:ascii="Arial" w:cs="Arial" w:eastAsia="Arial" w:hAnsi="Arial"/>
          <w:sz w:val="22"/>
          <w:szCs w:val="22"/>
          <w:color w:val="auto"/>
        </w:rPr>
      </w:pPr>
      <w:r>
        <w:rPr>
          <w:rFonts w:ascii="Arial" w:cs="Arial" w:eastAsia="Arial" w:hAnsi="Arial"/>
          <w:sz w:val="22"/>
          <w:szCs w:val="22"/>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49" w:name="page50"/>
    <w:bookmarkEnd w:id="49"/>
    <w:p>
      <w:pPr>
        <w:ind w:left="660" w:right="20" w:firstLine="1292"/>
        <w:spacing w:after="0" w:line="241" w:lineRule="auto"/>
        <w:tabs>
          <w:tab w:leader="none" w:pos="27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210" w:lineRule="exact"/>
        <w:rPr>
          <w:rFonts w:ascii="Arial" w:cs="Arial" w:eastAsia="Arial" w:hAnsi="Arial"/>
          <w:sz w:val="22"/>
          <w:szCs w:val="22"/>
          <w:color w:val="auto"/>
        </w:rPr>
      </w:pPr>
    </w:p>
    <w:p>
      <w:pPr>
        <w:ind w:left="660" w:right="240" w:firstLine="1292"/>
        <w:spacing w:after="0" w:line="250" w:lineRule="auto"/>
        <w:tabs>
          <w:tab w:leader="none" w:pos="2766" w:val="left"/>
        </w:tabs>
        <w:numPr>
          <w:ilvl w:val="1"/>
          <w:numId w:val="51"/>
        </w:numPr>
        <w:rPr>
          <w:rFonts w:ascii="Arial" w:cs="Arial" w:eastAsia="Arial" w:hAnsi="Arial"/>
          <w:sz w:val="22"/>
          <w:szCs w:val="22"/>
          <w:color w:val="auto"/>
        </w:rPr>
      </w:pPr>
      <w:r>
        <w:rPr>
          <w:rFonts w:ascii="Arial" w:cs="Arial" w:eastAsia="Arial" w:hAnsi="Arial"/>
          <w:sz w:val="22"/>
          <w:szCs w:val="22"/>
          <w:color w:val="auto"/>
        </w:rPr>
        <w:t>at any time during the continuance of any such Default, upon the written request of the Trustee, pay to the Trustee all sums so held in trust by such Paying Agent.</w:t>
      </w:r>
    </w:p>
    <w:p>
      <w:pPr>
        <w:spacing w:after="0" w:line="201" w:lineRule="exact"/>
        <w:rPr>
          <w:rFonts w:ascii="Arial" w:cs="Arial" w:eastAsia="Arial" w:hAnsi="Arial"/>
          <w:sz w:val="22"/>
          <w:szCs w:val="22"/>
          <w:color w:val="auto"/>
        </w:rPr>
      </w:pPr>
    </w:p>
    <w:p>
      <w:pPr>
        <w:ind w:right="300" w:firstLine="1304"/>
        <w:spacing w:after="0" w:line="236" w:lineRule="auto"/>
        <w:tabs>
          <w:tab w:leader="none" w:pos="2088"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214" w:lineRule="exact"/>
        <w:rPr>
          <w:rFonts w:ascii="Arial" w:cs="Arial" w:eastAsia="Arial" w:hAnsi="Arial"/>
          <w:sz w:val="22"/>
          <w:szCs w:val="22"/>
          <w:color w:val="auto"/>
        </w:rPr>
      </w:pPr>
    </w:p>
    <w:p>
      <w:pPr>
        <w:ind w:right="40" w:firstLine="1304"/>
        <w:spacing w:after="0" w:line="272" w:lineRule="auto"/>
        <w:tabs>
          <w:tab w:leader="none" w:pos="213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u w:val="single" w:color="auto"/>
          <w:color w:val="auto"/>
        </w:rPr>
        <w:t>Merger, Consolidation and Sale of Assets</w:t>
      </w:r>
      <w:r>
        <w:rPr>
          <w:rFonts w:ascii="Arial" w:cs="Arial" w:eastAsia="Arial" w:hAnsi="Arial"/>
          <w:sz w:val="19"/>
          <w:szCs w:val="19"/>
          <w:color w:val="auto"/>
        </w:rPr>
        <w:t>. Except as otherwise provided as contemplated by 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3.01 with respect to any series of Securities:</w:t>
      </w:r>
    </w:p>
    <w:p>
      <w:pPr>
        <w:spacing w:after="0" w:line="215" w:lineRule="exact"/>
        <w:rPr>
          <w:sz w:val="20"/>
          <w:szCs w:val="20"/>
          <w:color w:val="auto"/>
        </w:rPr>
      </w:pPr>
    </w:p>
    <w:p>
      <w:pPr>
        <w:ind w:firstLine="1304"/>
        <w:spacing w:after="0" w:line="245" w:lineRule="auto"/>
        <w:tabs>
          <w:tab w:leader="none" w:pos="213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lease or purchase the Company or the successor, transferee or lessee entity (if other than the Company) would not be in Default in the performance of any covenant or condition of this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right="60" w:firstLine="1304"/>
        <w:spacing w:after="0" w:line="272" w:lineRule="auto"/>
        <w:tabs>
          <w:tab w:leader="none" w:pos="20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Upon any consolidation with or merger into any other entity, or any sale,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8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Except as otherwise provided as contemplated by Section 3.01 with respect to any series of Securities, the Company shall furnish to the Trustee annually, within 120 days after the end of each fiscal year, a brief certificate from the principal executive officer, principal financial officer or principal accounting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211"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Conditional Waiver by Holders of Securities</w:t>
      </w:r>
      <w:r>
        <w:rPr>
          <w:rFonts w:ascii="Arial" w:cs="Arial" w:eastAsia="Arial" w:hAnsi="Arial"/>
          <w:sz w:val="22"/>
          <w:szCs w:val="22"/>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Statement by Officers as to Default</w:t>
      </w:r>
      <w:r>
        <w:rPr>
          <w:rFonts w:ascii="Arial" w:cs="Arial" w:eastAsia="Arial" w:hAnsi="Arial"/>
          <w:sz w:val="19"/>
          <w:szCs w:val="19"/>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REMEDIES OF TRUSTEE AND SECURITYHOLDERS</w:t>
      </w:r>
    </w:p>
    <w:p>
      <w:pPr>
        <w:spacing w:after="0" w:line="239"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212" w:lineRule="exact"/>
        <w:rPr>
          <w:sz w:val="20"/>
          <w:szCs w:val="20"/>
          <w:color w:val="auto"/>
        </w:rPr>
      </w:pPr>
    </w:p>
    <w:p>
      <w:pPr>
        <w:ind w:right="120" w:firstLine="1304"/>
        <w:spacing w:after="0" w:line="274" w:lineRule="auto"/>
        <w:tabs>
          <w:tab w:leader="none" w:pos="213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failure of the Company to pay any installment of interest on any Security of such series when and as the same shall become payable, which failure shall have continued unremedied for a period of 30 days;</w:t>
      </w:r>
    </w:p>
    <w:p>
      <w:pPr>
        <w:spacing w:after="0" w:line="177" w:lineRule="exact"/>
        <w:rPr>
          <w:rFonts w:ascii="Arial" w:cs="Arial" w:eastAsia="Arial" w:hAnsi="Arial"/>
          <w:sz w:val="21"/>
          <w:szCs w:val="21"/>
          <w:color w:val="auto"/>
        </w:rPr>
      </w:pPr>
    </w:p>
    <w:p>
      <w:pPr>
        <w:ind w:right="120" w:firstLine="1304"/>
        <w:spacing w:after="0"/>
        <w:tabs>
          <w:tab w:leader="none" w:pos="21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213" w:lineRule="exact"/>
        <w:rPr>
          <w:rFonts w:ascii="Arial" w:cs="Arial" w:eastAsia="Arial" w:hAnsi="Arial"/>
          <w:sz w:val="22"/>
          <w:szCs w:val="22"/>
          <w:color w:val="auto"/>
        </w:rPr>
      </w:pPr>
    </w:p>
    <w:p>
      <w:pPr>
        <w:ind w:right="120" w:firstLine="1304"/>
        <w:spacing w:after="0" w:line="328" w:lineRule="auto"/>
        <w:tabs>
          <w:tab w:leader="none" w:pos="213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31" w:lineRule="exact"/>
        <w:rPr>
          <w:rFonts w:ascii="Arial" w:cs="Arial" w:eastAsia="Arial" w:hAnsi="Arial"/>
          <w:sz w:val="19"/>
          <w:szCs w:val="19"/>
          <w:color w:val="auto"/>
        </w:rPr>
      </w:pPr>
    </w:p>
    <w:p>
      <w:pPr>
        <w:ind w:firstLine="1304"/>
        <w:spacing w:after="0" w:line="274" w:lineRule="auto"/>
        <w:tabs>
          <w:tab w:leader="none" w:pos="2142"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failure of the Company, subject to the provisions of Section 6.06,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185" w:lineRule="exact"/>
        <w:rPr>
          <w:rFonts w:ascii="Arial" w:cs="Arial" w:eastAsia="Arial" w:hAnsi="Arial"/>
          <w:sz w:val="19"/>
          <w:szCs w:val="19"/>
          <w:color w:val="auto"/>
        </w:rPr>
      </w:pPr>
    </w:p>
    <w:p>
      <w:pPr>
        <w:ind w:right="140" w:firstLine="1304"/>
        <w:spacing w:after="0" w:line="235" w:lineRule="auto"/>
        <w:tabs>
          <w:tab w:leader="none" w:pos="213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right="20" w:firstLine="1304"/>
        <w:spacing w:after="0" w:line="247" w:lineRule="auto"/>
        <w:tabs>
          <w:tab w:leader="none" w:pos="21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204" w:lineRule="exact"/>
        <w:rPr>
          <w:rFonts w:ascii="Arial" w:cs="Arial" w:eastAsia="Arial" w:hAnsi="Arial"/>
          <w:sz w:val="21"/>
          <w:szCs w:val="21"/>
          <w:color w:val="auto"/>
        </w:rPr>
      </w:pPr>
    </w:p>
    <w:p>
      <w:pPr>
        <w:ind w:left="2140" w:hanging="836"/>
        <w:spacing w:after="0"/>
        <w:tabs>
          <w:tab w:leader="none" w:pos="21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occurrence of any other Event of Default with respect to Securities of such series as provided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3.01;</w:t>
      </w:r>
    </w:p>
    <w:p>
      <w:pPr>
        <w:spacing w:after="0" w:line="21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provided, however, that no event described in clause (d) or (other than with respect to a payment default) (g) above shall constitute an Event of Default hereunder until a Responsible Officer of the Trustee has actual knowledge thereof or the Holders of 25% or more in aggregate principal amount of the Securities of such series the Outstanding, notify the Company (and the Trustee in case of notice by the Holders) of the Default, specifying the Default, requiring the Company to remedy the same and stating that such notice is a “Notice of Default” hereunder.</w:t>
      </w:r>
    </w:p>
    <w:p>
      <w:pPr>
        <w:spacing w:after="0" w:line="20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Notwithstanding the foregoing provisions of this Section 7.01, to the extent elected by the Company, the sole remedy for an Event of Default relating to the failure to comply with the reporting obligations specified in Section 10.02, and for any failure to comply with the requirements of § 314(a)(1) of the TIA, shall for the first 60 days after the occurrence of such an Event of Default consist exclusively of the right to receive additional interest on the Securities at an annual rate equal to 0.25% of the principal amount of the Securities. The additional interest will accrue on all outstanding Securities from and including the date on which an Event of Default relating to a failure to comply with the reporting obligations specified in Section 10.02 first occurs to but not including the 60th day thereafter (or such earlier date on which the Event of Default relating to the reporting obligations shall have been cured or waived). On such 60th day (or earlier, if the Event of Default relating to the reporting obligations is cured or waived prior to such 60th day), such additional interest will cease to accrue and, if the Event of Default relating to the reporting obligations has not been cured or waived prior to such 60th day, the Securities shall be subject to an acceleration of maturity as provided in Section 7.02(a).</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The provisions of the immediately preceding paragraph will not affect the rights of Holders in the event of the occurrence of any other Event of Default;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no event will the rate of additional interest accruing pursuant to the immediately preceding paragraph at any time exceed 1.00% per annum, in the aggregate. In the event the Company does not elect to pay additional interest upon an Event of Default in accordance with the immediately preceding paragraph, the Securities shall be subject to an acceleration of maturity as provided in Section 7.02(a). If the Company elects to pay additional interest as the sole remedy for an Event of Default relating to the failure to comply with the reporting obligations specified in Section 10.02, and for any failure to comply with the requirements of § 314(a)(1) of the TIA in accordance with the immediately preceding paragraph, the Company shall notify all Holders and the Trustee and Paying Agent of such election on or before the close of business on the date on which such Event of Default first occurs.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line="273" w:lineRule="auto"/>
        <w:rPr>
          <w:sz w:val="20"/>
          <w:szCs w:val="20"/>
          <w:color w:val="auto"/>
        </w:rPr>
      </w:pPr>
      <w:r>
        <w:rPr>
          <w:rFonts w:ascii="Arial" w:cs="Arial" w:eastAsia="Arial" w:hAnsi="Arial"/>
          <w:sz w:val="19"/>
          <w:szCs w:val="19"/>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8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Acceleration; Rescission and Annulment</w:t>
      </w:r>
      <w:r>
        <w:rPr>
          <w:rFonts w:ascii="Arial" w:cs="Arial" w:eastAsia="Arial" w:hAnsi="Arial"/>
          <w:sz w:val="19"/>
          <w:szCs w:val="19"/>
          <w:color w:val="auto"/>
        </w:rPr>
        <w:t>.</w:t>
      </w:r>
    </w:p>
    <w:p>
      <w:pPr>
        <w:spacing w:after="0" w:line="233" w:lineRule="exact"/>
        <w:rPr>
          <w:sz w:val="20"/>
          <w:szCs w:val="20"/>
          <w:color w:val="auto"/>
        </w:rPr>
      </w:pPr>
    </w:p>
    <w:p>
      <w:pPr>
        <w:ind w:right="80" w:firstLine="1304"/>
        <w:spacing w:after="0" w:line="271" w:lineRule="auto"/>
        <w:tabs>
          <w:tab w:leader="none" w:pos="213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Company in respect of the payment of principal of and interest on the Securities of such series shall terminate.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right="20" w:firstLine="1304"/>
        <w:spacing w:after="0" w:line="248" w:lineRule="auto"/>
        <w:tabs>
          <w:tab w:leader="none" w:pos="214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annual such acceleration if: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660" w:right="300" w:firstLine="1292"/>
        <w:spacing w:after="0" w:line="277" w:lineRule="auto"/>
        <w:tabs>
          <w:tab w:leader="none" w:pos="2754"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Company has paid or deposited with the Trustee or Paying Agent a sum in the Currency in which such Securities are denominated (subject to Section 7.01 and except as otherwise provided pursuant to Section</w:t>
      </w:r>
    </w:p>
    <w:p>
      <w:pPr>
        <w:ind w:left="660"/>
        <w:spacing w:after="0"/>
        <w:rPr>
          <w:rFonts w:ascii="Arial" w:cs="Arial" w:eastAsia="Arial" w:hAnsi="Arial"/>
          <w:sz w:val="19"/>
          <w:szCs w:val="19"/>
          <w:color w:val="auto"/>
        </w:rPr>
      </w:pPr>
      <w:r>
        <w:rPr>
          <w:rFonts w:ascii="Arial" w:cs="Arial" w:eastAsia="Arial" w:hAnsi="Arial"/>
          <w:sz w:val="22"/>
          <w:szCs w:val="22"/>
          <w:color w:val="auto"/>
        </w:rPr>
        <w:t>3.01) sufficient to pay:</w:t>
      </w:r>
    </w:p>
    <w:p>
      <w:pPr>
        <w:spacing w:after="0" w:line="215" w:lineRule="exact"/>
        <w:rPr>
          <w:rFonts w:ascii="Arial" w:cs="Arial" w:eastAsia="Arial" w:hAnsi="Arial"/>
          <w:sz w:val="19"/>
          <w:szCs w:val="19"/>
          <w:color w:val="auto"/>
        </w:rPr>
      </w:pPr>
    </w:p>
    <w:p>
      <w:pPr>
        <w:ind w:left="660" w:right="560" w:firstLine="1940"/>
        <w:spacing w:after="0" w:line="328" w:lineRule="auto"/>
        <w:tabs>
          <w:tab w:leader="none" w:pos="3444" w:val="left"/>
        </w:tabs>
        <w:numPr>
          <w:ilvl w:val="2"/>
          <w:numId w:val="58"/>
        </w:numPr>
        <w:rPr>
          <w:rFonts w:ascii="Arial" w:cs="Arial" w:eastAsia="Arial" w:hAnsi="Arial"/>
          <w:sz w:val="19"/>
          <w:szCs w:val="19"/>
          <w:color w:val="auto"/>
        </w:rPr>
      </w:pPr>
      <w:r>
        <w:rPr>
          <w:rFonts w:ascii="Arial" w:cs="Arial" w:eastAsia="Arial" w:hAnsi="Arial"/>
          <w:sz w:val="19"/>
          <w:szCs w:val="19"/>
          <w:color w:val="auto"/>
        </w:rPr>
        <w:t>all amounts owing the Trustee and any predecessor trustee hereunder under Section 11.01(a)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all sums payable under this clause (A) shall be paid in U.S. Dollars);</w:t>
      </w:r>
    </w:p>
    <w:p>
      <w:pPr>
        <w:spacing w:after="0" w:line="131" w:lineRule="exact"/>
        <w:rPr>
          <w:rFonts w:ascii="Arial" w:cs="Arial" w:eastAsia="Arial" w:hAnsi="Arial"/>
          <w:sz w:val="19"/>
          <w:szCs w:val="19"/>
          <w:color w:val="auto"/>
        </w:rPr>
      </w:pPr>
    </w:p>
    <w:p>
      <w:pPr>
        <w:ind w:left="660" w:right="140" w:firstLine="1940"/>
        <w:spacing w:after="0"/>
        <w:tabs>
          <w:tab w:leader="none" w:pos="3432" w:val="left"/>
        </w:tabs>
        <w:numPr>
          <w:ilvl w:val="2"/>
          <w:numId w:val="58"/>
        </w:numPr>
        <w:rPr>
          <w:rFonts w:ascii="Arial" w:cs="Arial" w:eastAsia="Arial" w:hAnsi="Arial"/>
          <w:sz w:val="22"/>
          <w:szCs w:val="22"/>
          <w:color w:val="auto"/>
        </w:rPr>
      </w:pPr>
      <w:r>
        <w:rPr>
          <w:rFonts w:ascii="Arial" w:cs="Arial" w:eastAsia="Arial" w:hAnsi="Arial"/>
          <w:sz w:val="22"/>
          <w:szCs w:val="22"/>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213" w:lineRule="exact"/>
        <w:rPr>
          <w:rFonts w:ascii="Arial" w:cs="Arial" w:eastAsia="Arial" w:hAnsi="Arial"/>
          <w:sz w:val="22"/>
          <w:szCs w:val="22"/>
          <w:color w:val="auto"/>
        </w:rPr>
      </w:pPr>
    </w:p>
    <w:p>
      <w:pPr>
        <w:jc w:val="both"/>
        <w:ind w:left="660" w:right="80" w:firstLine="1940"/>
        <w:spacing w:after="0" w:line="297" w:lineRule="auto"/>
        <w:tabs>
          <w:tab w:leader="none" w:pos="3432" w:val="left"/>
        </w:tabs>
        <w:numPr>
          <w:ilvl w:val="2"/>
          <w:numId w:val="58"/>
        </w:numPr>
        <w:rPr>
          <w:rFonts w:ascii="Arial" w:cs="Arial" w:eastAsia="Arial" w:hAnsi="Arial"/>
          <w:sz w:val="19"/>
          <w:szCs w:val="19"/>
          <w:color w:val="auto"/>
        </w:rPr>
      </w:pPr>
      <w:r>
        <w:rPr>
          <w:rFonts w:ascii="Arial" w:cs="Arial" w:eastAsia="Arial" w:hAnsi="Arial"/>
          <w:sz w:val="19"/>
          <w:szCs w:val="19"/>
          <w:color w:val="auto"/>
        </w:rPr>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160" w:lineRule="exact"/>
        <w:rPr>
          <w:rFonts w:ascii="Arial" w:cs="Arial" w:eastAsia="Arial" w:hAnsi="Arial"/>
          <w:sz w:val="19"/>
          <w:szCs w:val="19"/>
          <w:color w:val="auto"/>
        </w:rPr>
      </w:pPr>
    </w:p>
    <w:p>
      <w:pPr>
        <w:jc w:val="both"/>
        <w:ind w:left="660" w:right="220" w:firstLine="1292"/>
        <w:spacing w:after="0"/>
        <w:tabs>
          <w:tab w:leader="none" w:pos="27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213" w:lineRule="exact"/>
        <w:rPr>
          <w:rFonts w:ascii="Arial" w:cs="Arial" w:eastAsia="Arial" w:hAnsi="Arial"/>
          <w:sz w:val="22"/>
          <w:szCs w:val="22"/>
          <w:color w:val="auto"/>
        </w:rPr>
      </w:pPr>
    </w:p>
    <w:p>
      <w:pPr>
        <w:ind w:left="2140" w:hanging="836"/>
        <w:spacing w:after="0"/>
        <w:tabs>
          <w:tab w:leader="none" w:pos="21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No such rescission shall affect any subsequent default or impair any right consequent thereon.</w:t>
      </w:r>
    </w:p>
    <w:p>
      <w:pPr>
        <w:spacing w:after="0" w:line="244" w:lineRule="exact"/>
        <w:rPr>
          <w:rFonts w:ascii="Arial" w:cs="Arial" w:eastAsia="Arial" w:hAnsi="Arial"/>
          <w:sz w:val="21"/>
          <w:szCs w:val="21"/>
          <w:color w:val="auto"/>
        </w:rPr>
      </w:pPr>
    </w:p>
    <w:p>
      <w:pPr>
        <w:ind w:right="40" w:firstLine="1304"/>
        <w:spacing w:after="0" w:line="246" w:lineRule="auto"/>
        <w:tabs>
          <w:tab w:leader="none" w:pos="2142" w:val="left"/>
        </w:tabs>
        <w:numPr>
          <w:ilvl w:val="0"/>
          <w:numId w:val="59"/>
        </w:numPr>
        <w:rPr>
          <w:rFonts w:ascii="Arial" w:cs="Arial" w:eastAsia="Arial" w:hAnsi="Arial"/>
          <w:sz w:val="21"/>
          <w:szCs w:val="21"/>
          <w:color w:val="auto"/>
        </w:rPr>
      </w:pPr>
      <w:r>
        <w:rPr>
          <w:rFonts w:ascii="Arial" w:cs="Arial" w:eastAsia="Arial" w:hAnsi="Arial"/>
          <w:sz w:val="21"/>
          <w:szCs w:val="21"/>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211"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u w:val="single" w:color="auto"/>
          <w:color w:val="auto"/>
        </w:rPr>
        <w:t>Other Remedies</w:t>
      </w:r>
      <w:r>
        <w:rPr>
          <w:rFonts w:ascii="Arial" w:cs="Arial" w:eastAsia="Arial" w:hAnsi="Arial"/>
          <w:sz w:val="21"/>
          <w:szCs w:val="21"/>
          <w:color w:val="auto"/>
        </w:rPr>
        <w:t>. If the Company shall fail for a period of 30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5" w:name="page56"/>
    <w:bookmarkEnd w:id="55"/>
    <w:p>
      <w:pPr>
        <w:ind w:right="40"/>
        <w:spacing w:after="0" w:line="273" w:lineRule="auto"/>
        <w:rPr>
          <w:sz w:val="20"/>
          <w:szCs w:val="20"/>
          <w:color w:val="auto"/>
        </w:rPr>
      </w:pPr>
      <w:r>
        <w:rPr>
          <w:rFonts w:ascii="Arial" w:cs="Arial" w:eastAsia="Arial" w:hAnsi="Arial"/>
          <w:sz w:val="19"/>
          <w:szCs w:val="19"/>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Trustee as Attorney-in-Fact</w:t>
      </w:r>
      <w:r>
        <w:rPr>
          <w:rFonts w:ascii="Arial" w:cs="Arial" w:eastAsia="Arial" w:hAnsi="Arial"/>
          <w:sz w:val="19"/>
          <w:szCs w:val="19"/>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right="120" w:firstLine="648"/>
        <w:spacing w:after="0" w:line="23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Priorities</w:t>
      </w:r>
      <w:r>
        <w:rPr>
          <w:rFonts w:ascii="Arial" w:cs="Arial" w:eastAsia="Arial" w:hAnsi="Arial"/>
          <w:sz w:val="22"/>
          <w:szCs w:val="22"/>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To the payment of all amounts due to the Trustee and any predecessor trustee hereunder under Section 11.01(a).</w:t>
      </w:r>
    </w:p>
    <w:p>
      <w:pPr>
        <w:spacing w:after="0" w:line="268" w:lineRule="exact"/>
        <w:rPr>
          <w:sz w:val="20"/>
          <w:szCs w:val="20"/>
          <w:color w:val="auto"/>
        </w:rPr>
      </w:pPr>
    </w:p>
    <w:p>
      <w:pPr>
        <w:ind w:left="660"/>
        <w:spacing w:after="0" w:line="236" w:lineRule="auto"/>
        <w:rPr>
          <w:sz w:val="20"/>
          <w:szCs w:val="20"/>
          <w:color w:val="auto"/>
        </w:rPr>
      </w:pPr>
      <w:r>
        <w:rPr>
          <w:rFonts w:ascii="Arial" w:cs="Arial" w:eastAsia="Arial" w:hAnsi="Arial"/>
          <w:sz w:val="22"/>
          <w:szCs w:val="22"/>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Any surplus then remaining shall be paid to the Company or as directed by a court of competent jurisdiction.</w:t>
      </w:r>
    </w:p>
    <w:p>
      <w:pPr>
        <w:spacing w:after="0" w:line="233"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Control by Securityholders; Waiver of Past Defaults</w:t>
      </w:r>
      <w:r>
        <w:rPr>
          <w:rFonts w:ascii="Arial" w:cs="Arial" w:eastAsia="Arial" w:hAnsi="Arial"/>
          <w:sz w:val="21"/>
          <w:szCs w:val="21"/>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ind w:firstLine="648"/>
        <w:spacing w:after="0" w:line="270"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Limitation on Suits</w:t>
      </w:r>
      <w:r>
        <w:rPr>
          <w:rFonts w:ascii="Arial" w:cs="Arial" w:eastAsia="Arial" w:hAnsi="Arial"/>
          <w:sz w:val="19"/>
          <w:szCs w:val="19"/>
          <w:color w:val="auto"/>
        </w:rPr>
        <w:t xml:space="preserve">.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xml:space="preserve">.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u w:val="single" w:color="auto"/>
          <w:color w:val="auto"/>
        </w:rPr>
        <w:t>Remedies Cumulative</w:t>
      </w:r>
      <w:r>
        <w:rPr>
          <w:rFonts w:ascii="Arial" w:cs="Arial" w:eastAsia="Arial" w:hAnsi="Arial"/>
          <w:sz w:val="19"/>
          <w:szCs w:val="19"/>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CONCERNING THE SECURITYHOLDERS</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Evidence of Action of Securityholders</w:t>
      </w:r>
      <w:r>
        <w:rPr>
          <w:rFonts w:ascii="Arial" w:cs="Arial" w:eastAsia="Arial" w:hAnsi="Arial"/>
          <w:sz w:val="21"/>
          <w:szCs w:val="21"/>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215"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Proof of Execution or Holding of Securities</w:t>
      </w:r>
      <w:r>
        <w:rPr>
          <w:rFonts w:ascii="Arial" w:cs="Arial" w:eastAsia="Arial" w:hAnsi="Arial"/>
          <w:sz w:val="22"/>
          <w:szCs w:val="22"/>
          <w:color w:val="auto"/>
        </w:rPr>
        <w:t>. Proof of the execution of any instrument by a Securityholder or his, her or its agent or proxy and proof of the holding by any Person of any of the Securities shall be sufficient if made in the following manner:</w:t>
      </w:r>
    </w:p>
    <w:p>
      <w:pPr>
        <w:spacing w:after="0" w:line="213" w:lineRule="exact"/>
        <w:rPr>
          <w:sz w:val="20"/>
          <w:szCs w:val="20"/>
          <w:color w:val="auto"/>
        </w:rPr>
      </w:pPr>
    </w:p>
    <w:p>
      <w:pPr>
        <w:ind w:right="140" w:firstLine="1304"/>
        <w:spacing w:after="0" w:line="279" w:lineRule="auto"/>
        <w:tabs>
          <w:tab w:leader="none" w:pos="21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77" w:lineRule="exact"/>
        <w:rPr>
          <w:rFonts w:ascii="Arial" w:cs="Arial" w:eastAsia="Arial" w:hAnsi="Arial"/>
          <w:sz w:val="19"/>
          <w:szCs w:val="19"/>
          <w:color w:val="auto"/>
        </w:rPr>
      </w:pPr>
    </w:p>
    <w:p>
      <w:pPr>
        <w:ind w:right="560" w:firstLine="1304"/>
        <w:spacing w:after="0" w:line="250" w:lineRule="auto"/>
        <w:tabs>
          <w:tab w:leader="none" w:pos="208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ownership of Securities of any series shall be proved by the Register of such Securities or by a certificate of the Registrar for such series.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9" w:name="page60"/>
    <w:bookmarkEnd w:id="59"/>
    <w:p>
      <w:pPr>
        <w:ind w:left="2140" w:hanging="836"/>
        <w:spacing w:after="0"/>
        <w:tabs>
          <w:tab w:leader="none" w:pos="21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record of any Holders’ meeting shall be proved in the manner provided in Section 9.06.</w:t>
      </w:r>
    </w:p>
    <w:p>
      <w:pPr>
        <w:spacing w:after="0" w:line="233" w:lineRule="exact"/>
        <w:rPr>
          <w:rFonts w:ascii="Arial" w:cs="Arial" w:eastAsia="Arial" w:hAnsi="Arial"/>
          <w:sz w:val="22"/>
          <w:szCs w:val="22"/>
          <w:color w:val="auto"/>
        </w:rPr>
      </w:pPr>
    </w:p>
    <w:p>
      <w:pPr>
        <w:ind w:right="300" w:firstLine="1304"/>
        <w:spacing w:after="0" w:line="250" w:lineRule="auto"/>
        <w:tabs>
          <w:tab w:leader="none" w:pos="21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Trustee may require such additional proof of any matter referred to in this Section 8.02 as it shall deem appropriate or necessary, so long as the request is a reasonable one.</w:t>
      </w:r>
    </w:p>
    <w:p>
      <w:pPr>
        <w:spacing w:after="0" w:line="201" w:lineRule="exact"/>
        <w:rPr>
          <w:rFonts w:ascii="Arial" w:cs="Arial" w:eastAsia="Arial" w:hAnsi="Arial"/>
          <w:sz w:val="22"/>
          <w:szCs w:val="22"/>
          <w:color w:val="auto"/>
        </w:rPr>
      </w:pPr>
    </w:p>
    <w:p>
      <w:pPr>
        <w:ind w:firstLine="1304"/>
        <w:spacing w:after="0" w:line="277" w:lineRule="auto"/>
        <w:tabs>
          <w:tab w:leader="none" w:pos="213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7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33" w:lineRule="exact"/>
        <w:rPr>
          <w:sz w:val="20"/>
          <w:szCs w:val="20"/>
          <w:color w:val="auto"/>
        </w:rPr>
      </w:pPr>
    </w:p>
    <w:p>
      <w:pPr>
        <w:ind w:right="80" w:firstLine="1304"/>
        <w:spacing w:after="0" w:line="279" w:lineRule="auto"/>
        <w:tabs>
          <w:tab w:leader="none" w:pos="213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the Trustee and any agent of the Company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77" w:lineRule="exact"/>
        <w:rPr>
          <w:rFonts w:ascii="Arial" w:cs="Arial" w:eastAsia="Arial" w:hAnsi="Arial"/>
          <w:sz w:val="19"/>
          <w:szCs w:val="19"/>
          <w:color w:val="auto"/>
        </w:rPr>
      </w:pPr>
    </w:p>
    <w:p>
      <w:pPr>
        <w:ind w:right="420" w:firstLine="1304"/>
        <w:spacing w:after="0" w:line="297" w:lineRule="auto"/>
        <w:tabs>
          <w:tab w:leader="none" w:pos="2088"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None of the Company,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6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Effect of Consents</w:t>
      </w:r>
      <w:r>
        <w:rPr>
          <w:rFonts w:ascii="Arial" w:cs="Arial" w:eastAsia="Arial" w:hAnsi="Arial"/>
          <w:sz w:val="19"/>
          <w:szCs w:val="19"/>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SECURITYHOLDERS’ MEETINGS</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Purposes of Meetings</w:t>
      </w:r>
      <w:r>
        <w:rPr>
          <w:rFonts w:ascii="Arial" w:cs="Arial" w:eastAsia="Arial" w:hAnsi="Arial"/>
          <w:sz w:val="22"/>
          <w:szCs w:val="22"/>
          <w:color w:val="auto"/>
        </w:rPr>
        <w:t>. A meeting of Securityholders of any or all series may be called at any time and from time to time pursuant to the provisions of this Article IX for any of the following purposes:</w:t>
      </w:r>
    </w:p>
    <w:p>
      <w:pPr>
        <w:spacing w:after="0" w:line="202" w:lineRule="exact"/>
        <w:rPr>
          <w:sz w:val="20"/>
          <w:szCs w:val="20"/>
          <w:color w:val="auto"/>
        </w:rPr>
      </w:pPr>
    </w:p>
    <w:p>
      <w:pPr>
        <w:ind w:right="40" w:firstLine="1304"/>
        <w:spacing w:after="0"/>
        <w:tabs>
          <w:tab w:leader="none" w:pos="207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213" w:lineRule="exact"/>
        <w:rPr>
          <w:rFonts w:ascii="Arial" w:cs="Arial" w:eastAsia="Arial" w:hAnsi="Arial"/>
          <w:sz w:val="22"/>
          <w:szCs w:val="22"/>
          <w:color w:val="auto"/>
        </w:rPr>
      </w:pPr>
    </w:p>
    <w:p>
      <w:pPr>
        <w:ind w:left="2100" w:hanging="796"/>
        <w:spacing w:after="0"/>
        <w:tabs>
          <w:tab w:leader="none" w:pos="21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to remove the Trustee and nominate a successor trustee pursuant to the provisions of Article XI;</w:t>
      </w:r>
    </w:p>
    <w:p>
      <w:pPr>
        <w:spacing w:after="0" w:line="244" w:lineRule="exact"/>
        <w:rPr>
          <w:rFonts w:ascii="Arial" w:cs="Arial" w:eastAsia="Arial" w:hAnsi="Arial"/>
          <w:sz w:val="21"/>
          <w:szCs w:val="21"/>
          <w:color w:val="auto"/>
        </w:rPr>
      </w:pPr>
    </w:p>
    <w:p>
      <w:pPr>
        <w:ind w:right="900" w:firstLine="1304"/>
        <w:spacing w:after="0" w:line="250" w:lineRule="auto"/>
        <w:tabs>
          <w:tab w:leader="none" w:pos="207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consent to the execution of an Indenture or of indentures supplemental hereto pursuant to the provisions of Section 14.02; or</w:t>
      </w:r>
    </w:p>
    <w:p>
      <w:pPr>
        <w:spacing w:after="0" w:line="201" w:lineRule="exact"/>
        <w:rPr>
          <w:rFonts w:ascii="Arial" w:cs="Arial" w:eastAsia="Arial" w:hAnsi="Arial"/>
          <w:sz w:val="22"/>
          <w:szCs w:val="22"/>
          <w:color w:val="auto"/>
        </w:rPr>
      </w:pPr>
    </w:p>
    <w:p>
      <w:pPr>
        <w:ind w:right="20" w:firstLine="1304"/>
        <w:spacing w:after="0"/>
        <w:tabs>
          <w:tab w:leader="none" w:pos="208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2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Call of Meetings by Trustee</w:t>
      </w:r>
      <w:r>
        <w:rPr>
          <w:rFonts w:ascii="Arial" w:cs="Arial" w:eastAsia="Arial" w:hAnsi="Arial"/>
          <w:sz w:val="19"/>
          <w:szCs w:val="19"/>
          <w:color w:val="auto"/>
        </w:rPr>
        <w:t>. 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Company. Such notice shall be mailed not less than 20 nor more than 90 days prior to the date fixed for the meeting.</w:t>
      </w:r>
    </w:p>
    <w:p>
      <w:pPr>
        <w:spacing w:after="0" w:line="177"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Call of Meetings by Company or Securityholders</w:t>
      </w:r>
      <w:r>
        <w:rPr>
          <w:rFonts w:ascii="Arial" w:cs="Arial" w:eastAsia="Arial" w:hAnsi="Arial"/>
          <w:sz w:val="19"/>
          <w:szCs w:val="19"/>
          <w:color w:val="auto"/>
        </w:rPr>
        <w:t>. 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7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Qualifications for Voting</w:t>
      </w:r>
      <w:r>
        <w:rPr>
          <w:rFonts w:ascii="Arial" w:cs="Arial" w:eastAsia="Arial" w:hAnsi="Arial"/>
          <w:sz w:val="19"/>
          <w:szCs w:val="19"/>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660"/>
        <w:spacing w:after="0"/>
        <w:tabs>
          <w:tab w:leader="none" w:pos="226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u w:val="single" w:color="auto"/>
          <w:color w:val="auto"/>
        </w:rPr>
        <w:t>Regulation of Meetings</w:t>
      </w:r>
      <w:r>
        <w:rPr>
          <w:rFonts w:ascii="Arial" w:cs="Arial" w:eastAsia="Arial" w:hAnsi="Arial"/>
          <w:sz w:val="19"/>
          <w:szCs w:val="19"/>
          <w:color w:val="auto"/>
        </w:rPr>
        <w:t>.</w:t>
      </w:r>
    </w:p>
    <w:p>
      <w:pPr>
        <w:spacing w:after="0" w:line="234" w:lineRule="exact"/>
        <w:rPr>
          <w:sz w:val="20"/>
          <w:szCs w:val="20"/>
          <w:color w:val="auto"/>
        </w:rPr>
      </w:pPr>
    </w:p>
    <w:p>
      <w:pPr>
        <w:ind w:right="40" w:firstLine="1304"/>
        <w:spacing w:after="0" w:line="236" w:lineRule="auto"/>
        <w:tabs>
          <w:tab w:leader="none" w:pos="213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214" w:lineRule="exact"/>
        <w:rPr>
          <w:rFonts w:ascii="Arial" w:cs="Arial" w:eastAsia="Arial" w:hAnsi="Arial"/>
          <w:sz w:val="22"/>
          <w:szCs w:val="22"/>
          <w:color w:val="auto"/>
        </w:rPr>
      </w:pPr>
    </w:p>
    <w:p>
      <w:pPr>
        <w:ind w:right="40" w:firstLine="1304"/>
        <w:spacing w:after="0" w:line="287" w:lineRule="auto"/>
        <w:tabs>
          <w:tab w:leader="none" w:pos="2088"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69" w:lineRule="exact"/>
        <w:rPr>
          <w:rFonts w:ascii="Arial" w:cs="Arial" w:eastAsia="Arial" w:hAnsi="Arial"/>
          <w:sz w:val="19"/>
          <w:szCs w:val="19"/>
          <w:color w:val="auto"/>
        </w:rPr>
      </w:pPr>
    </w:p>
    <w:p>
      <w:pPr>
        <w:ind w:firstLine="1304"/>
        <w:spacing w:after="0" w:line="273" w:lineRule="auto"/>
        <w:tabs>
          <w:tab w:leader="none" w:pos="2076" w:val="left"/>
        </w:tabs>
        <w:numPr>
          <w:ilvl w:val="0"/>
          <w:numId w:val="64"/>
        </w:numPr>
        <w:rPr>
          <w:rFonts w:ascii="Arial" w:cs="Arial" w:eastAsia="Arial" w:hAnsi="Arial"/>
          <w:sz w:val="19"/>
          <w:szCs w:val="19"/>
          <w:color w:val="auto"/>
        </w:rPr>
      </w:pPr>
      <w:r>
        <w:rPr>
          <w:rFonts w:ascii="Arial" w:cs="Arial" w:eastAsia="Arial" w:hAnsi="Arial"/>
          <w:sz w:val="19"/>
          <w:szCs w:val="19"/>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88"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Voting</w:t>
      </w:r>
      <w:r>
        <w:rPr>
          <w:rFonts w:ascii="Arial" w:cs="Arial" w:eastAsia="Arial" w:hAnsi="Arial"/>
          <w:sz w:val="21"/>
          <w:szCs w:val="21"/>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Any record so signed and verified shall be conclusive evidence of the matters therein stated.</w:t>
      </w:r>
    </w:p>
    <w:p>
      <w:pPr>
        <w:spacing w:after="0" w:line="234"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No Delay of Rights by Meeting</w:t>
      </w:r>
      <w:r>
        <w:rPr>
          <w:rFonts w:ascii="Arial" w:cs="Arial" w:eastAsia="Arial" w:hAnsi="Arial"/>
          <w:sz w:val="22"/>
          <w:szCs w:val="22"/>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REPORTS BY THE COMPANY AND THE TRUSTEE AND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SECURITYHOLDERS’ LISTS</w:t>
      </w:r>
    </w:p>
    <w:p>
      <w:pPr>
        <w:spacing w:after="0" w:line="21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Reports by Trustee</w:t>
      </w:r>
      <w:r>
        <w:rPr>
          <w:rFonts w:ascii="Arial" w:cs="Arial" w:eastAsia="Arial" w:hAnsi="Arial"/>
          <w:sz w:val="19"/>
          <w:szCs w:val="19"/>
          <w:color w:val="auto"/>
        </w:rPr>
        <w:t>.</w:t>
      </w:r>
    </w:p>
    <w:p>
      <w:pPr>
        <w:spacing w:after="0" w:line="233" w:lineRule="exact"/>
        <w:rPr>
          <w:sz w:val="20"/>
          <w:szCs w:val="20"/>
          <w:color w:val="auto"/>
        </w:rPr>
      </w:pPr>
    </w:p>
    <w:p>
      <w:pPr>
        <w:ind w:right="200" w:firstLine="1304"/>
        <w:spacing w:after="0" w:line="236" w:lineRule="auto"/>
        <w:tabs>
          <w:tab w:leader="none" w:pos="207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Trustee shall transmit to Holders such reports concerning the Trustee and its actions under this Indenture as may be required pursuant to the Trust Indenture Act at the times and in the manner provided pursuant thereto. If required by Section 313 (a)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214" w:lineRule="exact"/>
        <w:rPr>
          <w:rFonts w:ascii="Arial" w:cs="Arial" w:eastAsia="Arial" w:hAnsi="Arial"/>
          <w:sz w:val="22"/>
          <w:szCs w:val="22"/>
          <w:color w:val="auto"/>
        </w:rPr>
      </w:pPr>
    </w:p>
    <w:p>
      <w:pPr>
        <w:ind w:firstLine="1304"/>
        <w:spacing w:after="0" w:line="287" w:lineRule="auto"/>
        <w:tabs>
          <w:tab w:leader="none" w:pos="2088"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in writing when, as and if the Securities become listed on any stock exchange or any delisting thereof.</w:t>
      </w:r>
    </w:p>
    <w:p>
      <w:pPr>
        <w:spacing w:after="0" w:line="169" w:lineRule="exact"/>
        <w:rPr>
          <w:rFonts w:ascii="Arial" w:cs="Arial" w:eastAsia="Arial" w:hAnsi="Arial"/>
          <w:sz w:val="19"/>
          <w:szCs w:val="19"/>
          <w:color w:val="auto"/>
        </w:rPr>
      </w:pPr>
    </w:p>
    <w:p>
      <w:pPr>
        <w:ind w:right="100" w:firstLine="1304"/>
        <w:spacing w:after="0" w:line="250" w:lineRule="auto"/>
        <w:tabs>
          <w:tab w:leader="none" w:pos="207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Company will reimburse the Trustee for all expenses incurred in the preparation and transmission of any report pursuant to the provisions of this Section 10.01 and of Section 10.02.</w:t>
      </w:r>
    </w:p>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Reports by the Company</w:t>
      </w:r>
      <w:r>
        <w:rPr>
          <w:rFonts w:ascii="Arial" w:cs="Arial" w:eastAsia="Arial" w:hAnsi="Arial"/>
          <w:sz w:val="19"/>
          <w:szCs w:val="19"/>
          <w:color w:val="auto"/>
        </w:rPr>
        <w:t xml:space="preserve">. The Company shall file with the Trustee and the SEC, and transmit to Holders, such information, documents and other reports, and such summaries thereof, as may be required pursuant to the Trust Indenture Act at the times and in the manner provided in the Trust Indenture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available on EDGAR, any such information, documents or reports required to be filed with the SEC pursuant to Section 13 or 15(d) of the Exchange Act shall be filed with the Trustee within 30 days after the same is filed with the SEC,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Trustee shall not be required to determine whether such information, documents or reports are available on EDGAR.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line="249" w:lineRule="auto"/>
        <w:rPr>
          <w:sz w:val="20"/>
          <w:szCs w:val="20"/>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Notwithstanding any provisions hereunder to the contrary, the foregoing provisions of this Section 10.02 are subject, in their entirety, to the provisions of Section 7.01.</w:t>
      </w:r>
    </w:p>
    <w:p>
      <w:pPr>
        <w:spacing w:after="0" w:line="20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Securityholders’ Lists</w:t>
      </w:r>
      <w:r>
        <w:rPr>
          <w:rFonts w:ascii="Arial" w:cs="Arial" w:eastAsia="Arial" w:hAnsi="Arial"/>
          <w:sz w:val="22"/>
          <w:szCs w:val="22"/>
          <w:color w:val="auto"/>
        </w:rPr>
        <w:t>. The Company covenants and agrees that it will furnish or cause to be furnished to the Trustee:</w:t>
      </w:r>
    </w:p>
    <w:p>
      <w:pPr>
        <w:spacing w:after="0" w:line="202" w:lineRule="exact"/>
        <w:rPr>
          <w:sz w:val="20"/>
          <w:szCs w:val="20"/>
          <w:color w:val="auto"/>
        </w:rPr>
      </w:pPr>
    </w:p>
    <w:p>
      <w:pPr>
        <w:ind w:right="340" w:firstLine="1304"/>
        <w:spacing w:after="0"/>
        <w:tabs>
          <w:tab w:leader="none" w:pos="213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213" w:lineRule="exact"/>
        <w:rPr>
          <w:rFonts w:ascii="Arial" w:cs="Arial" w:eastAsia="Arial" w:hAnsi="Arial"/>
          <w:sz w:val="22"/>
          <w:szCs w:val="22"/>
          <w:color w:val="auto"/>
        </w:rPr>
      </w:pPr>
    </w:p>
    <w:p>
      <w:pPr>
        <w:ind w:right="40" w:firstLine="1304"/>
        <w:spacing w:after="0" w:line="328" w:lineRule="auto"/>
        <w:tabs>
          <w:tab w:leader="none" w:pos="208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at such other times as the Trustee may request in writing, within 30 days after receipt by the Company of any such request, a list of similar form and content as of a date not more than 15 days prior to the time such list is furnished;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so long as the Trustee shall be the Registrar, such lists shall not be required to be furnished.</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CONCERNING THE TRUSTEE</w:t>
      </w:r>
    </w:p>
    <w:p>
      <w:pPr>
        <w:spacing w:after="0" w:line="239"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Rights of Trustees; Compensation and Indemnity</w:t>
      </w:r>
      <w:r>
        <w:rPr>
          <w:rFonts w:ascii="Arial" w:cs="Arial" w:eastAsia="Arial" w:hAnsi="Arial"/>
          <w:sz w:val="22"/>
          <w:szCs w:val="22"/>
          <w:color w:val="auto"/>
        </w:rPr>
        <w:t>. The Trustee accepts the trusts created by this Indenture upon the terms and conditions hereof, including the following, to all of which the parties hereto and the Holders from time to time of the Securities agree:</w:t>
      </w:r>
    </w:p>
    <w:p>
      <w:pPr>
        <w:spacing w:after="0" w:line="213" w:lineRule="exact"/>
        <w:rPr>
          <w:sz w:val="20"/>
          <w:szCs w:val="20"/>
          <w:color w:val="auto"/>
        </w:rPr>
      </w:pPr>
    </w:p>
    <w:p>
      <w:pPr>
        <w:ind w:right="100" w:firstLine="1304"/>
        <w:spacing w:after="0" w:line="234" w:lineRule="auto"/>
        <w:tabs>
          <w:tab w:leader="none" w:pos="213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own negligence or willful misconduct.</w:t>
      </w:r>
    </w:p>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Company also agrees to indemnify each of the Trustee and any predecessor Trustee hereunder for, and to hold it harmless against, any and all loss, liability, damage, claim, or expense incurred without its own negligence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(whether asserted by the Company, a Holder or any other Person) or liability in connection with the exercise or performance of any of its powers or duties hereunder, except those attributable to its negligence or willful misconduct.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4" w:name="page65"/>
    <w:bookmarkEnd w:id="64"/>
    <w:p>
      <w:pPr>
        <w:ind w:right="60"/>
        <w:spacing w:after="0" w:line="246" w:lineRule="auto"/>
        <w:rPr>
          <w:sz w:val="20"/>
          <w:szCs w:val="20"/>
          <w:color w:val="auto"/>
        </w:rPr>
      </w:pPr>
      <w:r>
        <w:rPr>
          <w:rFonts w:ascii="Arial" w:cs="Arial" w:eastAsia="Arial" w:hAnsi="Arial"/>
          <w:sz w:val="21"/>
          <w:szCs w:val="21"/>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207" w:lineRule="exact"/>
        <w:rPr>
          <w:sz w:val="20"/>
          <w:szCs w:val="20"/>
          <w:color w:val="auto"/>
        </w:rPr>
      </w:pPr>
    </w:p>
    <w:p>
      <w:pPr>
        <w:ind w:right="240" w:firstLine="1304"/>
        <w:spacing w:after="0"/>
        <w:tabs>
          <w:tab w:leader="none" w:pos="208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213" w:lineRule="exact"/>
        <w:rPr>
          <w:rFonts w:ascii="Arial" w:cs="Arial" w:eastAsia="Arial" w:hAnsi="Arial"/>
          <w:sz w:val="22"/>
          <w:szCs w:val="22"/>
          <w:color w:val="auto"/>
        </w:rPr>
      </w:pPr>
    </w:p>
    <w:p>
      <w:pPr>
        <w:ind w:firstLine="1304"/>
        <w:spacing w:after="0" w:line="274" w:lineRule="auto"/>
        <w:tabs>
          <w:tab w:leader="none" w:pos="213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85" w:lineRule="exact"/>
        <w:rPr>
          <w:rFonts w:ascii="Arial" w:cs="Arial" w:eastAsia="Arial" w:hAnsi="Arial"/>
          <w:sz w:val="19"/>
          <w:szCs w:val="19"/>
          <w:color w:val="auto"/>
        </w:rPr>
      </w:pPr>
    </w:p>
    <w:p>
      <w:pPr>
        <w:ind w:right="20" w:firstLine="1304"/>
        <w:spacing w:after="0"/>
        <w:tabs>
          <w:tab w:leader="none" w:pos="208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Trustee may consult with counsel of its selection, and, to the extent permitted by Section 11.02, any advice or Opinion of Counsel shall be full and complete authorization and protection in respect of any action taken or suffered by the Trustee hereunder in good faith and in accordance with such Opinion of Counsel.</w:t>
      </w:r>
    </w:p>
    <w:p>
      <w:pPr>
        <w:spacing w:after="0" w:line="213" w:lineRule="exact"/>
        <w:rPr>
          <w:rFonts w:ascii="Arial" w:cs="Arial" w:eastAsia="Arial" w:hAnsi="Arial"/>
          <w:sz w:val="22"/>
          <w:szCs w:val="22"/>
          <w:color w:val="auto"/>
        </w:rPr>
      </w:pPr>
    </w:p>
    <w:p>
      <w:pPr>
        <w:ind w:right="60" w:firstLine="1304"/>
        <w:spacing w:after="0" w:line="279" w:lineRule="auto"/>
        <w:tabs>
          <w:tab w:leader="none" w:pos="213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Trustee, to the extent permitted by Section 11.02, may conclusively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conclusively rely upon, an Officer’s Certificate of the Company (unless other evidence in respect thereof be herein specifically prescribed).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ind w:left="-20" w:right="220" w:firstLine="1304"/>
        <w:spacing w:after="0" w:line="297" w:lineRule="auto"/>
        <w:tabs>
          <w:tab w:leader="none" w:pos="2086"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Section 11.04,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61" w:lineRule="exact"/>
        <w:rPr>
          <w:rFonts w:ascii="Arial" w:cs="Arial" w:eastAsia="Arial" w:hAnsi="Arial"/>
          <w:sz w:val="19"/>
          <w:szCs w:val="19"/>
          <w:color w:val="auto"/>
        </w:rPr>
      </w:pPr>
    </w:p>
    <w:p>
      <w:pPr>
        <w:ind w:left="-20" w:right="560" w:firstLine="1304"/>
        <w:spacing w:after="0"/>
        <w:tabs>
          <w:tab w:leader="none" w:pos="20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213" w:lineRule="exact"/>
        <w:rPr>
          <w:rFonts w:ascii="Arial" w:cs="Arial" w:eastAsia="Arial" w:hAnsi="Arial"/>
          <w:sz w:val="22"/>
          <w:szCs w:val="22"/>
          <w:color w:val="auto"/>
        </w:rPr>
      </w:pPr>
    </w:p>
    <w:p>
      <w:pPr>
        <w:ind w:left="-20" w:firstLine="1304"/>
        <w:spacing w:after="0" w:line="287" w:lineRule="auto"/>
        <w:tabs>
          <w:tab w:leader="none" w:pos="2068"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69" w:lineRule="exact"/>
        <w:rPr>
          <w:rFonts w:ascii="Arial" w:cs="Arial" w:eastAsia="Arial" w:hAnsi="Arial"/>
          <w:sz w:val="19"/>
          <w:szCs w:val="19"/>
          <w:color w:val="auto"/>
        </w:rPr>
      </w:pPr>
    </w:p>
    <w:p>
      <w:pPr>
        <w:ind w:left="-20" w:right="220" w:firstLine="1304"/>
        <w:spacing w:after="0" w:line="238" w:lineRule="auto"/>
        <w:tabs>
          <w:tab w:leader="none" w:pos="2074"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the provisions of Section 11.02,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211" w:lineRule="exact"/>
        <w:rPr>
          <w:rFonts w:ascii="Arial" w:cs="Arial" w:eastAsia="Arial" w:hAnsi="Arial"/>
          <w:sz w:val="22"/>
          <w:szCs w:val="22"/>
          <w:color w:val="auto"/>
        </w:rPr>
      </w:pPr>
    </w:p>
    <w:p>
      <w:pPr>
        <w:ind w:left="-20" w:right="220" w:firstLine="1304"/>
        <w:spacing w:after="0" w:line="287" w:lineRule="auto"/>
        <w:tabs>
          <w:tab w:leader="none" w:pos="2074"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169" w:lineRule="exact"/>
        <w:rPr>
          <w:rFonts w:ascii="Arial" w:cs="Arial" w:eastAsia="Arial" w:hAnsi="Arial"/>
          <w:sz w:val="19"/>
          <w:szCs w:val="19"/>
          <w:color w:val="auto"/>
        </w:rPr>
      </w:pPr>
    </w:p>
    <w:p>
      <w:pPr>
        <w:jc w:val="both"/>
        <w:ind w:left="-20" w:right="160" w:firstLine="1304"/>
        <w:spacing w:after="0"/>
        <w:tabs>
          <w:tab w:leader="none" w:pos="20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pacing w:after="0" w:line="213" w:lineRule="exact"/>
        <w:rPr>
          <w:rFonts w:ascii="Arial" w:cs="Arial" w:eastAsia="Arial" w:hAnsi="Arial"/>
          <w:sz w:val="22"/>
          <w:szCs w:val="22"/>
          <w:color w:val="auto"/>
        </w:rPr>
      </w:pPr>
    </w:p>
    <w:p>
      <w:pPr>
        <w:ind w:left="-20" w:right="20" w:firstLine="1304"/>
        <w:spacing w:after="0" w:line="257" w:lineRule="auto"/>
        <w:tabs>
          <w:tab w:leader="none" w:pos="2074" w:val="left"/>
        </w:tabs>
        <w:numPr>
          <w:ilvl w:val="0"/>
          <w:numId w:val="69"/>
        </w:numPr>
        <w:rPr>
          <w:rFonts w:ascii="Arial" w:cs="Arial" w:eastAsia="Arial" w:hAnsi="Arial"/>
          <w:sz w:val="21"/>
          <w:szCs w:val="21"/>
          <w:color w:val="auto"/>
        </w:rPr>
      </w:pPr>
      <w:r>
        <w:rPr>
          <w:rFonts w:ascii="Arial" w:cs="Arial" w:eastAsia="Arial" w:hAnsi="Arial"/>
          <w:sz w:val="21"/>
          <w:szCs w:val="21"/>
          <w:color w:val="auto"/>
        </w:rPr>
        <w:t>Subject to the provisions of Section 11.02, the Trustee shall not be deemed to have knowledge or notice of any Default or Event of Default unless a Responsible Officer of the Trustee has actual knowledge thereof or unless the Holders of not less than 25% of the Outstanding Securities notify the Trustee thereof.</w:t>
      </w:r>
    </w:p>
    <w:p>
      <w:pPr>
        <w:spacing w:after="0" w:line="196" w:lineRule="exact"/>
        <w:rPr>
          <w:rFonts w:ascii="Arial" w:cs="Arial" w:eastAsia="Arial" w:hAnsi="Arial"/>
          <w:sz w:val="21"/>
          <w:szCs w:val="21"/>
          <w:color w:val="auto"/>
        </w:rPr>
      </w:pPr>
    </w:p>
    <w:p>
      <w:pPr>
        <w:ind w:left="-20" w:right="200" w:firstLine="1304"/>
        <w:spacing w:after="0" w:line="287" w:lineRule="auto"/>
        <w:tabs>
          <w:tab w:leader="none" w:pos="2074"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66" w:name="page67"/>
    <w:bookmarkEnd w:id="66"/>
    <w:p>
      <w:pPr>
        <w:ind w:right="20" w:firstLine="1304"/>
        <w:spacing w:after="0" w:line="329" w:lineRule="auto"/>
        <w:tabs>
          <w:tab w:leader="none" w:pos="208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30" w:lineRule="exact"/>
        <w:rPr>
          <w:rFonts w:ascii="Arial" w:cs="Arial" w:eastAsia="Arial" w:hAnsi="Arial"/>
          <w:sz w:val="19"/>
          <w:szCs w:val="19"/>
          <w:color w:val="auto"/>
        </w:rPr>
      </w:pPr>
    </w:p>
    <w:p>
      <w:pPr>
        <w:ind w:right="140" w:firstLine="1304"/>
        <w:spacing w:after="0" w:line="257" w:lineRule="auto"/>
        <w:tabs>
          <w:tab w:leader="none" w:pos="2142" w:val="left"/>
        </w:tabs>
        <w:numPr>
          <w:ilvl w:val="0"/>
          <w:numId w:val="70"/>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96" w:lineRule="exact"/>
        <w:rPr>
          <w:rFonts w:ascii="Arial" w:cs="Arial" w:eastAsia="Arial" w:hAnsi="Arial"/>
          <w:sz w:val="21"/>
          <w:szCs w:val="21"/>
          <w:color w:val="auto"/>
        </w:rPr>
      </w:pPr>
    </w:p>
    <w:p>
      <w:pPr>
        <w:ind w:left="2100" w:hanging="796"/>
        <w:spacing w:after="0"/>
        <w:tabs>
          <w:tab w:leader="none" w:pos="2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duties hereunder.</w:t>
      </w:r>
    </w:p>
    <w:p>
      <w:pPr>
        <w:spacing w:after="0" w:line="215" w:lineRule="exact"/>
        <w:rPr>
          <w:rFonts w:ascii="Arial" w:cs="Arial" w:eastAsia="Arial" w:hAnsi="Arial"/>
          <w:sz w:val="19"/>
          <w:szCs w:val="19"/>
          <w:color w:val="auto"/>
        </w:rPr>
      </w:pPr>
    </w:p>
    <w:p>
      <w:pPr>
        <w:ind w:right="380" w:firstLine="1304"/>
        <w:spacing w:after="0" w:line="250" w:lineRule="auto"/>
        <w:tabs>
          <w:tab w:leader="none" w:pos="208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 certificate setting forth the names of individuals and/or titles of officers authorized at such time to take specified actions pursuant to this Indenture.</w:t>
      </w:r>
    </w:p>
    <w:p>
      <w:pPr>
        <w:spacing w:after="0" w:line="20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33" w:lineRule="exact"/>
        <w:rPr>
          <w:sz w:val="20"/>
          <w:szCs w:val="20"/>
          <w:color w:val="auto"/>
        </w:rPr>
      </w:pPr>
    </w:p>
    <w:p>
      <w:pPr>
        <w:ind w:right="140" w:firstLine="1304"/>
        <w:spacing w:after="0" w:line="287" w:lineRule="auto"/>
        <w:tabs>
          <w:tab w:leader="none" w:pos="213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69" w:lineRule="exact"/>
        <w:rPr>
          <w:rFonts w:ascii="Arial" w:cs="Arial" w:eastAsia="Arial" w:hAnsi="Arial"/>
          <w:sz w:val="19"/>
          <w:szCs w:val="19"/>
          <w:color w:val="auto"/>
        </w:rPr>
      </w:pPr>
    </w:p>
    <w:p>
      <w:pPr>
        <w:jc w:val="both"/>
        <w:ind w:right="180" w:firstLine="1304"/>
        <w:spacing w:after="0"/>
        <w:tabs>
          <w:tab w:leader="none" w:pos="2088"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213" w:lineRule="exact"/>
        <w:rPr>
          <w:rFonts w:ascii="Arial" w:cs="Arial" w:eastAsia="Arial" w:hAnsi="Arial"/>
          <w:sz w:val="22"/>
          <w:szCs w:val="22"/>
          <w:color w:val="auto"/>
        </w:rPr>
      </w:pPr>
    </w:p>
    <w:p>
      <w:pPr>
        <w:ind w:left="660" w:firstLine="1292"/>
        <w:spacing w:after="0" w:line="250" w:lineRule="auto"/>
        <w:tabs>
          <w:tab w:leader="none" w:pos="2754" w:val="left"/>
        </w:tabs>
        <w:numPr>
          <w:ilvl w:val="1"/>
          <w:numId w:val="71"/>
        </w:numPr>
        <w:rPr>
          <w:rFonts w:ascii="Arial" w:cs="Arial" w:eastAsia="Arial" w:hAnsi="Arial"/>
          <w:sz w:val="22"/>
          <w:szCs w:val="22"/>
          <w:color w:val="auto"/>
        </w:rPr>
      </w:pPr>
      <w:r>
        <w:rPr>
          <w:rFonts w:ascii="Arial" w:cs="Arial" w:eastAsia="Arial" w:hAnsi="Arial"/>
          <w:sz w:val="22"/>
          <w:szCs w:val="22"/>
          <w:color w:val="auto"/>
        </w:rPr>
        <w:t>unless and until an Event of Default specified in Section 7.01 with respect to the Securities of any series shall have happened which at the time is continuing,</w:t>
      </w:r>
    </w:p>
    <w:p>
      <w:pPr>
        <w:spacing w:after="0" w:line="201" w:lineRule="exact"/>
        <w:rPr>
          <w:rFonts w:ascii="Arial" w:cs="Arial" w:eastAsia="Arial" w:hAnsi="Arial"/>
          <w:sz w:val="22"/>
          <w:szCs w:val="22"/>
          <w:color w:val="auto"/>
        </w:rPr>
      </w:pPr>
    </w:p>
    <w:p>
      <w:pPr>
        <w:ind w:left="660" w:right="120" w:firstLine="1940"/>
        <w:spacing w:after="0" w:line="238" w:lineRule="auto"/>
        <w:tabs>
          <w:tab w:leader="none" w:pos="3444"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211" w:lineRule="exact"/>
        <w:rPr>
          <w:rFonts w:ascii="Arial" w:cs="Arial" w:eastAsia="Arial" w:hAnsi="Arial"/>
          <w:sz w:val="22"/>
          <w:szCs w:val="22"/>
          <w:color w:val="auto"/>
        </w:rPr>
      </w:pPr>
    </w:p>
    <w:p>
      <w:pPr>
        <w:ind w:left="660" w:right="60" w:firstLine="1940"/>
        <w:spacing w:after="0" w:line="234" w:lineRule="auto"/>
        <w:tabs>
          <w:tab w:leader="none" w:pos="3486"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7" w:name="page68"/>
    <w:bookmarkEnd w:id="67"/>
    <w:p>
      <w:pPr>
        <w:ind w:left="660" w:right="40" w:firstLine="1292"/>
        <w:spacing w:after="0" w:line="241" w:lineRule="auto"/>
        <w:tabs>
          <w:tab w:leader="none" w:pos="27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210" w:lineRule="exact"/>
        <w:rPr>
          <w:rFonts w:ascii="Arial" w:cs="Arial" w:eastAsia="Arial" w:hAnsi="Arial"/>
          <w:sz w:val="22"/>
          <w:szCs w:val="22"/>
          <w:color w:val="auto"/>
        </w:rPr>
      </w:pPr>
    </w:p>
    <w:p>
      <w:pPr>
        <w:jc w:val="both"/>
        <w:ind w:left="660" w:firstLine="1292"/>
        <w:spacing w:after="0" w:line="238" w:lineRule="auto"/>
        <w:tabs>
          <w:tab w:leader="none" w:pos="2766"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211" w:lineRule="exact"/>
        <w:rPr>
          <w:rFonts w:ascii="Arial" w:cs="Arial" w:eastAsia="Arial" w:hAnsi="Arial"/>
          <w:sz w:val="22"/>
          <w:szCs w:val="22"/>
          <w:color w:val="auto"/>
        </w:rPr>
      </w:pPr>
    </w:p>
    <w:p>
      <w:pPr>
        <w:ind w:right="40" w:firstLine="1304"/>
        <w:spacing w:after="0" w:line="238" w:lineRule="auto"/>
        <w:tabs>
          <w:tab w:leader="none" w:pos="2130"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11" w:lineRule="exact"/>
        <w:rPr>
          <w:rFonts w:ascii="Arial" w:cs="Arial" w:eastAsia="Arial" w:hAnsi="Arial"/>
          <w:sz w:val="22"/>
          <w:szCs w:val="22"/>
          <w:color w:val="auto"/>
        </w:rPr>
      </w:pPr>
    </w:p>
    <w:p>
      <w:pPr>
        <w:ind w:right="60" w:firstLine="1304"/>
        <w:spacing w:after="0" w:line="328" w:lineRule="auto"/>
        <w:tabs>
          <w:tab w:leader="none" w:pos="208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32"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Notice of Defaults</w:t>
      </w:r>
      <w:r>
        <w:rPr>
          <w:rFonts w:ascii="Arial" w:cs="Arial" w:eastAsia="Arial" w:hAnsi="Arial"/>
          <w:sz w:val="19"/>
          <w:szCs w:val="19"/>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8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33" w:lineRule="exact"/>
        <w:rPr>
          <w:sz w:val="20"/>
          <w:szCs w:val="20"/>
          <w:color w:val="auto"/>
        </w:rPr>
      </w:pPr>
    </w:p>
    <w:p>
      <w:pPr>
        <w:ind w:right="120" w:firstLine="1304"/>
        <w:spacing w:after="0" w:line="287" w:lineRule="auto"/>
        <w:tabs>
          <w:tab w:leader="none" w:pos="213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ind w:right="100" w:firstLine="1304"/>
        <w:spacing w:after="0" w:line="274" w:lineRule="auto"/>
        <w:tabs>
          <w:tab w:leader="none" w:pos="208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Trustee shall comply with TIA Section 310(b);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86"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Resignation and Notice; Removal</w:t>
      </w:r>
      <w:r>
        <w:rPr>
          <w:rFonts w:ascii="Arial" w:cs="Arial" w:eastAsia="Arial" w:hAnsi="Arial"/>
          <w:sz w:val="21"/>
          <w:szCs w:val="21"/>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If at any time:</w:t>
      </w:r>
    </w:p>
    <w:p>
      <w:pPr>
        <w:spacing w:after="0" w:line="233" w:lineRule="exact"/>
        <w:rPr>
          <w:sz w:val="20"/>
          <w:szCs w:val="20"/>
          <w:color w:val="auto"/>
        </w:rPr>
      </w:pPr>
    </w:p>
    <w:p>
      <w:pPr>
        <w:ind w:left="660" w:right="180" w:firstLine="644"/>
        <w:spacing w:after="0" w:line="257" w:lineRule="auto"/>
        <w:tabs>
          <w:tab w:leader="none" w:pos="215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96" w:lineRule="exact"/>
        <w:rPr>
          <w:rFonts w:ascii="Arial" w:cs="Arial" w:eastAsia="Arial" w:hAnsi="Arial"/>
          <w:sz w:val="21"/>
          <w:szCs w:val="21"/>
          <w:color w:val="auto"/>
        </w:rPr>
      </w:pPr>
    </w:p>
    <w:p>
      <w:pPr>
        <w:ind w:left="660" w:right="160" w:firstLine="644"/>
        <w:spacing w:after="0" w:line="257" w:lineRule="auto"/>
        <w:tabs>
          <w:tab w:leader="none" w:pos="215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96" w:lineRule="exact"/>
        <w:rPr>
          <w:rFonts w:ascii="Arial" w:cs="Arial" w:eastAsia="Arial" w:hAnsi="Arial"/>
          <w:sz w:val="21"/>
          <w:szCs w:val="21"/>
          <w:color w:val="auto"/>
        </w:rPr>
      </w:pPr>
    </w:p>
    <w:p>
      <w:pPr>
        <w:ind w:left="660" w:right="20" w:firstLine="644"/>
        <w:spacing w:after="0"/>
        <w:tabs>
          <w:tab w:leader="none" w:pos="215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right="320"/>
        <w:spacing w:after="0"/>
        <w:rPr>
          <w:sz w:val="20"/>
          <w:szCs w:val="20"/>
          <w:color w:val="auto"/>
        </w:rPr>
      </w:pPr>
      <w:r>
        <w:rPr>
          <w:rFonts w:ascii="Arial" w:cs="Arial" w:eastAsia="Arial" w:hAnsi="Arial"/>
          <w:sz w:val="22"/>
          <w:szCs w:val="22"/>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214"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6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u w:val="single" w:color="auto"/>
          <w:color w:val="auto"/>
        </w:rPr>
        <w:t>Successor Trustee by Appointment</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2" w:lineRule="auto"/>
        <w:tabs>
          <w:tab w:leader="none" w:pos="213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87" w:lineRule="exact"/>
        <w:rPr>
          <w:rFonts w:ascii="Arial" w:cs="Arial" w:eastAsia="Arial" w:hAnsi="Arial"/>
          <w:sz w:val="19"/>
          <w:szCs w:val="19"/>
          <w:color w:val="auto"/>
        </w:rPr>
      </w:pPr>
    </w:p>
    <w:p>
      <w:pPr>
        <w:ind w:right="20" w:firstLine="1304"/>
        <w:spacing w:after="0" w:line="275" w:lineRule="auto"/>
        <w:tabs>
          <w:tab w:leader="none" w:pos="20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any Trustee with respect to the Securities of one or more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0" w:name="page71"/>
    <w:bookmarkEnd w:id="70"/>
    <w:p>
      <w:pPr>
        <w:ind w:right="20" w:firstLine="1304"/>
        <w:spacing w:after="0" w:line="270" w:lineRule="auto"/>
        <w:tabs>
          <w:tab w:leader="none" w:pos="20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200" w:lineRule="exact"/>
        <w:rPr>
          <w:sz w:val="20"/>
          <w:szCs w:val="20"/>
          <w:color w:val="auto"/>
        </w:rPr>
      </w:pPr>
    </w:p>
    <w:p>
      <w:pPr>
        <w:spacing w:after="0" w:line="24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Successor Trustee by Merger</w:t>
      </w:r>
      <w:r>
        <w:rPr>
          <w:rFonts w:ascii="Arial" w:cs="Arial" w:eastAsia="Arial" w:hAnsi="Arial"/>
          <w:sz w:val="19"/>
          <w:szCs w:val="19"/>
          <w:color w:val="auto"/>
        </w:rPr>
        <w:t xml:space="preserve">.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adopt the certificate of authentication of any predecessor Trustee or authenticate Securities in the name of any predecessor Trustee shall apply only to its successor or successors by merger, conversion or consolidation.</w:t>
      </w:r>
    </w:p>
    <w:p>
      <w:pPr>
        <w:spacing w:after="0" w:line="187"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Section 11.08 </w:t>
      </w:r>
      <w:r>
        <w:rPr>
          <w:rFonts w:ascii="Arial" w:cs="Arial" w:eastAsia="Arial" w:hAnsi="Arial"/>
          <w:sz w:val="21"/>
          <w:szCs w:val="21"/>
          <w:u w:val="single" w:color="auto"/>
          <w:color w:val="auto"/>
        </w:rPr>
        <w:t>Right to Rely on Officer’s Certificate</w:t>
      </w:r>
      <w:r>
        <w:rPr>
          <w:rFonts w:ascii="Arial" w:cs="Arial" w:eastAsia="Arial" w:hAnsi="Arial"/>
          <w:sz w:val="21"/>
          <w:szCs w:val="21"/>
          <w:color w:val="auto"/>
        </w:rPr>
        <w:t>. 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or willful misconduct on the part of the Trustee, be deemed to be conclusively proved and established by an Officer’s Certificate with respect thereto delivered to the Trustee, and such Officer’s Certificate, in the absence of negligence or willful misconduct on the part of the Trustee, shall be full warrant to the Trustee for any action taken, suffered or omitted by it under the provisions of this Indenture upon the faith thereof.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firstLine="648"/>
        <w:spacing w:after="0" w:line="234" w:lineRule="auto"/>
        <w:rPr>
          <w:sz w:val="20"/>
          <w:szCs w:val="20"/>
          <w:color w:val="auto"/>
        </w:rPr>
      </w:pPr>
      <w:r>
        <w:rPr>
          <w:rFonts w:ascii="Arial" w:cs="Arial" w:eastAsia="Arial" w:hAnsi="Arial"/>
          <w:sz w:val="22"/>
          <w:szCs w:val="22"/>
          <w:color w:val="auto"/>
        </w:rPr>
        <w:t xml:space="preserve">Section 11.09 </w:t>
      </w:r>
      <w:r>
        <w:rPr>
          <w:rFonts w:ascii="Arial" w:cs="Arial" w:eastAsia="Arial" w:hAnsi="Arial"/>
          <w:sz w:val="22"/>
          <w:szCs w:val="22"/>
          <w:u w:val="single" w:color="auto"/>
          <w:color w:val="auto"/>
        </w:rPr>
        <w:t>Appointment of Authenticating Agent</w:t>
      </w:r>
      <w:r>
        <w:rPr>
          <w:rFonts w:ascii="Arial" w:cs="Arial" w:eastAsia="Arial" w:hAnsi="Arial"/>
          <w:sz w:val="22"/>
          <w:szCs w:val="22"/>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21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8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Company agrees to pay to each Authenticating Agent from time to time reasonable compensation for its services under this Section 11.09.</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ind w:right="160" w:firstLine="648"/>
        <w:spacing w:after="0" w:line="238"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Communications by Securityholders with Other Securityholders</w:t>
      </w:r>
      <w:r>
        <w:rPr>
          <w:rFonts w:ascii="Arial" w:cs="Arial" w:eastAsia="Arial" w:hAnsi="Arial"/>
          <w:sz w:val="22"/>
          <w:szCs w:val="22"/>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SATISFACTION AND DISCHARGE; DEFEASANCE</w:t>
      </w:r>
    </w:p>
    <w:p>
      <w:pPr>
        <w:spacing w:after="0" w:line="239"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 If pursuant to Section 3.01, provision is made for the defeasance of Securities of a series and if the Securities of such series are denominated and payable only in U.S. Dollars(except as provided pursuant to Section 3.01), then the provisions of this Article shall be applicable except as otherwise specified pursuant to Section 3.01 for Securities of such series. Defeasance provisions, if any, for Securities denominated in a Foreign Currency may be specified pursuant to Section 3.01.</w:t>
      </w:r>
    </w:p>
    <w:p>
      <w:pPr>
        <w:spacing w:after="0" w:line="214"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Satisfaction and Discharge of Indenture</w:t>
      </w:r>
      <w:r>
        <w:rPr>
          <w:rFonts w:ascii="Arial" w:cs="Arial" w:eastAsia="Arial" w:hAnsi="Arial"/>
          <w:sz w:val="19"/>
          <w:szCs w:val="19"/>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rights to receive payments of principal of and premium, if any, and interest on such Securities), and the Trustee, at the expense of the Company, shall execute proper instruments acknowledging satisfaction and discharge of this Indenture, when,</w:t>
      </w:r>
    </w:p>
    <w:p>
      <w:pPr>
        <w:spacing w:after="0" w:line="174" w:lineRule="exact"/>
        <w:rPr>
          <w:sz w:val="20"/>
          <w:szCs w:val="20"/>
          <w:color w:val="auto"/>
        </w:rPr>
      </w:pPr>
    </w:p>
    <w:p>
      <w:pPr>
        <w:ind w:left="2140" w:hanging="836"/>
        <w:spacing w:after="0"/>
        <w:tabs>
          <w:tab w:leader="none" w:pos="21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ind w:left="660" w:right="60" w:firstLine="1292"/>
        <w:spacing w:after="0" w:line="236" w:lineRule="auto"/>
        <w:tabs>
          <w:tab w:leader="none" w:pos="2754" w:val="left"/>
        </w:tabs>
        <w:numPr>
          <w:ilvl w:val="1"/>
          <w:numId w:val="79"/>
        </w:numPr>
        <w:rPr>
          <w:rFonts w:ascii="Arial" w:cs="Arial" w:eastAsia="Arial" w:hAnsi="Arial"/>
          <w:sz w:val="22"/>
          <w:szCs w:val="22"/>
          <w:color w:val="auto"/>
        </w:rPr>
      </w:pPr>
      <w:r>
        <w:rPr>
          <w:rFonts w:ascii="Arial" w:cs="Arial" w:eastAsia="Arial" w:hAnsi="Arial"/>
          <w:sz w:val="22"/>
          <w:szCs w:val="22"/>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 have been delivered to the Trustee for cancellation; or</w:t>
      </w:r>
    </w:p>
    <w:p>
      <w:pPr>
        <w:spacing w:after="0" w:line="214" w:lineRule="exact"/>
        <w:rPr>
          <w:rFonts w:ascii="Arial" w:cs="Arial" w:eastAsia="Arial" w:hAnsi="Arial"/>
          <w:sz w:val="22"/>
          <w:szCs w:val="22"/>
          <w:color w:val="auto"/>
        </w:rPr>
      </w:pPr>
    </w:p>
    <w:p>
      <w:pPr>
        <w:ind w:left="2760" w:hanging="808"/>
        <w:spacing w:after="0"/>
        <w:tabs>
          <w:tab w:leader="none" w:pos="276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all Securities of such series not theretofore delivered to the Trustee for cancellation,</w:t>
      </w:r>
    </w:p>
    <w:p>
      <w:pPr>
        <w:spacing w:after="0" w:line="233" w:lineRule="exact"/>
        <w:rPr>
          <w:rFonts w:ascii="Arial" w:cs="Arial" w:eastAsia="Arial" w:hAnsi="Arial"/>
          <w:sz w:val="22"/>
          <w:szCs w:val="22"/>
          <w:color w:val="auto"/>
        </w:rPr>
      </w:pPr>
    </w:p>
    <w:p>
      <w:pPr>
        <w:ind w:left="3440" w:hanging="840"/>
        <w:spacing w:after="0"/>
        <w:tabs>
          <w:tab w:leader="none" w:pos="3440" w:val="left"/>
        </w:tabs>
        <w:numPr>
          <w:ilvl w:val="2"/>
          <w:numId w:val="79"/>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33" w:lineRule="exact"/>
        <w:rPr>
          <w:rFonts w:ascii="Arial" w:cs="Arial" w:eastAsia="Arial" w:hAnsi="Arial"/>
          <w:sz w:val="22"/>
          <w:szCs w:val="22"/>
          <w:color w:val="auto"/>
        </w:rPr>
      </w:pPr>
    </w:p>
    <w:p>
      <w:pPr>
        <w:ind w:left="3420" w:hanging="820"/>
        <w:spacing w:after="0"/>
        <w:tabs>
          <w:tab w:leader="none" w:pos="3420" w:val="left"/>
        </w:tabs>
        <w:numPr>
          <w:ilvl w:val="2"/>
          <w:numId w:val="79"/>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ind w:left="660" w:right="200" w:firstLine="1940"/>
        <w:spacing w:after="0" w:line="297" w:lineRule="auto"/>
        <w:tabs>
          <w:tab w:leader="none" w:pos="3486"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161" w:lineRule="exact"/>
        <w:rPr>
          <w:sz w:val="20"/>
          <w:szCs w:val="20"/>
          <w:color w:val="auto"/>
        </w:rPr>
      </w:pPr>
    </w:p>
    <w:p>
      <w:pPr>
        <w:ind w:left="1300" w:right="60"/>
        <w:spacing w:after="0" w:line="275" w:lineRule="auto"/>
        <w:rPr>
          <w:sz w:val="20"/>
          <w:szCs w:val="20"/>
          <w:color w:val="auto"/>
        </w:rPr>
      </w:pPr>
      <w:r>
        <w:rPr>
          <w:rFonts w:ascii="Arial" w:cs="Arial" w:eastAsia="Arial" w:hAnsi="Arial"/>
          <w:sz w:val="19"/>
          <w:szCs w:val="19"/>
          <w:color w:val="auto"/>
        </w:rPr>
        <w:t>and the Company, in the case of (A), (B) or (C) above, has deposited or caused to be deposited with the Trustee or Paying Agent as trust funds in trust for the purpose an amount in the Currency in which such Securities are denominated (except as otherwise provided pursuant to Section 3.01) sufficient, in the opinion of an independent firm or certified public accountants,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w:t>
      </w:r>
    </w:p>
    <w:p>
      <w:pPr>
        <w:spacing w:after="0" w:line="184" w:lineRule="exact"/>
        <w:rPr>
          <w:sz w:val="20"/>
          <w:szCs w:val="20"/>
          <w:color w:val="auto"/>
        </w:rPr>
      </w:pPr>
    </w:p>
    <w:p>
      <w:pPr>
        <w:ind w:left="2100" w:hanging="796"/>
        <w:spacing w:after="0"/>
        <w:tabs>
          <w:tab w:leader="none" w:pos="2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hereunder by the Company; and</w:t>
      </w:r>
    </w:p>
    <w:p>
      <w:pPr>
        <w:spacing w:after="0" w:line="267" w:lineRule="exact"/>
        <w:rPr>
          <w:rFonts w:ascii="Arial" w:cs="Arial" w:eastAsia="Arial" w:hAnsi="Arial"/>
          <w:sz w:val="19"/>
          <w:szCs w:val="19"/>
          <w:color w:val="auto"/>
        </w:rPr>
      </w:pPr>
    </w:p>
    <w:p>
      <w:pPr>
        <w:ind w:firstLine="1304"/>
        <w:spacing w:after="0"/>
        <w:tabs>
          <w:tab w:leader="none" w:pos="213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213" w:lineRule="exact"/>
        <w:rPr>
          <w:sz w:val="20"/>
          <w:szCs w:val="20"/>
          <w:color w:val="auto"/>
        </w:rPr>
      </w:pPr>
    </w:p>
    <w:p>
      <w:pPr>
        <w:ind w:left="1300" w:right="160"/>
        <w:spacing w:after="0" w:line="297"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under Section 11.01 and, if money shall have been deposited with the Trustee pursuant to subclause (B) of clause (a)(i) of this Section, the obligations of the Trustee under Section 12.07 and Section 6.03(e) shall survive.</w:t>
      </w:r>
    </w:p>
    <w:p>
      <w:pPr>
        <w:spacing w:after="0" w:line="161"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 xml:space="preserve">Section 12.03 </w:t>
      </w:r>
      <w:r>
        <w:rPr>
          <w:rFonts w:ascii="Arial" w:cs="Arial" w:eastAsia="Arial" w:hAnsi="Arial"/>
          <w:sz w:val="21"/>
          <w:szCs w:val="21"/>
          <w:u w:val="single" w:color="auto"/>
          <w:color w:val="auto"/>
        </w:rPr>
        <w:t>Defeasance and Covenant Defeasance upon Deposit of Moneys or U.S. Government Obligations</w:t>
      </w:r>
      <w:r>
        <w:rPr>
          <w:rFonts w:ascii="Arial" w:cs="Arial" w:eastAsia="Arial" w:hAnsi="Arial"/>
          <w:sz w:val="21"/>
          <w:szCs w:val="21"/>
          <w:color w:val="auto"/>
        </w:rPr>
        <w:t>. 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at any time after the applicable conditions set forth below have been satisfied (such action under clauses (a) or (b) of this paragraph in no circumstance may be construed as an Event of Default under Section 7.01):</w:t>
      </w:r>
    </w:p>
    <w:p>
      <w:pPr>
        <w:spacing w:after="0" w:line="207" w:lineRule="exact"/>
        <w:rPr>
          <w:sz w:val="20"/>
          <w:szCs w:val="20"/>
          <w:color w:val="auto"/>
        </w:rPr>
      </w:pPr>
    </w:p>
    <w:p>
      <w:pPr>
        <w:ind w:right="100" w:firstLine="1304"/>
        <w:spacing w:after="0" w:line="277" w:lineRule="auto"/>
        <w:tabs>
          <w:tab w:leader="none" w:pos="213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U.S. Government Obligations (as defined below)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ind w:firstLine="1304"/>
        <w:spacing w:after="0"/>
        <w:tabs>
          <w:tab w:leader="none" w:pos="2142"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213" w:lineRule="exact"/>
        <w:rPr>
          <w:rFonts w:ascii="Arial" w:cs="Arial" w:eastAsia="Arial" w:hAnsi="Arial"/>
          <w:sz w:val="22"/>
          <w:szCs w:val="22"/>
          <w:color w:val="auto"/>
        </w:rPr>
      </w:pPr>
    </w:p>
    <w:p>
      <w:pPr>
        <w:ind w:firstLine="1304"/>
        <w:spacing w:after="0" w:line="279" w:lineRule="auto"/>
        <w:tabs>
          <w:tab w:leader="none" w:pos="213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177" w:lineRule="exact"/>
        <w:rPr>
          <w:rFonts w:ascii="Arial" w:cs="Arial" w:eastAsia="Arial" w:hAnsi="Arial"/>
          <w:sz w:val="19"/>
          <w:szCs w:val="19"/>
          <w:color w:val="auto"/>
        </w:rPr>
      </w:pPr>
    </w:p>
    <w:p>
      <w:pPr>
        <w:ind w:right="400" w:firstLine="1304"/>
        <w:spacing w:after="0" w:line="279" w:lineRule="auto"/>
        <w:tabs>
          <w:tab w:leader="none" w:pos="2142"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177" w:lineRule="exact"/>
        <w:rPr>
          <w:rFonts w:ascii="Arial" w:cs="Arial" w:eastAsia="Arial" w:hAnsi="Arial"/>
          <w:sz w:val="19"/>
          <w:szCs w:val="19"/>
          <w:color w:val="auto"/>
        </w:rPr>
      </w:pPr>
    </w:p>
    <w:p>
      <w:pPr>
        <w:ind w:right="60" w:firstLine="1304"/>
        <w:spacing w:after="0" w:line="250" w:lineRule="auto"/>
        <w:tabs>
          <w:tab w:leader="none" w:pos="21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to such action under this Indenture have been complied with.</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(B) the Company's obligations with respect to Securities of such series under Sections 3.04, 3.06, 3.07, 6.02, 12.06 and 12.07 and (C) the rights, powers, trusts, duties and immunities of the Trustee hereunder.</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right="100" w:firstLine="648"/>
        <w:spacing w:after="0" w:line="248" w:lineRule="auto"/>
        <w:rPr>
          <w:sz w:val="20"/>
          <w:szCs w:val="20"/>
          <w:color w:val="auto"/>
        </w:rPr>
      </w:pPr>
      <w:r>
        <w:rPr>
          <w:rFonts w:ascii="Arial" w:cs="Arial" w:eastAsia="Arial" w:hAnsi="Arial"/>
          <w:sz w:val="21"/>
          <w:szCs w:val="21"/>
          <w:color w:val="auto"/>
        </w:rPr>
        <w:t xml:space="preserve">Section 12.04 </w:t>
      </w:r>
      <w:r>
        <w:rPr>
          <w:rFonts w:ascii="Arial" w:cs="Arial" w:eastAsia="Arial" w:hAnsi="Arial"/>
          <w:sz w:val="21"/>
          <w:szCs w:val="21"/>
          <w:u w:val="single" w:color="auto"/>
          <w:color w:val="auto"/>
        </w:rPr>
        <w:t>Repayment to Company</w:t>
      </w:r>
      <w:r>
        <w:rPr>
          <w:rFonts w:ascii="Arial" w:cs="Arial" w:eastAsia="Arial" w:hAnsi="Arial"/>
          <w:sz w:val="21"/>
          <w:szCs w:val="21"/>
          <w:color w:val="auto"/>
        </w:rPr>
        <w:t>. The Trustee and any Paying Agent shall promptly pay to the Company (or to its designee) upon Company Order any excess moneys or U.S. Government Obligations held by them at any time including any such moneys or obligations held by the Trustee under any escrow trust agreement entered into pursuant to Section 12.06. The provisions of the last paragraph of Section 6.03 shall apply to any money held by the Trustee or any Paying Agent under this Article that remains unclaimed for two years after the Maturity of any series of Securities for which money or U.S. Government Obligations have been deposited pursuant to Section 12.03.</w:t>
      </w:r>
    </w:p>
    <w:p>
      <w:pPr>
        <w:spacing w:after="0" w:line="20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u w:val="single" w:color="auto"/>
          <w:color w:val="auto"/>
        </w:rPr>
        <w:t>Indemnity for U.S. Government Obligations</w:t>
      </w:r>
      <w:r>
        <w:rPr>
          <w:rFonts w:ascii="Arial" w:cs="Arial" w:eastAsia="Arial" w:hAnsi="Arial"/>
          <w:sz w:val="22"/>
          <w:szCs w:val="22"/>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213"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u w:val="single" w:color="auto"/>
          <w:color w:val="auto"/>
        </w:rPr>
        <w:t>Deposits to Be Held in Escrow</w:t>
      </w:r>
      <w:r>
        <w:rPr>
          <w:rFonts w:ascii="Arial" w:cs="Arial" w:eastAsia="Arial" w:hAnsi="Arial"/>
          <w:sz w:val="19"/>
          <w:szCs w:val="19"/>
          <w:color w:val="auto"/>
        </w:rPr>
        <w:t>. Any deposits with the Trustee referred to in Section 12.03 above shall be irrevocable (except to the extent provided in Sections 12.04 and 12.07)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applications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88"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ind w:left="660"/>
        <w:spacing w:after="0"/>
        <w:tabs>
          <w:tab w:leader="none" w:pos="2260" w:val="left"/>
        </w:tabs>
        <w:rPr>
          <w:sz w:val="20"/>
          <w:szCs w:val="20"/>
          <w:color w:val="auto"/>
        </w:rPr>
      </w:pPr>
      <w:r>
        <w:rPr>
          <w:rFonts w:ascii="Arial" w:cs="Arial" w:eastAsia="Arial" w:hAnsi="Arial"/>
          <w:sz w:val="22"/>
          <w:szCs w:val="22"/>
          <w:color w:val="auto"/>
        </w:rPr>
        <w:t>Section 12.07</w:t>
      </w:r>
      <w:r>
        <w:rPr>
          <w:sz w:val="20"/>
          <w:szCs w:val="20"/>
          <w:color w:val="auto"/>
        </w:rPr>
        <w:tab/>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w:t>
      </w:r>
    </w:p>
    <w:p>
      <w:pPr>
        <w:spacing w:after="0" w:line="234" w:lineRule="exact"/>
        <w:rPr>
          <w:sz w:val="20"/>
          <w:szCs w:val="20"/>
          <w:color w:val="auto"/>
        </w:rPr>
      </w:pPr>
    </w:p>
    <w:p>
      <w:pPr>
        <w:ind w:right="60" w:firstLine="1304"/>
        <w:spacing w:after="0" w:line="245" w:lineRule="auto"/>
        <w:tabs>
          <w:tab w:leader="none" w:pos="2130" w:val="left"/>
        </w:tabs>
        <w:numPr>
          <w:ilvl w:val="0"/>
          <w:numId w:val="84"/>
        </w:numPr>
        <w:rPr>
          <w:rFonts w:ascii="Arial" w:cs="Arial" w:eastAsia="Arial" w:hAnsi="Arial"/>
          <w:sz w:val="21"/>
          <w:szCs w:val="21"/>
          <w:color w:val="auto"/>
        </w:rPr>
      </w:pPr>
      <w:r>
        <w:rPr>
          <w:rFonts w:ascii="Arial" w:cs="Arial" w:eastAsia="Arial" w:hAnsi="Arial"/>
          <w:sz w:val="21"/>
          <w:szCs w:val="21"/>
          <w:color w:val="auto"/>
        </w:rPr>
        <w:t>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Company upon its written request and thereafter, anything in this Indenture to the contrary notwithstanding, any rights of the Holders of Securities of such series in respect of which such moneys shall have been deposited shall be enforceable only against the Company, and all liability of the Trustee or such other Paying Agent with respect to such moneys shall thereafter cease.</w:t>
      </w:r>
    </w:p>
    <w:p>
      <w:pPr>
        <w:spacing w:after="0" w:line="211" w:lineRule="exact"/>
        <w:rPr>
          <w:rFonts w:ascii="Arial" w:cs="Arial" w:eastAsia="Arial" w:hAnsi="Arial"/>
          <w:sz w:val="21"/>
          <w:szCs w:val="21"/>
          <w:color w:val="auto"/>
        </w:rPr>
      </w:pPr>
    </w:p>
    <w:p>
      <w:pPr>
        <w:ind w:right="20" w:firstLine="1304"/>
        <w:spacing w:after="0" w:line="236" w:lineRule="auto"/>
        <w:tabs>
          <w:tab w:leader="none" w:pos="2088"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Subject to the provisions of the foregoing paragraph, any moneys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w:t>
      </w:r>
    </w:p>
    <w:p>
      <w:pPr>
        <w:spacing w:after="0" w:line="214" w:lineRule="exact"/>
        <w:rPr>
          <w:sz w:val="20"/>
          <w:szCs w:val="20"/>
          <w:color w:val="auto"/>
        </w:rPr>
      </w:pPr>
    </w:p>
    <w:p>
      <w:pPr>
        <w:ind w:right="580" w:firstLine="648"/>
        <w:spacing w:after="0" w:line="252" w:lineRule="auto"/>
        <w:rPr>
          <w:sz w:val="20"/>
          <w:szCs w:val="20"/>
          <w:color w:val="auto"/>
        </w:rPr>
      </w:pPr>
      <w:r>
        <w:rPr>
          <w:rFonts w:ascii="Arial" w:cs="Arial" w:eastAsia="Arial" w:hAnsi="Arial"/>
          <w:sz w:val="21"/>
          <w:szCs w:val="21"/>
          <w:color w:val="auto"/>
        </w:rPr>
        <w:t xml:space="preserve">Section 12.08 </w:t>
      </w:r>
      <w:r>
        <w:rPr>
          <w:rFonts w:ascii="Arial" w:cs="Arial" w:eastAsia="Arial" w:hAnsi="Arial"/>
          <w:sz w:val="21"/>
          <w:szCs w:val="21"/>
          <w:u w:val="single" w:color="auto"/>
          <w:color w:val="auto"/>
        </w:rPr>
        <w:t>Deposits of Non-U.S. Currencies</w:t>
      </w:r>
      <w:r>
        <w:rPr>
          <w:rFonts w:ascii="Arial" w:cs="Arial" w:eastAsia="Arial" w:hAnsi="Arial"/>
          <w:sz w:val="21"/>
          <w:szCs w:val="21"/>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IMMUNITY OF CERTAIN PERSONS</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u w:val="single" w:color="auto"/>
          <w:color w:val="auto"/>
        </w:rPr>
        <w:t>No Personal Liability</w:t>
      </w:r>
      <w:r>
        <w:rPr>
          <w:rFonts w:ascii="Arial" w:cs="Arial" w:eastAsia="Arial" w:hAnsi="Arial"/>
          <w:sz w:val="19"/>
          <w:szCs w:val="19"/>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entity, either directly or through the Company or any successor entity, whether by virtue of any constitutional provision, statute or rule of law, or by the enforcement of any assessment or penalty or otherwise; it being expressly agreed and understood that this Indenture and the Securities are solely company obligations, and that no personal liability whatsoever shall attach to, or be incurred by, any incorporator, stockholder, officer or director, as such, past, present or future, of the Company or of any successor entity, either directly or through the Company or any successor entity,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ARTICLE XIV</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SUPPLEMENTAL INDENTURES</w:t>
      </w:r>
    </w:p>
    <w:p>
      <w:pPr>
        <w:spacing w:after="0" w:line="239" w:lineRule="exact"/>
        <w:rPr>
          <w:sz w:val="20"/>
          <w:szCs w:val="20"/>
          <w:color w:val="auto"/>
        </w:rPr>
      </w:pPr>
    </w:p>
    <w:p>
      <w:pPr>
        <w:jc w:val="both"/>
        <w:ind w:right="300" w:firstLine="648"/>
        <w:spacing w:after="0" w:line="297" w:lineRule="auto"/>
        <w:rPr>
          <w:sz w:val="20"/>
          <w:szCs w:val="20"/>
          <w:color w:val="auto"/>
        </w:rPr>
      </w:pPr>
      <w:r>
        <w:rPr>
          <w:rFonts w:ascii="Arial" w:cs="Arial" w:eastAsia="Arial" w:hAnsi="Arial"/>
          <w:sz w:val="19"/>
          <w:szCs w:val="19"/>
          <w:color w:val="auto"/>
        </w:rPr>
        <w:t xml:space="preserve">Section 14.01 </w:t>
      </w:r>
      <w:r>
        <w:rPr>
          <w:rFonts w:ascii="Arial" w:cs="Arial" w:eastAsia="Arial" w:hAnsi="Arial"/>
          <w:sz w:val="19"/>
          <w:szCs w:val="19"/>
          <w:u w:val="single" w:color="auto"/>
          <w:color w:val="auto"/>
        </w:rPr>
        <w:t>Without Consent of Securityholders</w:t>
      </w:r>
      <w:r>
        <w:rPr>
          <w:rFonts w:ascii="Arial" w:cs="Arial" w:eastAsia="Arial" w:hAnsi="Arial"/>
          <w:sz w:val="19"/>
          <w:szCs w:val="19"/>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61" w:lineRule="exact"/>
        <w:rPr>
          <w:sz w:val="20"/>
          <w:szCs w:val="20"/>
          <w:color w:val="auto"/>
        </w:rPr>
      </w:pPr>
    </w:p>
    <w:p>
      <w:pPr>
        <w:ind w:right="60" w:firstLine="1304"/>
        <w:spacing w:after="0" w:line="235" w:lineRule="auto"/>
        <w:tabs>
          <w:tab w:leader="none" w:pos="213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214" w:lineRule="exact"/>
        <w:rPr>
          <w:rFonts w:ascii="Arial" w:cs="Arial" w:eastAsia="Arial" w:hAnsi="Arial"/>
          <w:sz w:val="22"/>
          <w:szCs w:val="22"/>
          <w:color w:val="auto"/>
        </w:rPr>
      </w:pPr>
    </w:p>
    <w:p>
      <w:pPr>
        <w:ind w:firstLine="1304"/>
        <w:spacing w:after="0" w:line="287" w:lineRule="auto"/>
        <w:tabs>
          <w:tab w:leader="none" w:pos="214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delete or modify any Events of Default with respect to all or any series of the Securities, the form and terms of which are being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69" w:lineRule="exact"/>
        <w:rPr>
          <w:rFonts w:ascii="Arial" w:cs="Arial" w:eastAsia="Arial" w:hAnsi="Arial"/>
          <w:sz w:val="19"/>
          <w:szCs w:val="19"/>
          <w:color w:val="auto"/>
        </w:rPr>
      </w:pPr>
    </w:p>
    <w:p>
      <w:pPr>
        <w:ind w:right="380" w:firstLine="1304"/>
        <w:spacing w:after="0"/>
        <w:tabs>
          <w:tab w:leader="none" w:pos="213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to add to or change any of the provisions of this Indenture to provide, change or eliminate any restrictions on the payment of principal of or premium, if any, on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action shall not adversely affect the interests of the Holders of Securities of any series in any material respect;</w:t>
      </w:r>
    </w:p>
    <w:p>
      <w:pPr>
        <w:spacing w:after="0" w:line="213" w:lineRule="exact"/>
        <w:rPr>
          <w:rFonts w:ascii="Arial" w:cs="Arial" w:eastAsia="Arial" w:hAnsi="Arial"/>
          <w:sz w:val="22"/>
          <w:szCs w:val="22"/>
          <w:color w:val="auto"/>
        </w:rPr>
      </w:pPr>
    </w:p>
    <w:p>
      <w:pPr>
        <w:ind w:right="40" w:firstLine="1304"/>
        <w:spacing w:after="0" w:line="297" w:lineRule="auto"/>
        <w:tabs>
          <w:tab w:leader="none" w:pos="2142"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to change or eliminate any of the provisions of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60" w:lineRule="exact"/>
        <w:rPr>
          <w:rFonts w:ascii="Arial" w:cs="Arial" w:eastAsia="Arial" w:hAnsi="Arial"/>
          <w:sz w:val="19"/>
          <w:szCs w:val="19"/>
          <w:color w:val="auto"/>
        </w:rPr>
      </w:pPr>
    </w:p>
    <w:p>
      <w:pPr>
        <w:ind w:right="140" w:firstLine="1304"/>
        <w:spacing w:after="0"/>
        <w:tabs>
          <w:tab w:leader="none" w:pos="213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213" w:lineRule="exact"/>
        <w:rPr>
          <w:rFonts w:ascii="Arial" w:cs="Arial" w:eastAsia="Arial" w:hAnsi="Arial"/>
          <w:sz w:val="22"/>
          <w:szCs w:val="22"/>
          <w:color w:val="auto"/>
        </w:rPr>
      </w:pPr>
    </w:p>
    <w:p>
      <w:pPr>
        <w:ind w:right="40" w:firstLine="1304"/>
        <w:spacing w:after="0" w:line="297" w:lineRule="auto"/>
        <w:tabs>
          <w:tab w:leader="none" w:pos="21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ind w:left="2140" w:hanging="836"/>
        <w:spacing w:after="0"/>
        <w:tabs>
          <w:tab w:leader="none" w:pos="21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secure any series of Securities;</w:t>
      </w:r>
    </w:p>
    <w:p>
      <w:pPr>
        <w:spacing w:after="0" w:line="233" w:lineRule="exact"/>
        <w:rPr>
          <w:rFonts w:ascii="Arial" w:cs="Arial" w:eastAsia="Arial" w:hAnsi="Arial"/>
          <w:sz w:val="22"/>
          <w:szCs w:val="22"/>
          <w:color w:val="auto"/>
        </w:rPr>
      </w:pPr>
    </w:p>
    <w:p>
      <w:pPr>
        <w:ind w:left="2140" w:hanging="836"/>
        <w:spacing w:after="0"/>
        <w:tabs>
          <w:tab w:leader="none" w:pos="21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evidence any changes to this Indenture pursuant to Sections 11.05, 11.06 or 11.07 hereof as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the terms thereof;</w:t>
      </w:r>
    </w:p>
    <w:p>
      <w:pPr>
        <w:spacing w:after="0" w:line="215" w:lineRule="exact"/>
        <w:rPr>
          <w:rFonts w:ascii="Arial" w:cs="Arial" w:eastAsia="Arial" w:hAnsi="Arial"/>
          <w:sz w:val="19"/>
          <w:szCs w:val="19"/>
          <w:color w:val="auto"/>
        </w:rPr>
      </w:pPr>
    </w:p>
    <w:p>
      <w:pPr>
        <w:ind w:right="20" w:firstLine="1304"/>
        <w:spacing w:after="0" w:line="282" w:lineRule="auto"/>
        <w:tabs>
          <w:tab w:leader="none" w:pos="2148"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cure any mistake,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prospectus supplement or other offering document applicable to such Securities at the time of initial sale thereof, as provided in an Officer’s Certificate;</w:t>
      </w:r>
    </w:p>
    <w:p>
      <w:pPr>
        <w:spacing w:after="0" w:line="174" w:lineRule="exact"/>
        <w:rPr>
          <w:rFonts w:ascii="Arial" w:cs="Arial" w:eastAsia="Arial" w:hAnsi="Arial"/>
          <w:sz w:val="19"/>
          <w:szCs w:val="19"/>
          <w:color w:val="auto"/>
        </w:rPr>
      </w:pPr>
    </w:p>
    <w:p>
      <w:pPr>
        <w:ind w:right="440" w:firstLine="1304"/>
        <w:spacing w:after="0" w:line="250" w:lineRule="auto"/>
        <w:tabs>
          <w:tab w:leader="none" w:pos="21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add to or change or eliminate any provision of this Indenture as shall be necessary or desirable in accordance with any amendments to the Trust Indenture Act;</w:t>
      </w:r>
    </w:p>
    <w:p>
      <w:pPr>
        <w:spacing w:after="0" w:line="201" w:lineRule="exact"/>
        <w:rPr>
          <w:rFonts w:ascii="Arial" w:cs="Arial" w:eastAsia="Arial" w:hAnsi="Arial"/>
          <w:sz w:val="22"/>
          <w:szCs w:val="22"/>
          <w:color w:val="auto"/>
        </w:rPr>
      </w:pPr>
    </w:p>
    <w:p>
      <w:pPr>
        <w:ind w:right="360" w:firstLine="1304"/>
        <w:spacing w:after="0" w:line="274" w:lineRule="auto"/>
        <w:tabs>
          <w:tab w:leader="none" w:pos="214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add guarantors or co-obligors with respect to any series of Securities or to release guarantors from their guarantees of Securities in accordance with the terms of the applicable series of Securities;</w:t>
      </w:r>
    </w:p>
    <w:p>
      <w:pPr>
        <w:spacing w:after="0" w:line="177" w:lineRule="exact"/>
        <w:rPr>
          <w:rFonts w:ascii="Arial" w:cs="Arial" w:eastAsia="Arial" w:hAnsi="Arial"/>
          <w:sz w:val="21"/>
          <w:szCs w:val="21"/>
          <w:color w:val="auto"/>
        </w:rPr>
      </w:pPr>
    </w:p>
    <w:p>
      <w:pPr>
        <w:ind w:right="140" w:firstLine="1304"/>
        <w:spacing w:after="0" w:line="250" w:lineRule="auto"/>
        <w:tabs>
          <w:tab w:leader="none" w:pos="21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make any change in any series of Securities that does not adversely affect in any material respect the rights of the Holders of such Securities;</w:t>
      </w:r>
    </w:p>
    <w:p>
      <w:pPr>
        <w:spacing w:after="0" w:line="201" w:lineRule="exact"/>
        <w:rPr>
          <w:rFonts w:ascii="Arial" w:cs="Arial" w:eastAsia="Arial" w:hAnsi="Arial"/>
          <w:sz w:val="22"/>
          <w:szCs w:val="22"/>
          <w:color w:val="auto"/>
        </w:rPr>
      </w:pPr>
    </w:p>
    <w:p>
      <w:pPr>
        <w:ind w:left="2160" w:hanging="856"/>
        <w:spacing w:after="0"/>
        <w:tabs>
          <w:tab w:leader="none" w:pos="21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certificated securities;</w:t>
      </w:r>
    </w:p>
    <w:p>
      <w:pPr>
        <w:spacing w:after="0" w:line="233" w:lineRule="exact"/>
        <w:rPr>
          <w:rFonts w:ascii="Arial" w:cs="Arial" w:eastAsia="Arial" w:hAnsi="Arial"/>
          <w:sz w:val="22"/>
          <w:szCs w:val="22"/>
          <w:color w:val="auto"/>
        </w:rPr>
      </w:pPr>
    </w:p>
    <w:p>
      <w:pPr>
        <w:jc w:val="both"/>
        <w:ind w:right="360" w:firstLine="1304"/>
        <w:spacing w:after="0" w:line="297" w:lineRule="auto"/>
        <w:tabs>
          <w:tab w:leader="none" w:pos="2088"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to supplement any of the provisions of this Indenture to such extent as shall be necessary to permit or facilitate the defeasance and discharge of any series of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action shall not adversely affect the interests of the Holders of Securities of such series or any other series of Securities in any material respect;</w:t>
      </w:r>
    </w:p>
    <w:p>
      <w:pPr>
        <w:spacing w:after="0" w:line="160" w:lineRule="exact"/>
        <w:rPr>
          <w:rFonts w:ascii="Arial" w:cs="Arial" w:eastAsia="Arial" w:hAnsi="Arial"/>
          <w:sz w:val="19"/>
          <w:szCs w:val="19"/>
          <w:color w:val="auto"/>
        </w:rPr>
      </w:pPr>
    </w:p>
    <w:p>
      <w:pPr>
        <w:ind w:left="2100" w:hanging="796"/>
        <w:spacing w:after="0"/>
        <w:tabs>
          <w:tab w:leader="none" w:pos="21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prohibit the authentication and delivery of additional series of Securities; or</w:t>
      </w:r>
    </w:p>
    <w:p>
      <w:pPr>
        <w:spacing w:after="0" w:line="233" w:lineRule="exact"/>
        <w:rPr>
          <w:rFonts w:ascii="Arial" w:cs="Arial" w:eastAsia="Arial" w:hAnsi="Arial"/>
          <w:sz w:val="22"/>
          <w:szCs w:val="22"/>
          <w:color w:val="auto"/>
        </w:rPr>
      </w:pPr>
    </w:p>
    <w:p>
      <w:pPr>
        <w:ind w:firstLine="1304"/>
        <w:spacing w:after="0" w:line="238" w:lineRule="auto"/>
        <w:tabs>
          <w:tab w:leader="none" w:pos="208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212" w:lineRule="exact"/>
        <w:rPr>
          <w:sz w:val="20"/>
          <w:szCs w:val="20"/>
          <w:color w:val="auto"/>
        </w:rPr>
      </w:pPr>
    </w:p>
    <w:p>
      <w:pPr>
        <w:jc w:val="both"/>
        <w:ind w:right="600"/>
        <w:spacing w:after="0" w:line="297" w:lineRule="auto"/>
        <w:rPr>
          <w:sz w:val="20"/>
          <w:szCs w:val="20"/>
          <w:color w:val="auto"/>
        </w:rPr>
      </w:pPr>
      <w:r>
        <w:rPr>
          <w:rFonts w:ascii="Arial" w:cs="Arial" w:eastAsia="Arial" w:hAnsi="Arial"/>
          <w:sz w:val="19"/>
          <w:szCs w:val="19"/>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Any supplemental indenture authorized by the provisions of this Section 14.01 may be executed by the Company and the Trustee without the consent of the Holders of any of the Securities at the time Outstanding.</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ind w:left="640"/>
        <w:spacing w:after="0"/>
        <w:tabs>
          <w:tab w:leader="none" w:pos="224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u w:val="single" w:color="auto"/>
          <w:color w:val="auto"/>
        </w:rPr>
        <w:t>With Consent of Securityholders; Limitations</w:t>
      </w:r>
      <w:r>
        <w:rPr>
          <w:rFonts w:ascii="Arial" w:cs="Arial" w:eastAsia="Arial" w:hAnsi="Arial"/>
          <w:sz w:val="19"/>
          <w:szCs w:val="19"/>
          <w:color w:val="auto"/>
        </w:rPr>
        <w:t>.</w:t>
      </w:r>
    </w:p>
    <w:p>
      <w:pPr>
        <w:spacing w:after="0" w:line="234" w:lineRule="exact"/>
        <w:rPr>
          <w:sz w:val="20"/>
          <w:szCs w:val="20"/>
          <w:color w:val="auto"/>
        </w:rPr>
      </w:pPr>
    </w:p>
    <w:p>
      <w:pPr>
        <w:ind w:left="-20" w:firstLine="1304"/>
        <w:spacing w:after="0" w:line="279" w:lineRule="auto"/>
        <w:tabs>
          <w:tab w:leader="none" w:pos="211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supplemental indenture shall, without the consent of the Holder of each Outstanding Security of each such series affected thereby,</w:t>
      </w:r>
    </w:p>
    <w:p>
      <w:pPr>
        <w:spacing w:after="0" w:line="177" w:lineRule="exact"/>
        <w:rPr>
          <w:rFonts w:ascii="Arial" w:cs="Arial" w:eastAsia="Arial" w:hAnsi="Arial"/>
          <w:sz w:val="19"/>
          <w:szCs w:val="19"/>
          <w:color w:val="auto"/>
        </w:rPr>
      </w:pPr>
    </w:p>
    <w:p>
      <w:pPr>
        <w:ind w:left="640" w:right="20" w:firstLine="1292"/>
        <w:spacing w:after="0" w:line="275" w:lineRule="auto"/>
        <w:tabs>
          <w:tab w:leader="none" w:pos="2734" w:val="left"/>
        </w:tabs>
        <w:numPr>
          <w:ilvl w:val="1"/>
          <w:numId w:val="87"/>
        </w:numPr>
        <w:rPr>
          <w:rFonts w:ascii="Arial" w:cs="Arial" w:eastAsia="Arial" w:hAnsi="Arial"/>
          <w:sz w:val="19"/>
          <w:szCs w:val="19"/>
          <w:color w:val="auto"/>
        </w:rPr>
      </w:pPr>
      <w:r>
        <w:rPr>
          <w:rFonts w:ascii="Arial" w:cs="Arial" w:eastAsia="Arial" w:hAnsi="Arial"/>
          <w:sz w:val="19"/>
          <w:szCs w:val="19"/>
          <w:color w:val="auto"/>
        </w:rPr>
        <w:t>extend the Stated Maturity of the principal of, or any installment of interest on, any Security, or reduce the principal amount thereof or the interest thereon or any premium payable upon redemption thereof,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184" w:lineRule="exact"/>
        <w:rPr>
          <w:rFonts w:ascii="Arial" w:cs="Arial" w:eastAsia="Arial" w:hAnsi="Arial"/>
          <w:sz w:val="19"/>
          <w:szCs w:val="19"/>
          <w:color w:val="auto"/>
        </w:rPr>
      </w:pPr>
    </w:p>
    <w:p>
      <w:pPr>
        <w:ind w:left="640" w:right="60" w:firstLine="1292"/>
        <w:spacing w:after="0" w:line="238" w:lineRule="auto"/>
        <w:tabs>
          <w:tab w:leader="none" w:pos="27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211" w:lineRule="exact"/>
        <w:rPr>
          <w:rFonts w:ascii="Arial" w:cs="Arial" w:eastAsia="Arial" w:hAnsi="Arial"/>
          <w:sz w:val="22"/>
          <w:szCs w:val="22"/>
          <w:color w:val="auto"/>
        </w:rPr>
      </w:pPr>
    </w:p>
    <w:p>
      <w:pPr>
        <w:ind w:left="640" w:right="100" w:firstLine="1292"/>
        <w:spacing w:after="0" w:line="235" w:lineRule="auto"/>
        <w:tabs>
          <w:tab w:leader="none" w:pos="2746"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214" w:lineRule="exact"/>
        <w:rPr>
          <w:rFonts w:ascii="Arial" w:cs="Arial" w:eastAsia="Arial" w:hAnsi="Arial"/>
          <w:sz w:val="22"/>
          <w:szCs w:val="22"/>
          <w:color w:val="auto"/>
        </w:rPr>
      </w:pPr>
    </w:p>
    <w:p>
      <w:pPr>
        <w:ind w:left="2680" w:hanging="748"/>
        <w:spacing w:after="0"/>
        <w:tabs>
          <w:tab w:leader="none" w:pos="26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change the Company’s obligation to pay additional amounts; or</w:t>
      </w:r>
    </w:p>
    <w:p>
      <w:pPr>
        <w:spacing w:after="0" w:line="233" w:lineRule="exact"/>
        <w:rPr>
          <w:rFonts w:ascii="Arial" w:cs="Arial" w:eastAsia="Arial" w:hAnsi="Arial"/>
          <w:sz w:val="22"/>
          <w:szCs w:val="22"/>
          <w:color w:val="auto"/>
        </w:rPr>
      </w:pPr>
    </w:p>
    <w:p>
      <w:pPr>
        <w:ind w:left="2720" w:hanging="788"/>
        <w:spacing w:after="0"/>
        <w:tabs>
          <w:tab w:leader="none" w:pos="27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modify, without the written consent of the Trustee, the rights, duties or immunities of the Trustee.</w:t>
      </w:r>
    </w:p>
    <w:p>
      <w:pPr>
        <w:spacing w:after="0" w:line="267" w:lineRule="exact"/>
        <w:rPr>
          <w:rFonts w:ascii="Arial" w:cs="Arial" w:eastAsia="Arial" w:hAnsi="Arial"/>
          <w:sz w:val="19"/>
          <w:szCs w:val="19"/>
          <w:color w:val="auto"/>
        </w:rPr>
      </w:pPr>
    </w:p>
    <w:p>
      <w:pPr>
        <w:ind w:left="-20" w:right="100" w:firstLine="1304"/>
        <w:spacing w:after="0" w:line="238" w:lineRule="auto"/>
        <w:tabs>
          <w:tab w:leader="none" w:pos="20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80" w:name="page81"/>
    <w:bookmarkEnd w:id="80"/>
    <w:p>
      <w:pPr>
        <w:ind w:right="280" w:firstLine="1304"/>
        <w:spacing w:after="0" w:line="241" w:lineRule="auto"/>
        <w:tabs>
          <w:tab w:leader="none" w:pos="213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210" w:lineRule="exact"/>
        <w:rPr>
          <w:rFonts w:ascii="Arial" w:cs="Arial" w:eastAsia="Arial" w:hAnsi="Arial"/>
          <w:sz w:val="22"/>
          <w:szCs w:val="22"/>
          <w:color w:val="auto"/>
        </w:rPr>
      </w:pPr>
    </w:p>
    <w:p>
      <w:pPr>
        <w:ind w:right="20" w:firstLine="1304"/>
        <w:spacing w:after="0" w:line="287" w:lineRule="auto"/>
        <w:tabs>
          <w:tab w:leader="none" w:pos="208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69" w:lineRule="exact"/>
        <w:rPr>
          <w:rFonts w:ascii="Arial" w:cs="Arial" w:eastAsia="Arial" w:hAnsi="Arial"/>
          <w:sz w:val="19"/>
          <w:szCs w:val="19"/>
          <w:color w:val="auto"/>
        </w:rPr>
      </w:pPr>
    </w:p>
    <w:p>
      <w:pPr>
        <w:ind w:right="140" w:firstLine="1304"/>
        <w:spacing w:after="0" w:line="236" w:lineRule="auto"/>
        <w:tabs>
          <w:tab w:leader="none" w:pos="2076" w:val="left"/>
        </w:tabs>
        <w:numPr>
          <w:ilvl w:val="0"/>
          <w:numId w:val="88"/>
        </w:numPr>
        <w:rPr>
          <w:rFonts w:ascii="Arial" w:cs="Arial" w:eastAsia="Arial" w:hAnsi="Arial"/>
          <w:sz w:val="22"/>
          <w:szCs w:val="22"/>
          <w:color w:val="auto"/>
        </w:rPr>
      </w:pPr>
      <w:r>
        <w:rPr>
          <w:rFonts w:ascii="Arial" w:cs="Arial" w:eastAsia="Arial" w:hAnsi="Arial"/>
          <w:sz w:val="22"/>
          <w:szCs w:val="22"/>
          <w:color w:val="auto"/>
        </w:rPr>
        <w:t>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214"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 xml:space="preserve">Section 14.03 </w:t>
      </w:r>
      <w:r>
        <w:rPr>
          <w:rFonts w:ascii="Arial" w:cs="Arial" w:eastAsia="Arial" w:hAnsi="Arial"/>
          <w:sz w:val="19"/>
          <w:szCs w:val="19"/>
          <w:u w:val="single" w:color="auto"/>
          <w:color w:val="auto"/>
        </w:rPr>
        <w:t>Trustee Protected</w:t>
      </w:r>
      <w:r>
        <w:rPr>
          <w:rFonts w:ascii="Arial" w:cs="Arial" w:eastAsia="Arial" w:hAnsi="Arial"/>
          <w:sz w:val="19"/>
          <w:szCs w:val="19"/>
          <w:color w:val="auto"/>
        </w:rPr>
        <w:t>. Upon the written request of the Company, accompanied by the Officer’s Certificate and Opinion of Counsel required by Section 16.01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In executing, or accepting the additional trusts created by, any supplemental indenture permitted by this Article or the modification thereby of the trusts created by this Indenture, the Trustee shall receive, and shall be fully protected in relying upon, an Officer’s Certificate and an Opinion of Counsel stating that the execution of such supplemental indenture is authorized or permitted by this Indenture and that such supplemental indenture is valid and binding obligation of the Company, enforceable against the Company in accordance with its terms.</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Section 14.04 </w:t>
      </w:r>
      <w:r>
        <w:rPr>
          <w:rFonts w:ascii="Arial" w:cs="Arial" w:eastAsia="Arial" w:hAnsi="Arial"/>
          <w:sz w:val="21"/>
          <w:szCs w:val="21"/>
          <w:u w:val="single" w:color="auto"/>
          <w:color w:val="auto"/>
        </w:rPr>
        <w:t>Effect of Execution of Supplemental Indenture</w:t>
      </w:r>
      <w:r>
        <w:rPr>
          <w:rFonts w:ascii="Arial" w:cs="Arial" w:eastAsia="Arial" w:hAnsi="Arial"/>
          <w:sz w:val="21"/>
          <w:szCs w:val="21"/>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80" w:firstLine="648"/>
        <w:spacing w:after="0" w:line="277" w:lineRule="auto"/>
        <w:rPr>
          <w:sz w:val="20"/>
          <w:szCs w:val="20"/>
          <w:color w:val="auto"/>
        </w:rPr>
      </w:pPr>
      <w:r>
        <w:rPr>
          <w:rFonts w:ascii="Arial" w:cs="Arial" w:eastAsia="Arial" w:hAnsi="Arial"/>
          <w:sz w:val="19"/>
          <w:szCs w:val="19"/>
          <w:color w:val="auto"/>
        </w:rPr>
        <w:t xml:space="preserve">Section 14.05 </w:t>
      </w:r>
      <w:r>
        <w:rPr>
          <w:rFonts w:ascii="Arial" w:cs="Arial" w:eastAsia="Arial" w:hAnsi="Arial"/>
          <w:sz w:val="19"/>
          <w:szCs w:val="19"/>
          <w:u w:val="single" w:color="auto"/>
          <w:color w:val="auto"/>
        </w:rPr>
        <w:t>Notation on or Exchange of Securities</w:t>
      </w:r>
      <w:r>
        <w:rPr>
          <w:rFonts w:ascii="Arial" w:cs="Arial" w:eastAsia="Arial" w:hAnsi="Arial"/>
          <w:sz w:val="19"/>
          <w:szCs w:val="19"/>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7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14.06 </w:t>
      </w:r>
      <w:r>
        <w:rPr>
          <w:rFonts w:ascii="Arial" w:cs="Arial" w:eastAsia="Arial" w:hAnsi="Arial"/>
          <w:sz w:val="22"/>
          <w:szCs w:val="22"/>
          <w:u w:val="single" w:color="auto"/>
          <w:color w:val="auto"/>
        </w:rPr>
        <w:t>Conformity with TIA</w:t>
      </w:r>
      <w:r>
        <w:rPr>
          <w:rFonts w:ascii="Arial" w:cs="Arial" w:eastAsia="Arial" w:hAnsi="Arial"/>
          <w:sz w:val="22"/>
          <w:szCs w:val="22"/>
          <w:color w:val="auto"/>
        </w:rPr>
        <w:t>. Every supplemental indenture executed pursuant to the provisions of this Article shall conform to the requirements of the Trust Indenture Act as then in effect.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SUBORDINATION OF SECURITIES</w:t>
      </w:r>
    </w:p>
    <w:p>
      <w:pPr>
        <w:spacing w:after="0" w:line="239"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 xml:space="preserve">Section 15.01 </w:t>
      </w:r>
      <w:r>
        <w:rPr>
          <w:rFonts w:ascii="Arial" w:cs="Arial" w:eastAsia="Arial" w:hAnsi="Arial"/>
          <w:sz w:val="19"/>
          <w:szCs w:val="19"/>
          <w:u w:val="single" w:color="auto"/>
          <w:color w:val="auto"/>
        </w:rPr>
        <w:t>Agreement to Subordinate</w:t>
      </w:r>
      <w:r>
        <w:rPr>
          <w:rFonts w:ascii="Arial" w:cs="Arial" w:eastAsia="Arial" w:hAnsi="Arial"/>
          <w:sz w:val="19"/>
          <w:szCs w:val="19"/>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pacing w:after="0" w:line="179"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 xml:space="preserve">Section 15.02 </w:t>
      </w:r>
      <w:r>
        <w:rPr>
          <w:rFonts w:ascii="Arial" w:cs="Arial" w:eastAsia="Arial" w:hAnsi="Arial"/>
          <w:sz w:val="21"/>
          <w:szCs w:val="21"/>
          <w:u w:val="single" w:color="auto"/>
          <w:color w:val="auto"/>
        </w:rPr>
        <w:t>Distribution on Dissolution, Liquidation and Reorganization; Subrogation of Securities</w:t>
      </w:r>
      <w:r>
        <w:rPr>
          <w:rFonts w:ascii="Arial" w:cs="Arial" w:eastAsia="Arial" w:hAnsi="Arial"/>
          <w:sz w:val="21"/>
          <w:szCs w:val="21"/>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211" w:lineRule="exact"/>
        <w:rPr>
          <w:sz w:val="20"/>
          <w:szCs w:val="20"/>
          <w:color w:val="auto"/>
        </w:rPr>
      </w:pPr>
    </w:p>
    <w:p>
      <w:pPr>
        <w:ind w:right="60" w:firstLine="1304"/>
        <w:spacing w:after="0" w:line="257" w:lineRule="auto"/>
        <w:tabs>
          <w:tab w:leader="none" w:pos="213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2" w:name="page83"/>
    <w:bookmarkEnd w:id="82"/>
    <w:p>
      <w:pPr>
        <w:ind w:left="-40" w:firstLine="1304"/>
        <w:spacing w:after="0" w:line="245" w:lineRule="auto"/>
        <w:tabs>
          <w:tab w:leader="none" w:pos="2102" w:val="left"/>
        </w:tabs>
        <w:numPr>
          <w:ilvl w:val="0"/>
          <w:numId w:val="90"/>
        </w:numPr>
        <w:rPr>
          <w:rFonts w:ascii="Arial" w:cs="Arial" w:eastAsia="Arial" w:hAnsi="Arial"/>
          <w:sz w:val="21"/>
          <w:szCs w:val="21"/>
          <w:color w:val="auto"/>
        </w:rPr>
      </w:pPr>
      <w:r>
        <w:rPr>
          <w:rFonts w:ascii="Arial" w:cs="Arial" w:eastAsia="Arial" w:hAnsi="Arial"/>
          <w:sz w:val="21"/>
          <w:szCs w:val="21"/>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211" w:lineRule="exact"/>
        <w:rPr>
          <w:rFonts w:ascii="Arial" w:cs="Arial" w:eastAsia="Arial" w:hAnsi="Arial"/>
          <w:sz w:val="21"/>
          <w:szCs w:val="21"/>
          <w:color w:val="auto"/>
        </w:rPr>
      </w:pPr>
    </w:p>
    <w:p>
      <w:pPr>
        <w:ind w:left="-40" w:firstLine="1304"/>
        <w:spacing w:after="0" w:line="275" w:lineRule="auto"/>
        <w:tabs>
          <w:tab w:leader="none" w:pos="209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84" w:lineRule="exact"/>
        <w:rPr>
          <w:rFonts w:ascii="Arial" w:cs="Arial" w:eastAsia="Arial" w:hAnsi="Arial"/>
          <w:sz w:val="19"/>
          <w:szCs w:val="19"/>
          <w:color w:val="auto"/>
        </w:rPr>
      </w:pPr>
    </w:p>
    <w:p>
      <w:pPr>
        <w:ind w:left="-40" w:right="20" w:firstLine="1304"/>
        <w:spacing w:after="0" w:line="269" w:lineRule="auto"/>
        <w:tabs>
          <w:tab w:leader="none" w:pos="2048"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83" w:name="page84"/>
    <w:bookmarkEnd w:id="83"/>
    <w:p>
      <w:pPr>
        <w:ind w:right="40" w:firstLine="648"/>
        <w:spacing w:after="0" w:line="279" w:lineRule="auto"/>
        <w:rPr>
          <w:sz w:val="20"/>
          <w:szCs w:val="20"/>
          <w:color w:val="auto"/>
        </w:rPr>
      </w:pPr>
      <w:r>
        <w:rPr>
          <w:rFonts w:ascii="Arial" w:cs="Arial" w:eastAsia="Arial" w:hAnsi="Arial"/>
          <w:sz w:val="19"/>
          <w:szCs w:val="19"/>
          <w:color w:val="auto"/>
        </w:rPr>
        <w:t xml:space="preserve">Section 15.03 </w:t>
      </w:r>
      <w:r>
        <w:rPr>
          <w:rFonts w:ascii="Arial" w:cs="Arial" w:eastAsia="Arial" w:hAnsi="Arial"/>
          <w:sz w:val="19"/>
          <w:szCs w:val="19"/>
          <w:u w:val="single" w:color="auto"/>
          <w:color w:val="auto"/>
        </w:rPr>
        <w:t>No Payment on Securities in Event of Default on Senior Indebtedness</w:t>
      </w:r>
      <w:r>
        <w:rPr>
          <w:rFonts w:ascii="Arial" w:cs="Arial" w:eastAsia="Arial" w:hAnsi="Arial"/>
          <w:sz w:val="19"/>
          <w:szCs w:val="19"/>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78"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207"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15.04 </w:t>
      </w:r>
      <w:r>
        <w:rPr>
          <w:rFonts w:ascii="Arial" w:cs="Arial" w:eastAsia="Arial" w:hAnsi="Arial"/>
          <w:sz w:val="21"/>
          <w:szCs w:val="21"/>
          <w:u w:val="single" w:color="auto"/>
          <w:color w:val="auto"/>
        </w:rPr>
        <w:t>Payments on Securities Permitted</w:t>
      </w:r>
      <w:r>
        <w:rPr>
          <w:rFonts w:ascii="Arial" w:cs="Arial" w:eastAsia="Arial" w:hAnsi="Arial"/>
          <w:sz w:val="21"/>
          <w:szCs w:val="21"/>
          <w:color w:val="auto"/>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211" w:lineRule="exact"/>
        <w:rPr>
          <w:sz w:val="20"/>
          <w:szCs w:val="20"/>
          <w:color w:val="auto"/>
        </w:rPr>
      </w:pPr>
    </w:p>
    <w:p>
      <w:pPr>
        <w:ind w:right="320" w:firstLine="648"/>
        <w:spacing w:after="0" w:line="238" w:lineRule="auto"/>
        <w:rPr>
          <w:sz w:val="20"/>
          <w:szCs w:val="20"/>
          <w:color w:val="auto"/>
        </w:rPr>
      </w:pPr>
      <w:r>
        <w:rPr>
          <w:rFonts w:ascii="Arial" w:cs="Arial" w:eastAsia="Arial" w:hAnsi="Arial"/>
          <w:sz w:val="22"/>
          <w:szCs w:val="22"/>
          <w:color w:val="auto"/>
        </w:rPr>
        <w:t xml:space="preserve">Section 15.05 </w:t>
      </w:r>
      <w:r>
        <w:rPr>
          <w:rFonts w:ascii="Arial" w:cs="Arial" w:eastAsia="Arial" w:hAnsi="Arial"/>
          <w:sz w:val="22"/>
          <w:szCs w:val="22"/>
          <w:u w:val="single" w:color="auto"/>
          <w:color w:val="auto"/>
        </w:rPr>
        <w:t>Authorization of Securityholders to Trustee to Effect Subordination</w:t>
      </w:r>
      <w:r>
        <w:rPr>
          <w:rFonts w:ascii="Arial" w:cs="Arial" w:eastAsia="Arial" w:hAnsi="Arial"/>
          <w:sz w:val="22"/>
          <w:szCs w:val="22"/>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4" w:name="page85"/>
    <w:bookmarkEnd w:id="84"/>
    <w:p>
      <w:pPr>
        <w:ind w:firstLine="648"/>
        <w:spacing w:after="0" w:line="269" w:lineRule="auto"/>
        <w:rPr>
          <w:sz w:val="20"/>
          <w:szCs w:val="20"/>
          <w:color w:val="auto"/>
        </w:rPr>
      </w:pPr>
      <w:r>
        <w:rPr>
          <w:rFonts w:ascii="Arial" w:cs="Arial" w:eastAsia="Arial" w:hAnsi="Arial"/>
          <w:sz w:val="19"/>
          <w:szCs w:val="19"/>
          <w:color w:val="auto"/>
        </w:rPr>
        <w:t xml:space="preserve">Section 15.06 </w:t>
      </w:r>
      <w:r>
        <w:rPr>
          <w:rFonts w:ascii="Arial" w:cs="Arial" w:eastAsia="Arial" w:hAnsi="Arial"/>
          <w:sz w:val="19"/>
          <w:szCs w:val="19"/>
          <w:u w:val="single" w:color="auto"/>
          <w:color w:val="auto"/>
        </w:rPr>
        <w:t>Notices to Trustee</w:t>
      </w:r>
      <w:r>
        <w:rPr>
          <w:rFonts w:ascii="Arial" w:cs="Arial" w:eastAsia="Arial" w:hAnsi="Arial"/>
          <w:sz w:val="19"/>
          <w:szCs w:val="19"/>
          <w:color w:val="auto"/>
        </w:rPr>
        <w:t xml:space="preserve">.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conclusively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 xml:space="preserve">Section 15.07 </w:t>
      </w:r>
      <w:r>
        <w:rPr>
          <w:rFonts w:ascii="Arial" w:cs="Arial" w:eastAsia="Arial" w:hAnsi="Arial"/>
          <w:sz w:val="22"/>
          <w:szCs w:val="22"/>
          <w:u w:val="single" w:color="auto"/>
          <w:color w:val="auto"/>
        </w:rPr>
        <w:t>Trustee as Holder of Senior Indebtedness</w:t>
      </w:r>
      <w:r>
        <w:rPr>
          <w:rFonts w:ascii="Arial" w:cs="Arial" w:eastAsia="Arial" w:hAnsi="Arial"/>
          <w:sz w:val="22"/>
          <w:szCs w:val="22"/>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214"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 xml:space="preserve">Section 15.08 </w:t>
      </w:r>
      <w:r>
        <w:rPr>
          <w:rFonts w:ascii="Arial" w:cs="Arial" w:eastAsia="Arial" w:hAnsi="Arial"/>
          <w:sz w:val="19"/>
          <w:szCs w:val="19"/>
          <w:u w:val="single" w:color="auto"/>
          <w:color w:val="auto"/>
        </w:rPr>
        <w:t>Modifications of Terms of Senior Indebtedness</w:t>
      </w:r>
      <w:r>
        <w:rPr>
          <w:rFonts w:ascii="Arial" w:cs="Arial" w:eastAsia="Arial" w:hAnsi="Arial"/>
          <w:sz w:val="19"/>
          <w:szCs w:val="19"/>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firstLine="648"/>
        <w:spacing w:after="0" w:line="245" w:lineRule="auto"/>
        <w:rPr>
          <w:sz w:val="20"/>
          <w:szCs w:val="20"/>
          <w:color w:val="auto"/>
        </w:rPr>
      </w:pPr>
      <w:r>
        <w:rPr>
          <w:rFonts w:ascii="Arial" w:cs="Arial" w:eastAsia="Arial" w:hAnsi="Arial"/>
          <w:sz w:val="21"/>
          <w:szCs w:val="21"/>
          <w:color w:val="auto"/>
        </w:rPr>
        <w:t xml:space="preserve">Section 15.09 </w:t>
      </w:r>
      <w:r>
        <w:rPr>
          <w:rFonts w:ascii="Arial" w:cs="Arial" w:eastAsia="Arial" w:hAnsi="Arial"/>
          <w:sz w:val="21"/>
          <w:szCs w:val="21"/>
          <w:u w:val="single" w:color="auto"/>
          <w:color w:val="auto"/>
        </w:rPr>
        <w:t>Reliance on Judicial Order or Certificate of Liquidating Agent</w:t>
      </w:r>
      <w:r>
        <w:rPr>
          <w:rFonts w:ascii="Arial" w:cs="Arial" w:eastAsia="Arial" w:hAnsi="Arial"/>
          <w:sz w:val="21"/>
          <w:szCs w:val="21"/>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212"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 xml:space="preserve">Section 15.10 </w:t>
      </w:r>
      <w:r>
        <w:rPr>
          <w:rFonts w:ascii="Arial" w:cs="Arial" w:eastAsia="Arial" w:hAnsi="Arial"/>
          <w:sz w:val="19"/>
          <w:szCs w:val="19"/>
          <w:u w:val="single" w:color="auto"/>
          <w:color w:val="auto"/>
        </w:rPr>
        <w:t>Satisfaction and Discharge; Defeasance and Covenant Defeasance</w:t>
      </w:r>
      <w:r>
        <w:rPr>
          <w:rFonts w:ascii="Arial" w:cs="Arial" w:eastAsia="Arial" w:hAnsi="Arial"/>
          <w:sz w:val="19"/>
          <w:szCs w:val="19"/>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6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15.11</w:t>
      </w:r>
      <w:r>
        <w:rPr>
          <w:sz w:val="20"/>
          <w:szCs w:val="20"/>
          <w:color w:val="auto"/>
        </w:rPr>
        <w:tab/>
      </w:r>
      <w:r>
        <w:rPr>
          <w:rFonts w:ascii="Arial" w:cs="Arial" w:eastAsia="Arial" w:hAnsi="Arial"/>
          <w:sz w:val="19"/>
          <w:szCs w:val="19"/>
          <w:u w:val="single" w:color="auto"/>
          <w:color w:val="auto"/>
        </w:rPr>
        <w:t>Trustee Not Fiduciary for Holders of Senior Indebtedness</w:t>
      </w:r>
      <w:r>
        <w:rPr>
          <w:rFonts w:ascii="Arial" w:cs="Arial" w:eastAsia="Arial" w:hAnsi="Arial"/>
          <w:sz w:val="19"/>
          <w:szCs w:val="19"/>
          <w:color w:val="auto"/>
        </w:rPr>
        <w:t>. With respect to the holders of Senior</w:t>
      </w:r>
    </w:p>
    <w:p>
      <w:pPr>
        <w:spacing w:after="0" w:line="8"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3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16.01</w:t>
      </w:r>
      <w:r>
        <w:rPr>
          <w:sz w:val="20"/>
          <w:szCs w:val="20"/>
          <w:color w:val="auto"/>
        </w:rPr>
        <w:tab/>
      </w:r>
      <w:r>
        <w:rPr>
          <w:rFonts w:ascii="Arial" w:cs="Arial" w:eastAsia="Arial" w:hAnsi="Arial"/>
          <w:sz w:val="19"/>
          <w:szCs w:val="19"/>
          <w:u w:val="single" w:color="auto"/>
          <w:color w:val="auto"/>
        </w:rPr>
        <w:t>Certificates and Opinions as to Conditions Precedent</w:t>
      </w:r>
      <w:r>
        <w:rPr>
          <w:rFonts w:ascii="Arial" w:cs="Arial" w:eastAsia="Arial" w:hAnsi="Arial"/>
          <w:sz w:val="19"/>
          <w:szCs w:val="19"/>
          <w:color w:val="auto"/>
        </w:rPr>
        <w:t>.</w:t>
      </w:r>
    </w:p>
    <w:p>
      <w:pPr>
        <w:spacing w:after="0" w:line="233" w:lineRule="exact"/>
        <w:rPr>
          <w:sz w:val="20"/>
          <w:szCs w:val="20"/>
          <w:color w:val="auto"/>
        </w:rPr>
      </w:pPr>
    </w:p>
    <w:p>
      <w:pPr>
        <w:ind w:right="40" w:firstLine="1304"/>
        <w:spacing w:after="0" w:line="279" w:lineRule="auto"/>
        <w:tabs>
          <w:tab w:leader="none" w:pos="2076" w:val="left"/>
        </w:tabs>
        <w:numPr>
          <w:ilvl w:val="0"/>
          <w:numId w:val="91"/>
        </w:numPr>
        <w:rPr>
          <w:rFonts w:ascii="Arial" w:cs="Arial" w:eastAsia="Arial" w:hAnsi="Arial"/>
          <w:sz w:val="19"/>
          <w:szCs w:val="19"/>
          <w:color w:val="auto"/>
        </w:rPr>
      </w:pPr>
      <w:r>
        <w:rPr>
          <w:rFonts w:ascii="Arial" w:cs="Arial" w:eastAsia="Arial" w:hAnsi="Arial"/>
          <w:sz w:val="19"/>
          <w:szCs w:val="19"/>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ind w:right="120" w:firstLine="1304"/>
        <w:spacing w:after="0" w:line="275" w:lineRule="auto"/>
        <w:tabs>
          <w:tab w:leader="none" w:pos="2088" w:val="left"/>
        </w:tabs>
        <w:numPr>
          <w:ilvl w:val="0"/>
          <w:numId w:val="92"/>
        </w:numPr>
        <w:rPr>
          <w:rFonts w:ascii="Arial" w:cs="Arial" w:eastAsia="Arial" w:hAnsi="Arial"/>
          <w:sz w:val="19"/>
          <w:szCs w:val="19"/>
          <w:color w:val="auto"/>
        </w:rPr>
      </w:pPr>
      <w:r>
        <w:rPr>
          <w:rFonts w:ascii="Arial" w:cs="Arial" w:eastAsia="Arial" w:hAnsi="Arial"/>
          <w:sz w:val="19"/>
          <w:szCs w:val="19"/>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84" w:lineRule="exact"/>
        <w:rPr>
          <w:rFonts w:ascii="Arial" w:cs="Arial" w:eastAsia="Arial" w:hAnsi="Arial"/>
          <w:sz w:val="19"/>
          <w:szCs w:val="19"/>
          <w:color w:val="auto"/>
        </w:rPr>
      </w:pPr>
    </w:p>
    <w:p>
      <w:pPr>
        <w:ind w:firstLine="1304"/>
        <w:spacing w:after="0" w:line="246" w:lineRule="auto"/>
        <w:tabs>
          <w:tab w:leader="none" w:pos="2076" w:val="left"/>
        </w:tabs>
        <w:numPr>
          <w:ilvl w:val="0"/>
          <w:numId w:val="92"/>
        </w:numPr>
        <w:rPr>
          <w:rFonts w:ascii="Arial" w:cs="Arial" w:eastAsia="Arial" w:hAnsi="Arial"/>
          <w:sz w:val="21"/>
          <w:szCs w:val="21"/>
          <w:color w:val="auto"/>
        </w:rPr>
      </w:pPr>
      <w:r>
        <w:rPr>
          <w:rFonts w:ascii="Arial" w:cs="Arial" w:eastAsia="Arial" w:hAnsi="Arial"/>
          <w:sz w:val="21"/>
          <w:szCs w:val="21"/>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206" w:lineRule="exact"/>
        <w:rPr>
          <w:rFonts w:ascii="Arial" w:cs="Arial" w:eastAsia="Arial" w:hAnsi="Arial"/>
          <w:sz w:val="21"/>
          <w:szCs w:val="21"/>
          <w:color w:val="auto"/>
        </w:rPr>
      </w:pPr>
    </w:p>
    <w:p>
      <w:pPr>
        <w:ind w:right="40" w:firstLine="1304"/>
        <w:spacing w:after="0" w:line="279" w:lineRule="auto"/>
        <w:tabs>
          <w:tab w:leader="none" w:pos="2088"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77" w:lineRule="exact"/>
        <w:rPr>
          <w:rFonts w:ascii="Arial" w:cs="Arial" w:eastAsia="Arial" w:hAnsi="Arial"/>
          <w:sz w:val="19"/>
          <w:szCs w:val="19"/>
          <w:color w:val="auto"/>
        </w:rPr>
      </w:pPr>
    </w:p>
    <w:p>
      <w:pPr>
        <w:ind w:right="280" w:firstLine="1304"/>
        <w:spacing w:after="0" w:line="236" w:lineRule="auto"/>
        <w:tabs>
          <w:tab w:leader="none" w:pos="20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14" w:lineRule="exact"/>
        <w:rPr>
          <w:rFonts w:ascii="Arial" w:cs="Arial" w:eastAsia="Arial" w:hAnsi="Arial"/>
          <w:sz w:val="22"/>
          <w:szCs w:val="22"/>
          <w:color w:val="auto"/>
        </w:rPr>
      </w:pPr>
    </w:p>
    <w:p>
      <w:pPr>
        <w:ind w:right="100" w:firstLine="1304"/>
        <w:spacing w:after="0"/>
        <w:tabs>
          <w:tab w:leader="none" w:pos="2106" w:val="left"/>
        </w:tabs>
        <w:numPr>
          <w:ilvl w:val="0"/>
          <w:numId w:val="92"/>
        </w:numPr>
        <w:rPr>
          <w:rFonts w:ascii="Arial" w:cs="Arial" w:eastAsia="Arial" w:hAnsi="Arial"/>
          <w:sz w:val="22"/>
          <w:szCs w:val="22"/>
          <w:color w:val="auto"/>
        </w:rPr>
      </w:pPr>
      <w:r>
        <w:rPr>
          <w:rFonts w:ascii="Arial" w:cs="Arial" w:eastAsia="Arial" w:hAnsi="Arial"/>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1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16.02 </w:t>
      </w:r>
      <w:r>
        <w:rPr>
          <w:rFonts w:ascii="Arial" w:cs="Arial" w:eastAsia="Arial" w:hAnsi="Arial"/>
          <w:sz w:val="22"/>
          <w:szCs w:val="22"/>
          <w:u w:val="single" w:color="auto"/>
          <w:color w:val="auto"/>
        </w:rPr>
        <w:t>Trust Indenture Act Controls</w:t>
      </w:r>
      <w:r>
        <w:rPr>
          <w:rFonts w:ascii="Arial" w:cs="Arial" w:eastAsia="Arial" w:hAnsi="Arial"/>
          <w:sz w:val="22"/>
          <w:szCs w:val="22"/>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right="120" w:firstLine="648"/>
        <w:spacing w:after="0" w:line="241" w:lineRule="auto"/>
        <w:rPr>
          <w:sz w:val="20"/>
          <w:szCs w:val="20"/>
          <w:color w:val="auto"/>
        </w:rPr>
      </w:pPr>
      <w:r>
        <w:rPr>
          <w:rFonts w:ascii="Arial" w:cs="Arial" w:eastAsia="Arial" w:hAnsi="Arial"/>
          <w:sz w:val="22"/>
          <w:szCs w:val="22"/>
          <w:color w:val="auto"/>
        </w:rPr>
        <w:t xml:space="preserve">Section 16.03 </w:t>
      </w:r>
      <w:r>
        <w:rPr>
          <w:rFonts w:ascii="Arial" w:cs="Arial" w:eastAsia="Arial" w:hAnsi="Arial"/>
          <w:sz w:val="22"/>
          <w:szCs w:val="22"/>
          <w:u w:val="single" w:color="auto"/>
          <w:color w:val="auto"/>
        </w:rPr>
        <w:t>Notices to the Company and Trustee</w:t>
      </w:r>
      <w:r>
        <w:rPr>
          <w:rFonts w:ascii="Arial" w:cs="Arial" w:eastAsia="Arial" w:hAnsi="Arial"/>
          <w:sz w:val="22"/>
          <w:szCs w:val="22"/>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210" w:lineRule="exact"/>
        <w:rPr>
          <w:sz w:val="20"/>
          <w:szCs w:val="20"/>
          <w:color w:val="auto"/>
        </w:rPr>
      </w:pPr>
    </w:p>
    <w:p>
      <w:pPr>
        <w:ind w:right="100" w:firstLine="1304"/>
        <w:spacing w:after="0"/>
        <w:tabs>
          <w:tab w:leader="none" w:pos="213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Company, at 111 W. 19th Street, 8th Floor, New York, NY 10011, Attention: Cameron MacDougall, General Counsel and Secretary, Facsimile No.: (516) 268-7400 or at such other address or facsimile number as may have been furnished in writing to the Trustee by the Company.</w:t>
      </w:r>
    </w:p>
    <w:p>
      <w:pPr>
        <w:spacing w:after="0" w:line="213" w:lineRule="exact"/>
        <w:rPr>
          <w:rFonts w:ascii="Arial" w:cs="Arial" w:eastAsia="Arial" w:hAnsi="Arial"/>
          <w:sz w:val="22"/>
          <w:szCs w:val="22"/>
          <w:color w:val="auto"/>
        </w:rPr>
      </w:pPr>
    </w:p>
    <w:p>
      <w:pPr>
        <w:ind w:right="820" w:firstLine="1304"/>
        <w:spacing w:after="0" w:line="250" w:lineRule="auto"/>
        <w:tabs>
          <w:tab w:leader="none" w:pos="214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Trustee, at the Corporate Trust Office of the Trustee, Attention: [Corporate Trust Services – Administrator for New Fortress Energy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Any such notice, demand or other document shall be in the English language.</w:t>
      </w:r>
    </w:p>
    <w:p>
      <w:pPr>
        <w:spacing w:after="0" w:line="233"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Section 16.04 </w:t>
      </w:r>
      <w:r>
        <w:rPr>
          <w:rFonts w:ascii="Arial" w:cs="Arial" w:eastAsia="Arial" w:hAnsi="Arial"/>
          <w:sz w:val="22"/>
          <w:szCs w:val="22"/>
          <w:u w:val="single" w:color="auto"/>
          <w:color w:val="auto"/>
        </w:rPr>
        <w:t>Notices to Securityholders; Waiver</w:t>
      </w:r>
      <w:r>
        <w:rPr>
          <w:rFonts w:ascii="Arial" w:cs="Arial" w:eastAsia="Arial" w:hAnsi="Arial"/>
          <w:sz w:val="22"/>
          <w:szCs w:val="22"/>
          <w:color w:val="auto"/>
        </w:rPr>
        <w:t>. Any notice required or permitted to be given to Securityholders shall be sufficiently given (unless otherwise herein expressly provided),</w:t>
      </w:r>
    </w:p>
    <w:p>
      <w:pPr>
        <w:spacing w:after="0" w:line="202" w:lineRule="exact"/>
        <w:rPr>
          <w:sz w:val="20"/>
          <w:szCs w:val="20"/>
          <w:color w:val="auto"/>
        </w:rPr>
      </w:pPr>
    </w:p>
    <w:p>
      <w:pPr>
        <w:ind w:firstLine="1304"/>
        <w:spacing w:after="0" w:line="252" w:lineRule="auto"/>
        <w:tabs>
          <w:tab w:leader="none" w:pos="213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if to Holders, if given in writing by first class mail, postage prepaid, to such Holders at their addresses as the same shall appear on the Register of the Company; </w:t>
      </w:r>
      <w:r>
        <w:rPr>
          <w:rFonts w:ascii="Arial" w:cs="Arial" w:eastAsia="Arial" w:hAnsi="Arial"/>
          <w:sz w:val="21"/>
          <w:szCs w:val="21"/>
          <w:i w:val="1"/>
          <w:iCs w:val="1"/>
          <w:color w:val="auto"/>
        </w:rPr>
        <w:t>provided</w:t>
      </w:r>
      <w:r>
        <w:rPr>
          <w:rFonts w:ascii="Arial" w:cs="Arial" w:eastAsia="Arial" w:hAnsi="Arial"/>
          <w:sz w:val="21"/>
          <w:szCs w:val="21"/>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200" w:lineRule="exact"/>
        <w:rPr>
          <w:rFonts w:ascii="Arial" w:cs="Arial" w:eastAsia="Arial" w:hAnsi="Arial"/>
          <w:sz w:val="21"/>
          <w:szCs w:val="21"/>
          <w:color w:val="auto"/>
        </w:rPr>
      </w:pPr>
    </w:p>
    <w:p>
      <w:pPr>
        <w:ind w:right="380" w:firstLine="1304"/>
        <w:spacing w:after="0"/>
        <w:tabs>
          <w:tab w:leader="none" w:pos="20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213"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8" w:name="page89"/>
    <w:bookmarkEnd w:id="88"/>
    <w:p>
      <w:pPr>
        <w:ind w:right="140" w:firstLine="648"/>
        <w:spacing w:after="0" w:line="277" w:lineRule="auto"/>
        <w:rPr>
          <w:sz w:val="20"/>
          <w:szCs w:val="20"/>
          <w:color w:val="auto"/>
        </w:rPr>
      </w:pPr>
      <w:r>
        <w:rPr>
          <w:rFonts w:ascii="Arial" w:cs="Arial" w:eastAsia="Arial" w:hAnsi="Arial"/>
          <w:sz w:val="19"/>
          <w:szCs w:val="19"/>
          <w:color w:val="auto"/>
        </w:rPr>
        <w:t xml:space="preserve">Section 16.05 </w:t>
      </w:r>
      <w:r>
        <w:rPr>
          <w:rFonts w:ascii="Arial" w:cs="Arial" w:eastAsia="Arial" w:hAnsi="Arial"/>
          <w:sz w:val="19"/>
          <w:szCs w:val="19"/>
          <w:u w:val="single" w:color="auto"/>
          <w:color w:val="auto"/>
        </w:rPr>
        <w:t>Legal Holiday</w:t>
      </w:r>
      <w:r>
        <w:rPr>
          <w:rFonts w:ascii="Arial" w:cs="Arial" w:eastAsia="Arial" w:hAnsi="Arial"/>
          <w:sz w:val="19"/>
          <w:szCs w:val="19"/>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79"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Section 16.06 </w:t>
      </w:r>
      <w:r>
        <w:rPr>
          <w:rFonts w:ascii="Arial" w:cs="Arial" w:eastAsia="Arial" w:hAnsi="Arial"/>
          <w:sz w:val="22"/>
          <w:szCs w:val="22"/>
          <w:u w:val="single" w:color="auto"/>
          <w:color w:val="auto"/>
        </w:rPr>
        <w:t>Effects of Headings and Table of Contents</w:t>
      </w:r>
      <w:r>
        <w:rPr>
          <w:rFonts w:ascii="Arial" w:cs="Arial" w:eastAsia="Arial" w:hAnsi="Arial"/>
          <w:sz w:val="22"/>
          <w:szCs w:val="22"/>
          <w:color w:val="auto"/>
        </w:rPr>
        <w:t>. The Article and Section headings herein and the Table of Contents are for convenience only and shall not affect the construction hereof.</w:t>
      </w:r>
    </w:p>
    <w:p>
      <w:pPr>
        <w:spacing w:after="0" w:line="20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Section 16.07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agreements in this Indenture by the parties hereto shall bind their respective successors and assigns and inure to the benefit of their permitted successors and assigns, whether so expressed or not.</w:t>
      </w:r>
    </w:p>
    <w:p>
      <w:pPr>
        <w:spacing w:after="0" w:line="21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 xml:space="preserve">Section 16.08 </w:t>
      </w:r>
      <w:r>
        <w:rPr>
          <w:rFonts w:ascii="Arial" w:cs="Arial" w:eastAsia="Arial" w:hAnsi="Arial"/>
          <w:sz w:val="22"/>
          <w:szCs w:val="22"/>
          <w:u w:val="single" w:color="auto"/>
          <w:color w:val="auto"/>
        </w:rPr>
        <w:t>Separability Clause</w:t>
      </w:r>
      <w:r>
        <w:rPr>
          <w:rFonts w:ascii="Arial" w:cs="Arial" w:eastAsia="Arial" w:hAnsi="Arial"/>
          <w:sz w:val="22"/>
          <w:szCs w:val="22"/>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16.09 </w:t>
      </w:r>
      <w:r>
        <w:rPr>
          <w:rFonts w:ascii="Arial" w:cs="Arial" w:eastAsia="Arial" w:hAnsi="Arial"/>
          <w:sz w:val="21"/>
          <w:szCs w:val="21"/>
          <w:u w:val="single" w:color="auto"/>
          <w:color w:val="auto"/>
        </w:rPr>
        <w:t>Benefits of Indenture</w:t>
      </w:r>
      <w:r>
        <w:rPr>
          <w:rFonts w:ascii="Arial" w:cs="Arial" w:eastAsia="Arial" w:hAnsi="Arial"/>
          <w:sz w:val="21"/>
          <w:szCs w:val="21"/>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204"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 xml:space="preserve">Section 16.10 </w:t>
      </w:r>
      <w:r>
        <w:rPr>
          <w:rFonts w:ascii="Arial" w:cs="Arial" w:eastAsia="Arial" w:hAnsi="Arial"/>
          <w:sz w:val="19"/>
          <w:szCs w:val="19"/>
          <w:u w:val="single" w:color="auto"/>
          <w:color w:val="auto"/>
        </w:rPr>
        <w:t>Counterparts Originals</w:t>
      </w:r>
      <w:r>
        <w:rPr>
          <w:rFonts w:ascii="Arial" w:cs="Arial" w:eastAsia="Arial" w:hAnsi="Arial"/>
          <w:sz w:val="19"/>
          <w:szCs w:val="19"/>
          <w:color w:val="auto"/>
        </w:rPr>
        <w:t>. 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4"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 xml:space="preserve">Section 16.11 </w:t>
      </w:r>
      <w:r>
        <w:rPr>
          <w:rFonts w:ascii="Arial" w:cs="Arial" w:eastAsia="Arial" w:hAnsi="Arial"/>
          <w:sz w:val="22"/>
          <w:szCs w:val="22"/>
          <w:u w:val="single" w:color="auto"/>
          <w:color w:val="auto"/>
        </w:rPr>
        <w:t>Governing Law; Waiver of Trial by Jury</w:t>
      </w:r>
      <w:r>
        <w:rPr>
          <w:rFonts w:ascii="Arial" w:cs="Arial" w:eastAsia="Arial" w:hAnsi="Arial"/>
          <w:sz w:val="22"/>
          <w:szCs w:val="22"/>
          <w:color w:val="auto"/>
        </w:rPr>
        <w:t>. This Indenture and the Securities shall be deemed to be contracts made under the law of the State of New York, and for all purposes shall be governed by and construed in accordance with the law of said State.</w:t>
      </w:r>
    </w:p>
    <w:p>
      <w:pPr>
        <w:spacing w:after="0" w:line="21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right="120" w:firstLine="648"/>
        <w:spacing w:after="0" w:line="279" w:lineRule="auto"/>
        <w:rPr>
          <w:sz w:val="20"/>
          <w:szCs w:val="20"/>
          <w:color w:val="auto"/>
        </w:rPr>
      </w:pPr>
      <w:r>
        <w:rPr>
          <w:rFonts w:ascii="Arial" w:cs="Arial" w:eastAsia="Arial" w:hAnsi="Arial"/>
          <w:sz w:val="19"/>
          <w:szCs w:val="19"/>
          <w:color w:val="auto"/>
        </w:rPr>
        <w:t xml:space="preserve">Section 16.12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16.13 </w:t>
      </w:r>
      <w:r>
        <w:rPr>
          <w:rFonts w:ascii="Arial" w:cs="Arial" w:eastAsia="Arial" w:hAnsi="Arial"/>
          <w:sz w:val="21"/>
          <w:szCs w:val="21"/>
          <w:u w:val="single" w:color="auto"/>
          <w:color w:val="auto"/>
        </w:rPr>
        <w:t>U.S.A. Patriot Act</w:t>
      </w:r>
      <w:r>
        <w:rPr>
          <w:rFonts w:ascii="Arial" w:cs="Arial" w:eastAsia="Arial" w:hAnsi="Arial"/>
          <w:sz w:val="21"/>
          <w:szCs w:val="21"/>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IN WITNESS WHEREOF, the parties have caused this Indenture to be duly executed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118" w:right="127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33"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UNLESS THIS CERTIFICATE IS PRESENTED BY AN AUTHORIZED REPRESENTATIVE OF THE [DEPOSITARY] TO THE COMPANY OR ITS AGENT FOR REGISTRATION OF TRANSFER, EXCHANGE OR PAYMENT, AND ANY CERTIFICATE ISSUED IS REGISTERED IN THE NAME OF [NOMINEE OF DEPOSITARY]. OR IN SUCH OTHER NAME AS IS REQUESTED BY AN AUTHORIZED REPRESENTATIVE OF [DEPOSITARY] (AND ANY PAYMENT HEREON IS MADE TO [NOMINEE OF DEPOSITARY] OR TO SUCH OTHER ENTITY AS IS REQUESTED BY AN AUTHORIZED REPRESENTATIVE OF [DEPOSITARY]), ANY TRANSFER, PLEDGE OR OTHER USE HEREOF FOR VALUE OR OTHERWISE BY OR TO ANY PERSON IS WRONGFUL SINCE THE REGISTERED OWNER HEREOF, [NOMINEE OF DEPOSITARY], HAS AN INTEREST HEREIN.</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CUSIP No.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Inc.</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____________ NOTES DUE 20__</w:t>
      </w:r>
    </w:p>
    <w:p>
      <w:pPr>
        <w:sectPr>
          <w:pgSz w:w="11900" w:h="16838" w:orient="portrait"/>
          <w:cols w:equalWidth="0" w:num="1">
            <w:col w:w="11240"/>
          </w:cols>
          <w:pgMar w:left="320" w:top="118" w:right="3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revised by the Schedule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Increases or Decreases in Global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Security attached hereto</w:t>
      </w:r>
    </w:p>
    <w:p>
      <w:pPr>
        <w:spacing w:after="0" w:line="200" w:lineRule="exact"/>
        <w:rPr>
          <w:sz w:val="20"/>
          <w:szCs w:val="20"/>
          <w:color w:val="auto"/>
        </w:rPr>
      </w:pPr>
    </w:p>
    <w:p>
      <w:pPr>
        <w:sectPr>
          <w:pgSz w:w="11900" w:h="16838" w:orient="portrait"/>
          <w:cols w:equalWidth="0" w:num="2">
            <w:col w:w="7720" w:space="720"/>
            <w:col w:w="2800"/>
          </w:cols>
          <w:pgMar w:left="320" w:top="11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New Fortress Energy Inc., a Delaware corporation (herein called the “Company,” which term includes any successor Person under the Indenture</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hereinafter referred to), for value received, hereby promises to pay to or registered assigns, the principal sum of million dollars ($ ), as revised by the Schedule of Increases or Decreases in Global Security attached hereto, on , 20 and to pay interest thereon from , 20 or from the most recent Interest Payment Date to which interest has been paid or duly provided for, semi-annually in arrears on and in each year, commencing , 20 at the rate of % per annum, until the principal hereof is paid or made available for payment.</w:t>
      </w:r>
    </w:p>
    <w:p>
      <w:pPr>
        <w:spacing w:after="0" w:line="2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interest so payable, and punctually paid or duly provided for, on any Interest Payment Date will, as provided in such Indenture,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to the Person in whose name this Security (or one or more Predecessor Securities) is registered at the close of business on the Record Date for such</w:t>
      </w:r>
    </w:p>
    <w:p>
      <w:pPr>
        <w:ind w:right="100"/>
        <w:spacing w:after="0" w:line="252" w:lineRule="auto"/>
        <w:rPr>
          <w:sz w:val="20"/>
          <w:szCs w:val="20"/>
          <w:color w:val="auto"/>
        </w:rPr>
      </w:pPr>
      <w:r>
        <w:rPr>
          <w:rFonts w:ascii="Arial" w:cs="Arial" w:eastAsia="Arial" w:hAnsi="Arial"/>
          <w:sz w:val="18"/>
          <w:szCs w:val="18"/>
          <w:color w:val="auto"/>
        </w:rPr>
        <w:t>interest, which shall be or ,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21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Unless the certificate of authentication hereon has been executed by the Trustee referred to on the reverse hereof by manual signature,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Date of authentication: _________</w:t>
            </w:r>
          </w:p>
        </w:tc>
        <w:tc>
          <w:tcPr>
            <w:tcW w:w="7200" w:type="dxa"/>
            <w:vAlign w:val="bottom"/>
            <w:gridSpan w:val="2"/>
          </w:tcPr>
          <w:p>
            <w:pPr>
              <w:ind w:left="1580"/>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4040" w:type="dxa"/>
            <w:vAlign w:val="bottom"/>
          </w:tcPr>
          <w:p>
            <w:pPr>
              <w:spacing w:after="0"/>
              <w:rPr>
                <w:sz w:val="20"/>
                <w:szCs w:val="20"/>
                <w:color w:val="auto"/>
              </w:rPr>
            </w:pPr>
          </w:p>
        </w:tc>
        <w:tc>
          <w:tcPr>
            <w:tcW w:w="7200" w:type="dxa"/>
            <w:vAlign w:val="bottom"/>
            <w:gridSpan w:val="2"/>
          </w:tcPr>
          <w:p>
            <w:pPr>
              <w:ind w:left="1580"/>
              <w:spacing w:after="0"/>
              <w:rPr>
                <w:sz w:val="20"/>
                <w:szCs w:val="20"/>
                <w:color w:val="auto"/>
              </w:rPr>
            </w:pPr>
            <w:r>
              <w:rPr>
                <w:rFonts w:ascii="Arial" w:cs="Arial" w:eastAsia="Arial" w:hAnsi="Arial"/>
                <w:sz w:val="18"/>
                <w:szCs w:val="18"/>
                <w:color w:val="auto"/>
              </w:rPr>
              <w:t>as Trustee</w:t>
            </w:r>
          </w:p>
        </w:tc>
      </w:tr>
      <w:tr>
        <w:trPr>
          <w:trHeight w:val="466"/>
        </w:trPr>
        <w:tc>
          <w:tcPr>
            <w:tcW w:w="4040" w:type="dxa"/>
            <w:vAlign w:val="bottom"/>
          </w:tcPr>
          <w:p>
            <w:pPr>
              <w:spacing w:after="0"/>
              <w:rPr>
                <w:sz w:val="24"/>
                <w:szCs w:val="24"/>
                <w:color w:val="auto"/>
              </w:rPr>
            </w:pPr>
          </w:p>
        </w:tc>
        <w:tc>
          <w:tcPr>
            <w:tcW w:w="7200" w:type="dxa"/>
            <w:vAlign w:val="bottom"/>
            <w:gridSpan w:val="2"/>
          </w:tcPr>
          <w:p>
            <w:pPr>
              <w:ind w:left="1600"/>
              <w:spacing w:after="0"/>
              <w:rPr>
                <w:sz w:val="20"/>
                <w:szCs w:val="20"/>
                <w:color w:val="auto"/>
              </w:rPr>
            </w:pPr>
            <w:r>
              <w:rPr>
                <w:rFonts w:ascii="Arial" w:cs="Arial" w:eastAsia="Arial" w:hAnsi="Arial"/>
                <w:sz w:val="18"/>
                <w:szCs w:val="18"/>
                <w:color w:val="auto"/>
              </w:rPr>
              <w:t>By:</w:t>
            </w:r>
          </w:p>
        </w:tc>
      </w:tr>
      <w:tr>
        <w:trPr>
          <w:trHeight w:val="230"/>
        </w:trPr>
        <w:tc>
          <w:tcPr>
            <w:tcW w:w="4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568"/>
        </w:trPr>
        <w:tc>
          <w:tcPr>
            <w:tcW w:w="4040" w:type="dxa"/>
            <w:vAlign w:val="bottom"/>
          </w:tcPr>
          <w:p>
            <w:pPr>
              <w:spacing w:after="0"/>
              <w:rPr>
                <w:sz w:val="24"/>
                <w:szCs w:val="24"/>
                <w:color w:val="auto"/>
              </w:rPr>
            </w:pPr>
          </w:p>
        </w:tc>
        <w:tc>
          <w:tcPr>
            <w:tcW w:w="7200" w:type="dxa"/>
            <w:vAlign w:val="bottom"/>
            <w:gridSpan w:val="2"/>
          </w:tcPr>
          <w:p>
            <w:pPr>
              <w:ind w:left="1480"/>
              <w:spacing w:after="0"/>
              <w:rPr>
                <w:sz w:val="20"/>
                <w:szCs w:val="20"/>
                <w:color w:val="auto"/>
              </w:rPr>
            </w:pPr>
            <w:r>
              <w:rPr>
                <w:rFonts w:ascii="Arial" w:cs="Arial" w:eastAsia="Arial" w:hAnsi="Arial"/>
                <w:sz w:val="14"/>
                <w:szCs w:val="14"/>
                <w:color w:val="auto"/>
              </w:rPr>
              <w:t>A-3</w:t>
            </w:r>
          </w:p>
        </w:tc>
      </w:tr>
      <w:tr>
        <w:trPr>
          <w:trHeight w:val="46"/>
        </w:trPr>
        <w:tc>
          <w:tcPr>
            <w:tcW w:w="40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color w:val="auto"/>
        </w:rPr>
        <w:t>[FORM OF REVERSE OF SECURITY]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Security is one of a duly authorized issue of securities of the Company (herein called the “Securities”), issued and to be issued in one or</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more series under an Indenture, dated as of , 20 , [as supplemented by a Supplemental Indenture dated , 20 ] (as so supplemented, herein called the “Indenture”), between the Company and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w:t>
      </w:r>
    </w:p>
    <w:p>
      <w:pPr>
        <w:spacing w:after="0" w:line="3"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aggregate principal amount to $</w:t>
      </w:r>
      <w:r>
        <w:rPr>
          <w:sz w:val="20"/>
          <w:szCs w:val="20"/>
          <w:color w:val="auto"/>
        </w:rPr>
        <w:tab/>
      </w:r>
      <w:r>
        <w:rPr>
          <w:rFonts w:ascii="Arial" w:cs="Arial" w:eastAsia="Arial" w:hAnsi="Arial"/>
          <w:sz w:val="13"/>
          <w:szCs w:val="13"/>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Securities of this series are subject to redemption at the Company’s option, at any time and from time to time, in whole or in</w:t>
      </w:r>
    </w:p>
    <w:p>
      <w:pPr>
        <w:spacing w:after="0" w:line="46"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part, at a Redemption Price equal to</w:t>
      </w:r>
      <w:r>
        <w:rPr>
          <w:sz w:val="20"/>
          <w:szCs w:val="20"/>
          <w:color w:val="auto"/>
        </w:rPr>
        <w:tab/>
      </w:r>
      <w:r>
        <w:rPr>
          <w:rFonts w:ascii="Arial" w:cs="Arial" w:eastAsia="Arial" w:hAnsi="Arial"/>
          <w:sz w:val="13"/>
          <w:szCs w:val="13"/>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determining the optional redemption price, the following definitions are applicable:</w:t>
      </w:r>
    </w:p>
    <w:p>
      <w:pPr>
        <w:spacing w:after="0" w:line="233"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Notice of any redemption will be mailed at least 30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If fewer than all of the Securities are to be redeemed, the Trustee will select, not</w:t>
      </w:r>
    </w:p>
    <w:p>
      <w:pPr>
        <w:spacing w:after="0" w:line="3" w:lineRule="exact"/>
        <w:rPr>
          <w:sz w:val="20"/>
          <w:szCs w:val="20"/>
          <w:color w:val="auto"/>
        </w:rPr>
      </w:pPr>
    </w:p>
    <w:p>
      <w:pPr>
        <w:ind w:right="700"/>
        <w:spacing w:after="0" w:line="256" w:lineRule="auto"/>
        <w:rPr>
          <w:sz w:val="20"/>
          <w:szCs w:val="20"/>
          <w:color w:val="auto"/>
        </w:rPr>
      </w:pPr>
      <w:r>
        <w:rPr>
          <w:rFonts w:ascii="Arial" w:cs="Arial" w:eastAsia="Arial" w:hAnsi="Arial"/>
          <w:sz w:val="21"/>
          <w:szCs w:val="21"/>
          <w:color w:val="auto"/>
        </w:rPr>
        <w:t>more than days prior to the Redemption Date, the particular Securities or portions thereof for redemption from the outstanding Securities not previously called by such method as the Trustee deems fair and appropriate.</w:t>
      </w:r>
    </w:p>
    <w:p>
      <w:pPr>
        <w:spacing w:after="0" w:line="19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Except as set forth above, the Securities will not be redeemable by the Company prior to maturity [and will not be entitled to the benefit of any sinking fund].</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Securities of this series shall occur and be continuing, the principal of the Securities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series may be declared due and payable in the manner and with the effect provided in the Indenture.</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Amendment, Modification and Waiver</w:t>
      </w:r>
      <w:r>
        <w:rPr>
          <w:rFonts w:ascii="Arial" w:cs="Arial" w:eastAsia="Arial" w:hAnsi="Arial"/>
          <w:sz w:val="17"/>
          <w:szCs w:val="17"/>
          <w:color w:val="auto"/>
        </w:rPr>
        <w:t>. The Indenture permits, with certain exceptions as therein provided, the amendment thereof and the modification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The Indenture does not limit unsecured debt of the Company or any of its Subsidiaries.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Denominations, Transfer and Exchange</w:t>
      </w:r>
      <w:r>
        <w:rPr>
          <w:rFonts w:ascii="Arial" w:cs="Arial" w:eastAsia="Arial" w:hAnsi="Arial"/>
          <w:sz w:val="18"/>
          <w:szCs w:val="18"/>
          <w:color w:val="auto"/>
        </w:rPr>
        <w:t>. The Securities of this series are issuable only in registered form without coupons in denominations of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in integral multiples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4"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this Security for registration of transfer, the Company, the Trustee and any agent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This Indenture and this Security shall be deemed to be contracts made under the law of the State of New York, and for all purposes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 of said State.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All terms used in this Security and not defined herein shall have the meanings assigned to them in the Indenture.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ind w:left="2300"/>
        <w:spacing w:after="0"/>
        <w:rPr>
          <w:sz w:val="20"/>
          <w:szCs w:val="20"/>
          <w:color w:val="auto"/>
        </w:rPr>
      </w:pPr>
      <w:r>
        <w:rPr>
          <w:rFonts w:ascii="Arial" w:cs="Arial" w:eastAsia="Arial" w:hAnsi="Arial"/>
          <w:sz w:val="22"/>
          <w:szCs w:val="22"/>
          <w:color w:val="auto"/>
        </w:rPr>
        <w:t>SCHEDULE OF INCREASES OR DECREASES IN GLOBAL SECURITY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increases or decreases in this Global Security have been made: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Principal Amount</w:t>
            </w: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increase in</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decrease in</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this Global</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 Amount</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 Amount</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 following</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authorized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this Global</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this Global</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each decrease or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w:t>
            </w:r>
          </w:p>
        </w:tc>
      </w:tr>
      <w:tr>
        <w:trPr>
          <w:trHeight w:val="241"/>
        </w:trPr>
        <w:tc>
          <w:tcPr>
            <w:tcW w:w="21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Date of Exchange</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Trustee</w:t>
            </w:r>
          </w:p>
        </w:tc>
      </w:tr>
      <w:tr>
        <w:trPr>
          <w:trHeight w:val="865"/>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ind w:left="1000"/>
              <w:spacing w:after="0"/>
              <w:rPr>
                <w:sz w:val="20"/>
                <w:szCs w:val="20"/>
                <w:color w:val="auto"/>
              </w:rPr>
            </w:pPr>
            <w:r>
              <w:rPr>
                <w:rFonts w:ascii="Arial" w:cs="Arial" w:eastAsia="Arial" w:hAnsi="Arial"/>
                <w:sz w:val="14"/>
                <w:szCs w:val="14"/>
                <w:color w:val="auto"/>
              </w:rPr>
              <w:t>A-6</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00"/>
        </w:trPr>
        <w:tc>
          <w:tcPr>
            <w:tcW w:w="2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We consent to the reference to our firm under the caption “Experts” in the Prospectus of New Fortress Energy LLC for the registration of Class A Shares, Preferred Shares, Depositary Shares, Debt Securities, Warrants and 144,933,041 Class A Shares Offered by Selling Securityholders, incorporated by reference in this Post-Effective Amendment No. 1 to the Registration Statement (Form S-3 No. 333-236921) and to the incorporation by reference therein of our report dated March 4, 2020, with respect to the consolidated financial statements of New Fortress Energy LLC included in its Annual Report (Form 10-K) for the year ended December 31, 2019, filed with the Securities and Exchange Commission.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[Skadden, Arps, Slate, Meagher &amp; Flom LLP Letterhead]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7,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Fortress Energy Inc.</w:t>
      </w:r>
    </w:p>
    <w:p>
      <w:pPr>
        <w:spacing w:after="0" w:line="180" w:lineRule="auto"/>
        <w:rPr>
          <w:sz w:val="20"/>
          <w:szCs w:val="20"/>
          <w:color w:val="auto"/>
        </w:rPr>
      </w:pPr>
      <w:r>
        <w:rPr>
          <w:rFonts w:ascii="Arial" w:cs="Arial" w:eastAsia="Arial" w:hAnsi="Arial"/>
          <w:sz w:val="19"/>
          <w:szCs w:val="19"/>
          <w:color w:val="auto"/>
        </w:rPr>
        <w:t>111 W. 19</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Street, 8</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10011</w:t>
      </w:r>
    </w:p>
    <w:p>
      <w:pPr>
        <w:spacing w:after="0" w:line="22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New Fortress Energy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We have acted as special United States counsel to New Fortress Energy Inc., a Delaware corporation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registration statement on Form S-3 (File No. 333-236921), as amended by Post-Effective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Amendment No. 1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to be filed on the date hereof by the Company with the Securities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the Securities Act of 1933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Registration Statement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relates to the issuance and sale by the Company from time to time, pursuant to Rule 415 of the General Rules and Regulations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Commission promulgated under the Securities Act (the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of (i) shares of Class A common stock, par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value $0.01 per share, of the Company (the “</w:t>
      </w:r>
      <w:r>
        <w:rPr>
          <w:rFonts w:ascii="Arial" w:cs="Arial" w:eastAsia="Arial" w:hAnsi="Arial"/>
          <w:sz w:val="19"/>
          <w:szCs w:val="19"/>
          <w:u w:val="single" w:color="auto"/>
          <w:color w:val="auto"/>
        </w:rPr>
        <w:t>Class A Shares</w:t>
      </w:r>
      <w:r>
        <w:rPr>
          <w:rFonts w:ascii="Arial" w:cs="Arial" w:eastAsia="Arial" w:hAnsi="Arial"/>
          <w:sz w:val="19"/>
          <w:szCs w:val="19"/>
          <w:color w:val="auto"/>
        </w:rPr>
        <w:t>”), (ii) shares of preferred stock, par value $0.01 per share, of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Company (the “</w:t>
      </w:r>
      <w:r>
        <w:rPr>
          <w:rFonts w:ascii="Arial" w:cs="Arial" w:eastAsia="Arial" w:hAnsi="Arial"/>
          <w:sz w:val="21"/>
          <w:szCs w:val="21"/>
          <w:u w:val="single" w:color="auto"/>
          <w:color w:val="auto"/>
        </w:rPr>
        <w:t>Preferred Shares</w:t>
      </w:r>
      <w:r>
        <w:rPr>
          <w:rFonts w:ascii="Arial" w:cs="Arial" w:eastAsia="Arial" w:hAnsi="Arial"/>
          <w:sz w:val="21"/>
          <w:szCs w:val="21"/>
          <w:color w:val="auto"/>
        </w:rPr>
        <w:t>”), which may be issued in one or more series, (iii) depositary receipts (the “</w:t>
      </w:r>
      <w:r>
        <w:rPr>
          <w:rFonts w:ascii="Arial" w:cs="Arial" w:eastAsia="Arial" w:hAnsi="Arial"/>
          <w:sz w:val="21"/>
          <w:szCs w:val="21"/>
          <w:u w:val="single" w:color="auto"/>
          <w:color w:val="auto"/>
        </w:rPr>
        <w:t>Receipts</w:t>
      </w:r>
      <w:r>
        <w:rPr>
          <w:rFonts w:ascii="Arial" w:cs="Arial" w:eastAsia="Arial" w:hAnsi="Arial"/>
          <w:sz w:val="21"/>
          <w:szCs w:val="2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representing fractional shares of the Preferred Shares (the “</w:t>
      </w:r>
      <w:r>
        <w:rPr>
          <w:rFonts w:ascii="Arial" w:cs="Arial" w:eastAsia="Arial" w:hAnsi="Arial"/>
          <w:sz w:val="19"/>
          <w:szCs w:val="19"/>
          <w:u w:val="single" w:color="auto"/>
          <w:color w:val="auto"/>
        </w:rPr>
        <w:t>Depositary Shares</w:t>
      </w:r>
      <w:r>
        <w:rPr>
          <w:rFonts w:ascii="Arial" w:cs="Arial" w:eastAsia="Arial" w:hAnsi="Arial"/>
          <w:sz w:val="19"/>
          <w:szCs w:val="19"/>
          <w:color w:val="auto"/>
        </w:rPr>
        <w:t>”) which may be issued pursuant to one or more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depositary agreements (each, a “</w:t>
      </w:r>
      <w:r>
        <w:rPr>
          <w:rFonts w:ascii="Arial" w:cs="Arial" w:eastAsia="Arial" w:hAnsi="Arial"/>
          <w:sz w:val="19"/>
          <w:szCs w:val="19"/>
          <w:u w:val="single" w:color="auto"/>
          <w:color w:val="auto"/>
        </w:rPr>
        <w:t>Depositary Agreement</w:t>
      </w:r>
      <w:r>
        <w:rPr>
          <w:rFonts w:ascii="Arial" w:cs="Arial" w:eastAsia="Arial" w:hAnsi="Arial"/>
          <w:sz w:val="19"/>
          <w:szCs w:val="19"/>
          <w:color w:val="auto"/>
        </w:rPr>
        <w:t>”) proposed to be entered into between the Company and one or more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bank or trust companies to be named in the applicable Depositary Agreement (each, a “</w:t>
      </w:r>
      <w:r>
        <w:rPr>
          <w:rFonts w:ascii="Arial" w:cs="Arial" w:eastAsia="Arial" w:hAnsi="Arial"/>
          <w:sz w:val="19"/>
          <w:szCs w:val="19"/>
          <w:u w:val="single" w:color="auto"/>
          <w:color w:val="auto"/>
        </w:rPr>
        <w:t>Bank Depositary</w:t>
      </w:r>
      <w:r>
        <w:rPr>
          <w:rFonts w:ascii="Arial" w:cs="Arial" w:eastAsia="Arial" w:hAnsi="Arial"/>
          <w:sz w:val="19"/>
          <w:szCs w:val="19"/>
          <w:color w:val="auto"/>
        </w:rPr>
        <w:t>”), (iv) debt securities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Company (“</w:t>
      </w:r>
      <w:r>
        <w:rPr>
          <w:rFonts w:ascii="Arial" w:cs="Arial" w:eastAsia="Arial" w:hAnsi="Arial"/>
          <w:sz w:val="19"/>
          <w:szCs w:val="19"/>
          <w:u w:val="single" w:color="auto"/>
          <w:color w:val="auto"/>
        </w:rPr>
        <w:t>Debt Securities</w:t>
      </w:r>
      <w:r>
        <w:rPr>
          <w:rFonts w:ascii="Arial" w:cs="Arial" w:eastAsia="Arial" w:hAnsi="Arial"/>
          <w:sz w:val="19"/>
          <w:szCs w:val="19"/>
          <w:color w:val="auto"/>
        </w:rPr>
        <w:t>”), which may be issued in one or more series under an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proposed to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entered into by the Company and the trustee to be named therein, the form of which is filed as an exhibit to the Registration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Statement, (v) warrants to purchase Class A Shares, Preferred Shares or Debt Securities (“</w:t>
      </w:r>
      <w:r>
        <w:rPr>
          <w:rFonts w:ascii="Arial" w:cs="Arial" w:eastAsia="Arial" w:hAnsi="Arial"/>
          <w:sz w:val="19"/>
          <w:szCs w:val="19"/>
          <w:u w:val="single" w:color="auto"/>
          <w:color w:val="auto"/>
        </w:rPr>
        <w:t>Warrants</w:t>
      </w:r>
      <w:r>
        <w:rPr>
          <w:rFonts w:ascii="Arial" w:cs="Arial" w:eastAsia="Arial" w:hAnsi="Arial"/>
          <w:sz w:val="19"/>
          <w:szCs w:val="19"/>
          <w:color w:val="auto"/>
        </w:rPr>
        <w:t>”), which may be issued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pursuant to one or more warrant agreements (each, a “</w:t>
      </w:r>
      <w:r>
        <w:rPr>
          <w:rFonts w:ascii="Arial" w:cs="Arial" w:eastAsia="Arial" w:hAnsi="Arial"/>
          <w:sz w:val="19"/>
          <w:szCs w:val="19"/>
          <w:u w:val="single" w:color="auto"/>
          <w:color w:val="auto"/>
        </w:rPr>
        <w:t>Warrant Agreement</w:t>
      </w:r>
      <w:r>
        <w:rPr>
          <w:rFonts w:ascii="Arial" w:cs="Arial" w:eastAsia="Arial" w:hAnsi="Arial"/>
          <w:sz w:val="19"/>
          <w:szCs w:val="19"/>
          <w:color w:val="auto"/>
        </w:rPr>
        <w:t>”) proposed to be entered into by the Company and one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or more warrant agents to be named therein, and (vi) such indeterminate number of Class A Shares, Preferred Shares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Depositary Shares and indeterminate amount of Debt Securities as may be issued upon conversion, exchange or exercise,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applicable, of any Preferred Shares, Depositary Shares, Debt Securities or Warrants, including such Class A Shares or Preferred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as may be issued pursuant to anti-dilution adjustments determined at the time of offering (collectively, “</w:t>
      </w:r>
      <w:r>
        <w:rPr>
          <w:rFonts w:ascii="Arial" w:cs="Arial" w:eastAsia="Arial" w:hAnsi="Arial"/>
          <w:sz w:val="19"/>
          <w:szCs w:val="19"/>
          <w:u w:val="single" w:color="auto"/>
          <w:color w:val="auto"/>
        </w:rPr>
        <w:t>Indeterminate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w:t>
      </w:r>
      <w:r>
        <w:rPr>
          <w:rFonts w:ascii="Arial" w:cs="Arial" w:eastAsia="Arial" w:hAnsi="Arial"/>
          <w:sz w:val="19"/>
          <w:szCs w:val="19"/>
          <w:color w:val="auto"/>
        </w:rPr>
        <w:t>”). The Registration Statement also relates to the sale from time to time of (a) up to 589,042 Class A Shares (the “</w:t>
      </w:r>
      <w:r>
        <w:rPr>
          <w:rFonts w:ascii="Arial" w:cs="Arial" w:eastAsia="Arial" w:hAnsi="Arial"/>
          <w:sz w:val="19"/>
          <w:szCs w:val="19"/>
          <w:u w:val="single" w:color="auto"/>
          <w:color w:val="auto"/>
        </w:rPr>
        <w:t>RSU</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Secondary Shares</w:t>
      </w:r>
      <w:r>
        <w:rPr>
          <w:rFonts w:ascii="Arial" w:cs="Arial" w:eastAsia="Arial" w:hAnsi="Arial"/>
          <w:sz w:val="19"/>
          <w:szCs w:val="19"/>
          <w:color w:val="auto"/>
        </w:rPr>
        <w:t>”) issuable upon settlement of certain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outstanding under the Amended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Restated New Fortress Energy Inc. 2019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(b) 144,343,999 additional Class A Shares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Secondary Shares</w:t>
      </w:r>
      <w:r>
        <w:rPr>
          <w:rFonts w:ascii="Arial" w:cs="Arial" w:eastAsia="Arial" w:hAnsi="Arial"/>
          <w:sz w:val="19"/>
          <w:szCs w:val="19"/>
          <w:color w:val="auto"/>
        </w:rPr>
        <w:t>” and together with the RSU Secondary Shares, the “</w:t>
      </w:r>
      <w:r>
        <w:rPr>
          <w:rFonts w:ascii="Arial" w:cs="Arial" w:eastAsia="Arial" w:hAnsi="Arial"/>
          <w:sz w:val="19"/>
          <w:szCs w:val="19"/>
          <w:u w:val="single" w:color="auto"/>
          <w:color w:val="auto"/>
        </w:rPr>
        <w:t>Secondary Shares</w:t>
      </w:r>
      <w:r>
        <w:rPr>
          <w:rFonts w:ascii="Arial" w:cs="Arial" w:eastAsia="Arial" w:hAnsi="Arial"/>
          <w:sz w:val="19"/>
          <w:szCs w:val="19"/>
          <w:color w:val="auto"/>
        </w:rPr>
        <w:t>”) in each case on behalf of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Company’s stockholders (the “</w:t>
      </w:r>
      <w:r>
        <w:rPr>
          <w:rFonts w:ascii="Arial" w:cs="Arial" w:eastAsia="Arial" w:hAnsi="Arial"/>
          <w:sz w:val="22"/>
          <w:szCs w:val="22"/>
          <w:u w:val="single" w:color="auto"/>
          <w:color w:val="auto"/>
        </w:rPr>
        <w:t>Selling Stockholders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48" w:lineRule="exact"/>
        <w:rPr>
          <w:sz w:val="20"/>
          <w:szCs w:val="20"/>
          <w:color w:val="auto"/>
        </w:rPr>
      </w:pPr>
    </w:p>
    <w:p>
      <w:pPr>
        <w:ind w:right="100" w:firstLine="1296"/>
        <w:spacing w:after="0" w:line="328" w:lineRule="auto"/>
        <w:rPr>
          <w:sz w:val="20"/>
          <w:szCs w:val="20"/>
          <w:color w:val="auto"/>
        </w:rPr>
      </w:pPr>
      <w:r>
        <w:rPr>
          <w:rFonts w:ascii="Arial" w:cs="Arial" w:eastAsia="Arial" w:hAnsi="Arial"/>
          <w:sz w:val="19"/>
          <w:szCs w:val="19"/>
          <w:color w:val="auto"/>
        </w:rPr>
        <w:t>The Class A Shares, Preferred Shares, Depositary Shares, Debt Securities, Warrants, Indeterminate Securities and Secondary Shares offered pursuant to the Registration Statement are collectively referred to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132"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This opinion is being furnished in accordance with the requirements of Item 601(b)(5) of Regulation S-K under the Securities Act.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233" w:lineRule="exact"/>
        <w:rPr>
          <w:sz w:val="20"/>
          <w:szCs w:val="20"/>
          <w:color w:val="auto"/>
        </w:rPr>
      </w:pPr>
    </w:p>
    <w:p>
      <w:pPr>
        <w:ind w:left="2080" w:hanging="776"/>
        <w:spacing w:after="0"/>
        <w:tabs>
          <w:tab w:leader="none" w:pos="2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Registration Statement;</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form of Indenture filed as an exhibit to the Registration Statement;</w:t>
      </w:r>
    </w:p>
    <w:p>
      <w:pPr>
        <w:spacing w:after="0" w:line="233" w:lineRule="exact"/>
        <w:rPr>
          <w:rFonts w:ascii="Arial" w:cs="Arial" w:eastAsia="Arial" w:hAnsi="Arial"/>
          <w:sz w:val="22"/>
          <w:szCs w:val="22"/>
          <w:color w:val="auto"/>
        </w:rPr>
      </w:pPr>
    </w:p>
    <w:p>
      <w:pPr>
        <w:ind w:right="200" w:firstLine="1304"/>
        <w:spacing w:after="0" w:line="250" w:lineRule="auto"/>
        <w:tabs>
          <w:tab w:leader="none" w:pos="2076"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 executed copy of a certificate of Cameron D. MacDougall, Secretary of the Company, dated the date hereof (the “</w:t>
      </w:r>
      <w:r>
        <w:rPr>
          <w:rFonts w:ascii="Arial" w:cs="Arial" w:eastAsia="Arial" w:hAnsi="Arial"/>
          <w:sz w:val="22"/>
          <w:szCs w:val="22"/>
          <w:u w:val="single" w:color="auto"/>
          <w:color w:val="auto"/>
        </w:rPr>
        <w:t>Secretary’s Certificate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2100" w:hanging="796"/>
        <w:spacing w:after="0"/>
        <w:tabs>
          <w:tab w:leader="none" w:pos="21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Plan;</w:t>
      </w:r>
    </w:p>
    <w:p>
      <w:pPr>
        <w:spacing w:after="0" w:line="233" w:lineRule="exact"/>
        <w:rPr>
          <w:rFonts w:ascii="Arial" w:cs="Arial" w:eastAsia="Arial" w:hAnsi="Arial"/>
          <w:sz w:val="22"/>
          <w:szCs w:val="22"/>
          <w:color w:val="auto"/>
        </w:rPr>
      </w:pPr>
    </w:p>
    <w:p>
      <w:pPr>
        <w:ind w:right="40" w:firstLine="1304"/>
        <w:spacing w:after="0" w:line="328" w:lineRule="auto"/>
        <w:tabs>
          <w:tab w:leader="none" w:pos="20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copy of the Company’s Certificate of Incorporation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certified by the Secretary of State of the State of Delaware as of August 3, 2020 and certified pursuant to the Secretary’s Certificate;</w:t>
      </w:r>
    </w:p>
    <w:p>
      <w:pPr>
        <w:spacing w:after="0" w:line="131" w:lineRule="exact"/>
        <w:rPr>
          <w:rFonts w:ascii="Arial" w:cs="Arial" w:eastAsia="Arial" w:hAnsi="Arial"/>
          <w:sz w:val="19"/>
          <w:szCs w:val="19"/>
          <w:color w:val="auto"/>
        </w:rPr>
      </w:pPr>
    </w:p>
    <w:p>
      <w:pPr>
        <w:ind w:right="240" w:firstLine="1304"/>
        <w:spacing w:after="0" w:line="250" w:lineRule="auto"/>
        <w:tabs>
          <w:tab w:leader="none" w:pos="20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the Bylaws of the Company, adopted as of August 3, 2020 and effective as of August 7, 2020 (the “</w:t>
      </w:r>
      <w:r>
        <w:rPr>
          <w:rFonts w:ascii="Arial" w:cs="Arial" w:eastAsia="Arial" w:hAnsi="Arial"/>
          <w:sz w:val="22"/>
          <w:szCs w:val="22"/>
          <w:u w:val="single" w:color="auto"/>
          <w:color w:val="auto"/>
        </w:rPr>
        <w:t>Bylaws</w:t>
      </w:r>
      <w:r>
        <w:rPr>
          <w:rFonts w:ascii="Arial" w:cs="Arial" w:eastAsia="Arial" w:hAnsi="Arial"/>
          <w:sz w:val="22"/>
          <w:szCs w:val="22"/>
          <w:color w:val="auto"/>
        </w:rPr>
        <w:t>”), certified pursuant to the Secretary’s Certificate;</w:t>
      </w:r>
    </w:p>
    <w:p>
      <w:pPr>
        <w:spacing w:after="0" w:line="201" w:lineRule="exact"/>
        <w:rPr>
          <w:rFonts w:ascii="Arial" w:cs="Arial" w:eastAsia="Arial" w:hAnsi="Arial"/>
          <w:sz w:val="22"/>
          <w:szCs w:val="22"/>
          <w:color w:val="auto"/>
        </w:rPr>
      </w:pPr>
    </w:p>
    <w:p>
      <w:pPr>
        <w:ind w:right="620" w:firstLine="1304"/>
        <w:spacing w:after="0" w:line="250" w:lineRule="auto"/>
        <w:tabs>
          <w:tab w:leader="none" w:pos="20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the Company's Certificate of Conversion, filed with the Secretary of State of the State of Delaware on August 3, 2020, certified pursuant to the Secretary’s Certificate;</w:t>
      </w:r>
    </w:p>
    <w:p>
      <w:pPr>
        <w:spacing w:after="0" w:line="201" w:lineRule="exact"/>
        <w:rPr>
          <w:rFonts w:ascii="Arial" w:cs="Arial" w:eastAsia="Arial" w:hAnsi="Arial"/>
          <w:sz w:val="22"/>
          <w:szCs w:val="22"/>
          <w:color w:val="auto"/>
        </w:rPr>
      </w:pPr>
    </w:p>
    <w:p>
      <w:pPr>
        <w:ind w:right="120" w:firstLine="1304"/>
        <w:spacing w:after="0" w:line="250" w:lineRule="auto"/>
        <w:tabs>
          <w:tab w:leader="none" w:pos="20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New Fortress Energy LLC adopted on July 30, 2020, certified pursuant to the Secretary’s Certificate;</w:t>
      </w:r>
    </w:p>
    <w:p>
      <w:pPr>
        <w:spacing w:after="0" w:line="201" w:lineRule="exact"/>
        <w:rPr>
          <w:rFonts w:ascii="Arial" w:cs="Arial" w:eastAsia="Arial" w:hAnsi="Arial"/>
          <w:sz w:val="22"/>
          <w:szCs w:val="22"/>
          <w:color w:val="auto"/>
        </w:rPr>
      </w:pPr>
    </w:p>
    <w:p>
      <w:pPr>
        <w:ind w:right="620" w:firstLine="1304"/>
        <w:spacing w:after="0" w:line="250" w:lineRule="auto"/>
        <w:tabs>
          <w:tab w:leader="none" w:pos="2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August 7, 2020, certified pursuant to the Secretary’s Certificate;</w:t>
      </w:r>
    </w:p>
    <w:p>
      <w:pPr>
        <w:spacing w:after="0" w:line="201" w:lineRule="exact"/>
        <w:rPr>
          <w:rFonts w:ascii="Arial" w:cs="Arial" w:eastAsia="Arial" w:hAnsi="Arial"/>
          <w:sz w:val="22"/>
          <w:szCs w:val="22"/>
          <w:color w:val="auto"/>
        </w:rPr>
      </w:pPr>
    </w:p>
    <w:p>
      <w:pPr>
        <w:ind w:firstLine="1304"/>
        <w:spacing w:after="0" w:line="250" w:lineRule="auto"/>
        <w:tabs>
          <w:tab w:leader="none" w:pos="2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the Form of Director Restricted Share Unit Award Agreement Under the Amended and Restated New Fortress Energy Inc. 2019 Omnibus Incentive Plan (the “</w:t>
      </w:r>
      <w:r>
        <w:rPr>
          <w:rFonts w:ascii="Arial" w:cs="Arial" w:eastAsia="Arial" w:hAnsi="Arial"/>
          <w:sz w:val="22"/>
          <w:szCs w:val="22"/>
          <w:u w:val="single" w:color="auto"/>
          <w:color w:val="auto"/>
        </w:rPr>
        <w:t>Director RSU Award Agreement</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ind w:right="260" w:firstLine="1304"/>
        <w:spacing w:after="0"/>
        <w:tabs>
          <w:tab w:leader="none" w:pos="20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copy of the Form of Restricted Share Unit Award Agreement Under the Amended and Restated New Fortress Energy Inc. 2019 Omnibus Incentive Plan (together with the Director RSU Award Agreement,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48" w:lineRule="exact"/>
        <w:rPr>
          <w:sz w:val="20"/>
          <w:szCs w:val="20"/>
          <w:color w:val="auto"/>
        </w:rPr>
      </w:pPr>
    </w:p>
    <w:p>
      <w:pPr>
        <w:ind w:right="140" w:firstLine="1296"/>
        <w:spacing w:after="0" w:line="252" w:lineRule="auto"/>
        <w:rPr>
          <w:sz w:val="20"/>
          <w:szCs w:val="20"/>
          <w:color w:val="auto"/>
        </w:rPr>
      </w:pPr>
      <w:r>
        <w:rPr>
          <w:rFonts w:ascii="Arial" w:cs="Arial" w:eastAsia="Arial" w:hAnsi="Arial"/>
          <w:sz w:val="21"/>
          <w:szCs w:val="21"/>
          <w:color w:val="auto"/>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and the Selling Stockholders and others, and such other documents as we have deemed necessary or appropriate as a basis for the opinions stated below.</w:t>
      </w:r>
    </w:p>
    <w:p>
      <w:pPr>
        <w:spacing w:after="0" w:line="201"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those in the Secretary’s Certificate.</w:t>
      </w:r>
    </w:p>
    <w:p>
      <w:pPr>
        <w:spacing w:after="0" w:line="177"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We do not express any opinion with respect to the laws of any jurisdiction other than (i) the laws of the State of New York and (ii)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(all of the foregoing being referred to as "Opined-on Law").</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As used herein, “</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the Plan, the Award Agreements, the Depositary Agreements, the Indenture and the supplemental indentures and officer’s certificates establishing the terms of the Debt Securities pursuant thereto, the Warrant Agreements and any applicable underwriting or purchase agreement.</w:t>
      </w:r>
    </w:p>
    <w:p>
      <w:pPr>
        <w:spacing w:after="0" w:line="213"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The opinions stated in paragraphs 1 through 7 below presume that all of the following (collectively, the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has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and the Bylaws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Based upon the foregoing and subject to the qualifications and assumptions stated herein, we are of the opinion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ind w:right="40" w:firstLine="1304"/>
        <w:spacing w:after="0" w:line="246" w:lineRule="auto"/>
        <w:tabs>
          <w:tab w:leader="none" w:pos="1994" w:val="left"/>
        </w:tabs>
        <w:numPr>
          <w:ilvl w:val="0"/>
          <w:numId w:val="96"/>
        </w:numPr>
        <w:rPr>
          <w:rFonts w:ascii="Arial" w:cs="Arial" w:eastAsia="Arial" w:hAnsi="Arial"/>
          <w:sz w:val="21"/>
          <w:szCs w:val="21"/>
          <w:color w:val="auto"/>
        </w:rPr>
      </w:pPr>
      <w:r>
        <w:rPr>
          <w:rFonts w:ascii="Arial" w:cs="Arial" w:eastAsia="Arial" w:hAnsi="Arial"/>
          <w:sz w:val="21"/>
          <w:szCs w:val="21"/>
          <w:color w:val="auto"/>
        </w:rPr>
        <w:t>With respect to any Class A Shares offered by the Company, including any Indeterminate Securities constituting Class A Shares (the “</w:t>
      </w:r>
      <w:r>
        <w:rPr>
          <w:rFonts w:ascii="Arial" w:cs="Arial" w:eastAsia="Arial" w:hAnsi="Arial"/>
          <w:sz w:val="21"/>
          <w:szCs w:val="21"/>
          <w:u w:val="single" w:color="auto"/>
          <w:color w:val="auto"/>
        </w:rPr>
        <w:t>Offered Class A Shares</w:t>
      </w:r>
      <w:r>
        <w:rPr>
          <w:rFonts w:ascii="Arial" w:cs="Arial" w:eastAsia="Arial" w:hAnsi="Arial"/>
          <w:sz w:val="21"/>
          <w:szCs w:val="21"/>
          <w:color w:val="auto"/>
        </w:rPr>
        <w:t>”) when (a) the general conditions shall have been satisfied, and (b) the Offered Class A Shares are registered in the Company’s share registry and delivered upon payment of the agreed-upon consideration therefor, the Offered Class A Shares,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Offered Class A Share.</w:t>
      </w:r>
    </w:p>
    <w:p>
      <w:pPr>
        <w:spacing w:after="0" w:line="211" w:lineRule="exact"/>
        <w:rPr>
          <w:rFonts w:ascii="Arial" w:cs="Arial" w:eastAsia="Arial" w:hAnsi="Arial"/>
          <w:sz w:val="21"/>
          <w:szCs w:val="21"/>
          <w:color w:val="auto"/>
        </w:rPr>
      </w:pPr>
    </w:p>
    <w:p>
      <w:pPr>
        <w:jc w:val="both"/>
        <w:ind w:firstLine="1304"/>
        <w:spacing w:after="0"/>
        <w:tabs>
          <w:tab w:leader="none" w:pos="1994" w:val="left"/>
        </w:tabs>
        <w:numPr>
          <w:ilvl w:val="0"/>
          <w:numId w:val="96"/>
        </w:numPr>
        <w:rPr>
          <w:rFonts w:ascii="Arial" w:cs="Arial" w:eastAsia="Arial" w:hAnsi="Arial"/>
          <w:sz w:val="22"/>
          <w:szCs w:val="22"/>
          <w:color w:val="auto"/>
        </w:rPr>
      </w:pPr>
      <w:r>
        <w:rPr>
          <w:rFonts w:ascii="Arial" w:cs="Arial" w:eastAsia="Arial" w:hAnsi="Arial"/>
          <w:sz w:val="22"/>
          <w:szCs w:val="22"/>
          <w:color w:val="auto"/>
        </w:rPr>
        <w:t>When delivered in accordance with the Plan and applicable award agreement, the RSU Secondary Shares being sold by the Selling Stockholders will be duly authorized by all requisite corporate action on the part of the Company under the DGCL and validly issued, fully paid and nonassessable.</w:t>
      </w:r>
    </w:p>
    <w:p>
      <w:pPr>
        <w:spacing w:after="0" w:line="213" w:lineRule="exact"/>
        <w:rPr>
          <w:rFonts w:ascii="Arial" w:cs="Arial" w:eastAsia="Arial" w:hAnsi="Arial"/>
          <w:sz w:val="22"/>
          <w:szCs w:val="22"/>
          <w:color w:val="auto"/>
        </w:rPr>
      </w:pPr>
    </w:p>
    <w:p>
      <w:pPr>
        <w:ind w:right="20" w:firstLine="1304"/>
        <w:spacing w:after="0" w:line="250" w:lineRule="auto"/>
        <w:tabs>
          <w:tab w:leader="none" w:pos="199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Other Secondary Shares have been duly authorized by all requisite corporate action on the part of the Company under the DGCL and have been validly issued and are fully paid and nonassessable.</w:t>
      </w:r>
    </w:p>
    <w:p>
      <w:pPr>
        <w:spacing w:after="0" w:line="201" w:lineRule="exact"/>
        <w:rPr>
          <w:rFonts w:ascii="Arial" w:cs="Arial" w:eastAsia="Arial" w:hAnsi="Arial"/>
          <w:sz w:val="22"/>
          <w:szCs w:val="22"/>
          <w:color w:val="auto"/>
        </w:rPr>
      </w:pPr>
    </w:p>
    <w:p>
      <w:pPr>
        <w:ind w:right="60" w:firstLine="1304"/>
        <w:spacing w:after="0" w:line="245" w:lineRule="auto"/>
        <w:tabs>
          <w:tab w:leader="none" w:pos="1994" w:val="left"/>
        </w:tabs>
        <w:numPr>
          <w:ilvl w:val="0"/>
          <w:numId w:val="96"/>
        </w:numPr>
        <w:rPr>
          <w:rFonts w:ascii="Arial" w:cs="Arial" w:eastAsia="Arial" w:hAnsi="Arial"/>
          <w:sz w:val="21"/>
          <w:szCs w:val="21"/>
          <w:color w:val="auto"/>
        </w:rPr>
      </w:pPr>
      <w:r>
        <w:rPr>
          <w:rFonts w:ascii="Arial" w:cs="Arial" w:eastAsia="Arial" w:hAnsi="Arial"/>
          <w:sz w:val="21"/>
          <w:szCs w:val="21"/>
          <w:color w:val="auto"/>
        </w:rPr>
        <w:t>With respect to the shares of any series of Preferred Shares offered by the Company, including any Indeterminate Securities constituting Preferred Shares of such series (the “</w:t>
      </w:r>
      <w:r>
        <w:rPr>
          <w:rFonts w:ascii="Arial" w:cs="Arial" w:eastAsia="Arial" w:hAnsi="Arial"/>
          <w:sz w:val="21"/>
          <w:szCs w:val="21"/>
          <w:u w:val="single" w:color="auto"/>
          <w:color w:val="auto"/>
        </w:rPr>
        <w:t>Offered Preferred Shares</w:t>
      </w:r>
      <w:r>
        <w:rPr>
          <w:rFonts w:ascii="Arial" w:cs="Arial" w:eastAsia="Arial" w:hAnsi="Arial"/>
          <w:sz w:val="21"/>
          <w:szCs w:val="21"/>
          <w:color w:val="auto"/>
        </w:rPr>
        <w:t>”), when (a) the general conditions shall have been satisfied, (b) the terms of the Offered Preferred Shares and of their issuance and sale have been duly established by the Board of Directors in conformity with the Certificate of Incorporation, the Bylaws and the DGCL, and (c) the Offered Preferred Shares are registered in the Company’s share registry and delivered upon payment of the agreed-upon consideration therefor, the Offered Preferred Shares,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Offered Preferred Share.</w:t>
      </w:r>
    </w:p>
    <w:p>
      <w:pPr>
        <w:spacing w:after="0" w:line="211" w:lineRule="exact"/>
        <w:rPr>
          <w:rFonts w:ascii="Arial" w:cs="Arial" w:eastAsia="Arial" w:hAnsi="Arial"/>
          <w:sz w:val="21"/>
          <w:szCs w:val="21"/>
          <w:color w:val="auto"/>
        </w:rPr>
      </w:pPr>
    </w:p>
    <w:p>
      <w:pPr>
        <w:ind w:right="40" w:firstLine="1304"/>
        <w:spacing w:after="0" w:line="274" w:lineRule="auto"/>
        <w:tabs>
          <w:tab w:leader="none" w:pos="1994" w:val="left"/>
        </w:tabs>
        <w:numPr>
          <w:ilvl w:val="0"/>
          <w:numId w:val="96"/>
        </w:numPr>
        <w:rPr>
          <w:rFonts w:ascii="Arial" w:cs="Arial" w:eastAsia="Arial" w:hAnsi="Arial"/>
          <w:sz w:val="19"/>
          <w:szCs w:val="19"/>
          <w:color w:val="auto"/>
        </w:rPr>
      </w:pPr>
      <w:r>
        <w:rPr>
          <w:rFonts w:ascii="Arial" w:cs="Arial" w:eastAsia="Arial" w:hAnsi="Arial"/>
          <w:sz w:val="19"/>
          <w:szCs w:val="19"/>
          <w:color w:val="auto"/>
        </w:rPr>
        <w:t>With respect to any Depositary Shares offered by the Company, including any Indeterminate Securities constituting Depositary Shares (the “</w:t>
      </w:r>
      <w:r>
        <w:rPr>
          <w:rFonts w:ascii="Arial" w:cs="Arial" w:eastAsia="Arial" w:hAnsi="Arial"/>
          <w:sz w:val="19"/>
          <w:szCs w:val="19"/>
          <w:u w:val="single" w:color="auto"/>
          <w:color w:val="auto"/>
        </w:rPr>
        <w:t>Offered Depositary Shares</w:t>
      </w:r>
      <w:r>
        <w:rPr>
          <w:rFonts w:ascii="Arial" w:cs="Arial" w:eastAsia="Arial" w:hAnsi="Arial"/>
          <w:sz w:val="19"/>
          <w:szCs w:val="19"/>
          <w:color w:val="auto"/>
        </w:rPr>
        <w:t>”), when (a) the general conditions shall have been satisfied, (b) the Preferred Shares relating to such Offered Depositary Shares have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Preferred Shares with the Bank Depositary in accordance with the applicable Depositary Agreement, such Depositary Agreement will constitute a legally valid and binding obligation of the Company, enforceable against the Company in accordance with its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148" w:lineRule="exact"/>
        <w:rPr>
          <w:sz w:val="20"/>
          <w:szCs w:val="20"/>
          <w:color w:val="auto"/>
        </w:rPr>
      </w:pPr>
    </w:p>
    <w:p>
      <w:pPr>
        <w:ind w:right="180" w:firstLine="1304"/>
        <w:spacing w:after="0" w:line="273" w:lineRule="auto"/>
        <w:tabs>
          <w:tab w:leader="none" w:pos="1994"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respect to any series of Debt Securities offered by the Company, including any Indeterminate Securities constituting Debt Securities of such series (the “</w:t>
      </w:r>
      <w:r>
        <w:rPr>
          <w:rFonts w:ascii="Arial" w:cs="Arial" w:eastAsia="Arial" w:hAnsi="Arial"/>
          <w:sz w:val="19"/>
          <w:szCs w:val="19"/>
          <w:u w:val="single" w:color="auto"/>
          <w:color w:val="auto"/>
        </w:rPr>
        <w:t>Offered Debt Securities</w:t>
      </w:r>
      <w:r>
        <w:rPr>
          <w:rFonts w:ascii="Arial" w:cs="Arial" w:eastAsia="Arial" w:hAnsi="Arial"/>
          <w:sz w:val="19"/>
          <w:szCs w:val="19"/>
          <w:color w:val="auto"/>
        </w:rPr>
        <w:t>”), when (a) the general conditions shall have been satisfied, (b) a Form T-1 with respect to the trustee under the Indenture has been filed with the Commission,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Documents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87" w:lineRule="exact"/>
        <w:rPr>
          <w:rFonts w:ascii="Arial" w:cs="Arial" w:eastAsia="Arial" w:hAnsi="Arial"/>
          <w:sz w:val="19"/>
          <w:szCs w:val="19"/>
          <w:color w:val="auto"/>
        </w:rPr>
      </w:pPr>
    </w:p>
    <w:p>
      <w:pPr>
        <w:ind w:right="380" w:firstLine="1304"/>
        <w:spacing w:after="0" w:line="246" w:lineRule="auto"/>
        <w:tabs>
          <w:tab w:leader="none" w:pos="1994"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 respect to any Warrants offered by the Company (the “</w:t>
      </w:r>
      <w:r>
        <w:rPr>
          <w:rFonts w:ascii="Arial" w:cs="Arial" w:eastAsia="Arial" w:hAnsi="Arial"/>
          <w:sz w:val="21"/>
          <w:szCs w:val="21"/>
          <w:u w:val="single" w:color="auto"/>
          <w:color w:val="auto"/>
        </w:rPr>
        <w:t>Offered Warrants</w:t>
      </w:r>
      <w:r>
        <w:rPr>
          <w:rFonts w:ascii="Arial" w:cs="Arial" w:eastAsia="Arial" w:hAnsi="Arial"/>
          <w:sz w:val="21"/>
          <w:szCs w:val="21"/>
          <w:color w:val="auto"/>
        </w:rPr>
        <w:t>”), when (a) the general conditions shall have been satisfied, (b) the Class A Shares, Preferred Shares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opinions stated herein are subject to the following qualifications:</w:t>
      </w:r>
    </w:p>
    <w:p>
      <w:pPr>
        <w:spacing w:after="0" w:line="233" w:lineRule="exact"/>
        <w:rPr>
          <w:sz w:val="20"/>
          <w:szCs w:val="20"/>
          <w:color w:val="auto"/>
        </w:rPr>
      </w:pPr>
    </w:p>
    <w:p>
      <w:pPr>
        <w:ind w:firstLine="1304"/>
        <w:spacing w:after="0" w:line="238" w:lineRule="auto"/>
        <w:tabs>
          <w:tab w:leader="none" w:pos="2076" w:val="left"/>
        </w:tabs>
        <w:numPr>
          <w:ilvl w:val="0"/>
          <w:numId w:val="98"/>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effect on the opinions stated herein of any applicable bankruptcy, insolvency, reorganization, moratorium, fraudulent transfer, preference and other similar laws or governmental orders affecting creditors’ rights generally, and the opinions stated herein are limited by such laws and by general principles of equity (regardless of whether enforcement is sought in equity or at law);</w:t>
      </w:r>
    </w:p>
    <w:p>
      <w:pPr>
        <w:spacing w:after="0" w:line="211" w:lineRule="exact"/>
        <w:rPr>
          <w:rFonts w:ascii="Arial" w:cs="Arial" w:eastAsia="Arial" w:hAnsi="Arial"/>
          <w:sz w:val="22"/>
          <w:szCs w:val="22"/>
          <w:color w:val="auto"/>
        </w:rPr>
      </w:pPr>
    </w:p>
    <w:p>
      <w:pPr>
        <w:jc w:val="both"/>
        <w:ind w:right="20" w:firstLine="1304"/>
        <w:spacing w:after="0" w:line="238" w:lineRule="auto"/>
        <w:tabs>
          <w:tab w:leader="none" w:pos="20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211" w:lineRule="exact"/>
        <w:rPr>
          <w:rFonts w:ascii="Arial" w:cs="Arial" w:eastAsia="Arial" w:hAnsi="Arial"/>
          <w:sz w:val="22"/>
          <w:szCs w:val="22"/>
          <w:color w:val="auto"/>
        </w:rPr>
      </w:pPr>
    </w:p>
    <w:p>
      <w:pPr>
        <w:ind w:right="220" w:firstLine="1304"/>
        <w:spacing w:after="0"/>
        <w:tabs>
          <w:tab w:leader="none" w:pos="2076" w:val="left"/>
        </w:tabs>
        <w:numPr>
          <w:ilvl w:val="0"/>
          <w:numId w:val="98"/>
        </w:numPr>
        <w:rPr>
          <w:rFonts w:ascii="Arial" w:cs="Arial" w:eastAsia="Arial" w:hAnsi="Arial"/>
          <w:sz w:val="22"/>
          <w:szCs w:val="22"/>
          <w:color w:val="auto"/>
        </w:rPr>
      </w:pPr>
      <w:r>
        <w:rPr>
          <w:rFonts w:ascii="Arial" w:cs="Arial" w:eastAsia="Arial" w:hAnsi="Arial"/>
          <w:sz w:val="22"/>
          <w:szCs w:val="22"/>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148" w:lineRule="exact"/>
        <w:rPr>
          <w:sz w:val="20"/>
          <w:szCs w:val="20"/>
          <w:color w:val="auto"/>
        </w:rPr>
      </w:pPr>
    </w:p>
    <w:p>
      <w:pPr>
        <w:ind w:firstLine="1304"/>
        <w:spacing w:after="0" w:line="236" w:lineRule="auto"/>
        <w:tabs>
          <w:tab w:leader="none" w:pos="20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214" w:lineRule="exact"/>
        <w:rPr>
          <w:rFonts w:ascii="Arial" w:cs="Arial" w:eastAsia="Arial" w:hAnsi="Arial"/>
          <w:sz w:val="22"/>
          <w:szCs w:val="22"/>
          <w:color w:val="auto"/>
        </w:rPr>
      </w:pPr>
    </w:p>
    <w:p>
      <w:pPr>
        <w:ind w:right="40" w:firstLine="1304"/>
        <w:spacing w:after="0"/>
        <w:tabs>
          <w:tab w:leader="none" w:pos="2076"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enforceability of any provision of any Transaction Document to the extent that such section purports to bind any party to the exclusive jurisdiction of any particular federal court or courts;</w:t>
      </w:r>
    </w:p>
    <w:p>
      <w:pPr>
        <w:spacing w:after="0" w:line="213" w:lineRule="exact"/>
        <w:rPr>
          <w:rFonts w:ascii="Arial" w:cs="Arial" w:eastAsia="Arial" w:hAnsi="Arial"/>
          <w:sz w:val="22"/>
          <w:szCs w:val="22"/>
          <w:color w:val="auto"/>
        </w:rPr>
      </w:pPr>
    </w:p>
    <w:p>
      <w:pPr>
        <w:jc w:val="both"/>
        <w:ind w:right="20" w:firstLine="1304"/>
        <w:spacing w:after="0" w:line="236" w:lineRule="auto"/>
        <w:tabs>
          <w:tab w:leader="none" w:pos="2052"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214" w:lineRule="exact"/>
        <w:rPr>
          <w:rFonts w:ascii="Arial" w:cs="Arial" w:eastAsia="Arial" w:hAnsi="Arial"/>
          <w:sz w:val="22"/>
          <w:szCs w:val="22"/>
          <w:color w:val="auto"/>
        </w:rPr>
      </w:pPr>
    </w:p>
    <w:p>
      <w:pPr>
        <w:ind w:right="60" w:firstLine="1304"/>
        <w:spacing w:after="0" w:line="238" w:lineRule="auto"/>
        <w:tabs>
          <w:tab w:leader="none" w:pos="20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211" w:lineRule="exact"/>
        <w:rPr>
          <w:rFonts w:ascii="Arial" w:cs="Arial" w:eastAsia="Arial" w:hAnsi="Arial"/>
          <w:sz w:val="22"/>
          <w:szCs w:val="22"/>
          <w:color w:val="auto"/>
        </w:rPr>
      </w:pPr>
    </w:p>
    <w:p>
      <w:pPr>
        <w:ind w:right="700" w:firstLine="1304"/>
        <w:spacing w:after="0" w:line="250" w:lineRule="auto"/>
        <w:tabs>
          <w:tab w:leader="none" w:pos="20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have assumed that the choice of New York law to govern the Indenture and any supplemental indenture thereto is a valid and legal provision;</w:t>
      </w:r>
    </w:p>
    <w:p>
      <w:pPr>
        <w:spacing w:after="0" w:line="201" w:lineRule="exact"/>
        <w:rPr>
          <w:rFonts w:ascii="Arial" w:cs="Arial" w:eastAsia="Arial" w:hAnsi="Arial"/>
          <w:sz w:val="22"/>
          <w:szCs w:val="22"/>
          <w:color w:val="auto"/>
        </w:rPr>
      </w:pPr>
    </w:p>
    <w:p>
      <w:pPr>
        <w:ind w:right="720" w:firstLine="1304"/>
        <w:spacing w:after="0" w:line="274" w:lineRule="auto"/>
        <w:tabs>
          <w:tab w:leader="none" w:pos="20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we have assumed that the laws of the State of New York will be chosen to govern any Depositary Agreements and Warrant Agreements and that such choice is and will be a valid and legal provision;</w:t>
      </w:r>
    </w:p>
    <w:p>
      <w:pPr>
        <w:spacing w:after="0" w:line="177" w:lineRule="exact"/>
        <w:rPr>
          <w:rFonts w:ascii="Arial" w:cs="Arial" w:eastAsia="Arial" w:hAnsi="Arial"/>
          <w:sz w:val="21"/>
          <w:szCs w:val="21"/>
          <w:color w:val="auto"/>
        </w:rPr>
      </w:pPr>
    </w:p>
    <w:p>
      <w:pPr>
        <w:ind w:right="20" w:firstLine="1304"/>
        <w:spacing w:after="0" w:line="238" w:lineRule="auto"/>
        <w:tabs>
          <w:tab w:leader="none" w:pos="20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 have assumed that the Indenture will be duly authorized, executed and delivered by the trustee in substantially the form reviewed by us, and that any Debt Securities and Warrants that may be issued will be manually authenticated, signed or countersigned, as the case may be, by duly authorized officers of any trustee, warrant agent, subscription agent, purchase contract agent and purchase unit agent, as the case may be;</w:t>
      </w:r>
    </w:p>
    <w:p>
      <w:pPr>
        <w:spacing w:after="0" w:line="211" w:lineRule="exact"/>
        <w:rPr>
          <w:rFonts w:ascii="Arial" w:cs="Arial" w:eastAsia="Arial" w:hAnsi="Arial"/>
          <w:sz w:val="22"/>
          <w:szCs w:val="22"/>
          <w:color w:val="auto"/>
        </w:rPr>
      </w:pPr>
    </w:p>
    <w:p>
      <w:pPr>
        <w:jc w:val="both"/>
        <w:ind w:right="80" w:firstLine="1304"/>
        <w:spacing w:after="0" w:line="252" w:lineRule="auto"/>
        <w:tabs>
          <w:tab w:leader="none" w:pos="2088" w:val="left"/>
        </w:tabs>
        <w:numPr>
          <w:ilvl w:val="0"/>
          <w:numId w:val="99"/>
        </w:numPr>
        <w:rPr>
          <w:rFonts w:ascii="Arial" w:cs="Arial" w:eastAsia="Arial" w:hAnsi="Arial"/>
          <w:sz w:val="21"/>
          <w:szCs w:val="21"/>
          <w:color w:val="auto"/>
        </w:rPr>
      </w:pPr>
      <w:r>
        <w:rPr>
          <w:rFonts w:ascii="Arial" w:cs="Arial" w:eastAsia="Arial" w:hAnsi="Arial"/>
          <w:sz w:val="21"/>
          <w:szCs w:val="21"/>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148" w:lineRule="exact"/>
        <w:rPr>
          <w:sz w:val="20"/>
          <w:szCs w:val="20"/>
          <w:color w:val="auto"/>
        </w:rPr>
      </w:pPr>
    </w:p>
    <w:p>
      <w:pPr>
        <w:ind w:right="200" w:firstLine="1304"/>
        <w:spacing w:after="0" w:line="250" w:lineRule="auto"/>
        <w:tabs>
          <w:tab w:leader="none" w:pos="20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laws, rules, regulations or orders concerning declared emergencies or the effect thereof on the opinions stated herein.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in rendering the foregoing opinions we have assumed that:</w:t>
      </w:r>
    </w:p>
    <w:p>
      <w:pPr>
        <w:spacing w:after="0" w:line="233" w:lineRule="exact"/>
        <w:rPr>
          <w:sz w:val="20"/>
          <w:szCs w:val="20"/>
          <w:color w:val="auto"/>
        </w:rPr>
      </w:pPr>
    </w:p>
    <w:p>
      <w:pPr>
        <w:ind w:firstLine="1304"/>
        <w:spacing w:after="0" w:line="279" w:lineRule="auto"/>
        <w:tabs>
          <w:tab w:leader="none" w:pos="207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instrument or other agreement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spacing w:after="0" w:line="177" w:lineRule="exact"/>
        <w:rPr>
          <w:rFonts w:ascii="Arial" w:cs="Arial" w:eastAsia="Arial" w:hAnsi="Arial"/>
          <w:sz w:val="19"/>
          <w:szCs w:val="19"/>
          <w:color w:val="auto"/>
        </w:rPr>
      </w:pPr>
    </w:p>
    <w:p>
      <w:pPr>
        <w:ind w:right="60" w:firstLine="1304"/>
        <w:spacing w:after="0" w:line="238" w:lineRule="auto"/>
        <w:tabs>
          <w:tab w:leader="none" w:pos="208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211" w:lineRule="exact"/>
        <w:rPr>
          <w:rFonts w:ascii="Arial" w:cs="Arial" w:eastAsia="Arial" w:hAnsi="Arial"/>
          <w:sz w:val="22"/>
          <w:szCs w:val="22"/>
          <w:color w:val="auto"/>
        </w:rPr>
      </w:pPr>
    </w:p>
    <w:p>
      <w:pPr>
        <w:ind w:right="780" w:firstLine="1304"/>
        <w:spacing w:after="0" w:line="250" w:lineRule="auto"/>
        <w:tabs>
          <w:tab w:leader="none" w:pos="207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with respect to our opinion set forth in paragraph 2 and 3 above, the Secondary Shares have been registered in the Company’s share registry; and</w:t>
      </w:r>
    </w:p>
    <w:p>
      <w:pPr>
        <w:spacing w:after="0" w:line="201" w:lineRule="exact"/>
        <w:rPr>
          <w:rFonts w:ascii="Arial" w:cs="Arial" w:eastAsia="Arial" w:hAnsi="Arial"/>
          <w:sz w:val="22"/>
          <w:szCs w:val="22"/>
          <w:color w:val="auto"/>
        </w:rPr>
      </w:pPr>
    </w:p>
    <w:p>
      <w:pPr>
        <w:ind w:right="160" w:firstLine="1304"/>
        <w:spacing w:after="0" w:line="328" w:lineRule="auto"/>
        <w:tabs>
          <w:tab w:leader="none" w:pos="20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with respect to our opinion set forth in paragraph 2 above, each award agreement under which restricted stock units are granted pursuant to the Plan were granted consistent with the Plan and the Award Agreements.</w:t>
      </w:r>
    </w:p>
    <w:p>
      <w:pPr>
        <w:spacing w:after="0" w:line="132" w:lineRule="exact"/>
        <w:rPr>
          <w:sz w:val="20"/>
          <w:szCs w:val="20"/>
          <w:color w:val="auto"/>
        </w:rPr>
      </w:pPr>
    </w:p>
    <w:p>
      <w:pPr>
        <w:ind w:right="40" w:firstLine="1296"/>
        <w:spacing w:after="0" w:line="248" w:lineRule="auto"/>
        <w:rPr>
          <w:sz w:val="20"/>
          <w:szCs w:val="20"/>
          <w:color w:val="auto"/>
        </w:rPr>
      </w:pPr>
      <w:r>
        <w:rPr>
          <w:rFonts w:ascii="Arial" w:cs="Arial" w:eastAsia="Arial" w:hAnsi="Arial"/>
          <w:sz w:val="21"/>
          <w:szCs w:val="21"/>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New Fortress Energy Inc.</w:t>
      </w:r>
    </w:p>
    <w:p>
      <w:pPr>
        <w:spacing w:after="0" w:line="238" w:lineRule="auto"/>
        <w:rPr>
          <w:sz w:val="20"/>
          <w:szCs w:val="20"/>
          <w:color w:val="auto"/>
        </w:rPr>
      </w:pPr>
      <w:r>
        <w:rPr>
          <w:rFonts w:ascii="Arial" w:cs="Arial" w:eastAsia="Arial" w:hAnsi="Arial"/>
          <w:sz w:val="22"/>
          <w:szCs w:val="22"/>
          <w:color w:val="auto"/>
        </w:rPr>
        <w:t>August 7, 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25.1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T-1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color w:val="auto"/>
        </w:rPr>
        <w:t>Check if an Application to Determine Eligibility of</w:t>
      </w:r>
    </w:p>
    <w:p>
      <w:pPr>
        <w:jc w:val="center"/>
        <w:spacing w:after="0"/>
        <w:rPr>
          <w:sz w:val="20"/>
          <w:szCs w:val="20"/>
          <w:color w:val="auto"/>
        </w:rPr>
      </w:pPr>
      <w:r>
        <w:rPr>
          <w:rFonts w:ascii="Arial" w:cs="Arial" w:eastAsia="Arial" w:hAnsi="Arial"/>
          <w:sz w:val="22"/>
          <w:szCs w:val="22"/>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149860</wp:posOffset>
            </wp:positionV>
            <wp:extent cx="3566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BANK NATIONAL ASSOCIATION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31-0841368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I.R.S. Employer Identification No.</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5600" w:type="dxa"/>
            <w:vAlign w:val="bottom"/>
            <w:tcBorders>
              <w:top w:val="single" w:sz="8" w:color="auto"/>
              <w:right w:val="single" w:sz="8" w:color="auto"/>
            </w:tcBorders>
          </w:tcPr>
          <w:p>
            <w:pPr>
              <w:spacing w:after="0"/>
              <w:rPr>
                <w:sz w:val="19"/>
                <w:szCs w:val="19"/>
                <w:color w:val="auto"/>
              </w:rPr>
            </w:pPr>
          </w:p>
        </w:tc>
      </w:tr>
      <w:tr>
        <w:trPr>
          <w:trHeight w:val="23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560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55402</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Richard Prokosch</w:t>
      </w:r>
    </w:p>
    <w:p>
      <w:pPr>
        <w:jc w:val="center"/>
        <w:spacing w:after="0" w:line="238" w:lineRule="auto"/>
        <w:rPr>
          <w:sz w:val="20"/>
          <w:szCs w:val="20"/>
          <w:color w:val="auto"/>
        </w:rPr>
      </w:pPr>
      <w:r>
        <w:rPr>
          <w:rFonts w:ascii="Arial" w:cs="Arial" w:eastAsia="Arial" w:hAnsi="Arial"/>
          <w:sz w:val="22"/>
          <w:szCs w:val="22"/>
          <w:color w:val="auto"/>
        </w:rPr>
        <w:t>U.S. Bank National Association</w:t>
      </w:r>
    </w:p>
    <w:p>
      <w:pPr>
        <w:jc w:val="center"/>
        <w:spacing w:after="0" w:line="230" w:lineRule="auto"/>
        <w:rPr>
          <w:sz w:val="20"/>
          <w:szCs w:val="20"/>
          <w:color w:val="auto"/>
        </w:rPr>
      </w:pPr>
      <w:r>
        <w:rPr>
          <w:rFonts w:ascii="Arial" w:cs="Arial" w:eastAsia="Arial" w:hAnsi="Arial"/>
          <w:sz w:val="22"/>
          <w:szCs w:val="22"/>
          <w:color w:val="auto"/>
        </w:rPr>
        <w:t>60 Livingston Avenue</w:t>
      </w:r>
    </w:p>
    <w:p>
      <w:pPr>
        <w:jc w:val="center"/>
        <w:spacing w:after="0" w:line="231" w:lineRule="auto"/>
        <w:rPr>
          <w:sz w:val="20"/>
          <w:szCs w:val="20"/>
          <w:color w:val="auto"/>
        </w:rPr>
      </w:pPr>
      <w:r>
        <w:rPr>
          <w:rFonts w:ascii="Arial" w:cs="Arial" w:eastAsia="Arial" w:hAnsi="Arial"/>
          <w:sz w:val="22"/>
          <w:szCs w:val="22"/>
          <w:color w:val="auto"/>
        </w:rPr>
        <w:t>St. Paul, MN 55107-2292</w:t>
      </w:r>
    </w:p>
    <w:p>
      <w:pPr>
        <w:jc w:val="center"/>
        <w:spacing w:after="0" w:line="230" w:lineRule="auto"/>
        <w:rPr>
          <w:sz w:val="20"/>
          <w:szCs w:val="20"/>
          <w:color w:val="auto"/>
        </w:rPr>
      </w:pPr>
      <w:r>
        <w:rPr>
          <w:rFonts w:ascii="Arial" w:cs="Arial" w:eastAsia="Arial" w:hAnsi="Arial"/>
          <w:sz w:val="22"/>
          <w:szCs w:val="22"/>
          <w:color w:val="auto"/>
        </w:rPr>
        <w:t>(651) 466-6619</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(Name, address and telephone number of agent for service)</w:t>
      </w:r>
    </w:p>
    <w:p>
      <w:pPr>
        <w:spacing w:after="0" w:line="209"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NEW FORTRESS ENERGY INC.</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(Issuer with respect to the Securities)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Borders>
              <w:top w:val="single" w:sz="8" w:color="auto"/>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b w:val="1"/>
                <w:bCs w:val="1"/>
                <w:color w:val="auto"/>
              </w:rPr>
              <w:t>81-1482060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23"/>
        </w:trPr>
        <w:tc>
          <w:tcPr>
            <w:tcW w:w="564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spacing w:after="0"/>
              <w:rPr>
                <w:sz w:val="19"/>
                <w:szCs w:val="19"/>
                <w:color w:val="auto"/>
              </w:rPr>
            </w:pPr>
          </w:p>
        </w:tc>
      </w:tr>
      <w:tr>
        <w:trPr>
          <w:trHeight w:val="250"/>
        </w:trPr>
        <w:tc>
          <w:tcPr>
            <w:tcW w:w="564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r>
      <w:tr>
        <w:trPr>
          <w:trHeight w:val="198"/>
        </w:trPr>
        <w:tc>
          <w:tcPr>
            <w:tcW w:w="564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rPr>
              <w:t>111 W. 19</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Street, 8</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Floor</w:t>
            </w:r>
          </w:p>
        </w:tc>
        <w:tc>
          <w:tcPr>
            <w:tcW w:w="5600" w:type="dxa"/>
            <w:vAlign w:val="bottom"/>
            <w:tcBorders>
              <w:right w:val="single" w:sz="8" w:color="auto"/>
            </w:tcBorders>
          </w:tcPr>
          <w:p>
            <w:pPr>
              <w:spacing w:after="0"/>
              <w:rPr>
                <w:sz w:val="17"/>
                <w:szCs w:val="17"/>
                <w:color w:val="auto"/>
              </w:rPr>
            </w:pPr>
          </w:p>
        </w:tc>
      </w:tr>
      <w:tr>
        <w:trPr>
          <w:trHeight w:val="241"/>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600" w:type="dxa"/>
            <w:vAlign w:val="bottom"/>
            <w:tcBorders>
              <w:bottom w:val="single" w:sz="8" w:color="auto"/>
              <w:right w:val="single" w:sz="8" w:color="auto"/>
            </w:tcBorders>
          </w:tcPr>
          <w:p>
            <w:pPr>
              <w:jc w:val="right"/>
              <w:ind w:right="2510"/>
              <w:spacing w:after="0"/>
              <w:rPr>
                <w:sz w:val="20"/>
                <w:szCs w:val="20"/>
                <w:color w:val="auto"/>
              </w:rPr>
            </w:pPr>
            <w:r>
              <w:rPr>
                <w:rFonts w:ascii="Arial" w:cs="Arial" w:eastAsia="Arial" w:hAnsi="Arial"/>
                <w:sz w:val="18"/>
                <w:szCs w:val="18"/>
                <w:b w:val="1"/>
                <w:bCs w:val="1"/>
                <w:color w:val="auto"/>
              </w:rPr>
              <w:t>10011</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22"/>
          <w:szCs w:val="22"/>
          <w:b w:val="1"/>
          <w:bCs w:val="1"/>
          <w:u w:val="single" w:color="auto"/>
          <w:color w:val="auto"/>
        </w:rPr>
        <w:t>FORM T-1</w:t>
      </w:r>
    </w:p>
    <w:p>
      <w:pPr>
        <w:spacing w:after="0" w:line="2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56" w:lineRule="exact"/>
        <w:rPr>
          <w:sz w:val="20"/>
          <w:szCs w:val="20"/>
          <w:color w:val="auto"/>
        </w:rPr>
      </w:pPr>
    </w:p>
    <w:p>
      <w:pPr>
        <w:ind w:left="1300" w:hanging="482"/>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Comptroller of the Currency</w:t>
      </w:r>
    </w:p>
    <w:p>
      <w:pPr>
        <w:ind w:left="2760"/>
        <w:spacing w:after="0"/>
        <w:rPr>
          <w:sz w:val="20"/>
          <w:szCs w:val="20"/>
          <w:color w:val="auto"/>
        </w:rPr>
      </w:pPr>
      <w:r>
        <w:rPr>
          <w:rFonts w:ascii="Arial" w:cs="Arial" w:eastAsia="Arial" w:hAnsi="Arial"/>
          <w:sz w:val="22"/>
          <w:szCs w:val="22"/>
          <w:color w:val="auto"/>
        </w:rPr>
        <w:t>Washington, D.C.</w:t>
      </w:r>
    </w:p>
    <w:p>
      <w:pPr>
        <w:spacing w:after="0" w:line="222" w:lineRule="exact"/>
        <w:rPr>
          <w:sz w:val="20"/>
          <w:szCs w:val="20"/>
          <w:color w:val="auto"/>
        </w:rPr>
      </w:pPr>
    </w:p>
    <w:p>
      <w:pPr>
        <w:ind w:left="1300" w:hanging="482"/>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Yes</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None</w:t>
      </w:r>
    </w:p>
    <w:p>
      <w:pPr>
        <w:spacing w:after="0" w:line="218" w:lineRule="exact"/>
        <w:rPr>
          <w:sz w:val="20"/>
          <w:szCs w:val="20"/>
          <w:color w:val="auto"/>
        </w:rPr>
      </w:pPr>
    </w:p>
    <w:p>
      <w:pPr>
        <w:ind w:left="1140" w:hanging="1133"/>
        <w:spacing w:after="0" w:line="277"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56" w:lineRule="exact"/>
        <w:rPr>
          <w:sz w:val="20"/>
          <w:szCs w:val="20"/>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52" w:lineRule="exact"/>
        <w:rPr>
          <w:rFonts w:ascii="Arial" w:cs="Arial" w:eastAsia="Arial" w:hAnsi="Arial"/>
          <w:sz w:val="18"/>
          <w:szCs w:val="18"/>
          <w:color w:val="auto"/>
        </w:rPr>
      </w:pPr>
    </w:p>
    <w:p>
      <w:pPr>
        <w:ind w:left="1140" w:right="80" w:hanging="322"/>
        <w:spacing w:after="0" w:line="277" w:lineRule="auto"/>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2016 published pursuant to law or the requirements of its supervising or examining authority, attached as Exhibit 7.</w:t>
      </w:r>
    </w:p>
    <w:p>
      <w:pPr>
        <w:spacing w:after="0" w:line="190" w:lineRule="exact"/>
        <w:rPr>
          <w:rFonts w:ascii="Arial" w:cs="Arial" w:eastAsia="Arial" w:hAnsi="Arial"/>
          <w:sz w:val="18"/>
          <w:szCs w:val="18"/>
          <w:color w:val="auto"/>
        </w:rPr>
      </w:pPr>
    </w:p>
    <w:p>
      <w:pPr>
        <w:ind w:left="500" w:right="380"/>
        <w:spacing w:after="0" w:line="250" w:lineRule="auto"/>
        <w:rPr>
          <w:rFonts w:ascii="Arial" w:cs="Arial" w:eastAsia="Arial" w:hAnsi="Arial"/>
          <w:sz w:val="18"/>
          <w:szCs w:val="18"/>
          <w:color w:val="auto"/>
        </w:rPr>
      </w:pPr>
      <w:r>
        <w:rPr>
          <w:rFonts w:ascii="Arial" w:cs="Arial" w:eastAsia="Arial" w:hAnsi="Arial"/>
          <w:sz w:val="22"/>
          <w:szCs w:val="22"/>
          <w:color w:val="auto"/>
        </w:rPr>
        <w:t>* Incorporated by reference to Exhibit 25.1 to Amendment No. 2 to registration statement on S-4, Registration Number 333-128217 filed on November 15, 2005.</w:t>
      </w:r>
    </w:p>
    <w:p>
      <w:pPr>
        <w:spacing w:after="0" w:line="201" w:lineRule="exact"/>
        <w:rPr>
          <w:rFonts w:ascii="Arial" w:cs="Arial" w:eastAsia="Arial" w:hAnsi="Arial"/>
          <w:sz w:val="18"/>
          <w:szCs w:val="18"/>
          <w:color w:val="auto"/>
        </w:rPr>
      </w:pPr>
    </w:p>
    <w:p>
      <w:pPr>
        <w:ind w:left="500" w:right="100" w:hanging="6"/>
        <w:spacing w:after="0" w:line="250" w:lineRule="auto"/>
        <w:tabs>
          <w:tab w:leader="none" w:pos="77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Incorporated by reference to Exhibit 25.1 to registration statement on form S-3ASR, Registration Number 333-199863 filed on November 5, 2014.</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08" w:name="page109"/>
    <w:bookmarkEnd w:id="108"/>
    <w:p>
      <w:pPr>
        <w:jc w:val="center"/>
        <w:ind w:right="-15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in the State of Minnesota on the 6th day of August, 2020.</w:t>
      </w:r>
    </w:p>
    <w:p>
      <w:pPr>
        <w:spacing w:after="0" w:line="208" w:lineRule="exact"/>
        <w:rPr>
          <w:sz w:val="20"/>
          <w:szCs w:val="20"/>
          <w:color w:val="auto"/>
        </w:rPr>
      </w:pPr>
    </w:p>
    <w:p>
      <w:pPr>
        <w:ind w:left="3960"/>
        <w:spacing w:after="0"/>
        <w:tabs>
          <w:tab w:leader="none" w:pos="4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Richard Prokosch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9"/>
          <w:szCs w:val="19"/>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187325</wp:posOffset>
            </wp:positionV>
            <wp:extent cx="5340350" cy="6883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5340350" cy="6883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9"/>
          <w:szCs w:val="19"/>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187325</wp:posOffset>
            </wp:positionV>
            <wp:extent cx="5340350" cy="6883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5340350" cy="6883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11" w:name="page112"/>
    <w:bookmarkEnd w:id="111"/>
    <w:p>
      <w:pPr>
        <w:jc w:val="center"/>
        <w:ind w:right="-319"/>
        <w:spacing w:after="0"/>
        <w:rPr>
          <w:sz w:val="20"/>
          <w:szCs w:val="20"/>
          <w:color w:val="auto"/>
        </w:rPr>
      </w:pPr>
      <w:r>
        <w:rPr>
          <w:rFonts w:ascii="Arial" w:cs="Arial" w:eastAsia="Arial" w:hAnsi="Arial"/>
          <w:sz w:val="22"/>
          <w:szCs w:val="22"/>
          <w:b w:val="1"/>
          <w:bCs w:val="1"/>
          <w:u w:val="single" w:color="auto"/>
          <w:color w:val="auto"/>
        </w:rPr>
        <w:t>Exhibit 6</w:t>
      </w: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CONSENT</w:t>
      </w:r>
    </w:p>
    <w:p>
      <w:pPr>
        <w:spacing w:after="0" w:line="23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 accordance with Section 321(b) of the Trust Indenture Act of 1939, as amended,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25" w:lineRule="exact"/>
        <w:rPr>
          <w:sz w:val="20"/>
          <w:szCs w:val="20"/>
          <w:color w:val="auto"/>
        </w:rPr>
      </w:pPr>
    </w:p>
    <w:p>
      <w:pPr>
        <w:ind w:left="3960"/>
        <w:spacing w:after="0"/>
        <w:tabs>
          <w:tab w:leader="none" w:pos="4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Richard Prokosch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60" w:type="dxa"/>
            <w:vAlign w:val="bottom"/>
            <w:gridSpan w:val="3"/>
          </w:tcPr>
          <w:p>
            <w:pPr>
              <w:jc w:val="center"/>
              <w:ind w:right="4030"/>
              <w:spacing w:after="0"/>
              <w:rPr>
                <w:sz w:val="20"/>
                <w:szCs w:val="20"/>
                <w:color w:val="auto"/>
              </w:rPr>
            </w:pPr>
            <w:r>
              <w:rPr>
                <w:rFonts w:ascii="Arial" w:cs="Arial" w:eastAsia="Arial" w:hAnsi="Arial"/>
                <w:sz w:val="22"/>
                <w:szCs w:val="22"/>
                <w:b w:val="1"/>
                <w:bCs w:val="1"/>
                <w:color w:val="auto"/>
                <w:w w:val="91"/>
              </w:rPr>
              <w:t>Exhibit 7</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040" w:type="dxa"/>
            <w:vAlign w:val="bottom"/>
          </w:tcPr>
          <w:p>
            <w:pPr>
              <w:spacing w:after="0"/>
              <w:rPr>
                <w:sz w:val="20"/>
                <w:szCs w:val="20"/>
                <w:color w:val="auto"/>
              </w:rPr>
            </w:pPr>
          </w:p>
        </w:tc>
        <w:tc>
          <w:tcPr>
            <w:tcW w:w="1160" w:type="dxa"/>
            <w:vAlign w:val="bottom"/>
          </w:tcPr>
          <w:p>
            <w:pPr>
              <w:ind w:left="140"/>
              <w:spacing w:after="0" w:line="236" w:lineRule="exact"/>
              <w:rPr>
                <w:sz w:val="20"/>
                <w:szCs w:val="20"/>
                <w:color w:val="auto"/>
              </w:rPr>
            </w:pPr>
            <w:r>
              <w:rPr>
                <w:rFonts w:ascii="Arial" w:cs="Arial" w:eastAsia="Arial" w:hAnsi="Arial"/>
                <w:sz w:val="22"/>
                <w:szCs w:val="22"/>
                <w:b w:val="1"/>
                <w:bCs w:val="1"/>
                <w:color w:val="auto"/>
                <w:w w:val="97"/>
              </w:rPr>
              <w:t>U.S. Bank</w:t>
            </w:r>
          </w:p>
        </w:tc>
        <w:tc>
          <w:tcPr>
            <w:tcW w:w="840" w:type="dxa"/>
            <w:vAlign w:val="bottom"/>
            <w:tcBorders>
              <w:top w:val="single" w:sz="8" w:color="auto"/>
            </w:tcBorders>
          </w:tcPr>
          <w:p>
            <w:pPr>
              <w:spacing w:after="0" w:line="236" w:lineRule="exact"/>
              <w:rPr>
                <w:sz w:val="20"/>
                <w:szCs w:val="20"/>
                <w:color w:val="auto"/>
              </w:rPr>
            </w:pPr>
            <w:r>
              <w:rPr>
                <w:rFonts w:ascii="Arial" w:cs="Arial" w:eastAsia="Arial" w:hAnsi="Arial"/>
                <w:sz w:val="22"/>
                <w:szCs w:val="22"/>
                <w:b w:val="1"/>
                <w:bCs w:val="1"/>
                <w:color w:val="auto"/>
                <w:w w:val="94"/>
              </w:rPr>
              <w:t>National</w:t>
            </w:r>
          </w:p>
        </w:tc>
        <w:tc>
          <w:tcPr>
            <w:tcW w:w="4120" w:type="dxa"/>
            <w:vAlign w:val="bottom"/>
            <w:gridSpan w:val="2"/>
          </w:tcPr>
          <w:p>
            <w:pPr>
              <w:jc w:val="right"/>
              <w:ind w:right="3010"/>
              <w:spacing w:after="0" w:line="236" w:lineRule="exact"/>
              <w:rPr>
                <w:sz w:val="20"/>
                <w:szCs w:val="20"/>
                <w:color w:val="auto"/>
              </w:rPr>
            </w:pPr>
            <w:r>
              <w:rPr>
                <w:rFonts w:ascii="Arial" w:cs="Arial" w:eastAsia="Arial" w:hAnsi="Arial"/>
                <w:sz w:val="22"/>
                <w:szCs w:val="22"/>
                <w:b w:val="1"/>
                <w:bCs w:val="1"/>
                <w:color w:val="auto"/>
                <w:w w:val="80"/>
              </w:rPr>
              <w:t>Association</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40" w:type="dxa"/>
            <w:vAlign w:val="bottom"/>
          </w:tcPr>
          <w:p>
            <w:pPr>
              <w:spacing w:after="0"/>
              <w:rPr>
                <w:sz w:val="21"/>
                <w:szCs w:val="21"/>
                <w:color w:val="auto"/>
              </w:rPr>
            </w:pPr>
          </w:p>
        </w:tc>
        <w:tc>
          <w:tcPr>
            <w:tcW w:w="6120" w:type="dxa"/>
            <w:vAlign w:val="bottom"/>
            <w:gridSpan w:val="4"/>
          </w:tcPr>
          <w:p>
            <w:pPr>
              <w:jc w:val="center"/>
              <w:ind w:right="2850"/>
              <w:spacing w:after="0" w:line="243" w:lineRule="exact"/>
              <w:rPr>
                <w:sz w:val="20"/>
                <w:szCs w:val="20"/>
                <w:color w:val="auto"/>
              </w:rPr>
            </w:pPr>
            <w:r>
              <w:rPr>
                <w:rFonts w:ascii="Arial" w:cs="Arial" w:eastAsia="Arial" w:hAnsi="Arial"/>
                <w:sz w:val="22"/>
                <w:szCs w:val="22"/>
                <w:b w:val="1"/>
                <w:bCs w:val="1"/>
                <w:color w:val="auto"/>
                <w:w w:val="89"/>
              </w:rPr>
              <w:t>Statement of Financial Condition</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4040" w:type="dxa"/>
            <w:vAlign w:val="bottom"/>
          </w:tcPr>
          <w:p>
            <w:pPr>
              <w:spacing w:after="0"/>
              <w:rPr>
                <w:sz w:val="24"/>
                <w:szCs w:val="24"/>
                <w:color w:val="auto"/>
              </w:rPr>
            </w:pPr>
          </w:p>
        </w:tc>
        <w:tc>
          <w:tcPr>
            <w:tcW w:w="6120" w:type="dxa"/>
            <w:vAlign w:val="bottom"/>
            <w:gridSpan w:val="4"/>
          </w:tcPr>
          <w:p>
            <w:pPr>
              <w:jc w:val="center"/>
              <w:ind w:right="2870"/>
              <w:spacing w:after="0"/>
              <w:rPr>
                <w:sz w:val="20"/>
                <w:szCs w:val="20"/>
                <w:color w:val="auto"/>
              </w:rPr>
            </w:pPr>
            <w:r>
              <w:rPr>
                <w:rFonts w:ascii="Arial" w:cs="Arial" w:eastAsia="Arial" w:hAnsi="Arial"/>
                <w:sz w:val="22"/>
                <w:szCs w:val="22"/>
                <w:b w:val="1"/>
                <w:bCs w:val="1"/>
                <w:color w:val="auto"/>
                <w:w w:val="88"/>
              </w:rPr>
              <w:t>As of 3/31/2020</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60" w:type="dxa"/>
            <w:vAlign w:val="bottom"/>
            <w:gridSpan w:val="3"/>
          </w:tcPr>
          <w:p>
            <w:pPr>
              <w:jc w:val="center"/>
              <w:ind w:right="4030"/>
              <w:spacing w:after="0"/>
              <w:rPr>
                <w:sz w:val="20"/>
                <w:szCs w:val="20"/>
                <w:color w:val="auto"/>
              </w:rPr>
            </w:pPr>
            <w:r>
              <w:rPr>
                <w:rFonts w:ascii="Arial" w:cs="Arial" w:eastAsia="Arial" w:hAnsi="Arial"/>
                <w:sz w:val="22"/>
                <w:szCs w:val="22"/>
                <w:b w:val="1"/>
                <w:bCs w:val="1"/>
                <w:color w:val="auto"/>
                <w:w w:val="87"/>
              </w:rPr>
              <w:t>($000’s)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3/31/2020</w:t>
            </w:r>
          </w:p>
        </w:tc>
        <w:tc>
          <w:tcPr>
            <w:tcW w:w="100" w:type="dxa"/>
            <w:vAlign w:val="bottom"/>
          </w:tcPr>
          <w:p>
            <w:pPr>
              <w:spacing w:after="0"/>
              <w:rPr>
                <w:sz w:val="24"/>
                <w:szCs w:val="24"/>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Cash and Balances Due From Depository Institutions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46,699,020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122,149,987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316,711,655</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9,075,777</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12,477,802</w:t>
            </w: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26,012,043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61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533,129,091</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405,823,094</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 Funds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1,428,527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Demand Notes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Trading Liabilities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1,392,214</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Borrowed Money</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55,078,404</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Acceptances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and Debentures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14,338,298</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481,910,537</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Common and Preferred Stock</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Surplus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Undivided Profits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36,132,907</w:t>
            </w: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Minority Interest in Subsidiaries</w:t>
            </w:r>
          </w:p>
        </w:tc>
        <w:tc>
          <w:tcPr>
            <w:tcW w:w="1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b w:val="1"/>
                <w:bCs w:val="1"/>
                <w:color w:val="auto"/>
              </w:rPr>
              <w:t>Total Equity Capital</w:t>
            </w:r>
          </w:p>
        </w:tc>
        <w:tc>
          <w:tcPr>
            <w:tcW w:w="61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51,218,554</w:t>
            </w:r>
          </w:p>
        </w:tc>
      </w:tr>
      <w:tr>
        <w:trPr>
          <w:trHeight w:val="216"/>
        </w:trPr>
        <w:tc>
          <w:tcPr>
            <w:tcW w:w="4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533,129,091</w:t>
            </w:r>
          </w:p>
        </w:tc>
        <w:tc>
          <w:tcPr>
            <w:tcW w:w="100" w:type="dxa"/>
            <w:vAlign w:val="bottom"/>
          </w:tcPr>
          <w:p>
            <w:pPr>
              <w:spacing w:after="0"/>
              <w:rPr>
                <w:sz w:val="20"/>
                <w:szCs w:val="20"/>
                <w:color w:val="auto"/>
              </w:rPr>
            </w:pPr>
          </w:p>
        </w:tc>
      </w:tr>
      <w:tr>
        <w:trPr>
          <w:trHeight w:val="631"/>
        </w:trPr>
        <w:tc>
          <w:tcPr>
            <w:tcW w:w="4040" w:type="dxa"/>
            <w:vAlign w:val="bottom"/>
          </w:tcPr>
          <w:p>
            <w:pPr>
              <w:spacing w:after="0"/>
              <w:rPr>
                <w:sz w:val="24"/>
                <w:szCs w:val="24"/>
                <w:color w:val="auto"/>
              </w:rPr>
            </w:pPr>
          </w:p>
        </w:tc>
        <w:tc>
          <w:tcPr>
            <w:tcW w:w="2000" w:type="dxa"/>
            <w:vAlign w:val="bottom"/>
            <w:gridSpan w:val="2"/>
          </w:tcPr>
          <w:p>
            <w:pPr>
              <w:jc w:val="right"/>
              <w:ind w:right="272"/>
              <w:spacing w:after="0"/>
              <w:rPr>
                <w:sz w:val="20"/>
                <w:szCs w:val="20"/>
                <w:color w:val="auto"/>
              </w:rPr>
            </w:pPr>
            <w:r>
              <w:rPr>
                <w:rFonts w:ascii="Arial" w:cs="Arial" w:eastAsia="Arial" w:hAnsi="Arial"/>
                <w:sz w:val="14"/>
                <w:szCs w:val="14"/>
                <w:color w:val="auto"/>
              </w:rPr>
              <w:t>7</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lvl w:ilvl="1">
      <w:lvlJc w:val="left"/>
      <w:lvlText w:val="(%2)"/>
      <w:numFmt w:val="lowerRoman"/>
      <w:start w:val="1"/>
    </w:lvl>
  </w:abstractNum>
  <w:abstractNum w:abstractNumId="4">
    <w:nsid w:val="23F9C13C"/>
    <w:multiLevelType w:val="hybridMultilevel"/>
    <w:lvl w:ilvl="0">
      <w:lvlJc w:val="left"/>
      <w:lvlText w:val="(%1)"/>
      <w:numFmt w:val="decimal"/>
      <w:start w:val="2"/>
    </w:lvl>
    <w:lvl w:ilvl="1">
      <w:lvlJc w:val="left"/>
      <w:lvlText w:val="(%2)"/>
      <w:numFmt w:val="lowerRoman"/>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1)"/>
      <w:numFmt w:val="lowerLetter"/>
      <w:start w:val="1"/>
    </w:lvl>
  </w:abstractNum>
  <w:abstractNum w:abstractNumId="10">
    <w:nsid w:val="235BA861"/>
    <w:multiLevelType w:val="hybridMultilevel"/>
    <w:lvl w:ilvl="0">
      <w:lvlJc w:val="left"/>
      <w:lvlText w:val="(%1)"/>
      <w:numFmt w:val="lowerLetter"/>
      <w:start w:val="1"/>
    </w:lvl>
  </w:abstractNum>
  <w:abstractNum w:abstractNumId="11">
    <w:nsid w:val="47398C89"/>
    <w:multiLevelType w:val="hybridMultilevel"/>
    <w:lvl w:ilvl="0">
      <w:lvlJc w:val="left"/>
      <w:lvlText w:val="(%1)"/>
      <w:numFmt w:val="lowerLetter"/>
      <w:start w:val="4"/>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1)"/>
      <w:numFmt w:val="lowerLetter"/>
      <w:start w:val="25"/>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1)"/>
      <w:numFmt w:val="lowerLetter"/>
      <w:start w:val="2"/>
    </w:lvl>
  </w:abstractNum>
  <w:abstractNum w:abstractNumId="16">
    <w:nsid w:val="10233C99"/>
    <w:multiLevelType w:val="hybridMultilevel"/>
    <w:lvl w:ilvl="0">
      <w:lvlJc w:val="left"/>
      <w:lvlText w:val="(%1)"/>
      <w:numFmt w:val="lowerLetter"/>
      <w:start w:val="1"/>
    </w:lvl>
  </w:abstractNum>
  <w:abstractNum w:abstractNumId="17">
    <w:nsid w:val="3F6AB60F"/>
    <w:multiLevelType w:val="hybridMultilevel"/>
    <w:lvl w:ilvl="0">
      <w:lvlJc w:val="left"/>
      <w:lvlText w:val="(%1)"/>
      <w:numFmt w:val="lowerLetter"/>
      <w:start w:val="1"/>
    </w:lvl>
  </w:abstractNum>
  <w:abstractNum w:abstractNumId="18">
    <w:nsid w:val="61574095"/>
    <w:multiLevelType w:val="hybridMultilevel"/>
    <w:lvl w:ilvl="0">
      <w:lvlJc w:val="left"/>
      <w:lvlText w:val="(%1)"/>
      <w:numFmt w:val="lowerLetter"/>
      <w:start w:val="1"/>
    </w:lvl>
  </w:abstractNum>
  <w:abstractNum w:abstractNumId="19">
    <w:nsid w:val="7E0C57B1"/>
    <w:multiLevelType w:val="hybridMultilevel"/>
    <w:lvl w:ilvl="0">
      <w:lvlJc w:val="left"/>
      <w:lvlText w:val="(%1)"/>
      <w:numFmt w:val="lowerLetter"/>
      <w:start w:val="4"/>
    </w:lvl>
  </w:abstractNum>
  <w:abstractNum w:abstractNumId="20">
    <w:nsid w:val="77AE35EB"/>
    <w:multiLevelType w:val="hybridMultilevel"/>
    <w:lvl w:ilvl="0">
      <w:lvlJc w:val="left"/>
      <w:lvlText w:val="(%1)"/>
      <w:numFmt w:val="lowerLetter"/>
      <w:start w:val="12"/>
    </w:lvl>
  </w:abstractNum>
  <w:abstractNum w:abstractNumId="21">
    <w:nsid w:val="579BE4F1"/>
    <w:multiLevelType w:val="hybridMultilevel"/>
    <w:lvl w:ilvl="0">
      <w:lvlJc w:val="left"/>
      <w:lvlText w:val="(%1)"/>
      <w:numFmt w:val="lowerLetter"/>
      <w:start w:val="24"/>
    </w:lvl>
  </w:abstractNum>
  <w:abstractNum w:abstractNumId="22">
    <w:nsid w:val="310C50B3"/>
    <w:multiLevelType w:val="hybridMultilevel"/>
    <w:lvl w:ilvl="0">
      <w:lvlJc w:val="left"/>
      <w:lvlText w:val="(%1)"/>
      <w:numFmt w:val="lowerLetter"/>
      <w:start w:val="27"/>
    </w:lvl>
  </w:abstractNum>
  <w:abstractNum w:abstractNumId="23">
    <w:nsid w:val="5FF87E05"/>
    <w:multiLevelType w:val="hybridMultilevel"/>
    <w:lvl w:ilvl="0">
      <w:lvlJc w:val="left"/>
      <w:lvlText w:val="(%1)"/>
      <w:numFmt w:val="lowerLetter"/>
      <w:start w:val="28"/>
    </w:lvl>
  </w:abstractNum>
  <w:abstractNum w:abstractNumId="24">
    <w:nsid w:val="2F305DEF"/>
    <w:multiLevelType w:val="hybridMultilevel"/>
    <w:lvl w:ilvl="0">
      <w:lvlJc w:val="left"/>
      <w:lvlText w:val="(%1)"/>
      <w:numFmt w:val="lowerLetter"/>
      <w:start w:val="1"/>
    </w:lvl>
  </w:abstractNum>
  <w:abstractNum w:abstractNumId="25">
    <w:nsid w:val="25A70BF7"/>
    <w:multiLevelType w:val="hybridMultilevel"/>
    <w:lvl w:ilvl="0">
      <w:lvlJc w:val="left"/>
      <w:lvlText w:val="(%1)"/>
      <w:numFmt w:val="lowerLetter"/>
      <w:start w:val="3"/>
    </w:lvl>
  </w:abstractNum>
  <w:abstractNum w:abstractNumId="26">
    <w:nsid w:val="1DBABF00"/>
    <w:multiLevelType w:val="hybridMultilevel"/>
    <w:lvl w:ilvl="0">
      <w:lvlJc w:val="left"/>
      <w:lvlText w:val="(%1)"/>
      <w:numFmt w:val="lowerLetter"/>
      <w:start w:val="8"/>
    </w:lvl>
  </w:abstractNum>
  <w:abstractNum w:abstractNumId="27">
    <w:nsid w:val="4AD084E9"/>
    <w:multiLevelType w:val="hybridMultilevel"/>
    <w:lvl w:ilvl="0">
      <w:lvlJc w:val="left"/>
      <w:lvlText w:val="(%1)"/>
      <w:numFmt w:val="lowerLetter"/>
      <w:start w:val="1"/>
    </w:lvl>
  </w:abstractNum>
  <w:abstractNum w:abstractNumId="28">
    <w:nsid w:val="1F48EAA1"/>
    <w:multiLevelType w:val="hybridMultilevel"/>
    <w:lvl w:ilvl="0">
      <w:lvlJc w:val="left"/>
      <w:lvlText w:val="(%1)"/>
      <w:numFmt w:val="lowerLetter"/>
      <w:start w:val="2"/>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lowerLetter"/>
      <w:start w:val="1"/>
    </w:lvl>
    <w:lvl w:ilvl="1">
      <w:lvlJc w:val="left"/>
      <w:lvlText w:val="(%2)"/>
      <w:numFmt w:val="lowerRoman"/>
      <w:start w:val="1"/>
    </w:lvl>
  </w:abstractNum>
  <w:abstractNum w:abstractNumId="31">
    <w:nsid w:val="100F8FCA"/>
    <w:multiLevelType w:val="hybridMultilevel"/>
    <w:lvl w:ilvl="0">
      <w:lvlJc w:val="left"/>
      <w:lvlText w:val="(%1)"/>
      <w:numFmt w:val="lowerRoman"/>
      <w:start w:val="2"/>
    </w:lvl>
    <w:lvl w:ilvl="1">
      <w:lvlJc w:val="left"/>
      <w:lvlText w:val="(%2)"/>
      <w:numFmt w:val="upperLetter"/>
      <w:start w:val="1"/>
    </w:lvl>
  </w:abstractNum>
  <w:abstractNum w:abstractNumId="32">
    <w:nsid w:val="659070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15014AC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4">
    <w:nsid w:val="5F5E7FD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5">
    <w:nsid w:val="98A3148"/>
    <w:multiLevelType w:val="hybridMultilevel"/>
    <w:lvl w:ilvl="0">
      <w:lvlJc w:val="left"/>
      <w:lvlText w:val="(%1)"/>
      <w:numFmt w:val="lowerLetter"/>
      <w:start w:val="8"/>
    </w:lvl>
  </w:abstractNum>
  <w:abstractNum w:abstractNumId="36">
    <w:nsid w:val="799D0247"/>
    <w:multiLevelType w:val="hybridMultilevel"/>
    <w:lvl w:ilvl="0">
      <w:lvlJc w:val="left"/>
      <w:lvlText w:val="(%1)"/>
      <w:numFmt w:val="lowerLetter"/>
      <w:start w:val="1"/>
    </w:lvl>
  </w:abstractNum>
  <w:abstractNum w:abstractNumId="37">
    <w:nsid w:val="6B94764"/>
    <w:multiLevelType w:val="hybridMultilevel"/>
    <w:lvl w:ilvl="0">
      <w:lvlJc w:val="left"/>
      <w:lvlText w:val="(%1)"/>
      <w:numFmt w:val="lowerLetter"/>
      <w:start w:val="2"/>
    </w:lvl>
  </w:abstractNum>
  <w:abstractNum w:abstractNumId="38">
    <w:nsid w:val="42C296BD"/>
    <w:multiLevelType w:val="hybridMultilevel"/>
    <w:lvl w:ilvl="0">
      <w:lvlJc w:val="left"/>
      <w:lvlText w:val="(%1)"/>
      <w:numFmt w:val="lowerLetter"/>
      <w:start w:val="1"/>
    </w:lvl>
  </w:abstractNum>
  <w:abstractNum w:abstractNumId="39">
    <w:nsid w:val="168E121F"/>
    <w:multiLevelType w:val="hybridMultilevel"/>
    <w:lvl w:ilvl="0">
      <w:lvlJc w:val="left"/>
      <w:lvlText w:val="%1"/>
      <w:numFmt w:val="lowerLetter"/>
      <w:start w:val="1"/>
    </w:lvl>
    <w:lvl w:ilvl="1">
      <w:lvlJc w:val="left"/>
      <w:lvlText w:val="(%2)"/>
      <w:numFmt w:val="lowerRoman"/>
      <w:start w:val="1"/>
    </w:lvl>
  </w:abstractNum>
  <w:abstractNum w:abstractNumId="40">
    <w:nsid w:val="1EBA5D23"/>
    <w:multiLevelType w:val="hybridMultilevel"/>
    <w:lvl w:ilvl="0">
      <w:lvlJc w:val="left"/>
      <w:lvlText w:val="(%1)"/>
      <w:numFmt w:val="lowerLetter"/>
      <w:start w:val="3"/>
    </w:lvl>
    <w:lvl w:ilvl="1">
      <w:lvlJc w:val="left"/>
      <w:lvlText w:val="%2"/>
      <w:numFmt w:val="lowerRoman"/>
      <w:start w:val="1"/>
    </w:lvl>
  </w:abstractNum>
  <w:abstractNum w:abstractNumId="41">
    <w:nsid w:val="661E3F1E"/>
    <w:multiLevelType w:val="hybridMultilevel"/>
    <w:lvl w:ilvl="0">
      <w:lvlJc w:val="left"/>
      <w:lvlText w:val="(%1)"/>
      <w:numFmt w:val="lowerLetter"/>
      <w:start w:val="1"/>
    </w:lvl>
  </w:abstractNum>
  <w:abstractNum w:abstractNumId="42">
    <w:nsid w:val="5DC79EA8"/>
    <w:multiLevelType w:val="hybridMultilevel"/>
    <w:lvl w:ilvl="0">
      <w:lvlJc w:val="left"/>
      <w:lvlText w:val="(%1)"/>
      <w:numFmt w:val="lowerLetter"/>
      <w:start w:val="1"/>
    </w:lvl>
  </w:abstractNum>
  <w:abstractNum w:abstractNumId="43">
    <w:nsid w:val="540A471C"/>
    <w:multiLevelType w:val="hybridMultilevel"/>
    <w:lvl w:ilvl="0">
      <w:lvlJc w:val="left"/>
      <w:lvlText w:val="(%1)"/>
      <w:numFmt w:val="lowerLetter"/>
      <w:start w:val="1"/>
    </w:lvl>
    <w:lvl w:ilvl="1">
      <w:lvlJc w:val="left"/>
      <w:lvlText w:val="(%2)"/>
      <w:numFmt w:val="lowerRoman"/>
      <w:start w:val="1"/>
    </w:lvl>
  </w:abstractNum>
  <w:abstractNum w:abstractNumId="44">
    <w:nsid w:val="7BD3EE7B"/>
    <w:multiLevelType w:val="hybridMultilevel"/>
    <w:lvl w:ilvl="0">
      <w:lvlJc w:val="left"/>
      <w:lvlText w:val="(%1)"/>
      <w:numFmt w:val="lowerLetter"/>
      <w:start w:val="1"/>
    </w:lvl>
  </w:abstractNum>
  <w:abstractNum w:abstractNumId="45">
    <w:nsid w:val="51D9C564"/>
    <w:multiLevelType w:val="hybridMultilevel"/>
    <w:lvl w:ilvl="0">
      <w:lvlJc w:val="left"/>
      <w:lvlText w:val="(%1)"/>
      <w:numFmt w:val="lowerLetter"/>
      <w:start w:val="1"/>
    </w:lvl>
  </w:abstractNum>
  <w:abstractNum w:abstractNumId="46">
    <w:nsid w:val="613EFDC5"/>
    <w:multiLevelType w:val="hybridMultilevel"/>
    <w:lvl w:ilvl="0">
      <w:lvlJc w:val="left"/>
      <w:lvlText w:val="(%1)"/>
      <w:numFmt w:val="lowerLetter"/>
      <w:start w:val="2"/>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Letter"/>
      <w:start w:val="2"/>
    </w:lvl>
  </w:abstractNum>
  <w:abstractNum w:abstractNumId="49">
    <w:nsid w:val="42963E5A"/>
    <w:multiLevelType w:val="hybridMultilevel"/>
    <w:lvl w:ilvl="0">
      <w:lvlJc w:val="left"/>
      <w:lvlText w:val="(%1)"/>
      <w:numFmt w:val="lowerLetter"/>
      <w:start w:val="1"/>
    </w:lvl>
    <w:lvl w:ilvl="1">
      <w:lvlJc w:val="left"/>
      <w:lvlText w:val="(%2)"/>
      <w:numFmt w:val="lowerLetter"/>
      <w:start w:val="9"/>
    </w:lvl>
  </w:abstractNum>
  <w:abstractNum w:abstractNumId="50">
    <w:nsid w:val="A0382C5"/>
    <w:multiLevelType w:val="hybridMultilevel"/>
    <w:lvl w:ilvl="0">
      <w:lvlJc w:val="left"/>
      <w:lvlText w:val="%1"/>
      <w:numFmt w:val="lowerLetter"/>
      <w:start w:val="1"/>
    </w:lvl>
    <w:lvl w:ilvl="1">
      <w:lvlJc w:val="left"/>
      <w:lvlText w:val="(%2)"/>
      <w:numFmt w:val="lowerRoman"/>
      <w:start w:val="2"/>
    </w:lvl>
  </w:abstractNum>
  <w:abstractNum w:abstractNumId="51">
    <w:nsid w:val="8F2B15E"/>
    <w:multiLevelType w:val="hybridMultilevel"/>
    <w:lvl w:ilvl="0">
      <w:lvlJc w:val="left"/>
      <w:lvlText w:val="(%1)"/>
      <w:numFmt w:val="lowerLetter"/>
      <w:start w:val="4"/>
    </w:lvl>
    <w:lvl w:ilvl="1">
      <w:lvlJc w:val="left"/>
      <w:lvlText w:val="%2"/>
      <w:numFmt w:val="lowerRoman"/>
      <w:start w:val="1"/>
    </w:lvl>
  </w:abstractNum>
  <w:abstractNum w:abstractNumId="52">
    <w:nsid w:val="1A32234B"/>
    <w:multiLevelType w:val="hybridMultilevel"/>
    <w:lvl w:ilvl="0">
      <w:lvlJc w:val="left"/>
      <w:lvlText w:val="(%1)"/>
      <w:numFmt w:val="lowerLetter"/>
      <w:start w:val="1"/>
    </w:lvl>
  </w:abstractNum>
  <w:abstractNum w:abstractNumId="53">
    <w:nsid w:val="3B0FD379"/>
    <w:multiLevelType w:val="hybridMultilevel"/>
    <w:lvl w:ilvl="0">
      <w:lvlJc w:val="left"/>
      <w:lvlText w:val="(%1)"/>
      <w:numFmt w:val="lowerLetter"/>
      <w:start w:val="2"/>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6"/>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1433062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3"/>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1"/>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2"/>
    </w:lvl>
  </w:abstractNum>
  <w:abstractNum w:abstractNumId="68">
    <w:nsid w:val="76272110"/>
    <w:multiLevelType w:val="hybridMultilevel"/>
    <w:lvl w:ilvl="0">
      <w:lvlJc w:val="left"/>
      <w:lvlText w:val="(%1)"/>
      <w:numFmt w:val="lowerLetter"/>
      <w:start w:val="6"/>
    </w:lvl>
  </w:abstractNum>
  <w:abstractNum w:abstractNumId="69">
    <w:nsid w:val="4C04A8AF"/>
    <w:multiLevelType w:val="hybridMultilevel"/>
    <w:lvl w:ilvl="0">
      <w:lvlJc w:val="left"/>
      <w:lvlText w:val="(%1)"/>
      <w:numFmt w:val="lowerLetter"/>
      <w:start w:val="14"/>
    </w:lvl>
  </w:abstractNum>
  <w:abstractNum w:abstractNumId="70">
    <w:nsid w:val="171670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
    <w:nsid w:val="14E17E33"/>
    <w:multiLevelType w:val="hybridMultilevel"/>
    <w:lvl w:ilvl="0">
      <w:lvlJc w:val="left"/>
      <w:lvlText w:val="%1"/>
      <w:numFmt w:val="lowerLetter"/>
      <w:start w:val="1"/>
    </w:lvl>
    <w:lvl w:ilvl="1">
      <w:lvlJc w:val="left"/>
      <w:lvlText w:val="(%2)"/>
      <w:numFmt w:val="lowerRoman"/>
      <w:start w:val="2"/>
    </w:lvl>
  </w:abstractNum>
  <w:abstractNum w:abstractNumId="72">
    <w:nsid w:val="3222E7CD"/>
    <w:multiLevelType w:val="hybridMultilevel"/>
    <w:lvl w:ilvl="0">
      <w:lvlJc w:val="left"/>
      <w:lvlText w:val="(%1)"/>
      <w:numFmt w:val="lowerLetter"/>
      <w:start w:val="3"/>
    </w:lvl>
    <w:lvl w:ilvl="1">
      <w:lvlJc w:val="left"/>
      <w:lvlText w:val="%2"/>
      <w:numFmt w:val="lowerRoman"/>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2"/>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3"/>
    </w:lvl>
  </w:abstractNum>
  <w:abstractNum w:abstractNumId="78">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
    <w:nsid w:val="57FC4FBB"/>
    <w:multiLevelType w:val="hybridMultilevel"/>
    <w:lvl w:ilvl="0">
      <w:lvlJc w:val="left"/>
      <w:lvlText w:val="(%1)"/>
      <w:numFmt w:val="upperLetter"/>
      <w:start w:val="3"/>
    </w:lvl>
  </w:abstractNum>
  <w:abstractNum w:abstractNumId="80">
    <w:nsid w:val="CC1016F"/>
    <w:multiLevelType w:val="hybridMultilevel"/>
    <w:lvl w:ilvl="0">
      <w:lvlJc w:val="left"/>
      <w:lvlText w:val="(%1)"/>
      <w:numFmt w:val="lowerLetter"/>
      <w:start w:val="2"/>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7"/>
    </w:lvl>
  </w:abstractNum>
  <w:abstractNum w:abstractNumId="86">
    <w:nsid w:val="7055A5F5"/>
    <w:multiLevelType w:val="hybridMultilevel"/>
    <w:lvl w:ilvl="0">
      <w:lvlJc w:val="left"/>
      <w:lvlText w:val="(%1)"/>
      <w:numFmt w:val="lowerLetter"/>
      <w:start w:val="1"/>
    </w:lvl>
    <w:lvl w:ilvl="1">
      <w:lvlJc w:val="left"/>
      <w:lvlText w:val="(%2)"/>
      <w:numFmt w:val="lowerRoman"/>
      <w:start w:val="1"/>
    </w:lvl>
  </w:abstractNum>
  <w:abstractNum w:abstractNumId="87">
    <w:nsid w:val="5FB8370B"/>
    <w:multiLevelType w:val="hybridMultilevel"/>
    <w:lvl w:ilvl="0">
      <w:lvlJc w:val="left"/>
      <w:lvlText w:val="(%1)"/>
      <w:numFmt w:val="lowerLetter"/>
      <w:start w:val="3"/>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2"/>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6"/>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lowerLetter"/>
      <w:start w:val="4"/>
    </w:lvl>
  </w:abstractNum>
  <w:abstractNum w:abstractNumId="99">
    <w:nsid w:val="555C55B5"/>
    <w:multiLevelType w:val="hybridMultilevel"/>
    <w:lvl w:ilvl="0">
      <w:lvlJc w:val="left"/>
      <w:lvlText w:val="(%1)"/>
      <w:numFmt w:val="lowerLetter"/>
      <w:start w:val="12"/>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lowerLetter"/>
      <w:start w:val="2"/>
    </w:lvl>
  </w:abstractNum>
  <w:abstractNum w:abstractNumId="103">
    <w:nsid w:val="71C91298"/>
    <w:multiLevelType w:val="hybridMultilevel"/>
    <w:lvl w:ilvl="0">
      <w:lvlJc w:val="left"/>
      <w:lvlText w:val="*"/>
      <w:numFmt w:val="bullet"/>
      <w:start w:val="1"/>
    </w:lvl>
    <w:lvl w:ilvl="1">
      <w:lvlJc w:val="left"/>
      <w:lvlText w:val="%2."/>
      <w:numFmt w:val="decimal"/>
      <w:start w:val="1"/>
    </w:lvl>
  </w:abstractNum>
  <w:abstractNum w:abstractNumId="104">
    <w:nsid w:val="9DAF63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jpeg"/><Relationship Id="rId158" Type="http://schemas.openxmlformats.org/officeDocument/2006/relationships/image" Target="media/image148.png"/><Relationship Id="rId159" Type="http://schemas.openxmlformats.org/officeDocument/2006/relationships/image" Target="media/image149.jpe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9" Type="http://schemas.openxmlformats.org/officeDocument/2006/relationships/hyperlink" Target="http://www.sec.gov/Archives/edgar/data/1749723/000114036120017367/brhc10013767_ex99-2.htm" TargetMode="External"/><Relationship Id="rId20" Type="http://schemas.openxmlformats.org/officeDocument/2006/relationships/hyperlink" Target="http://www.sec.gov/Archives/edgar/data/1749723/000114036120017367/brhc10013767_ex99-3.htm" TargetMode="External"/><Relationship Id="rId21" Type="http://schemas.openxmlformats.org/officeDocument/2006/relationships/hyperlink" Target="http://www.sec.gov/Archives/edgar/data/1749723/000114036120017367/brhc10013767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2020-08-07T05:35:07Z</dcterms:created>
  <dcterms:modified xsi:type="dcterms:W3CDTF">2020-08-07T05:35:07Z</dcterms:modified>
</cp:coreProperties>
</file>