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November 11, 2019</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New Fortress Energy LLC</w:t>
      </w:r>
    </w:p>
    <w:p>
      <w:pPr>
        <w:spacing w:after="0" w:line="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340"/>
          </w:cols>
          <w:pgMar w:left="240" w:top="529" w:right="319" w:bottom="1440" w:gutter="0" w:footer="0" w:header="0"/>
        </w:sectPr>
      </w:pPr>
    </w:p>
    <w:p>
      <w:pPr>
        <w:spacing w:after="0" w:line="29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31" w:lineRule="exact"/>
        <w:rPr>
          <w:sz w:val="24"/>
          <w:szCs w:val="24"/>
          <w:color w:val="auto"/>
        </w:rPr>
      </w:pPr>
    </w:p>
    <w:p>
      <w:pPr>
        <w:sectPr>
          <w:pgSz w:w="11900" w:h="16838" w:orient="portrait"/>
          <w:cols w:equalWidth="0" w:num="3">
            <w:col w:w="4640" w:space="720"/>
            <w:col w:w="3040" w:space="720"/>
            <w:col w:w="2220"/>
          </w:cols>
          <w:pgMar w:left="240" w:top="529" w:right="31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020"/>
          </w:cols>
          <w:pgMar w:left="240" w:top="529" w:right="319" w:bottom="1440" w:gutter="0" w:footer="0" w:header="0"/>
          <w:type w:val="continuous"/>
        </w:sectPr>
      </w:pP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111 W. 19</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 8</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4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10011</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400" w:space="720"/>
            <w:col w:w="2220"/>
          </w:cols>
          <w:pgMar w:left="240" w:top="529" w:right="319" w:bottom="1440" w:gutter="0" w:footer="0" w:header="0"/>
          <w:type w:val="continuous"/>
        </w:sectPr>
      </w:pP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168275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236855</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20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14"/>
        </w:trPr>
        <w:tc>
          <w:tcPr>
            <w:tcW w:w="4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Class A shares, representing limited liability company</w:t>
            </w:r>
          </w:p>
        </w:tc>
        <w:tc>
          <w:tcPr>
            <w:tcW w:w="500" w:type="dxa"/>
            <w:vAlign w:val="bottom"/>
          </w:tcPr>
          <w:p>
            <w:pPr>
              <w:spacing w:after="0"/>
              <w:rPr>
                <w:sz w:val="18"/>
                <w:szCs w:val="18"/>
                <w:color w:val="auto"/>
              </w:rPr>
            </w:pPr>
          </w:p>
        </w:tc>
        <w:tc>
          <w:tcPr>
            <w:tcW w:w="1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8"/>
        </w:trPr>
        <w:tc>
          <w:tcPr>
            <w:tcW w:w="1420" w:type="dxa"/>
            <w:vAlign w:val="bottom"/>
          </w:tcPr>
          <w:p>
            <w:pPr>
              <w:spacing w:after="0"/>
              <w:rPr>
                <w:sz w:val="20"/>
                <w:szCs w:val="20"/>
                <w:color w:val="auto"/>
              </w:rPr>
            </w:pPr>
          </w:p>
        </w:tc>
        <w:tc>
          <w:tcPr>
            <w:tcW w:w="320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9"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Emerging growth company</w:t>
      </w:r>
    </w:p>
    <w:p>
      <w:pPr>
        <w:spacing w:after="0" w:line="233" w:lineRule="exact"/>
        <w:rPr>
          <w:sz w:val="24"/>
          <w:szCs w:val="24"/>
          <w:color w:val="auto"/>
        </w:rPr>
      </w:pPr>
    </w:p>
    <w:p>
      <w:pPr>
        <w:ind w:right="24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29" w:right="31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7" w:lineRule="exact"/>
        <w:rPr>
          <w:sz w:val="20"/>
          <w:szCs w:val="20"/>
          <w:color w:val="auto"/>
        </w:rPr>
      </w:pPr>
    </w:p>
    <w:p>
      <w:pPr>
        <w:ind w:right="180" w:firstLine="324"/>
        <w:spacing w:after="0" w:line="239" w:lineRule="auto"/>
        <w:rPr>
          <w:sz w:val="20"/>
          <w:szCs w:val="20"/>
          <w:color w:val="auto"/>
        </w:rPr>
      </w:pPr>
      <w:r>
        <w:rPr>
          <w:rFonts w:ascii="Times New Roman" w:cs="Times New Roman" w:eastAsia="Times New Roman" w:hAnsi="Times New Roman"/>
          <w:sz w:val="22"/>
          <w:szCs w:val="22"/>
          <w:color w:val="auto"/>
        </w:rPr>
        <w:t>On November 11, 2019, New Fortress Energy LLC (“NFE” or the “Company”) issued a press release announcing the Company’s financial and operating results for its fiscal quarter ended September 30, 2019. A copy of the Company’s press release is attached to this Current Report on Form 8-K (the “Current Report”) as Exhibit 99.1 and is incorporated herein solely for purposes of this Item 2.02 disclosure.</w:t>
      </w:r>
    </w:p>
    <w:p>
      <w:pPr>
        <w:spacing w:after="0" w:line="208" w:lineRule="exact"/>
        <w:rPr>
          <w:sz w:val="20"/>
          <w:szCs w:val="20"/>
          <w:color w:val="auto"/>
        </w:rPr>
      </w:pPr>
    </w:p>
    <w:p>
      <w:pPr>
        <w:ind w:right="220" w:firstLine="324"/>
        <w:spacing w:after="0" w:line="239" w:lineRule="auto"/>
        <w:rPr>
          <w:sz w:val="20"/>
          <w:szCs w:val="20"/>
          <w:color w:val="auto"/>
        </w:rPr>
      </w:pPr>
      <w:r>
        <w:rPr>
          <w:rFonts w:ascii="Times New Roman" w:cs="Times New Roman" w:eastAsia="Times New Roman" w:hAnsi="Times New Roman"/>
          <w:sz w:val="22"/>
          <w:szCs w:val="22"/>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437"/>
        </w:trPr>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45"/>
        </w:trPr>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1"/>
                <w:szCs w:val="21"/>
                <w:color w:val="auto"/>
              </w:rPr>
            </w:pPr>
          </w:p>
        </w:tc>
        <w:tc>
          <w:tcPr>
            <w:tcW w:w="9920" w:type="dxa"/>
            <w:vAlign w:val="bottom"/>
            <w:tcBorders>
              <w:bottom w:val="single" w:sz="8" w:color="auto"/>
            </w:tcBorders>
          </w:tcPr>
          <w:p>
            <w:pPr>
              <w:jc w:val="right"/>
              <w:ind w:right="443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80" w:type="dxa"/>
            <w:vAlign w:val="bottom"/>
            <w:gridSpan w:val="3"/>
          </w:tcPr>
          <w:p>
            <w:pPr>
              <w:jc w:val="cente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15"/>
                <w:szCs w:val="15"/>
                <w:color w:val="auto"/>
              </w:rPr>
            </w:pPr>
          </w:p>
        </w:tc>
        <w:tc>
          <w:tcPr>
            <w:tcW w:w="9920" w:type="dxa"/>
            <w:vAlign w:val="bottom"/>
          </w:tcPr>
          <w:p>
            <w:pPr>
              <w:jc w:val="right"/>
              <w:ind w:right="4170"/>
              <w:spacing w:after="0" w:line="176" w:lineRule="exact"/>
              <w:rPr>
                <w:sz w:val="20"/>
                <w:szCs w:val="20"/>
                <w:color w:val="auto"/>
              </w:rPr>
            </w:pPr>
            <w:r>
              <w:rPr>
                <w:rFonts w:ascii="Times New Roman" w:cs="Times New Roman" w:eastAsia="Times New Roman" w:hAnsi="Times New Roman"/>
                <w:sz w:val="18"/>
                <w:szCs w:val="18"/>
                <w:color w:val="auto"/>
                <w:w w:val="99"/>
              </w:rPr>
              <w:t>Press Release, dated November 11, 2019, issued by New Fortress Energy LLC</w:t>
            </w:r>
          </w:p>
        </w:tc>
      </w:tr>
      <w:tr>
        <w:trPr>
          <w:trHeight w:val="605"/>
        </w:trPr>
        <w:tc>
          <w:tcPr>
            <w:tcW w:w="5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040" w:type="dxa"/>
            <w:vAlign w:val="bottom"/>
            <w:gridSpan w:val="2"/>
          </w:tcPr>
          <w:p>
            <w:pPr>
              <w:jc w:val="right"/>
              <w:ind w:right="559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9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NEW FORTRESS ENERGY LLC</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198"/>
        </w:trPr>
        <w:tc>
          <w:tcPr>
            <w:tcW w:w="3560" w:type="dxa"/>
            <w:vAlign w:val="bottom"/>
          </w:tcPr>
          <w:p>
            <w:pPr>
              <w:spacing w:after="0"/>
              <w:rPr>
                <w:sz w:val="17"/>
                <w:szCs w:val="17"/>
                <w:color w:val="auto"/>
              </w:rPr>
            </w:pPr>
          </w:p>
        </w:tc>
        <w:tc>
          <w:tcPr>
            <w:tcW w:w="2720" w:type="dxa"/>
            <w:vAlign w:val="bottom"/>
          </w:tcPr>
          <w:p>
            <w:pPr>
              <w:ind w:left="21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S. Guinta</w:t>
            </w:r>
          </w:p>
        </w:tc>
      </w:tr>
      <w:tr>
        <w:trPr>
          <w:trHeight w:val="234"/>
        </w:trPr>
        <w:tc>
          <w:tcPr>
            <w:tcW w:w="356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2"/>
        </w:trPr>
        <w:tc>
          <w:tcPr>
            <w:tcW w:w="3560" w:type="dxa"/>
            <w:vAlign w:val="bottom"/>
          </w:tcPr>
          <w:p>
            <w:pPr>
              <w:spacing w:after="0"/>
              <w:rPr>
                <w:sz w:val="24"/>
                <w:szCs w:val="24"/>
                <w:color w:val="auto"/>
              </w:rPr>
            </w:pPr>
          </w:p>
        </w:tc>
        <w:tc>
          <w:tcPr>
            <w:tcW w:w="272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3</w:t>
            </w:r>
          </w:p>
        </w:tc>
        <w:tc>
          <w:tcPr>
            <w:tcW w:w="5140" w:type="dxa"/>
            <w:vAlign w:val="bottom"/>
          </w:tcPr>
          <w:p>
            <w:pPr>
              <w:spacing w:after="0"/>
              <w:rPr>
                <w:sz w:val="24"/>
                <w:szCs w:val="24"/>
                <w:color w:val="auto"/>
              </w:rPr>
            </w:pPr>
          </w:p>
        </w:tc>
      </w:tr>
      <w:tr>
        <w:trPr>
          <w:trHeight w:val="98"/>
        </w:trPr>
        <w:tc>
          <w:tcPr>
            <w:tcW w:w="35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175260</wp:posOffset>
            </wp:positionV>
            <wp:extent cx="154368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Fortress Energy Announces Third Quarter 2019 Results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11, 2019</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NEW YORK -- New Fortress Energy LLC (NASDAQ: NFE) (“NFE” or the “Company”) today reported its financial results for the third quarter ending September 30,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Highlights</w:t>
      </w:r>
    </w:p>
    <w:p>
      <w:pPr>
        <w:spacing w:after="0" w:line="2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7" w:lineRule="exact"/>
        <w:rPr>
          <w:sz w:val="20"/>
          <w:szCs w:val="20"/>
          <w:color w:val="auto"/>
        </w:rPr>
      </w:pPr>
    </w:p>
    <w:p>
      <w:pPr>
        <w:ind w:left="1300" w:right="2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terminal pipeline is robust and NFE is actively engaged in converting two large scale MOUs into binding commitments which we expect to total approximately 1.3mm GPD</w:t>
      </w:r>
    </w:p>
    <w:p>
      <w:pPr>
        <w:ind w:left="1300" w:hanging="320"/>
        <w:spacing w:after="0" w:line="181"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Currently In Discussion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with 100+ commercial and industrial customers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 Puerto Rico, Jamaica and Mexico</w:t>
      </w:r>
    </w:p>
    <w:p>
      <w:pPr>
        <w:ind w:left="1300" w:hanging="320"/>
        <w:spacing w:after="0" w:line="180"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Committed Volumes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and In Discussion Volumes as of September 30, 2019 increased approximately 25% as compared to September 30, 2018. Committed Volumes plus In Discussion Volumes in Jamaica, Puerto Rico, and Mexico are approximately 4.0mm GPD</w:t>
      </w:r>
      <w:r>
        <w:rPr>
          <w:rFonts w:ascii="Times New Roman" w:cs="Times New Roman" w:eastAsia="Times New Roman" w:hAnsi="Times New Roman"/>
          <w:sz w:val="25"/>
          <w:szCs w:val="25"/>
          <w:color w:val="auto"/>
          <w:vertAlign w:val="superscript"/>
        </w:rPr>
        <w:t>(4)</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w:t>
      </w:r>
    </w:p>
    <w:p>
      <w:pPr>
        <w:spacing w:after="0" w:line="7" w:lineRule="exact"/>
        <w:rPr>
          <w:rFonts w:ascii="Times New Roman" w:cs="Times New Roman" w:eastAsia="Times New Roman" w:hAnsi="Times New Roman"/>
          <w:sz w:val="18"/>
          <w:szCs w:val="18"/>
          <w:color w:val="auto"/>
        </w:rPr>
      </w:pPr>
    </w:p>
    <w:p>
      <w:pPr>
        <w:ind w:left="1300" w:hanging="320"/>
        <w:spacing w:after="0" w:line="181"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Gas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 xml:space="preserve"> at NFE’s Puerto Rico facility and Run Rate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of Units 5 &amp; 6 in the San Juan Power Plant is expected in Q1 2020</w:t>
      </w:r>
    </w:p>
    <w:p>
      <w:pPr>
        <w:ind w:left="1300" w:hanging="320"/>
        <w:spacing w:after="0" w:line="249"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Harbour Terminal is fully operational and the commissioning of JPS’ Old Harbour Power Plant is ongoing; consumption at the Old Harbour power plant is expected to exceed prior estimates, based on current nominations</w:t>
      </w:r>
    </w:p>
    <w:p>
      <w:pPr>
        <w:ind w:left="1300" w:hanging="320"/>
        <w:spacing w:after="0" w:line="181" w:lineRule="auto"/>
        <w:tabs>
          <w:tab w:leader="none" w:pos="13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Jamalco CHP plant substation construction completed and achieved “First Fire”</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in Q4 2019</w:t>
      </w:r>
    </w:p>
    <w:p>
      <w:pPr>
        <w:ind w:left="1300" w:hanging="320"/>
        <w:spacing w:after="0" w:line="249"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Mexico La Paz Terminal dredging works have commenced as we continue construction; First Gas is expected in Q3 2020; Run Rate is expected in Q4 2020</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$180mm bond commitment, secured by the Jamalco CHP Plant. Issued $117mm in bonds to complete the construction of the Power Plant. Expect to issue an additional $63mm in bonds in Q4 2019</w:t>
      </w:r>
    </w:p>
    <w:p>
      <w:pPr>
        <w:jc w:val="both"/>
        <w:ind w:left="1300" w:hanging="320"/>
        <w:spacing w:after="0" w:line="205"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 including restricted cash, as of September 30, 2019 was $244mm which, combined with expected cash flows from operations, and undrawn amount from the bonds secured by the Jamalco CHP Plant, is expected to fully fund all downstream Committed project costs</w:t>
      </w:r>
      <w:r>
        <w:rPr>
          <w:rFonts w:ascii="Times New Roman" w:cs="Times New Roman" w:eastAsia="Times New Roman" w:hAnsi="Times New Roman"/>
          <w:sz w:val="30"/>
          <w:szCs w:val="30"/>
          <w:color w:val="auto"/>
          <w:vertAlign w:val="superscript"/>
        </w:rPr>
        <w:t>(8)</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LNG supply bids and expect to secure final pricing of approximately $5.50/MMBtu</w:t>
      </w:r>
    </w:p>
    <w:p>
      <w:pPr>
        <w:spacing w:after="0" w:line="7"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construction projects become operational, we expect to refinance; leverage on cash flows from operational terminals is expected to fund future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Overview</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except Average Volumes)</w:t>
            </w:r>
          </w:p>
        </w:tc>
        <w:tc>
          <w:tcPr>
            <w:tcW w:w="506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0" w:type="dxa"/>
            <w:vAlign w:val="bottom"/>
          </w:tcPr>
          <w:p>
            <w:pPr>
              <w:spacing w:after="0"/>
              <w:rPr>
                <w:sz w:val="1"/>
                <w:szCs w:val="1"/>
                <w:color w:val="auto"/>
              </w:rPr>
            </w:pPr>
          </w:p>
        </w:tc>
      </w:tr>
      <w:tr>
        <w:trPr>
          <w:trHeight w:val="241"/>
        </w:trPr>
        <w:tc>
          <w:tcPr>
            <w:tcW w:w="4620" w:type="dxa"/>
            <w:vAlign w:val="bottom"/>
            <w:gridSpan w:val="2"/>
            <w:vMerge w:val="continue"/>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Average Volumes (k GPD)</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00"/>
        <w:spacing w:after="0" w:line="262" w:lineRule="auto"/>
        <w:rPr>
          <w:sz w:val="20"/>
          <w:szCs w:val="20"/>
          <w:color w:val="auto"/>
        </w:rPr>
      </w:pPr>
      <w:r>
        <w:rPr>
          <w:rFonts w:ascii="Times New Roman" w:cs="Times New Roman" w:eastAsia="Times New Roman" w:hAnsi="Times New Roman"/>
          <w:sz w:val="22"/>
          <w:szCs w:val="22"/>
          <w:i w:val="1"/>
          <w:iCs w:val="1"/>
          <w:color w:val="auto"/>
        </w:rPr>
        <w:t>*Operating margin is a non-GAAP financial measure. For definitions and reconciliations of non-GAAP results please refer to the exhibit to this press release.</w:t>
      </w:r>
    </w:p>
    <w:p>
      <w:pPr>
        <w:spacing w:after="0" w:line="190" w:lineRule="exact"/>
        <w:rPr>
          <w:sz w:val="20"/>
          <w:szCs w:val="20"/>
          <w:color w:val="auto"/>
        </w:rPr>
      </w:pPr>
    </w:p>
    <w:p>
      <w:pPr>
        <w:ind w:left="660" w:right="20" w:hanging="328"/>
        <w:spacing w:after="0" w:line="19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Q3 2019 increased vs. Q3 2018 due to revenue generated from the Old Harbour terminal and new commercial and industrial customer contracts coming online</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Increase also due to $10MM of construction revenue recognized for Jamalco and Puerto Rico projects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was higher due to LNG costs as our weighted average cost of gas increased from $0.57 per gallon ($6.92 per MMBtu) in Q3 2018 to $0.66 per gallon ($8.02 per MMBtu) in Q3 2019. The increase in Cost of goods sold was also due to cost associated with construction services provided to customers of $9mm</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and maintenance cost was higher during Q3 2019 due to additional costs associated with operating our charter vessels, including a storage vessel for Puerto Rico</w:t>
      </w: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for Q3 2019 was higher than Q3 2018 largely due to development costs incurred for development projects that we have not yet made a final investment decision to complete, including the Pennsylvania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Please refer to our Q3 2019 Investor Presentation for further information about the following terms:</w:t>
      </w:r>
    </w:p>
    <w:p>
      <w:pPr>
        <w:spacing w:after="0" w:line="18" w:lineRule="exact"/>
        <w:rPr>
          <w:sz w:val="20"/>
          <w:szCs w:val="20"/>
          <w:color w:val="auto"/>
        </w:rPr>
      </w:pPr>
    </w:p>
    <w:p>
      <w:pPr>
        <w:jc w:val="both"/>
        <w:ind w:firstLine="8"/>
        <w:spacing w:after="0" w:line="230" w:lineRule="auto"/>
        <w:tabs>
          <w:tab w:leader="none" w:pos="262"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is substantially in excess of potential minimum volume commitments.</w:t>
      </w:r>
    </w:p>
    <w:p>
      <w:pPr>
        <w:spacing w:after="0" w:line="4" w:lineRule="exact"/>
        <w:rPr>
          <w:rFonts w:ascii="Times New Roman" w:cs="Times New Roman" w:eastAsia="Times New Roman" w:hAnsi="Times New Roman"/>
          <w:sz w:val="22"/>
          <w:szCs w:val="22"/>
          <w:i w:val="1"/>
          <w:iCs w:val="1"/>
          <w:color w:val="auto"/>
        </w:rPr>
      </w:pPr>
    </w:p>
    <w:p>
      <w:pPr>
        <w:ind w:firstLine="8"/>
        <w:spacing w:after="0" w:line="230" w:lineRule="auto"/>
        <w:tabs>
          <w:tab w:leader="none" w:pos="247"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Please note that commercial and industrial customer contracts are the same as the “small scale” customers we refer to in our periodic filings, including our forthcoming report on Form 10-Q.</w:t>
      </w:r>
    </w:p>
    <w:p>
      <w:pPr>
        <w:spacing w:after="0" w:line="1" w:lineRule="exact"/>
        <w:rPr>
          <w:rFonts w:ascii="Times New Roman" w:cs="Times New Roman" w:eastAsia="Times New Roman" w:hAnsi="Times New Roman"/>
          <w:sz w:val="22"/>
          <w:szCs w:val="22"/>
          <w:i w:val="1"/>
          <w:iCs w:val="1"/>
          <w:color w:val="auto"/>
        </w:rPr>
      </w:pPr>
    </w:p>
    <w:p>
      <w:pPr>
        <w:jc w:val="both"/>
        <w:ind w:firstLine="8"/>
        <w:spacing w:after="0" w:line="230" w:lineRule="auto"/>
        <w:tabs>
          <w:tab w:leader="none" w:pos="264"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“Committed Volumes” means our expected volumes to be sold to customers under binding contracts, non-binding letters of intent, non-binding memorandums of understanding, binding or non-binding term sheets or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is substantially in excess of such minimum volume commitments.</w:t>
      </w:r>
    </w:p>
    <w:p>
      <w:pPr>
        <w:spacing w:after="0" w:line="4" w:lineRule="exact"/>
        <w:rPr>
          <w:rFonts w:ascii="Times New Roman" w:cs="Times New Roman" w:eastAsia="Times New Roman" w:hAnsi="Times New Roman"/>
          <w:sz w:val="22"/>
          <w:szCs w:val="22"/>
          <w:i w:val="1"/>
          <w:iCs w:val="1"/>
          <w:color w:val="auto"/>
        </w:rPr>
      </w:pPr>
    </w:p>
    <w:p>
      <w:pPr>
        <w:ind w:firstLine="8"/>
        <w:spacing w:after="0" w:line="230" w:lineRule="auto"/>
        <w:tabs>
          <w:tab w:leader="none" w:pos="240"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Based on Committed Volumes and In Discussion Volumes as of October 31, 2019 in total for all of Jamaica, Mexico and Puerto Rico.</w:t>
      </w:r>
    </w:p>
    <w:p>
      <w:pPr>
        <w:spacing w:after="0" w:line="1" w:lineRule="exact"/>
        <w:rPr>
          <w:rFonts w:ascii="Times New Roman" w:cs="Times New Roman" w:eastAsia="Times New Roman" w:hAnsi="Times New Roman"/>
          <w:sz w:val="22"/>
          <w:szCs w:val="22"/>
          <w:i w:val="1"/>
          <w:iCs w:val="1"/>
          <w:color w:val="auto"/>
        </w:rPr>
      </w:pPr>
    </w:p>
    <w:p>
      <w:pPr>
        <w:jc w:val="both"/>
        <w:spacing w:after="0" w:line="233"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5)”First Gas” means management’s current estimate of the date on which gas may first be capable of being made available to our projects, including our facilities in development. Full commercial operations of such projects will occur later than, and may occur substantially later than, the First Gas date. We cannot assure you if or when such projects will achieve the First Gas date, or full commercial operations after such First Gas date. Actual results could differ materially from the illustration and there can be no assurance that we will achieve our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both"/>
        <w:ind w:left="-8" w:firstLine="8"/>
        <w:spacing w:after="0" w:line="233" w:lineRule="auto"/>
        <w:tabs>
          <w:tab w:leader="none" w:pos="235" w:val="left"/>
        </w:tabs>
        <w:numPr>
          <w:ilvl w:val="0"/>
          <w:numId w:val="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“Run Rate” means the date on which management currently estimates the initial ramp-up of operations on a particular facility will be over, and full commercial operations will be running at a sustainable level. Volumes of LNG and natural gas that we are able to deliver and sell through a particular facility may keep increasing after the Run Rate date due to additional large or small scale customers being added for service by any particular facility, so the Run Rate does not represent the date on which management expects the relevant facility to be operating at its Capacity Volume. Capacity Volume operations of such projects will occur later than, and may occur substantially later than, Run Rate. We cannot assure you if or when such projects will reach the date Run Rate or full Capacity Volume. Actual results could differ materially from the illustration and there can be no assurance we will achieve our goal.</w:t>
      </w:r>
    </w:p>
    <w:p>
      <w:pPr>
        <w:spacing w:after="0" w:line="6" w:lineRule="exact"/>
        <w:rPr>
          <w:rFonts w:ascii="Times New Roman" w:cs="Times New Roman" w:eastAsia="Times New Roman" w:hAnsi="Times New Roman"/>
          <w:sz w:val="22"/>
          <w:szCs w:val="22"/>
          <w:i w:val="1"/>
          <w:iCs w:val="1"/>
          <w:color w:val="auto"/>
        </w:rPr>
      </w:pPr>
    </w:p>
    <w:p>
      <w:pPr>
        <w:ind w:left="-8" w:right="20" w:firstLine="8"/>
        <w:spacing w:after="0" w:line="230" w:lineRule="auto"/>
        <w:tabs>
          <w:tab w:leader="none" w:pos="226" w:val="left"/>
        </w:tabs>
        <w:numPr>
          <w:ilvl w:val="0"/>
          <w:numId w:val="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“First Fire” refers to the date on which the natural gas turbine’s combustion system first operates on natural gas as a fuel. First Fire is an event during the commissioning of a power plant. Full commercial operations of such projects will occur later than, and may occur substantially later than, the First Fire date. We cannot assure you if or when projects will reach full commercial operations after achieving First Fire. Actual results could differ materially from any illustration and there can be no assurance that we will achieve our goal.</w:t>
      </w:r>
    </w:p>
    <w:p>
      <w:pPr>
        <w:spacing w:after="0" w:line="3" w:lineRule="exact"/>
        <w:rPr>
          <w:rFonts w:ascii="Times New Roman" w:cs="Times New Roman" w:eastAsia="Times New Roman" w:hAnsi="Times New Roman"/>
          <w:sz w:val="22"/>
          <w:szCs w:val="22"/>
          <w:i w:val="1"/>
          <w:iCs w:val="1"/>
          <w:color w:val="auto"/>
        </w:rPr>
      </w:pPr>
    </w:p>
    <w:p>
      <w:pPr>
        <w:ind w:left="-8" w:right="360" w:firstLine="8"/>
        <w:spacing w:after="0" w:line="233" w:lineRule="auto"/>
        <w:tabs>
          <w:tab w:leader="none" w:pos="226" w:val="left"/>
        </w:tabs>
        <w:numPr>
          <w:ilvl w:val="0"/>
          <w:numId w:val="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“Remaining project cost” and similar terms mean the remaining project budget that we estimate the referenced development project or projects will require in order to reach “operational” status or full commercial operations, as of a particular date. References to a particular quarter mean the last day of that quarter and references to a particular date mean that date. Such project cost is an estimate based on our contracts for each development project, negotiations in progress for the work related to such development project, and our experience developing other similar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Information</w:t>
      </w:r>
    </w:p>
    <w:p>
      <w:pPr>
        <w:spacing w:after="0" w:line="1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Conference Call</w:t>
      </w:r>
    </w:p>
    <w:p>
      <w:pPr>
        <w:spacing w:after="0" w:line="18" w:lineRule="exact"/>
        <w:rPr>
          <w:sz w:val="20"/>
          <w:szCs w:val="20"/>
          <w:color w:val="auto"/>
        </w:rPr>
      </w:pPr>
    </w:p>
    <w:p>
      <w:pPr>
        <w:ind w:right="460"/>
        <w:spacing w:after="0" w:line="235" w:lineRule="auto"/>
        <w:rPr>
          <w:sz w:val="20"/>
          <w:szCs w:val="20"/>
          <w:color w:val="auto"/>
        </w:rPr>
      </w:pPr>
      <w:r>
        <w:rPr>
          <w:rFonts w:ascii="Times New Roman" w:cs="Times New Roman" w:eastAsia="Times New Roman" w:hAnsi="Times New Roman"/>
          <w:sz w:val="22"/>
          <w:szCs w:val="22"/>
          <w:color w:val="auto"/>
        </w:rPr>
        <w:t>New Fortress Energy’s management will host a conference call on Tuesday, November 12, 2019 at 8:00 A.M. Eastern Time. A copy of the earnings release will be posted to the Investor Relations section of New Fortress Energy’s website, www.newfortressenergy.com.</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interested parties are welcome to participate on the live call. The conference call may be accessed by dialing (866) 953-0778 (from within the U.S.) or (630) 652-5853 (from outside of the U.S.) ten minutes prior to the scheduled start of the call; please reference access code “New Fortress Energy Third Quarter Earnings Call”.</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telephonic replay of the conference call will also be available from 11:00 A.M. Eastern Time on Tuesday, November 12, 2019 through 11:00 P.M. Eastern Time on Tuesday, November 19, 2019 by dialing (855) 859-2056 (from within the U.S.) or (404) 537-3406 (from outside of the U.S.); please reference access code “1287499”.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New Fortress Energy LLC</w:t>
      </w:r>
    </w:p>
    <w:p>
      <w:pPr>
        <w:spacing w:after="0" w:line="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Operating margin is not a measurement of financial performance under GAAP and should not be considered in isolation or as an alternative to operating income (loss), net income (loss), cash flow from continuing operating activities or any other measure of performance or liquidity derived in accordance with GAAP. We believe this non-GAAP measure, as we have defined it, provides a supplemental measure of financial performance of our current liquefaction and regasification operations. This measure excludes items that do not significantly affect day-to-day performance of our current liquefaction and regasification operations, including our corporate SG&amp;A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ind w:right="120"/>
        <w:spacing w:after="0" w:line="238" w:lineRule="auto"/>
        <w:rPr>
          <w:sz w:val="20"/>
          <w:szCs w:val="20"/>
          <w:color w:val="auto"/>
        </w:rPr>
      </w:pPr>
      <w:r>
        <w:rPr>
          <w:rFonts w:ascii="Times New Roman" w:cs="Times New Roman" w:eastAsia="Times New Roman" w:hAnsi="Times New Roman"/>
          <w:sz w:val="22"/>
          <w:szCs w:val="22"/>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achieve optimal financial performance of our current liquefaction and regasification operations.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The principal limitation of this non-GAAP measure is that it excludes significant expenses and income that are required by GAAP to be recorded in our financial statements. A reconciliation is provided for the non-GAAP financial measure to our GAAP net income (loss). Investors are encouraged to review the related GAAP financial measures and the reconciliation of the non-GAAP financial measure to our GAAP net income (loss), and not to rely on any single financial measure to evaluate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Cautionary Statement Concerning Forward-Looking Statements</w:t>
      </w:r>
    </w:p>
    <w:p>
      <w:pPr>
        <w:spacing w:after="0" w:line="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Certain statements contained in this press release constitute “forward-looking statements” including the expected conversion of large scale MOUs into binding commitments and the total for such commitments, the number of small scale customers; aggregate demand, and our expected volumes each in particular jurisdictions including Committed Volumes and In Discussion Volumes; the expected First Gas, Run Rate, or commercial operations dates of the San Juan, Puerto Rico micro fuel handling facility and Units 5</w:t>
      </w:r>
    </w:p>
    <w:p>
      <w:pPr>
        <w:spacing w:after="0" w:line="2" w:lineRule="exact"/>
        <w:rPr>
          <w:sz w:val="20"/>
          <w:szCs w:val="20"/>
          <w:color w:val="auto"/>
        </w:rPr>
      </w:pPr>
    </w:p>
    <w:p>
      <w:pPr>
        <w:jc w:val="both"/>
        <w:ind w:firstLine="8"/>
        <w:spacing w:after="0" w:line="231" w:lineRule="auto"/>
        <w:tabs>
          <w:tab w:leader="none" w:pos="24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at San Juan Power Plant; the expected consumption of natural gas at Old Harbour; the expected First Gas and commercial operations date of our La Paz, Mexico Facility; the expectations related to the additional funding of the Jamalco CHP bonds, including the timing of such additional funding; and the expectation that we will be able to fund future developments and projects using the proceeds from future financings once our terminals and facilities produce cash flow from operations.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our expectations about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and risks that our downstream committed projects costs are greater than we expect so the expected funding of such projects may not be possible, and the risk that we will not be able to enter into binding agreements with large scale or small scale customers on terms that are acceptable to us or at all. Accordingly, readers should not place undue reliance on forward-looking statements as a prediction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Andreini</w:t>
      </w:r>
    </w:p>
    <w:p>
      <w:pPr>
        <w:spacing w:after="0" w:line="6" w:lineRule="exact"/>
        <w:rPr>
          <w:sz w:val="20"/>
          <w:szCs w:val="20"/>
          <w:color w:val="auto"/>
        </w:rPr>
      </w:pPr>
    </w:p>
    <w:p>
      <w:pPr>
        <w:ind w:right="9340" w:firstLine="8"/>
        <w:spacing w:after="0" w:line="258" w:lineRule="auto"/>
        <w:tabs>
          <w:tab w:leader="none" w:pos="52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798-6128 aandreini@fortress.com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Joshua Kane</w:t>
      </w:r>
    </w:p>
    <w:p>
      <w:pPr>
        <w:spacing w:after="0" w:line="14" w:lineRule="exact"/>
        <w:rPr>
          <w:sz w:val="20"/>
          <w:szCs w:val="20"/>
          <w:color w:val="auto"/>
        </w:rPr>
      </w:pPr>
    </w:p>
    <w:p>
      <w:pPr>
        <w:ind w:right="8740" w:firstLine="8"/>
        <w:spacing w:after="0" w:line="258" w:lineRule="auto"/>
        <w:tabs>
          <w:tab w:leader="none" w:pos="52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268-7455 jkane@newfortressenergy.com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Suski</w:t>
      </w:r>
    </w:p>
    <w:p>
      <w:pPr>
        <w:spacing w:after="0" w:line="6" w:lineRule="exact"/>
        <w:rPr>
          <w:sz w:val="20"/>
          <w:szCs w:val="20"/>
          <w:color w:val="auto"/>
        </w:rPr>
      </w:pPr>
    </w:p>
    <w:p>
      <w:pPr>
        <w:ind w:right="8760" w:firstLine="8"/>
        <w:spacing w:after="0" w:line="258" w:lineRule="auto"/>
        <w:tabs>
          <w:tab w:leader="none" w:pos="52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268-7403 </w:t>
      </w:r>
      <w:r>
        <w:rPr>
          <w:rFonts w:ascii="Times New Roman" w:cs="Times New Roman" w:eastAsia="Times New Roman" w:hAnsi="Times New Roman"/>
          <w:sz w:val="21"/>
          <w:szCs w:val="21"/>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September 30, 2019 and December 31, 2018</w:t>
      </w:r>
    </w:p>
    <w:p>
      <w:pPr>
        <w:spacing w:after="0"/>
        <w:rPr>
          <w:sz w:val="20"/>
          <w:szCs w:val="20"/>
          <w:color w:val="auto"/>
        </w:rPr>
      </w:pPr>
      <w:r>
        <w:rPr>
          <w:rFonts w:ascii="Times New Roman" w:cs="Times New Roman" w:eastAsia="Times New Roman" w:hAnsi="Times New Roman"/>
          <w:sz w:val="22"/>
          <w:szCs w:val="22"/>
          <w:b w:val="1"/>
          <w:bCs w:val="1"/>
          <w:color w:val="auto"/>
        </w:rPr>
        <w:t>(Unaudited, in thousands of U.S.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 net of allowances of $0 and $257, respectively</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 net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 net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 net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 net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35,255</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19"/>
                <w:szCs w:val="19"/>
                <w:color w:val="auto"/>
              </w:rPr>
            </w:pPr>
          </w:p>
        </w:tc>
        <w:tc>
          <w:tcPr>
            <w:tcW w:w="27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 facility</w:t>
            </w:r>
          </w:p>
        </w:tc>
        <w:tc>
          <w:tcPr>
            <w:tcW w:w="27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affiliates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contingences (Note 17)</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Members’ capital, no par value, 500,000,000 shares authorized, 67,983,095 shares issued and outstanding as of</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2018</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shares, 22,892,293 shares, issued and outstanding as of September 30, 2019;</w:t>
            </w:r>
          </w:p>
        </w:tc>
        <w:tc>
          <w:tcPr>
            <w:tcW w:w="2700" w:type="dxa"/>
            <w:vAlign w:val="bottom"/>
            <w:gridSpan w:val="2"/>
          </w:tcPr>
          <w:p>
            <w:pPr>
              <w:jc w:val="right"/>
              <w:ind w:right="333"/>
              <w:spacing w:after="0" w:line="198" w:lineRule="exact"/>
              <w:rPr>
                <w:sz w:val="20"/>
                <w:szCs w:val="20"/>
                <w:color w:val="auto"/>
              </w:rPr>
            </w:pPr>
            <w:r>
              <w:rPr>
                <w:rFonts w:ascii="Times New Roman" w:cs="Times New Roman" w:eastAsia="Times New Roman" w:hAnsi="Times New Roman"/>
                <w:sz w:val="18"/>
                <w:szCs w:val="18"/>
                <w:color w:val="auto"/>
                <w:w w:val="99"/>
              </w:rPr>
              <w:t>0 shares issued and outstanding</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December 31, 2018</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Class B shares, 145,057,375 shares, issued and outstanding as of September 30, 2019;</w:t>
            </w:r>
          </w:p>
        </w:tc>
        <w:tc>
          <w:tcPr>
            <w:tcW w:w="2700" w:type="dxa"/>
            <w:vAlign w:val="bottom"/>
            <w:gridSpan w:val="2"/>
            <w:shd w:val="clear" w:color="auto" w:fill="CCEEFF"/>
          </w:tcPr>
          <w:p>
            <w:pPr>
              <w:jc w:val="right"/>
              <w:ind w:right="1133"/>
              <w:spacing w:after="0" w:line="198" w:lineRule="exact"/>
              <w:rPr>
                <w:sz w:val="20"/>
                <w:szCs w:val="20"/>
                <w:color w:val="auto"/>
              </w:rPr>
            </w:pPr>
            <w:r>
              <w:rPr>
                <w:rFonts w:ascii="Times New Roman" w:cs="Times New Roman" w:eastAsia="Times New Roman" w:hAnsi="Times New Roman"/>
                <w:sz w:val="18"/>
                <w:szCs w:val="18"/>
                <w:color w:val="auto"/>
              </w:rPr>
              <w:t>0 shares issued and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NFE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0" w:name="page11"/>
    <w:bookmarkEnd w:id="10"/>
    <w:p>
      <w:pPr>
        <w:ind w:right="4240"/>
        <w:spacing w:after="0" w:line="264" w:lineRule="auto"/>
        <w:rPr>
          <w:sz w:val="20"/>
          <w:szCs w:val="20"/>
          <w:color w:val="auto"/>
        </w:rPr>
      </w:pPr>
      <w:r>
        <w:rPr>
          <w:rFonts w:ascii="Times New Roman" w:cs="Times New Roman" w:eastAsia="Times New Roman" w:hAnsi="Times New Roman"/>
          <w:sz w:val="21"/>
          <w:szCs w:val="21"/>
          <w:b w:val="1"/>
          <w:bCs w:val="1"/>
          <w:color w:val="auto"/>
        </w:rPr>
        <w:t>Condensed Consolidated Statements of Operations and Comprehensive Loss For the three and nine months ended September 30, 2019 and 2018 (Unaudited, in thousands of U.S. dollars,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6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35,345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24,629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93,221</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122,831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2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(54,424)</w:t>
            </w: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attributable to stockholders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22,692,104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19,689,568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(54,424)</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(13,681)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(165,949)</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currency translation adjustment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available-for-sale investment</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stockholders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(6,742)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6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nine months ended September 30, 2019 and 2018</w:t>
      </w:r>
    </w:p>
    <w:p>
      <w:pPr>
        <w:spacing w:after="0"/>
        <w:rPr>
          <w:sz w:val="20"/>
          <w:szCs w:val="20"/>
          <w:color w:val="auto"/>
        </w:rPr>
      </w:pPr>
      <w:r>
        <w:rPr>
          <w:rFonts w:ascii="Times New Roman" w:cs="Times New Roman" w:eastAsia="Times New Roman" w:hAnsi="Times New Roman"/>
          <w:sz w:val="22"/>
          <w:szCs w:val="22"/>
          <w:b w:val="1"/>
          <w:bCs w:val="1"/>
          <w:color w:val="auto"/>
        </w:rPr>
        <w:t>(Unaudited,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4040" w:type="dxa"/>
            <w:vAlign w:val="bottom"/>
            <w:gridSpan w:val="8"/>
          </w:tcPr>
          <w:p>
            <w:pPr>
              <w:ind w:left="1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(165,949)</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for:</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value of Investment in equity securities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(Decrease) in accounts payable/accrued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 amounts due to affiliates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(295,635)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received on finance lease, net</w:t>
            </w: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(295,035)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borrowings of debt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debt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IPO</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note due to afilliate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contributed from Members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Collection of subscription receivable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accrued construction in progress costs and property, plant and equipment</w:t>
            </w: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(51,586)</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2" w:name="page13"/>
    <w:bookmarkEnd w:id="12"/>
    <w:p>
      <w:pPr>
        <w:ind w:right="5580"/>
        <w:spacing w:after="0" w:line="262" w:lineRule="auto"/>
        <w:rPr>
          <w:sz w:val="20"/>
          <w:szCs w:val="20"/>
          <w:color w:val="auto"/>
        </w:rPr>
      </w:pPr>
      <w:r>
        <w:rPr>
          <w:rFonts w:ascii="Times New Roman" w:cs="Times New Roman" w:eastAsia="Times New Roman" w:hAnsi="Times New Roman"/>
          <w:sz w:val="22"/>
          <w:szCs w:val="22"/>
          <w:b w:val="1"/>
          <w:bCs w:val="1"/>
          <w:color w:val="auto"/>
        </w:rPr>
        <w:t>Non-GAAP Operating Loss and Non-GAAP Operating Margin (Unaudited, in thousands of U.S. dollars)</w:t>
      </w:r>
    </w:p>
    <w:p>
      <w:pPr>
        <w:spacing w:after="0" w:line="18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We define non-GAAP operating margin as GAAP net loss, adjusted for selling, general and administrative expense, depreciation and amortization, interest expense, other expense, net and tax expense (benefit).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3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(13,681)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830</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 (benefit)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amp;"/>
      <w:numFmt w:val="bullet"/>
      <w:start w:val="1"/>
    </w:lvl>
  </w:abstractNum>
  <w:abstractNum w:abstractNumId="8">
    <w:nsid w:val="4DB127F8"/>
    <w:multiLevelType w:val="hybridMultilevel"/>
    <w:lvl w:ilvl="0">
      <w:lvlJc w:val="left"/>
      <w:lvlText w:val="(%1)"/>
      <w:numFmt w:val="decimal"/>
      <w:start w:val="212"/>
    </w:lvl>
  </w:abstractNum>
  <w:abstractNum w:abstractNumId="9">
    <w:nsid w:val="216231B"/>
    <w:multiLevelType w:val="hybridMultilevel"/>
    <w:lvl w:ilvl="0">
      <w:lvlJc w:val="left"/>
      <w:lvlText w:val="(%1)"/>
      <w:numFmt w:val="decimal"/>
      <w:start w:val="516"/>
    </w:lvl>
  </w:abstractNum>
  <w:abstractNum w:abstractNumId="10">
    <w:nsid w:val="1F16E9E8"/>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2019-12-28T01:50:05Z</dcterms:created>
  <dcterms:modified xsi:type="dcterms:W3CDTF">2019-12-28T01:50:05Z</dcterms:modified>
</cp:coreProperties>
</file>