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7"/>
          <w:szCs w:val="17"/>
          <w:color w:val="auto"/>
        </w:rPr>
        <w:t>On March 19, 2026, New Fortress Energy Inc., a Delaware corporation (the “Company”) entered into the Fourteenth Amendment Agreement (the “Fourteenth Amendment”), by and among the Company, as the borrower, the guarantors party thereto, Natixis, New York Branch, as administrative agent and collateral agent, and each of the other financial institutions party thereto, as lenders and issuing banks, which amends that certain Letter of Credit and Reimbursement Agreement, dated as of July 16, 2021 (as amended, restated, supplemented or otherwise modified from time to time, the “Letter of Credit Agreement”), by and among the Company, as the borrower, the guarantors from time to time party thereto, Natixis, New York Branch, as administrative agent and collateral agent, and each of the other financial institutions from time to time party thereto, as lenders and issuing banks, to, among other things,</w:t>
      </w:r>
    </w:p>
    <w:p>
      <w:pPr>
        <w:spacing w:after="0" w:line="1" w:lineRule="exact"/>
        <w:rPr>
          <w:sz w:val="20"/>
          <w:szCs w:val="20"/>
          <w:color w:val="auto"/>
        </w:rPr>
      </w:pPr>
    </w:p>
    <w:p>
      <w:pPr>
        <w:ind w:right="220" w:firstLine="8"/>
        <w:spacing w:after="0" w:line="243"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Letter of Credit Agreement to September 15, 2026 and (b) waive certain existing events of default, in each case on the terms and subject to the conditions set forth in the Fourteenth Amendment and only during the period specified therein.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3" w:lineRule="exact"/>
        <w:rPr>
          <w:sz w:val="20"/>
          <w:szCs w:val="20"/>
          <w:color w:val="auto"/>
        </w:rPr>
      </w:pPr>
    </w:p>
    <w:p>
      <w:pPr>
        <w:ind w:right="100" w:firstLine="486"/>
        <w:spacing w:after="0" w:line="246" w:lineRule="auto"/>
        <w:rPr>
          <w:sz w:val="20"/>
          <w:szCs w:val="20"/>
          <w:color w:val="auto"/>
        </w:rPr>
      </w:pPr>
      <w:r>
        <w:rPr>
          <w:rFonts w:ascii="Times New Roman" w:cs="Times New Roman" w:eastAsia="Times New Roman" w:hAnsi="Times New Roman"/>
          <w:sz w:val="18"/>
          <w:szCs w:val="18"/>
          <w:color w:val="auto"/>
        </w:rPr>
        <w:t>On March 25, 2026, the Company filed a Certificate of Elimination with the Secretary of State of the State of Delaware with respect to the Company’s 4.8% Series A Convertible Preferred Stock, par value $0.01 per share (the “Series A Preferred Stock”) and the Company’s 4.8% Series B Convertible Preferred Stock, par value $0.01 per share (the “Series B Preferred Stock” and together with the Series A Preferred Stock, the “Preferred Stock”), pursuant to which the Preferred Stock was eliminated and returned to the status of authorized and unissued preferred shares of the Company. On October 1, 2024, the Company issued 96,746 shares of the Series B Preferred Stock in exchange for all outstanding shares of the Series A Preferred Stock. Following the redemption of the outstanding shares of the Series B Preferred Stock on August 1, 2025, there were no outstanding shares of the Preferred Stock. The Certificate of Elimination became effective with the Secretary of State of the State of Delaware upon filing. The full text of the Certificate of Elimination is included as Exhibit 3.1 to this Current Report on Form 8-K and is incorporated herein by reference.</w:t>
      </w:r>
    </w:p>
    <w:p>
      <w:pPr>
        <w:spacing w:after="0" w:line="189" w:lineRule="exact"/>
        <w:rPr>
          <w:sz w:val="20"/>
          <w:szCs w:val="20"/>
          <w:color w:val="auto"/>
        </w:rPr>
      </w:pPr>
    </w:p>
    <w:p>
      <w:pPr>
        <w:ind w:right="2500"/>
        <w:spacing w:after="0" w:line="271"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2.03.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 w:type="dxa"/>
            <w:vAlign w:val="bottom"/>
            <w:tcBorders>
              <w:top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1</w:t>
            </w:r>
          </w:p>
        </w:tc>
        <w:tc>
          <w:tcPr>
            <w:tcW w:w="10600" w:type="dxa"/>
            <w:vAlign w:val="bottom"/>
            <w:tcBorders>
              <w:top w:val="single" w:sz="8" w:color="auto"/>
            </w:tcBorders>
          </w:tcPr>
          <w:p>
            <w:pPr>
              <w:ind w:left="340"/>
              <w:spacing w:after="0" w:line="189" w:lineRule="exact"/>
              <w:rPr>
                <w:sz w:val="20"/>
                <w:szCs w:val="20"/>
                <w:color w:val="auto"/>
              </w:rPr>
            </w:pPr>
            <w:r>
              <w:rPr>
                <w:rFonts w:ascii="Times New Roman" w:cs="Times New Roman" w:eastAsia="Times New Roman" w:hAnsi="Times New Roman"/>
                <w:sz w:val="18"/>
                <w:szCs w:val="18"/>
                <w:color w:val="auto"/>
              </w:rPr>
              <w:t>Certificate of Elimination of 4.8% Series A Convertible Preferred Stock and 4.8% Series B Convertible Preferred Stock of New Fortress</w:t>
            </w:r>
          </w:p>
        </w:tc>
      </w:tr>
      <w:tr>
        <w:trPr>
          <w:trHeight w:val="237"/>
        </w:trPr>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Inc.</w:t>
            </w:r>
          </w:p>
        </w:tc>
      </w:tr>
      <w:tr>
        <w:trPr>
          <w:trHeight w:val="257"/>
        </w:trPr>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4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400" w:type="dxa"/>
            <w:vAlign w:val="bottom"/>
          </w:tcPr>
          <w:p>
            <w:pPr>
              <w:spacing w:after="0"/>
              <w:rPr>
                <w:sz w:val="21"/>
                <w:szCs w:val="21"/>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400" w:type="dxa"/>
            <w:vAlign w:val="bottom"/>
          </w:tcPr>
          <w:p>
            <w:pPr>
              <w:spacing w:after="0"/>
              <w:rPr>
                <w:sz w:val="22"/>
                <w:szCs w:val="22"/>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ind w:left="4080"/>
        <w:spacing w:after="0"/>
        <w:rPr>
          <w:sz w:val="20"/>
          <w:szCs w:val="20"/>
          <w:color w:val="auto"/>
        </w:rPr>
      </w:pPr>
      <w:r>
        <w:rPr>
          <w:rFonts w:ascii="Times New Roman" w:cs="Times New Roman" w:eastAsia="Times New Roman" w:hAnsi="Times New Roman"/>
          <w:sz w:val="20"/>
          <w:szCs w:val="20"/>
          <w:b w:val="1"/>
          <w:bCs w:val="1"/>
          <w:color w:val="auto"/>
        </w:rPr>
        <w:t>CERTIFICATE OF ELIMINATION</w:t>
      </w:r>
    </w:p>
    <w:p>
      <w:pPr>
        <w:spacing w:after="0" w:line="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4.8% SERIES A CONVERTIBLE PREFERRED STOCK</w:t>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4.8% SERIES B CONVERTIBLE PREFERRED STOCK</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1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Pursuant to Section 151(g) of the</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Delaware General Corporation 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New Fortress Energy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 corporation organized and existing under the General Corporation Law of the State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does hereby certify as follows:</w:t>
      </w:r>
    </w:p>
    <w:p>
      <w:pPr>
        <w:spacing w:after="0" w:line="200"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Pursuant to the authority expressly vested in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by the Certificate of Incorporation of the Company, as effective as of the date hereof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the Board previously adopted resolutions creating and authorizing the following series of preferred stock:</w:t>
      </w:r>
    </w:p>
    <w:p>
      <w:pPr>
        <w:spacing w:after="0" w:line="181" w:lineRule="exact"/>
        <w:rPr>
          <w:sz w:val="20"/>
          <w:szCs w:val="20"/>
          <w:color w:val="auto"/>
        </w:rPr>
      </w:pPr>
    </w:p>
    <w:p>
      <w:pPr>
        <w:ind w:left="660" w:right="140" w:firstLine="644"/>
        <w:spacing w:after="0" w:line="261" w:lineRule="auto"/>
        <w:tabs>
          <w:tab w:leader="none" w:pos="16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96,746 shares of 4.8% Series A Convertible Preferred Stock (the “</w:t>
      </w:r>
      <w:r>
        <w:rPr>
          <w:rFonts w:ascii="Times New Roman" w:cs="Times New Roman" w:eastAsia="Times New Roman" w:hAnsi="Times New Roman"/>
          <w:sz w:val="20"/>
          <w:szCs w:val="20"/>
          <w:u w:val="single" w:color="auto"/>
          <w:color w:val="auto"/>
        </w:rPr>
        <w:t>Series A Preferred Stock</w:t>
      </w:r>
      <w:r>
        <w:rPr>
          <w:rFonts w:ascii="Times New Roman" w:cs="Times New Roman" w:eastAsia="Times New Roman" w:hAnsi="Times New Roman"/>
          <w:sz w:val="20"/>
          <w:szCs w:val="20"/>
          <w:color w:val="auto"/>
        </w:rPr>
        <w:t>”), subject to the Certificate of Designations of the Series A Preferred Stock (the “</w:t>
      </w:r>
      <w:r>
        <w:rPr>
          <w:rFonts w:ascii="Times New Roman" w:cs="Times New Roman" w:eastAsia="Times New Roman" w:hAnsi="Times New Roman"/>
          <w:sz w:val="20"/>
          <w:szCs w:val="20"/>
          <w:u w:val="single" w:color="auto"/>
          <w:color w:val="auto"/>
        </w:rPr>
        <w:t>Series A Certificate of Designations</w:t>
      </w:r>
      <w:r>
        <w:rPr>
          <w:rFonts w:ascii="Times New Roman" w:cs="Times New Roman" w:eastAsia="Times New Roman" w:hAnsi="Times New Roman"/>
          <w:sz w:val="20"/>
          <w:szCs w:val="20"/>
          <w:color w:val="auto"/>
        </w:rPr>
        <w:t>”), as filed with the Secretary of State of the State of Delaware on March 20, 2024.</w:t>
      </w:r>
    </w:p>
    <w:p>
      <w:pPr>
        <w:spacing w:after="0" w:line="181" w:lineRule="exact"/>
        <w:rPr>
          <w:rFonts w:ascii="Times New Roman" w:cs="Times New Roman" w:eastAsia="Times New Roman" w:hAnsi="Times New Roman"/>
          <w:sz w:val="20"/>
          <w:szCs w:val="20"/>
          <w:color w:val="auto"/>
        </w:rPr>
      </w:pPr>
    </w:p>
    <w:p>
      <w:pPr>
        <w:ind w:left="660" w:firstLine="644"/>
        <w:spacing w:after="0" w:line="261" w:lineRule="auto"/>
        <w:tabs>
          <w:tab w:leader="none" w:pos="17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96,746 shares of 4.8% Series B Convertible Preferred Stock (the “</w:t>
      </w:r>
      <w:r>
        <w:rPr>
          <w:rFonts w:ascii="Times New Roman" w:cs="Times New Roman" w:eastAsia="Times New Roman" w:hAnsi="Times New Roman"/>
          <w:sz w:val="20"/>
          <w:szCs w:val="20"/>
          <w:u w:val="single" w:color="auto"/>
          <w:color w:val="auto"/>
        </w:rPr>
        <w:t>Series B Preferred Stock</w:t>
      </w:r>
      <w:r>
        <w:rPr>
          <w:rFonts w:ascii="Times New Roman" w:cs="Times New Roman" w:eastAsia="Times New Roman" w:hAnsi="Times New Roman"/>
          <w:sz w:val="20"/>
          <w:szCs w:val="20"/>
          <w:color w:val="auto"/>
        </w:rPr>
        <w:t>”), subject to the Certificate of Designations of the Series B Preferred Stock (the “</w:t>
      </w:r>
      <w:r>
        <w:rPr>
          <w:rFonts w:ascii="Times New Roman" w:cs="Times New Roman" w:eastAsia="Times New Roman" w:hAnsi="Times New Roman"/>
          <w:sz w:val="20"/>
          <w:szCs w:val="20"/>
          <w:u w:val="single" w:color="auto"/>
          <w:color w:val="auto"/>
        </w:rPr>
        <w:t>Series B Certificate of Designations</w:t>
      </w:r>
      <w:r>
        <w:rPr>
          <w:rFonts w:ascii="Times New Roman" w:cs="Times New Roman" w:eastAsia="Times New Roman" w:hAnsi="Times New Roman"/>
          <w:sz w:val="20"/>
          <w:szCs w:val="20"/>
          <w:color w:val="auto"/>
        </w:rPr>
        <w:t>”), as filed with the Secretary of State of the State of Delaware on October 1, 2024.</w:t>
      </w:r>
    </w:p>
    <w:p>
      <w:pPr>
        <w:spacing w:after="0" w:line="18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None of the authorized shares of the Series A Preferred Stock are outstanding and none will be issued subject to the Series A Certificate of Designations, and none of the authorized shares of the Series B Preferred Stock are outstanding and none will be issued subject to the Series B Certificate of Designations.</w:t>
      </w:r>
    </w:p>
    <w:p>
      <w:pPr>
        <w:spacing w:after="0" w:line="168" w:lineRule="exact"/>
        <w:rPr>
          <w:sz w:val="20"/>
          <w:szCs w:val="20"/>
          <w:color w:val="auto"/>
        </w:rPr>
      </w:pPr>
    </w:p>
    <w:p>
      <w:pPr>
        <w:ind w:right="20" w:firstLine="1296"/>
        <w:spacing w:after="0" w:line="310" w:lineRule="auto"/>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Pursuant to the authority conferred upon the Board pursuant to the Certificate of Incorporation, the Board adopted resolutions on March 11, 2026, approving the elimination of the Series A Preferred Stock and the Series B Preferred Stock as set forth herein:</w:t>
      </w:r>
    </w:p>
    <w:p>
      <w:pPr>
        <w:spacing w:after="0" w:line="138" w:lineRule="exact"/>
        <w:rPr>
          <w:sz w:val="20"/>
          <w:szCs w:val="20"/>
          <w:color w:val="auto"/>
        </w:rPr>
      </w:pPr>
    </w:p>
    <w:p>
      <w:pPr>
        <w:jc w:val="both"/>
        <w:ind w:left="1300" w:right="380"/>
        <w:spacing w:after="0" w:line="261" w:lineRule="auto"/>
        <w:rPr>
          <w:sz w:val="20"/>
          <w:szCs w:val="20"/>
          <w:color w:val="auto"/>
        </w:rPr>
      </w:pPr>
      <w:r>
        <w:rPr>
          <w:rFonts w:ascii="Times New Roman" w:cs="Times New Roman" w:eastAsia="Times New Roman" w:hAnsi="Times New Roman"/>
          <w:sz w:val="20"/>
          <w:szCs w:val="20"/>
          <w:color w:val="auto"/>
        </w:rPr>
        <w:t>“RESOLVED, that none of the authorized shares of the Series A Preferred Stock are outstanding and none will be issued subject to the Series A Certificate of Designations, and none of the authorized shares of the Series B Preferred Stock are outstanding and none will be issued subject to the Series B Certificate of Designations; and be it further</w:t>
      </w:r>
    </w:p>
    <w:p>
      <w:pPr>
        <w:spacing w:after="0" w:line="168" w:lineRule="exact"/>
        <w:rPr>
          <w:sz w:val="20"/>
          <w:szCs w:val="20"/>
          <w:color w:val="auto"/>
        </w:rPr>
      </w:pPr>
    </w:p>
    <w:p>
      <w:pPr>
        <w:jc w:val="both"/>
        <w:ind w:left="1300" w:right="80"/>
        <w:spacing w:after="0" w:line="258" w:lineRule="auto"/>
        <w:rPr>
          <w:sz w:val="20"/>
          <w:szCs w:val="20"/>
          <w:color w:val="auto"/>
        </w:rPr>
      </w:pPr>
      <w:r>
        <w:rPr>
          <w:rFonts w:ascii="Times New Roman" w:cs="Times New Roman" w:eastAsia="Times New Roman" w:hAnsi="Times New Roman"/>
          <w:sz w:val="20"/>
          <w:szCs w:val="20"/>
          <w:color w:val="auto"/>
        </w:rPr>
        <w:t>RESOLVED, that, upon filing the Certificate of Elimination with the Secretary of State of the State of Delaware, all matters set forth in the Series A Certificate of Designations and the Series B Certificate of Designations shall be eliminated from the Certificate of Incorporation with respect to the Series A Preferred Stock and the Series B Preferred Stock, respectively; and be it further</w:t>
      </w:r>
    </w:p>
    <w:p>
      <w:pPr>
        <w:sectPr>
          <w:pgSz w:w="11900" w:h="16838" w:orient="portrait"/>
          <w:cols w:equalWidth="0" w:num="1">
            <w:col w:w="11240"/>
          </w:cols>
          <w:pgMar w:left="320" w:top="1409" w:right="339" w:bottom="1440" w:gutter="0" w:footer="0" w:header="0"/>
        </w:sectPr>
      </w:pPr>
    </w:p>
    <w:bookmarkStart w:id="4" w:name="page5"/>
    <w:bookmarkEnd w:id="4"/>
    <w:p>
      <w:pPr>
        <w:spacing w:after="0" w:line="189" w:lineRule="exact"/>
        <w:rPr>
          <w:sz w:val="20"/>
          <w:szCs w:val="20"/>
          <w:color w:val="auto"/>
        </w:rPr>
      </w:pPr>
    </w:p>
    <w:p>
      <w:pPr>
        <w:jc w:val="both"/>
        <w:ind w:left="1300" w:right="140"/>
        <w:spacing w:after="0" w:line="258" w:lineRule="auto"/>
        <w:rPr>
          <w:sz w:val="20"/>
          <w:szCs w:val="20"/>
          <w:color w:val="auto"/>
        </w:rPr>
      </w:pPr>
      <w:r>
        <w:rPr>
          <w:rFonts w:ascii="Times New Roman" w:cs="Times New Roman" w:eastAsia="Times New Roman" w:hAnsi="Times New Roman"/>
          <w:sz w:val="20"/>
          <w:szCs w:val="20"/>
          <w:color w:val="auto"/>
        </w:rPr>
        <w:t>RESOLVED, that each of the directors and officers of the Company is hereby authorized and directed, in the name and on behalf of the Company, to prepare, execute, and deliver to the Secretary of State of the State of Delaware the Certificate of Elimination as required by the DGCL in order to effect the cancellation and elimination of the Series A Preferred Stock and the Series B Preferred Stock, and any and all additional documents required to be filed therewith.”</w:t>
      </w:r>
    </w:p>
    <w:p>
      <w:pPr>
        <w:spacing w:after="0" w:line="172"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In accordance with Section 151(g) of the DGCL, the Certificate of Incorporation as effective immediately prior to the filing of this Certificate of Elimination is hereby amended to eliminate all references to the Series A Preferred Stock and the Series B Preferred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Elimination to be acknowledged as true in its corporate name under the penalties of perjury and executed by its duly authorized officer this 25th day of March,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40005</wp:posOffset>
            </wp:positionV>
            <wp:extent cx="330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Name: Christopher S. Guinta</w:t>
      </w:r>
    </w:p>
    <w:p>
      <w:pPr>
        <w:spacing w:after="0" w:line="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the Certificate of Elimination</w:t>
      </w:r>
      <w:r>
        <w:rPr>
          <w:rFonts w:ascii="Times New Roman" w:cs="Times New Roman" w:eastAsia="Times New Roman" w:hAnsi="Times New Roman"/>
          <w:sz w:val="20"/>
          <w:szCs w:val="20"/>
          <w:color w:val="auto"/>
        </w:rPr>
        <w:t>]</w:t>
      </w:r>
    </w:p>
    <w:sectPr>
      <w:pgSz w:w="11900" w:h="16838" w:orient="portrait"/>
      <w:cols w:equalWidth="0" w:num="1">
        <w:col w:w="10540"/>
      </w:cols>
      <w:pgMar w:left="320" w:top="144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2026-03-25T16:15:27Z</dcterms:created>
  <dcterms:modified xsi:type="dcterms:W3CDTF">2026-03-25T16:15:27Z</dcterms:modified>
</cp:coreProperties>
</file>