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ind w:left="7527" w:right="400" w:hanging="6243"/>
        <w:spacing w:after="0" w:line="347" w:lineRule="auto"/>
        <w:rPr>
          <w:sz w:val="20"/>
          <w:szCs w:val="20"/>
          <w:color w:val="auto"/>
        </w:rPr>
      </w:pPr>
      <w:r>
        <w:rPr>
          <w:rFonts w:ascii="Arial" w:cs="Arial" w:eastAsia="Arial" w:hAnsi="Arial"/>
          <w:sz w:val="16"/>
          <w:szCs w:val="16"/>
          <w:b w:val="1"/>
          <w:bCs w:val="1"/>
          <w:color w:val="auto"/>
        </w:rPr>
        <w:t>As confidentially submitted to the Securities and Exchange Commission on October 5,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69"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UNITED STATES</w:t>
      </w:r>
    </w:p>
    <w:p>
      <w:pPr>
        <w:jc w:val="center"/>
        <w:ind w:right="-6"/>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133350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47"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Confidential Draft Submission No. 2</w:t>
      </w:r>
    </w:p>
    <w:p>
      <w:pPr>
        <w:jc w:val="center"/>
        <w:ind w:right="-6"/>
        <w:spacing w:after="0" w:line="232" w:lineRule="auto"/>
        <w:rPr>
          <w:sz w:val="20"/>
          <w:szCs w:val="20"/>
          <w:color w:val="auto"/>
        </w:rPr>
      </w:pPr>
      <w:r>
        <w:rPr>
          <w:rFonts w:ascii="Arial" w:cs="Arial" w:eastAsia="Arial" w:hAnsi="Arial"/>
          <w:sz w:val="22"/>
          <w:szCs w:val="22"/>
          <w:b w:val="1"/>
          <w:bCs w:val="1"/>
          <w:color w:val="auto"/>
        </w:rPr>
        <w:t>FORM S-1</w:t>
      </w:r>
    </w:p>
    <w:p>
      <w:pPr>
        <w:jc w:val="center"/>
        <w:ind w:right="-6"/>
        <w:spacing w:after="0" w:line="219" w:lineRule="auto"/>
        <w:rPr>
          <w:sz w:val="20"/>
          <w:szCs w:val="20"/>
          <w:color w:val="auto"/>
        </w:rPr>
      </w:pPr>
      <w:r>
        <w:rPr>
          <w:rFonts w:ascii="Arial" w:cs="Arial" w:eastAsia="Arial" w:hAnsi="Arial"/>
          <w:sz w:val="18"/>
          <w:szCs w:val="18"/>
          <w:b w:val="1"/>
          <w:bCs w:val="1"/>
          <w:color w:val="auto"/>
        </w:rPr>
        <w:t>REGISTRATION STATEMENT 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125095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7"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NFE Financial Holdings LLC</w:t>
      </w:r>
    </w:p>
    <w:p>
      <w:pPr>
        <w:jc w:val="center"/>
        <w:ind w:right="-6"/>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567"/>
          </w:cols>
          <w:pgMar w:left="1173" w:top="238" w:right="1159" w:bottom="1440" w:gutter="0" w:footer="0" w:header="0"/>
        </w:sectPr>
      </w:pPr>
    </w:p>
    <w:p>
      <w:pPr>
        <w:spacing w:after="0" w:line="66" w:lineRule="exact"/>
        <w:rPr>
          <w:sz w:val="24"/>
          <w:szCs w:val="24"/>
          <w:color w:val="auto"/>
        </w:rPr>
      </w:pPr>
    </w:p>
    <w:p>
      <w:pPr>
        <w:ind w:left="1187"/>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2080"/>
        <w:spacing w:after="0"/>
        <w:rPr>
          <w:sz w:val="20"/>
          <w:szCs w:val="20"/>
          <w:color w:val="auto"/>
        </w:rPr>
      </w:pPr>
      <w:r>
        <w:rPr>
          <w:rFonts w:ascii="Arial" w:cs="Arial" w:eastAsia="Arial" w:hAnsi="Arial"/>
          <w:sz w:val="13"/>
          <w:szCs w:val="13"/>
          <w:b w:val="1"/>
          <w:bCs w:val="1"/>
          <w:color w:val="auto"/>
        </w:rPr>
        <w:t>4924</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83-1482060</w:t>
      </w:r>
    </w:p>
    <w:p>
      <w:pPr>
        <w:spacing w:after="0" w:line="44" w:lineRule="exact"/>
        <w:rPr>
          <w:sz w:val="24"/>
          <w:szCs w:val="24"/>
          <w:color w:val="auto"/>
        </w:rPr>
      </w:pPr>
    </w:p>
    <w:p>
      <w:pPr>
        <w:sectPr>
          <w:pgSz w:w="11900" w:h="16838" w:orient="portrait"/>
          <w:cols w:equalWidth="0" w:num="3">
            <w:col w:w="3827" w:space="720"/>
            <w:col w:w="2380" w:space="720"/>
            <w:col w:w="1920"/>
          </w:cols>
          <w:pgMar w:left="1173" w:top="238" w:right="1159" w:bottom="1440" w:gutter="0" w:footer="0" w:header="0"/>
          <w:type w:val="continuous"/>
        </w:sectPr>
      </w:pPr>
    </w:p>
    <w:p>
      <w:pPr>
        <w:ind w:left="627"/>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(Primary Standard Industrial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3" w:lineRule="exact"/>
        <w:rPr>
          <w:sz w:val="24"/>
          <w:szCs w:val="24"/>
          <w:color w:val="auto"/>
        </w:rPr>
      </w:pPr>
    </w:p>
    <w:p>
      <w:pPr>
        <w:sectPr>
          <w:pgSz w:w="11900" w:h="16838" w:orient="portrait"/>
          <w:cols w:equalWidth="0" w:num="3">
            <w:col w:w="3147" w:space="720"/>
            <w:col w:w="2980" w:space="720"/>
            <w:col w:w="2000"/>
          </w:cols>
          <w:pgMar w:left="1173" w:top="238" w:right="1159" w:bottom="1440" w:gutter="0" w:footer="0" w:header="0"/>
          <w:type w:val="continuous"/>
        </w:sectPr>
      </w:pPr>
    </w:p>
    <w:p>
      <w:pPr>
        <w:ind w:left="667"/>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Number)</w:t>
      </w:r>
    </w:p>
    <w:p>
      <w:pPr>
        <w:spacing w:after="0" w:line="39" w:lineRule="exact"/>
        <w:rPr>
          <w:sz w:val="24"/>
          <w:szCs w:val="24"/>
          <w:color w:val="auto"/>
        </w:rPr>
      </w:pPr>
    </w:p>
    <w:p>
      <w:pPr>
        <w:sectPr>
          <w:pgSz w:w="11900" w:h="16838" w:orient="portrait"/>
          <w:cols w:equalWidth="0" w:num="3">
            <w:col w:w="3127" w:space="720"/>
            <w:col w:w="2760" w:space="720"/>
            <w:col w:w="2240"/>
          </w:cols>
          <w:pgMar w:left="1173" w:top="238" w:right="1159" w:bottom="1440" w:gutter="0" w:footer="0" w:header="0"/>
          <w:type w:val="continuous"/>
        </w:sectPr>
      </w:pPr>
    </w:p>
    <w:p>
      <w:pPr>
        <w:jc w:val="center"/>
        <w:ind w:right="-6"/>
        <w:spacing w:after="0"/>
        <w:rPr>
          <w:sz w:val="20"/>
          <w:szCs w:val="20"/>
          <w:color w:val="auto"/>
        </w:rPr>
      </w:pPr>
      <w:r>
        <w:rPr>
          <w:rFonts w:ascii="Arial" w:cs="Arial" w:eastAsia="Arial" w:hAnsi="Arial"/>
          <w:sz w:val="14"/>
          <w:szCs w:val="14"/>
          <w:b w:val="1"/>
          <w:bCs w:val="1"/>
          <w:color w:val="auto"/>
        </w:rPr>
        <w:t>111 W. 19</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Street, 8</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Floor</w:t>
      </w:r>
    </w:p>
    <w:p>
      <w:pPr>
        <w:jc w:val="center"/>
        <w:ind w:right="-6"/>
        <w:spacing w:after="0" w:line="211"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2" w:lineRule="auto"/>
        <w:rPr>
          <w:sz w:val="20"/>
          <w:szCs w:val="20"/>
          <w:color w:val="auto"/>
        </w:rPr>
      </w:pPr>
      <w:r>
        <w:rPr>
          <w:rFonts w:ascii="Arial" w:cs="Arial" w:eastAsia="Arial" w:hAnsi="Arial"/>
          <w:sz w:val="14"/>
          <w:szCs w:val="14"/>
          <w:b w:val="1"/>
          <w:bCs w:val="1"/>
          <w:color w:val="auto"/>
        </w:rPr>
        <w:t>(516) 268-7400</w:t>
      </w:r>
    </w:p>
    <w:p>
      <w:pPr>
        <w:jc w:val="center"/>
        <w:ind w:right="-6"/>
        <w:spacing w:after="0" w:line="201" w:lineRule="auto"/>
        <w:rPr>
          <w:sz w:val="20"/>
          <w:szCs w:val="20"/>
          <w:color w:val="auto"/>
        </w:rPr>
      </w:pPr>
      <w:r>
        <w:rPr>
          <w:rFonts w:ascii="Arial" w:cs="Arial" w:eastAsia="Arial" w:hAnsi="Arial"/>
          <w:sz w:val="14"/>
          <w:szCs w:val="14"/>
          <w:color w:val="auto"/>
        </w:rPr>
        <w:t>(Address, Including Zip Code, and Telephone Number,</w:t>
      </w:r>
    </w:p>
    <w:p>
      <w:pPr>
        <w:jc w:val="center"/>
        <w:ind w:right="-6"/>
        <w:spacing w:after="0"/>
        <w:rPr>
          <w:sz w:val="20"/>
          <w:szCs w:val="20"/>
          <w:color w:val="auto"/>
        </w:rPr>
      </w:pPr>
      <w:r>
        <w:rPr>
          <w:rFonts w:ascii="Arial" w:cs="Arial" w:eastAsia="Arial" w:hAnsi="Arial"/>
          <w:sz w:val="13"/>
          <w:szCs w:val="13"/>
          <w:color w:val="auto"/>
        </w:rPr>
        <w:t>Including Area Code, of Registrant’s Principal Executive Offices)</w:t>
      </w:r>
    </w:p>
    <w:p>
      <w:pPr>
        <w:spacing w:after="0" w:line="24"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Cameron D. MacDougall, Esq.</w:t>
      </w:r>
    </w:p>
    <w:p>
      <w:pPr>
        <w:sectPr>
          <w:pgSz w:w="11900" w:h="16838" w:orient="portrait"/>
          <w:cols w:equalWidth="0" w:num="1">
            <w:col w:w="9567"/>
          </w:cols>
          <w:pgMar w:left="1173" w:top="238" w:right="1159" w:bottom="1440" w:gutter="0" w:footer="0" w:header="0"/>
          <w:type w:val="continuous"/>
        </w:sectPr>
      </w:pPr>
    </w:p>
    <w:p>
      <w:pPr>
        <w:jc w:val="center"/>
        <w:ind w:right="-6"/>
        <w:spacing w:after="0" w:line="180" w:lineRule="auto"/>
        <w:rPr>
          <w:sz w:val="20"/>
          <w:szCs w:val="20"/>
          <w:color w:val="auto"/>
        </w:rPr>
      </w:pPr>
      <w:r>
        <w:rPr>
          <w:rFonts w:ascii="Arial" w:cs="Arial" w:eastAsia="Arial" w:hAnsi="Arial"/>
          <w:sz w:val="10"/>
          <w:szCs w:val="10"/>
          <w:b w:val="1"/>
          <w:bCs w:val="1"/>
          <w:color w:val="auto"/>
        </w:rPr>
        <w:t>111 W. 19</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Street, 8</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Floor</w:t>
      </w:r>
    </w:p>
    <w:p>
      <w:pPr>
        <w:jc w:val="center"/>
        <w:ind w:right="-6"/>
        <w:spacing w:after="0" w:line="202"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1" w:lineRule="auto"/>
        <w:rPr>
          <w:sz w:val="20"/>
          <w:szCs w:val="20"/>
          <w:color w:val="auto"/>
        </w:rPr>
      </w:pPr>
      <w:r>
        <w:rPr>
          <w:rFonts w:ascii="Arial" w:cs="Arial" w:eastAsia="Arial" w:hAnsi="Arial"/>
          <w:sz w:val="14"/>
          <w:szCs w:val="14"/>
          <w:b w:val="1"/>
          <w:bCs w:val="1"/>
          <w:color w:val="auto"/>
        </w:rPr>
        <w:t>(516) 268-7400</w:t>
      </w:r>
    </w:p>
    <w:p>
      <w:pPr>
        <w:jc w:val="center"/>
        <w:ind w:right="-6"/>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0"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Copies to:</w:t>
      </w:r>
    </w:p>
    <w:p>
      <w:pPr>
        <w:spacing w:after="0" w:line="32" w:lineRule="exact"/>
        <w:rPr>
          <w:sz w:val="24"/>
          <w:szCs w:val="24"/>
          <w:color w:val="auto"/>
        </w:rPr>
      </w:pPr>
    </w:p>
    <w:p>
      <w:pPr>
        <w:ind w:left="4267"/>
        <w:spacing w:after="0"/>
        <w:rPr>
          <w:sz w:val="20"/>
          <w:szCs w:val="20"/>
          <w:color w:val="auto"/>
        </w:rPr>
      </w:pPr>
      <w:r>
        <w:rPr>
          <w:rFonts w:ascii="Arial" w:cs="Arial" w:eastAsia="Arial" w:hAnsi="Arial"/>
          <w:sz w:val="14"/>
          <w:szCs w:val="14"/>
          <w:b w:val="1"/>
          <w:bCs w:val="1"/>
          <w:color w:val="auto"/>
        </w:rPr>
        <w:t>David P. Oelman</w:t>
      </w:r>
    </w:p>
    <w:p>
      <w:pPr>
        <w:ind w:left="4267"/>
        <w:spacing w:after="0" w:line="201" w:lineRule="auto"/>
        <w:rPr>
          <w:sz w:val="20"/>
          <w:szCs w:val="20"/>
          <w:color w:val="auto"/>
        </w:rPr>
      </w:pPr>
      <w:r>
        <w:rPr>
          <w:rFonts w:ascii="Arial" w:cs="Arial" w:eastAsia="Arial" w:hAnsi="Arial"/>
          <w:sz w:val="14"/>
          <w:szCs w:val="14"/>
          <w:b w:val="1"/>
          <w:bCs w:val="1"/>
          <w:color w:val="auto"/>
        </w:rPr>
        <w:t>E. Ramey Layne</w:t>
      </w:r>
    </w:p>
    <w:p>
      <w:pPr>
        <w:ind w:left="4267"/>
        <w:spacing w:after="0" w:line="201" w:lineRule="auto"/>
        <w:rPr>
          <w:sz w:val="20"/>
          <w:szCs w:val="20"/>
          <w:color w:val="auto"/>
        </w:rPr>
      </w:pPr>
      <w:r>
        <w:rPr>
          <w:rFonts w:ascii="Arial" w:cs="Arial" w:eastAsia="Arial" w:hAnsi="Arial"/>
          <w:sz w:val="14"/>
          <w:szCs w:val="14"/>
          <w:b w:val="1"/>
          <w:bCs w:val="1"/>
          <w:color w:val="auto"/>
        </w:rPr>
        <w:t>James R. Brown</w:t>
      </w:r>
    </w:p>
    <w:p>
      <w:pPr>
        <w:jc w:val="center"/>
        <w:ind w:right="-6"/>
        <w:spacing w:after="0" w:line="201" w:lineRule="auto"/>
        <w:rPr>
          <w:sz w:val="20"/>
          <w:szCs w:val="20"/>
          <w:color w:val="auto"/>
        </w:rPr>
      </w:pPr>
      <w:r>
        <w:rPr>
          <w:rFonts w:ascii="Arial" w:cs="Arial" w:eastAsia="Arial" w:hAnsi="Arial"/>
          <w:sz w:val="14"/>
          <w:szCs w:val="14"/>
          <w:b w:val="1"/>
          <w:bCs w:val="1"/>
          <w:color w:val="auto"/>
        </w:rPr>
        <w:t>Vinson &amp; Elkins L.L.P.</w:t>
      </w:r>
    </w:p>
    <w:p>
      <w:pPr>
        <w:jc w:val="center"/>
        <w:ind w:right="-6"/>
        <w:spacing w:after="0" w:line="202" w:lineRule="auto"/>
        <w:rPr>
          <w:sz w:val="20"/>
          <w:szCs w:val="20"/>
          <w:color w:val="auto"/>
        </w:rPr>
      </w:pPr>
      <w:r>
        <w:rPr>
          <w:rFonts w:ascii="Arial" w:cs="Arial" w:eastAsia="Arial" w:hAnsi="Arial"/>
          <w:sz w:val="14"/>
          <w:szCs w:val="14"/>
          <w:b w:val="1"/>
          <w:bCs w:val="1"/>
          <w:color w:val="auto"/>
        </w:rPr>
        <w:t>1001 Fannin, Suite 2500</w:t>
      </w:r>
    </w:p>
    <w:p>
      <w:pPr>
        <w:jc w:val="center"/>
        <w:ind w:right="-6"/>
        <w:spacing w:after="0" w:line="201" w:lineRule="auto"/>
        <w:rPr>
          <w:sz w:val="20"/>
          <w:szCs w:val="20"/>
          <w:color w:val="auto"/>
        </w:rPr>
      </w:pPr>
      <w:r>
        <w:rPr>
          <w:rFonts w:ascii="Arial" w:cs="Arial" w:eastAsia="Arial" w:hAnsi="Arial"/>
          <w:sz w:val="14"/>
          <w:szCs w:val="14"/>
          <w:b w:val="1"/>
          <w:bCs w:val="1"/>
          <w:color w:val="auto"/>
        </w:rPr>
        <w:t>Houston, Texas 77002</w:t>
      </w:r>
    </w:p>
    <w:p>
      <w:pPr>
        <w:jc w:val="center"/>
        <w:ind w:right="-6"/>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90805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66"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w:t>
      </w:r>
    </w:p>
    <w:p>
      <w:pPr>
        <w:jc w:val="center"/>
        <w:ind w:right="-6"/>
        <w:spacing w:after="0"/>
        <w:rPr>
          <w:sz w:val="20"/>
          <w:szCs w:val="20"/>
          <w:color w:val="auto"/>
        </w:rPr>
      </w:pPr>
      <w:r>
        <w:rPr>
          <w:rFonts w:ascii="Arial" w:cs="Arial" w:eastAsia="Arial" w:hAnsi="Arial"/>
          <w:sz w:val="14"/>
          <w:szCs w:val="14"/>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20"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48" w:lineRule="exact"/>
        <w:rPr>
          <w:sz w:val="24"/>
          <w:szCs w:val="24"/>
          <w:color w:val="auto"/>
        </w:rPr>
      </w:pPr>
    </w:p>
    <w:p>
      <w:pPr>
        <w:ind w:left="7" w:right="440" w:firstLine="360"/>
        <w:spacing w:after="0" w:line="236"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5" w:lineRule="exact"/>
        <w:rPr>
          <w:sz w:val="24"/>
          <w:szCs w:val="24"/>
          <w:color w:val="auto"/>
        </w:rPr>
      </w:pPr>
    </w:p>
    <w:p>
      <w:pPr>
        <w:ind w:left="7" w:right="26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64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20" w:firstLine="36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jc w:val="center"/>
        <w:ind w:right="113"/>
        <w:spacing w:after="0" w:line="206" w:lineRule="exact"/>
        <w:rPr>
          <w:sz w:val="20"/>
          <w:szCs w:val="20"/>
          <w:color w:val="auto"/>
        </w:rPr>
      </w:pPr>
      <w:r>
        <w:rPr>
          <w:rFonts w:ascii="Arial" w:cs="Arial" w:eastAsia="Arial" w:hAnsi="Arial"/>
          <w:sz w:val="14"/>
          <w:szCs w:val="14"/>
          <w:color w:val="auto"/>
        </w:rPr>
        <w:t xml:space="preserve">Large accelerated filer o       Accelerated filer o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o        Emerging growth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7"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transaction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162560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7" w:type="dxa"/>
        <w:tblCellMar>
          <w:top w:w="0" w:type="dxa"/>
          <w:left w:w="0" w:type="dxa"/>
          <w:bottom w:w="0" w:type="dxa"/>
          <w:right w:w="0" w:type="dxa"/>
        </w:tblCellMar>
      </w:tblPr>
      <w:tr>
        <w:trPr>
          <w:trHeight w:val="166"/>
        </w:trPr>
        <w:tc>
          <w:tcPr>
            <w:tcW w:w="960" w:type="dxa"/>
            <w:vAlign w:val="bottom"/>
            <w:tcBorders>
              <w:top w:val="single" w:sz="8" w:color="auto"/>
            </w:tcBorders>
          </w:tcPr>
          <w:p>
            <w:pPr>
              <w:spacing w:after="0"/>
              <w:rPr>
                <w:sz w:val="14"/>
                <w:szCs w:val="14"/>
                <w:color w:val="auto"/>
              </w:rPr>
            </w:pPr>
          </w:p>
        </w:tc>
        <w:tc>
          <w:tcPr>
            <w:tcW w:w="498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780" w:type="dxa"/>
            <w:vAlign w:val="bottom"/>
            <w:tcBorders>
              <w:top w:val="single" w:sz="8" w:color="auto"/>
            </w:tcBorders>
          </w:tcPr>
          <w:p>
            <w:pPr>
              <w:spacing w:after="0"/>
              <w:rPr>
                <w:sz w:val="14"/>
                <w:szCs w:val="14"/>
                <w:color w:val="auto"/>
              </w:rPr>
            </w:pPr>
          </w:p>
        </w:tc>
      </w:tr>
      <w:tr>
        <w:trPr>
          <w:trHeight w:val="145"/>
        </w:trPr>
        <w:tc>
          <w:tcPr>
            <w:tcW w:w="960" w:type="dxa"/>
            <w:vAlign w:val="bottom"/>
          </w:tcPr>
          <w:p>
            <w:pPr>
              <w:spacing w:after="0"/>
              <w:rPr>
                <w:sz w:val="12"/>
                <w:szCs w:val="12"/>
                <w:color w:val="auto"/>
              </w:rPr>
            </w:pPr>
          </w:p>
        </w:tc>
        <w:tc>
          <w:tcPr>
            <w:tcW w:w="498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960" w:type="dxa"/>
            <w:vAlign w:val="bottom"/>
            <w:tcBorders>
              <w:bottom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4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1"/>
                <w:szCs w:val="11"/>
                <w:b w:val="1"/>
                <w:bCs w:val="1"/>
                <w:color w:val="auto"/>
                <w:w w:val="93"/>
              </w:rPr>
              <w:t>(1)(2)</w:t>
            </w:r>
          </w:p>
        </w:tc>
        <w:tc>
          <w:tcPr>
            <w:tcW w:w="17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23"/>
                <w:szCs w:val="23"/>
                <w:b w:val="1"/>
                <w:bCs w:val="1"/>
                <w:color w:val="auto"/>
                <w:w w:val="90"/>
                <w:vertAlign w:val="superscript"/>
              </w:rPr>
              <w:t>(3)</w:t>
            </w:r>
          </w:p>
        </w:tc>
      </w:tr>
      <w:tr>
        <w:trPr>
          <w:trHeight w:val="183"/>
        </w:trPr>
        <w:tc>
          <w:tcPr>
            <w:tcW w:w="5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Class A shares representing limited liability company interests</w:t>
            </w:r>
          </w:p>
        </w:tc>
        <w:tc>
          <w:tcPr>
            <w:tcW w:w="1840" w:type="dxa"/>
            <w:vAlign w:val="bottom"/>
            <w:tcBorders>
              <w:bottom w:val="single" w:sz="8" w:color="auto"/>
              <w:right w:val="single" w:sz="8" w:color="auto"/>
            </w:tcBorders>
          </w:tcPr>
          <w:p>
            <w:pPr>
              <w:jc w:val="right"/>
              <w:ind w:right="1593"/>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1549"/>
              <w:spacing w:after="0"/>
              <w:rPr>
                <w:sz w:val="20"/>
                <w:szCs w:val="20"/>
                <w:color w:val="auto"/>
              </w:rPr>
            </w:pPr>
            <w:r>
              <w:rPr>
                <w:rFonts w:ascii="Arial" w:cs="Arial" w:eastAsia="Arial" w:hAnsi="Arial"/>
                <w:sz w:val="14"/>
                <w:szCs w:val="14"/>
                <w:color w:val="auto"/>
              </w:rPr>
              <w:t>$</w:t>
            </w:r>
          </w:p>
        </w:tc>
      </w:tr>
      <w:tr>
        <w:trPr>
          <w:trHeight w:val="48"/>
        </w:trPr>
        <w:tc>
          <w:tcPr>
            <w:tcW w:w="96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gridSpan w:val="2"/>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333"/>
        </w:trPr>
        <w:tc>
          <w:tcPr>
            <w:tcW w:w="960" w:type="dxa"/>
            <w:vAlign w:val="bottom"/>
          </w:tcPr>
          <w:p>
            <w:pPr>
              <w:spacing w:after="0"/>
              <w:rPr>
                <w:sz w:val="20"/>
                <w:szCs w:val="20"/>
                <w:color w:val="auto"/>
              </w:rPr>
            </w:pPr>
            <w:r>
              <w:rPr>
                <w:rFonts w:ascii="Arial" w:cs="Arial" w:eastAsia="Arial" w:hAnsi="Arial"/>
                <w:sz w:val="14"/>
                <w:szCs w:val="14"/>
                <w:color w:val="auto"/>
              </w:rPr>
              <w:t>(1)   Includes</w:t>
            </w:r>
          </w:p>
        </w:tc>
        <w:tc>
          <w:tcPr>
            <w:tcW w:w="6820" w:type="dxa"/>
            <w:vAlign w:val="bottom"/>
            <w:gridSpan w:val="2"/>
          </w:tcPr>
          <w:p>
            <w:pPr>
              <w:jc w:val="right"/>
              <w:ind w:right="633"/>
              <w:spacing w:after="0"/>
              <w:rPr>
                <w:sz w:val="20"/>
                <w:szCs w:val="20"/>
                <w:color w:val="auto"/>
              </w:rPr>
            </w:pPr>
            <w:r>
              <w:rPr>
                <w:rFonts w:ascii="Arial" w:cs="Arial" w:eastAsia="Arial" w:hAnsi="Arial"/>
                <w:sz w:val="14"/>
                <w:szCs w:val="14"/>
                <w:color w:val="auto"/>
                <w:w w:val="94"/>
              </w:rPr>
              <w:t>Class A shares issuable upon exercise of the underwriters’ option to purchase additional Class A shares.</w:t>
            </w: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106680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1" w:lineRule="exact"/>
        <w:rPr>
          <w:sz w:val="24"/>
          <w:szCs w:val="24"/>
          <w:color w:val="auto"/>
        </w:rPr>
      </w:pPr>
    </w:p>
    <w:p>
      <w:pPr>
        <w:ind w:left="7" w:right="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071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6071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480060</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becomes effective. This preliminary prospectus is not an offer to sell these securities and we are not soliciting an offer to buy these securities in any jurisdiction where the offer or sale is not permitted.</w:t>
      </w:r>
    </w:p>
    <w:p>
      <w:pPr>
        <w:spacing w:after="0" w:line="174"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FC0014"/>
                <w:w w:val="97"/>
              </w:rPr>
              <w:t>Subject to Completion, dated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FC0014"/>
              </w:rPr>
              <w:t>, 2018</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NFE Financial Holdings LLC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Class A shares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83185</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This is the initial public offering of Class A shares representing limited liability company interests of NFE Financial Holdings LLC.</w:t>
      </w:r>
    </w:p>
    <w:p>
      <w:pPr>
        <w:spacing w:after="0" w:line="46"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We are offering Class A shares. We were recently formed by New Fortress Energy Holdings LLC and have elected to be treated as a corporation for U.S. federal income tax purposes. We expect that the initial public offering price will be between $ and $ per Class A share.</w:t>
      </w:r>
    </w:p>
    <w:p>
      <w:pPr>
        <w:spacing w:after="0" w:line="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Prior to this offering, there has been no public market for our Class A shares. We intend to apply to list our Class A shares on the New York Stock Exchange under the symbol “NFE.”</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an “emerging growth company” and are eligible for reduced reporting requirements for this prospectus and future filings. Please read “Summary—Our Emerging Growth Company Status.”</w:t>
      </w:r>
    </w:p>
    <w:p>
      <w:pPr>
        <w:spacing w:after="0" w:line="58"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Class A shares involves risks. Please read “Risk Factors” beginning on page </w:t>
      </w:r>
      <w:hyperlink w:anchor="page26">
        <w:r>
          <w:rPr>
            <w:rFonts w:ascii="Arial" w:cs="Arial" w:eastAsia="Arial" w:hAnsi="Arial"/>
            <w:sz w:val="18"/>
            <w:szCs w:val="18"/>
            <w:b w:val="1"/>
            <w:bCs w:val="1"/>
            <w:u w:val="single" w:color="auto"/>
            <w:color w:val="0000EE"/>
          </w:rPr>
          <w:t>24</w:t>
        </w:r>
      </w:hyperlink>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the following:</w:t>
      </w:r>
    </w:p>
    <w:p>
      <w:pPr>
        <w:spacing w:after="0" w:line="117" w:lineRule="exact"/>
        <w:rPr>
          <w:sz w:val="20"/>
          <w:szCs w:val="20"/>
          <w:color w:val="auto"/>
        </w:rPr>
      </w:pPr>
    </w:p>
    <w:p>
      <w:pPr>
        <w:ind w:left="700" w:right="56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spacing w:after="0" w:line="62" w:lineRule="exact"/>
        <w:rPr>
          <w:rFonts w:ascii="Arial" w:cs="Arial" w:eastAsia="Arial" w:hAnsi="Arial"/>
          <w:sz w:val="18"/>
          <w:szCs w:val="18"/>
          <w:color w:val="auto"/>
        </w:rPr>
      </w:pPr>
    </w:p>
    <w:p>
      <w:pPr>
        <w:jc w:val="both"/>
        <w:ind w:left="700" w:right="320" w:hanging="356"/>
        <w:spacing w:after="0" w:line="264"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3" w:lineRule="exact"/>
        <w:rPr>
          <w:rFonts w:ascii="Arial" w:cs="Arial" w:eastAsia="Arial" w:hAnsi="Arial"/>
          <w:sz w:val="18"/>
          <w:szCs w:val="18"/>
          <w:color w:val="auto"/>
        </w:rPr>
      </w:pPr>
    </w:p>
    <w:p>
      <w:pPr>
        <w:ind w:left="700" w:right="70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62"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spacing w:after="0" w:line="62" w:lineRule="exact"/>
        <w:rPr>
          <w:rFonts w:ascii="Arial" w:cs="Arial" w:eastAsia="Arial" w:hAnsi="Arial"/>
          <w:sz w:val="18"/>
          <w:szCs w:val="18"/>
          <w:color w:val="auto"/>
        </w:rPr>
      </w:pPr>
    </w:p>
    <w:p>
      <w:pPr>
        <w:ind w:left="700" w:right="100" w:hanging="356"/>
        <w:spacing w:after="0" w:line="312"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9" w:lineRule="exact"/>
        <w:rPr>
          <w:sz w:val="20"/>
          <w:szCs w:val="20"/>
          <w:color w:val="auto"/>
        </w:rPr>
      </w:pPr>
    </w:p>
    <w:p>
      <w:pPr>
        <w:ind w:left="340"/>
        <w:spacing w:after="0"/>
        <w:tabs>
          <w:tab w:leader="none" w:pos="680" w:val="left"/>
          <w:tab w:leader="none" w:pos="5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Shareholders will experience immediate and substantial dilution of $</w:t>
      </w:r>
      <w:r>
        <w:rPr>
          <w:sz w:val="20"/>
          <w:szCs w:val="20"/>
          <w:color w:val="auto"/>
        </w:rPr>
        <w:tab/>
      </w:r>
      <w:r>
        <w:rPr>
          <w:rFonts w:ascii="Arial" w:cs="Arial" w:eastAsia="Arial" w:hAnsi="Arial"/>
          <w:sz w:val="16"/>
          <w:szCs w:val="16"/>
          <w:color w:val="auto"/>
        </w:rPr>
        <w:t>per Class A share.</w:t>
      </w:r>
    </w:p>
    <w:p>
      <w:pPr>
        <w:spacing w:after="0" w:line="117" w:lineRule="exact"/>
        <w:rPr>
          <w:sz w:val="20"/>
          <w:szCs w:val="20"/>
          <w:color w:val="auto"/>
        </w:rPr>
      </w:pPr>
    </w:p>
    <w:p>
      <w:pPr>
        <w:ind w:left="700" w:right="6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Fortress Energy Holdings has the ability to direct the voting of a majority of our shares, and its interests may conflict with those of our other shareholders.</w:t>
      </w:r>
    </w:p>
    <w:p>
      <w:pPr>
        <w:spacing w:after="0" w:line="62"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4"/>
                <w:szCs w:val="14"/>
                <w:b w:val="1"/>
                <w:bCs w:val="1"/>
                <w:color w:val="auto"/>
              </w:rPr>
              <w:t>Per Class 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Underwriting Discount</w:t>
            </w:r>
          </w:p>
        </w:tc>
        <w:tc>
          <w:tcPr>
            <w:tcW w:w="3280" w:type="dxa"/>
            <w:vAlign w:val="bottom"/>
          </w:tcPr>
          <w:p>
            <w:pPr>
              <w:spacing w:after="0"/>
              <w:rPr>
                <w:sz w:val="20"/>
                <w:szCs w:val="20"/>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NFE Financial Holdings LLC (before expenses)</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w w:val="95"/>
              </w:rPr>
              <w:t>The underwriters may purchase up to an additional</w:t>
            </w:r>
          </w:p>
        </w:tc>
        <w:tc>
          <w:tcPr>
            <w:tcW w:w="5680" w:type="dxa"/>
            <w:vAlign w:val="bottom"/>
            <w:gridSpan w:val="5"/>
          </w:tcPr>
          <w:p>
            <w:pPr>
              <w:ind w:left="220"/>
              <w:spacing w:after="0"/>
              <w:rPr>
                <w:sz w:val="20"/>
                <w:szCs w:val="20"/>
                <w:color w:val="auto"/>
              </w:rPr>
            </w:pPr>
            <w:r>
              <w:rPr>
                <w:rFonts w:ascii="Arial" w:cs="Arial" w:eastAsia="Arial" w:hAnsi="Arial"/>
                <w:sz w:val="18"/>
                <w:szCs w:val="18"/>
                <w:color w:val="auto"/>
                <w:w w:val="95"/>
              </w:rPr>
              <w:t>Class A shares from us at the public offering price, less the underwriting</w:t>
            </w:r>
          </w:p>
        </w:tc>
      </w:tr>
    </w:tbl>
    <w:p>
      <w:pPr>
        <w:spacing w:after="0"/>
        <w:rPr>
          <w:sz w:val="20"/>
          <w:szCs w:val="20"/>
          <w:color w:val="auto"/>
        </w:rPr>
      </w:pPr>
      <w:r>
        <w:rPr>
          <w:rFonts w:ascii="Arial" w:cs="Arial" w:eastAsia="Arial" w:hAnsi="Arial"/>
          <w:sz w:val="18"/>
          <w:szCs w:val="18"/>
          <w:color w:val="auto"/>
        </w:rPr>
        <w:t>discount, within 30 days from the date of this prospectus.</w:t>
      </w:r>
    </w:p>
    <w:p>
      <w:pPr>
        <w:spacing w:after="0" w:line="99" w:lineRule="exact"/>
        <w:rPr>
          <w:sz w:val="20"/>
          <w:szCs w:val="20"/>
          <w:color w:val="auto"/>
        </w:rPr>
      </w:pPr>
    </w:p>
    <w:p>
      <w:pPr>
        <w:ind w:right="120"/>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color w:val="auto"/>
        </w:rPr>
        <w:t>The underwriters expect to deliver the Class A shares to purchasers on or about</w:t>
      </w:r>
      <w:r>
        <w:rPr>
          <w:sz w:val="20"/>
          <w:szCs w:val="20"/>
          <w:color w:val="auto"/>
        </w:rPr>
        <w:tab/>
      </w:r>
      <w:r>
        <w:rPr>
          <w:rFonts w:ascii="Arial" w:cs="Arial" w:eastAsia="Arial" w:hAnsi="Arial"/>
          <w:sz w:val="16"/>
          <w:szCs w:val="16"/>
          <w:color w:val="auto"/>
        </w:rPr>
        <w:t>, 2018 through the book-entry facilities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134620</wp:posOffset>
            </wp:positionV>
            <wp:extent cx="1157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373" w:lineRule="exact"/>
        <w:rPr>
          <w:sz w:val="20"/>
          <w:szCs w:val="20"/>
          <w:color w:val="auto"/>
        </w:rPr>
      </w:pPr>
    </w:p>
    <w:p>
      <w:pPr>
        <w:jc w:val="center"/>
        <w:ind w:right="20"/>
        <w:spacing w:after="0"/>
        <w:tabs>
          <w:tab w:leader="none" w:pos="30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5"/>
          <w:szCs w:val="15"/>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480" w:type="dxa"/>
            <w:vAlign w:val="bottom"/>
            <w:gridSpan w:val="30"/>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0" w:type="dxa"/>
            <w:vAlign w:val="bottom"/>
            <w:gridSpan w:val="6"/>
            <w:shd w:val="clear" w:color="auto" w:fill="CCEEFF"/>
          </w:tcPr>
          <w:p>
            <w:pPr>
              <w:spacing w:after="0" w:line="189"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SUMMARY</w:t>
              </w:r>
            </w:hyperlink>
          </w:p>
        </w:tc>
        <w:tc>
          <w:tcPr>
            <w:tcW w:w="7560" w:type="dxa"/>
            <w:vAlign w:val="bottom"/>
            <w:gridSpan w:val="23"/>
            <w:shd w:val="clear" w:color="auto" w:fill="CCEEFF"/>
          </w:tcPr>
          <w:p>
            <w:pPr>
              <w:spacing w:after="0"/>
              <w:rPr>
                <w:sz w:val="16"/>
                <w:szCs w:val="16"/>
                <w:color w:val="auto"/>
              </w:rPr>
            </w:pPr>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14"/>
            <w:shd w:val="clear" w:color="auto" w:fill="CCEEFF"/>
          </w:tcPr>
          <w:p>
            <w:pPr>
              <w:spacing w:after="0" w:line="189"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USE OF PROCEEDS</w:t>
              </w:r>
            </w:hyperlink>
          </w:p>
        </w:tc>
        <w:tc>
          <w:tcPr>
            <w:tcW w:w="6900" w:type="dxa"/>
            <w:vAlign w:val="bottom"/>
            <w:gridSpan w:val="15"/>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14"/>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CAPITALIZATION</w:t>
              </w:r>
            </w:hyperlink>
          </w:p>
        </w:tc>
        <w:tc>
          <w:tcPr>
            <w:tcW w:w="6900" w:type="dxa"/>
            <w:vAlign w:val="bottom"/>
            <w:gridSpan w:val="15"/>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0" w:type="dxa"/>
            <w:vAlign w:val="bottom"/>
            <w:gridSpan w:val="5"/>
            <w:shd w:val="clear" w:color="auto" w:fill="CCEEFF"/>
          </w:tcPr>
          <w:p>
            <w:pPr>
              <w:spacing w:after="0" w:line="189"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DILUTION</w:t>
              </w:r>
            </w:hyperlink>
          </w:p>
        </w:tc>
        <w:tc>
          <w:tcPr>
            <w:tcW w:w="7620" w:type="dxa"/>
            <w:vAlign w:val="bottom"/>
            <w:gridSpan w:val="24"/>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DIVIDEND POLICY</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1"/>
            <w:shd w:val="clear" w:color="auto" w:fill="CCEEFF"/>
          </w:tcPr>
          <w:p>
            <w:pPr>
              <w:spacing w:after="0" w:line="189"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SELECTED HISTORICAL FINANCIAL DATA</w:t>
              </w:r>
            </w:hyperlink>
          </w:p>
        </w:tc>
        <w:tc>
          <w:tcPr>
            <w:tcW w:w="4940" w:type="dxa"/>
            <w:vAlign w:val="bottom"/>
            <w:gridSpan w:val="8"/>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w:t>
              </w:r>
            </w:hyperlink>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OPERATIONS</w:t>
              </w:r>
            </w:hyperlink>
          </w:p>
        </w:tc>
        <w:tc>
          <w:tcPr>
            <w:tcW w:w="720" w:type="dxa"/>
            <w:vAlign w:val="bottom"/>
          </w:tcPr>
          <w:p>
            <w:pPr>
              <w:spacing w:after="0"/>
              <w:rPr>
                <w:sz w:val="17"/>
                <w:szCs w:val="17"/>
                <w:color w:val="auto"/>
              </w:rPr>
            </w:pPr>
          </w:p>
        </w:tc>
        <w:tc>
          <w:tcPr>
            <w:tcW w:w="1080" w:type="dxa"/>
            <w:vAlign w:val="bottom"/>
            <w:gridSpan w:val="6"/>
          </w:tcPr>
          <w:p>
            <w:pPr>
              <w:jc w:val="right"/>
              <w:ind w:right="10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69">
              <w:r>
                <w:rPr>
                  <w:rFonts w:ascii="Arial" w:cs="Arial" w:eastAsia="Arial" w:hAnsi="Arial"/>
                  <w:sz w:val="18"/>
                  <w:szCs w:val="18"/>
                  <w:color w:val="0000EE"/>
                </w:rPr>
                <w:t>BUSINESS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MANAGEMENT</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gridSpan w:val="16"/>
            <w:shd w:val="clear" w:color="auto" w:fill="CCEEFF"/>
          </w:tcPr>
          <w:p>
            <w:pPr>
              <w:spacing w:after="0" w:line="189"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EXECUTIVE COMPENSATION</w:t>
              </w:r>
            </w:hyperlink>
          </w:p>
        </w:tc>
        <w:tc>
          <w:tcPr>
            <w:tcW w:w="6040" w:type="dxa"/>
            <w:vAlign w:val="bottom"/>
            <w:gridSpan w:val="13"/>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24"/>
            <w:shd w:val="clear" w:color="auto" w:fill="CCEEFF"/>
          </w:tcPr>
          <w:p>
            <w:pPr>
              <w:spacing w:after="0" w:line="189"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CERTAIN RELATIONSHIPS AND RELATED TRANSACTIONS</w:t>
              </w:r>
            </w:hyperlink>
          </w:p>
        </w:tc>
        <w:tc>
          <w:tcPr>
            <w:tcW w:w="3620" w:type="dxa"/>
            <w:vAlign w:val="bottom"/>
            <w:gridSpan w:val="5"/>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94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24"/>
          </w:tcPr>
          <w:p>
            <w:pPr>
              <w:spacing w:after="0" w:line="189"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SHARES</w:t>
              </w:r>
            </w:hyperlink>
          </w:p>
        </w:tc>
        <w:tc>
          <w:tcPr>
            <w:tcW w:w="3620" w:type="dxa"/>
            <w:vAlign w:val="bottom"/>
            <w:gridSpan w:val="5"/>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97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60" w:type="dxa"/>
            <w:vAlign w:val="bottom"/>
            <w:gridSpan w:val="17"/>
            <w:shd w:val="clear" w:color="auto" w:fill="CCEEFF"/>
          </w:tcPr>
          <w:p>
            <w:pPr>
              <w:spacing w:after="0" w:line="189" w:lineRule="exact"/>
              <w:rPr>
                <w:rFonts w:ascii="Arial" w:cs="Arial" w:eastAsia="Arial" w:hAnsi="Arial"/>
                <w:sz w:val="18"/>
                <w:szCs w:val="18"/>
                <w:color w:val="0000EE"/>
                <w:w w:val="94"/>
              </w:rPr>
            </w:pPr>
            <w:hyperlink w:anchor="page101">
              <w:r>
                <w:rPr>
                  <w:rFonts w:ascii="Arial" w:cs="Arial" w:eastAsia="Arial" w:hAnsi="Arial"/>
                  <w:sz w:val="18"/>
                  <w:szCs w:val="18"/>
                  <w:color w:val="0000EE"/>
                  <w:w w:val="94"/>
                </w:rPr>
                <w:t>OUR OPERATING AGREEMENT</w:t>
              </w:r>
            </w:hyperlink>
          </w:p>
        </w:tc>
        <w:tc>
          <w:tcPr>
            <w:tcW w:w="5900" w:type="dxa"/>
            <w:vAlign w:val="bottom"/>
            <w:gridSpan w:val="12"/>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07">
              <w:r>
                <w:rPr>
                  <w:rFonts w:ascii="Arial" w:cs="Arial" w:eastAsia="Arial" w:hAnsi="Arial"/>
                  <w:sz w:val="18"/>
                  <w:szCs w:val="18"/>
                  <w:color w:val="0000EE"/>
                </w:rPr>
                <w:t>SHARES ELIGIBLE FOR FUTURE SALE</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08">
              <w:r>
                <w:rPr>
                  <w:rFonts w:ascii="Arial" w:cs="Arial" w:eastAsia="Arial" w:hAnsi="Arial"/>
                  <w:sz w:val="18"/>
                  <w:szCs w:val="18"/>
                  <w:color w:val="0000EE"/>
                </w:rPr>
                <w:t>MATERIAL U.S. FEDERAL INCOME TAX CONSIDERATIONS FOR NON-U.S. HOLDERS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20" w:type="dxa"/>
            <w:vAlign w:val="bottom"/>
            <w:gridSpan w:val="27"/>
          </w:tcPr>
          <w:p>
            <w:pPr>
              <w:spacing w:after="0" w:line="189" w:lineRule="exact"/>
              <w:rPr>
                <w:rFonts w:ascii="Arial" w:cs="Arial" w:eastAsia="Arial" w:hAnsi="Arial"/>
                <w:sz w:val="18"/>
                <w:szCs w:val="18"/>
                <w:color w:val="0000EE"/>
              </w:rPr>
            </w:pPr>
            <w:hyperlink w:anchor="page112">
              <w:r>
                <w:rPr>
                  <w:rFonts w:ascii="Arial" w:cs="Arial" w:eastAsia="Arial" w:hAnsi="Arial"/>
                  <w:sz w:val="18"/>
                  <w:szCs w:val="18"/>
                  <w:color w:val="0000EE"/>
                </w:rPr>
                <w:t>CERTAIN ERISA CONSIDERATIONS</w:t>
              </w:r>
            </w:hyperlink>
          </w:p>
        </w:tc>
        <w:tc>
          <w:tcPr>
            <w:tcW w:w="1540" w:type="dxa"/>
            <w:vAlign w:val="bottom"/>
            <w:gridSpan w:val="2"/>
          </w:tcPr>
          <w:p>
            <w:pPr>
              <w:spacing w:after="0"/>
              <w:rPr>
                <w:sz w:val="16"/>
                <w:szCs w:val="16"/>
                <w:color w:val="auto"/>
              </w:rPr>
            </w:pPr>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14">
              <w:r>
                <w:rPr>
                  <w:rFonts w:ascii="Arial" w:cs="Arial" w:eastAsia="Arial" w:hAnsi="Arial"/>
                  <w:sz w:val="18"/>
                  <w:szCs w:val="18"/>
                  <w:color w:val="0000EE"/>
                </w:rPr>
                <w:t>UNDERWRITING</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14">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19">
              <w:r>
                <w:rPr>
                  <w:rFonts w:ascii="Arial" w:cs="Arial" w:eastAsia="Arial" w:hAnsi="Arial"/>
                  <w:sz w:val="18"/>
                  <w:szCs w:val="18"/>
                  <w:color w:val="0000EE"/>
                </w:rPr>
                <w:t>LEGAL MATTERS</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19">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19">
              <w:r>
                <w:rPr>
                  <w:rFonts w:ascii="Arial" w:cs="Arial" w:eastAsia="Arial" w:hAnsi="Arial"/>
                  <w:sz w:val="18"/>
                  <w:szCs w:val="18"/>
                  <w:color w:val="0000EE"/>
                </w:rPr>
                <w:t>EXPERTS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19">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19">
              <w:r>
                <w:rPr>
                  <w:rFonts w:ascii="Arial" w:cs="Arial" w:eastAsia="Arial" w:hAnsi="Arial"/>
                  <w:sz w:val="18"/>
                  <w:szCs w:val="18"/>
                  <w:color w:val="0000EE"/>
                </w:rPr>
                <w:t>WHERE YOU CAN FIND MORE INFORMATION</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19">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20">
              <w:r>
                <w:rPr>
                  <w:rFonts w:ascii="Arial" w:cs="Arial" w:eastAsia="Arial" w:hAnsi="Arial"/>
                  <w:sz w:val="18"/>
                  <w:szCs w:val="18"/>
                  <w:color w:val="0000EE"/>
                </w:rPr>
                <w:t>FORWARD LOOKING STATEMENTS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20">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21">
              <w:r>
                <w:rPr>
                  <w:rFonts w:ascii="Arial" w:cs="Arial" w:eastAsia="Arial" w:hAnsi="Arial"/>
                  <w:sz w:val="18"/>
                  <w:szCs w:val="18"/>
                  <w:color w:val="0000EE"/>
                </w:rPr>
                <w:t>INDEX TO FINANCIAL STATEMENTS</w:t>
              </w:r>
            </w:hyperlink>
          </w:p>
        </w:tc>
        <w:tc>
          <w:tcPr>
            <w:tcW w:w="720" w:type="dxa"/>
            <w:vAlign w:val="bottom"/>
          </w:tcPr>
          <w:p>
            <w:pPr>
              <w:spacing w:after="0"/>
              <w:rPr>
                <w:sz w:val="16"/>
                <w:szCs w:val="16"/>
                <w:color w:val="auto"/>
              </w:rPr>
            </w:pPr>
          </w:p>
        </w:tc>
        <w:tc>
          <w:tcPr>
            <w:tcW w:w="360" w:type="dxa"/>
            <w:vAlign w:val="bottom"/>
            <w:gridSpan w:val="5"/>
          </w:tcPr>
          <w:p>
            <w:pPr>
              <w:jc w:val="right"/>
              <w:ind w:right="100"/>
              <w:spacing w:after="0" w:line="189" w:lineRule="exact"/>
              <w:rPr>
                <w:rFonts w:ascii="Arial" w:cs="Arial" w:eastAsia="Arial" w:hAnsi="Arial"/>
                <w:sz w:val="18"/>
                <w:szCs w:val="18"/>
                <w:color w:val="0000EE"/>
                <w:w w:val="88"/>
              </w:rPr>
            </w:pPr>
            <w:hyperlink w:anchor="page121">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46">
              <w:r>
                <w:rPr>
                  <w:rFonts w:ascii="Arial" w:cs="Arial" w:eastAsia="Arial" w:hAnsi="Arial"/>
                  <w:sz w:val="18"/>
                  <w:szCs w:val="18"/>
                  <w:color w:val="0000EE"/>
                </w:rPr>
                <w:t>EXHIBITS</w:t>
              </w:r>
            </w:hyperlink>
          </w:p>
        </w:tc>
        <w:tc>
          <w:tcPr>
            <w:tcW w:w="72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00"/>
              <w:spacing w:after="0" w:line="189"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II-2</w:t>
              </w:r>
            </w:hyperlink>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bottom w:val="single" w:sz="8" w:color="auto"/>
            </w:tcBorders>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authorize to be delivered to you. We have not, and the underwriters have not, authorized any other person to provide you with information different from that contained in this prospectus and any free writing prospectus. If anyone provides you with different or inconsistent information, you should not rely on it. You should not assume that the information contained in this registration statement is accurate as of any date other than the date on the front cover of this registration statement. Our business, financial condition, results of operations and prospects may have changed since such dates. We are not, and the underwriters are not, making an offer to sell these securities in any jurisdiction where an offer or sale is not permitted.</w:t>
      </w:r>
    </w:p>
    <w:p>
      <w:pPr>
        <w:spacing w:after="0" w:line="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Please read “Risk Factors”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108585</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data included in this prospectus regarding the industries in which we operate, including trends in the market and our position and the position of our competitors, is based on a variety of sources, including independent industry publications, government publications and other published independent sources, information obtained from customers, distributors, suppliers, trade and business organizations and publicly available information (including the reports and other information our competitors file with the Securities and Exchange Commission (the “SEC”), which we did not participate in preparing and as to which we make no representation), as well as our good-faith estimates, which have been derived from management’s knowledge and experience in the industries in which we operate. Estimates of market size and relative positions in a market are difficult to develop and inherently uncertain. Accordingly, investors should not place undue weight on the industry and market share data presented in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As commonly used in the liquefied natural gas industry, to the extent applicable and as used in this prospectus, the terms listed below have the following meanings: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ADO</w:t>
            </w:r>
          </w:p>
        </w:tc>
        <w:tc>
          <w:tcPr>
            <w:tcW w:w="6800" w:type="dxa"/>
            <w:vAlign w:val="bottom"/>
          </w:tcPr>
          <w:p>
            <w:pPr>
              <w:ind w:left="1740"/>
              <w:spacing w:after="0"/>
              <w:rPr>
                <w:sz w:val="20"/>
                <w:szCs w:val="20"/>
                <w:color w:val="auto"/>
              </w:rPr>
            </w:pPr>
            <w:r>
              <w:rPr>
                <w:rFonts w:ascii="Arial" w:cs="Arial" w:eastAsia="Arial" w:hAnsi="Arial"/>
                <w:sz w:val="18"/>
                <w:szCs w:val="18"/>
                <w:color w:val="auto"/>
              </w:rPr>
              <w:t>automotive diesel oil</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Bcf/yr</w:t>
            </w:r>
          </w:p>
        </w:tc>
        <w:tc>
          <w:tcPr>
            <w:tcW w:w="6800" w:type="dxa"/>
            <w:vAlign w:val="bottom"/>
          </w:tcPr>
          <w:p>
            <w:pPr>
              <w:ind w:left="1740"/>
              <w:spacing w:after="0"/>
              <w:rPr>
                <w:sz w:val="20"/>
                <w:szCs w:val="20"/>
                <w:color w:val="auto"/>
              </w:rPr>
            </w:pPr>
            <w:r>
              <w:rPr>
                <w:rFonts w:ascii="Arial" w:cs="Arial" w:eastAsia="Arial" w:hAnsi="Arial"/>
                <w:sz w:val="18"/>
                <w:szCs w:val="18"/>
                <w:color w:val="auto"/>
              </w:rPr>
              <w:t>billion cubic feet per year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Btu</w:t>
            </w:r>
          </w:p>
        </w:tc>
        <w:tc>
          <w:tcPr>
            <w:tcW w:w="6800" w:type="dxa"/>
            <w:vAlign w:val="bottom"/>
          </w:tcPr>
          <w:p>
            <w:pPr>
              <w:ind w:left="1740"/>
              <w:spacing w:after="0"/>
              <w:rPr>
                <w:sz w:val="20"/>
                <w:szCs w:val="20"/>
                <w:color w:val="auto"/>
              </w:rPr>
            </w:pPr>
            <w:r>
              <w:rPr>
                <w:rFonts w:ascii="Arial" w:cs="Arial" w:eastAsia="Arial" w:hAnsi="Arial"/>
                <w:sz w:val="18"/>
                <w:szCs w:val="18"/>
                <w:color w:val="auto"/>
                <w:w w:val="90"/>
              </w:rPr>
              <w:t>the amount of heat require to raise the temperature of one avoirdupois</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pound of pure water from 59 degrees Fahrenheit to 60 degrees</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w w:val="91"/>
              </w:rPr>
              <w:t>Fahrenheit at an absolute pressure of 14.696 pounds per square inch</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gage (psig)</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CAA</w:t>
            </w:r>
          </w:p>
        </w:tc>
        <w:tc>
          <w:tcPr>
            <w:tcW w:w="6800" w:type="dxa"/>
            <w:vAlign w:val="bottom"/>
          </w:tcPr>
          <w:p>
            <w:pPr>
              <w:ind w:left="1740"/>
              <w:spacing w:after="0"/>
              <w:rPr>
                <w:sz w:val="20"/>
                <w:szCs w:val="20"/>
                <w:color w:val="auto"/>
              </w:rPr>
            </w:pPr>
            <w:r>
              <w:rPr>
                <w:rFonts w:ascii="Arial" w:cs="Arial" w:eastAsia="Arial" w:hAnsi="Arial"/>
                <w:sz w:val="18"/>
                <w:szCs w:val="18"/>
                <w:color w:val="auto"/>
              </w:rPr>
              <w:t>Clean Air Act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CERCLA</w:t>
            </w:r>
          </w:p>
        </w:tc>
        <w:tc>
          <w:tcPr>
            <w:tcW w:w="6800" w:type="dxa"/>
            <w:vAlign w:val="bottom"/>
          </w:tcPr>
          <w:p>
            <w:pPr>
              <w:ind w:left="1740"/>
              <w:spacing w:after="0"/>
              <w:rPr>
                <w:sz w:val="20"/>
                <w:szCs w:val="20"/>
                <w:color w:val="auto"/>
              </w:rPr>
            </w:pPr>
            <w:r>
              <w:rPr>
                <w:rFonts w:ascii="Arial" w:cs="Arial" w:eastAsia="Arial" w:hAnsi="Arial"/>
                <w:sz w:val="18"/>
                <w:szCs w:val="18"/>
                <w:color w:val="auto"/>
              </w:rPr>
              <w:t>Comprehensive Environmental Response, Compensation and</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Liability Act</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CWA</w:t>
            </w:r>
          </w:p>
        </w:tc>
        <w:tc>
          <w:tcPr>
            <w:tcW w:w="6800" w:type="dxa"/>
            <w:vAlign w:val="bottom"/>
          </w:tcPr>
          <w:p>
            <w:pPr>
              <w:ind w:left="1740"/>
              <w:spacing w:after="0"/>
              <w:rPr>
                <w:sz w:val="20"/>
                <w:szCs w:val="20"/>
                <w:color w:val="auto"/>
              </w:rPr>
            </w:pPr>
            <w:r>
              <w:rPr>
                <w:rFonts w:ascii="Arial" w:cs="Arial" w:eastAsia="Arial" w:hAnsi="Arial"/>
                <w:sz w:val="18"/>
                <w:szCs w:val="18"/>
                <w:color w:val="auto"/>
              </w:rPr>
              <w:t>Clean Water Act</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DOE</w:t>
            </w:r>
          </w:p>
        </w:tc>
        <w:tc>
          <w:tcPr>
            <w:tcW w:w="6800" w:type="dxa"/>
            <w:vAlign w:val="bottom"/>
          </w:tcPr>
          <w:p>
            <w:pPr>
              <w:ind w:left="1740"/>
              <w:spacing w:after="0"/>
              <w:rPr>
                <w:sz w:val="20"/>
                <w:szCs w:val="20"/>
                <w:color w:val="auto"/>
              </w:rPr>
            </w:pPr>
            <w:r>
              <w:rPr>
                <w:rFonts w:ascii="Arial" w:cs="Arial" w:eastAsia="Arial" w:hAnsi="Arial"/>
                <w:sz w:val="18"/>
                <w:szCs w:val="18"/>
                <w:color w:val="auto"/>
              </w:rPr>
              <w:t>U.S. Department of Energy</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DOT</w:t>
            </w:r>
          </w:p>
        </w:tc>
        <w:tc>
          <w:tcPr>
            <w:tcW w:w="6800" w:type="dxa"/>
            <w:vAlign w:val="bottom"/>
          </w:tcPr>
          <w:p>
            <w:pPr>
              <w:ind w:left="1740"/>
              <w:spacing w:after="0"/>
              <w:rPr>
                <w:sz w:val="20"/>
                <w:szCs w:val="20"/>
                <w:color w:val="auto"/>
              </w:rPr>
            </w:pPr>
            <w:r>
              <w:rPr>
                <w:rFonts w:ascii="Arial" w:cs="Arial" w:eastAsia="Arial" w:hAnsi="Arial"/>
                <w:sz w:val="18"/>
                <w:szCs w:val="18"/>
                <w:color w:val="auto"/>
              </w:rPr>
              <w:t>U.S. Department of Transportation</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EPA</w:t>
            </w:r>
          </w:p>
        </w:tc>
        <w:tc>
          <w:tcPr>
            <w:tcW w:w="6800" w:type="dxa"/>
            <w:vAlign w:val="bottom"/>
          </w:tcPr>
          <w:p>
            <w:pPr>
              <w:ind w:left="1740"/>
              <w:spacing w:after="0"/>
              <w:rPr>
                <w:sz w:val="20"/>
                <w:szCs w:val="20"/>
                <w:color w:val="auto"/>
              </w:rPr>
            </w:pPr>
            <w:r>
              <w:rPr>
                <w:rFonts w:ascii="Arial" w:cs="Arial" w:eastAsia="Arial" w:hAnsi="Arial"/>
                <w:sz w:val="18"/>
                <w:szCs w:val="18"/>
                <w:color w:val="auto"/>
              </w:rPr>
              <w:t>U.S. Environmental Protection Agency</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FERC</w:t>
            </w:r>
          </w:p>
        </w:tc>
        <w:tc>
          <w:tcPr>
            <w:tcW w:w="6800" w:type="dxa"/>
            <w:vAlign w:val="bottom"/>
          </w:tcPr>
          <w:p>
            <w:pPr>
              <w:ind w:left="1740"/>
              <w:spacing w:after="0"/>
              <w:rPr>
                <w:sz w:val="20"/>
                <w:szCs w:val="20"/>
                <w:color w:val="auto"/>
              </w:rPr>
            </w:pPr>
            <w:r>
              <w:rPr>
                <w:rFonts w:ascii="Arial" w:cs="Arial" w:eastAsia="Arial" w:hAnsi="Arial"/>
                <w:sz w:val="18"/>
                <w:szCs w:val="18"/>
                <w:color w:val="auto"/>
              </w:rPr>
              <w:t>Federal Energy Regulatory Commission</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FTA countries</w:t>
            </w:r>
          </w:p>
        </w:tc>
        <w:tc>
          <w:tcPr>
            <w:tcW w:w="6800" w:type="dxa"/>
            <w:vAlign w:val="bottom"/>
          </w:tcPr>
          <w:p>
            <w:pPr>
              <w:ind w:left="1740"/>
              <w:spacing w:after="0"/>
              <w:rPr>
                <w:sz w:val="20"/>
                <w:szCs w:val="20"/>
                <w:color w:val="auto"/>
              </w:rPr>
            </w:pPr>
            <w:r>
              <w:rPr>
                <w:rFonts w:ascii="Arial" w:cs="Arial" w:eastAsia="Arial" w:hAnsi="Arial"/>
                <w:sz w:val="18"/>
                <w:szCs w:val="18"/>
                <w:color w:val="auto"/>
                <w:w w:val="95"/>
              </w:rPr>
              <w:t>countries with which the United States has a free trade agreement</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providing for national treatment for trade in natural gas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GAAP</w:t>
            </w:r>
          </w:p>
        </w:tc>
        <w:tc>
          <w:tcPr>
            <w:tcW w:w="6800" w:type="dxa"/>
            <w:vAlign w:val="bottom"/>
          </w:tcPr>
          <w:p>
            <w:pPr>
              <w:ind w:left="17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GHG</w:t>
            </w:r>
          </w:p>
        </w:tc>
        <w:tc>
          <w:tcPr>
            <w:tcW w:w="6800" w:type="dxa"/>
            <w:vAlign w:val="bottom"/>
          </w:tcPr>
          <w:p>
            <w:pPr>
              <w:ind w:left="1740"/>
              <w:spacing w:after="0"/>
              <w:rPr>
                <w:sz w:val="20"/>
                <w:szCs w:val="20"/>
                <w:color w:val="auto"/>
              </w:rPr>
            </w:pPr>
            <w:r>
              <w:rPr>
                <w:rFonts w:ascii="Arial" w:cs="Arial" w:eastAsia="Arial" w:hAnsi="Arial"/>
                <w:sz w:val="18"/>
                <w:szCs w:val="18"/>
                <w:color w:val="auto"/>
              </w:rPr>
              <w:t>greenhouse gases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GSA</w:t>
            </w:r>
          </w:p>
        </w:tc>
        <w:tc>
          <w:tcPr>
            <w:tcW w:w="6800" w:type="dxa"/>
            <w:vAlign w:val="bottom"/>
          </w:tcPr>
          <w:p>
            <w:pPr>
              <w:ind w:left="1740"/>
              <w:spacing w:after="0"/>
              <w:rPr>
                <w:sz w:val="20"/>
                <w:szCs w:val="20"/>
                <w:color w:val="auto"/>
              </w:rPr>
            </w:pPr>
            <w:r>
              <w:rPr>
                <w:rFonts w:ascii="Arial" w:cs="Arial" w:eastAsia="Arial" w:hAnsi="Arial"/>
                <w:sz w:val="18"/>
                <w:szCs w:val="18"/>
                <w:color w:val="auto"/>
              </w:rPr>
              <w:t>gas sales agreement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GW</w:t>
            </w:r>
          </w:p>
        </w:tc>
        <w:tc>
          <w:tcPr>
            <w:tcW w:w="6800" w:type="dxa"/>
            <w:vAlign w:val="bottom"/>
          </w:tcPr>
          <w:p>
            <w:pPr>
              <w:ind w:left="1740"/>
              <w:spacing w:after="0"/>
              <w:rPr>
                <w:sz w:val="20"/>
                <w:szCs w:val="20"/>
                <w:color w:val="auto"/>
              </w:rPr>
            </w:pPr>
            <w:r>
              <w:rPr>
                <w:rFonts w:ascii="Arial" w:cs="Arial" w:eastAsia="Arial" w:hAnsi="Arial"/>
                <w:sz w:val="18"/>
                <w:szCs w:val="18"/>
                <w:color w:val="auto"/>
                <w:w w:val="94"/>
              </w:rPr>
              <w:t>gigawatt. We estimate 2,500,000 LNG gallons would be required to</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produce one gigawatt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Henry Hub</w:t>
            </w:r>
          </w:p>
        </w:tc>
        <w:tc>
          <w:tcPr>
            <w:tcW w:w="6800" w:type="dxa"/>
            <w:vAlign w:val="bottom"/>
          </w:tcPr>
          <w:p>
            <w:pPr>
              <w:ind w:left="1740"/>
              <w:spacing w:after="0"/>
              <w:rPr>
                <w:sz w:val="20"/>
                <w:szCs w:val="20"/>
                <w:color w:val="auto"/>
              </w:rPr>
            </w:pPr>
            <w:r>
              <w:rPr>
                <w:rFonts w:ascii="Arial" w:cs="Arial" w:eastAsia="Arial" w:hAnsi="Arial"/>
                <w:sz w:val="18"/>
                <w:szCs w:val="18"/>
                <w:color w:val="auto"/>
                <w:w w:val="94"/>
              </w:rPr>
              <w:t>a natural gas pipeline located in Erath, Louisiana that serves as the</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official delivery location for futures contracts on the New York</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Mercantile Exchange</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ISO container</w:t>
            </w:r>
          </w:p>
        </w:tc>
        <w:tc>
          <w:tcPr>
            <w:tcW w:w="6800" w:type="dxa"/>
            <w:vAlign w:val="bottom"/>
          </w:tcPr>
          <w:p>
            <w:pPr>
              <w:ind w:left="1740"/>
              <w:spacing w:after="0"/>
              <w:rPr>
                <w:sz w:val="20"/>
                <w:szCs w:val="20"/>
                <w:color w:val="auto"/>
              </w:rPr>
            </w:pPr>
            <w:r>
              <w:rPr>
                <w:rFonts w:ascii="Arial" w:cs="Arial" w:eastAsia="Arial" w:hAnsi="Arial"/>
                <w:sz w:val="18"/>
                <w:szCs w:val="18"/>
                <w:color w:val="auto"/>
              </w:rPr>
              <w:t>International Organization of Standardization, an intermodal</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container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LNG</w:t>
            </w:r>
          </w:p>
        </w:tc>
        <w:tc>
          <w:tcPr>
            <w:tcW w:w="6800" w:type="dxa"/>
            <w:vAlign w:val="bottom"/>
          </w:tcPr>
          <w:p>
            <w:pPr>
              <w:ind w:left="1740"/>
              <w:spacing w:after="0"/>
              <w:rPr>
                <w:sz w:val="20"/>
                <w:szCs w:val="20"/>
                <w:color w:val="auto"/>
              </w:rPr>
            </w:pPr>
            <w:r>
              <w:rPr>
                <w:rFonts w:ascii="Arial" w:cs="Arial" w:eastAsia="Arial" w:hAnsi="Arial"/>
                <w:sz w:val="18"/>
                <w:szCs w:val="18"/>
                <w:color w:val="auto"/>
                <w:w w:val="96"/>
              </w:rPr>
              <w:t>natural gas in its liquid state at or below its boiling point at or near</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atmospheric pressure</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MMBtu</w:t>
            </w:r>
          </w:p>
        </w:tc>
        <w:tc>
          <w:tcPr>
            <w:tcW w:w="6800" w:type="dxa"/>
            <w:vAlign w:val="bottom"/>
          </w:tcPr>
          <w:p>
            <w:pPr>
              <w:ind w:left="1740"/>
              <w:spacing w:after="0"/>
              <w:rPr>
                <w:sz w:val="20"/>
                <w:szCs w:val="20"/>
                <w:color w:val="auto"/>
              </w:rPr>
            </w:pPr>
            <w:r>
              <w:rPr>
                <w:rFonts w:ascii="Arial" w:cs="Arial" w:eastAsia="Arial" w:hAnsi="Arial"/>
                <w:sz w:val="18"/>
                <w:szCs w:val="18"/>
                <w:color w:val="auto"/>
                <w:w w:val="99"/>
              </w:rPr>
              <w:t>one million Btus, which corresponds to approximately 12.1 LNG</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gallons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mtpa</w:t>
            </w:r>
          </w:p>
        </w:tc>
        <w:tc>
          <w:tcPr>
            <w:tcW w:w="6800" w:type="dxa"/>
            <w:vAlign w:val="bottom"/>
          </w:tcPr>
          <w:p>
            <w:pPr>
              <w:ind w:left="1740"/>
              <w:spacing w:after="0"/>
              <w:rPr>
                <w:sz w:val="20"/>
                <w:szCs w:val="20"/>
                <w:color w:val="auto"/>
              </w:rPr>
            </w:pPr>
            <w:r>
              <w:rPr>
                <w:rFonts w:ascii="Arial" w:cs="Arial" w:eastAsia="Arial" w:hAnsi="Arial"/>
                <w:sz w:val="18"/>
                <w:szCs w:val="18"/>
                <w:color w:val="auto"/>
              </w:rPr>
              <w:t>million tons per year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MW</w:t>
            </w:r>
          </w:p>
        </w:tc>
        <w:tc>
          <w:tcPr>
            <w:tcW w:w="6800" w:type="dxa"/>
            <w:vAlign w:val="bottom"/>
          </w:tcPr>
          <w:p>
            <w:pPr>
              <w:ind w:left="1740"/>
              <w:spacing w:after="0"/>
              <w:rPr>
                <w:sz w:val="20"/>
                <w:szCs w:val="20"/>
                <w:color w:val="auto"/>
              </w:rPr>
            </w:pPr>
            <w:r>
              <w:rPr>
                <w:rFonts w:ascii="Arial" w:cs="Arial" w:eastAsia="Arial" w:hAnsi="Arial"/>
                <w:sz w:val="18"/>
                <w:szCs w:val="18"/>
                <w:color w:val="auto"/>
                <w:w w:val="98"/>
              </w:rPr>
              <w:t>megawatt. We estimate 2,500 LNG gallons would be required to</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produce one megawatt.</w:t>
            </w:r>
          </w:p>
        </w:tc>
      </w:tr>
      <w:tr>
        <w:trPr>
          <w:trHeight w:val="446"/>
        </w:trPr>
        <w:tc>
          <w:tcPr>
            <w:tcW w:w="2760" w:type="dxa"/>
            <w:vAlign w:val="bottom"/>
          </w:tcPr>
          <w:p>
            <w:pPr>
              <w:spacing w:after="0"/>
              <w:rPr>
                <w:sz w:val="24"/>
                <w:szCs w:val="24"/>
                <w:color w:val="auto"/>
              </w:rPr>
            </w:pPr>
          </w:p>
        </w:tc>
        <w:tc>
          <w:tcPr>
            <w:tcW w:w="6800" w:type="dxa"/>
            <w:vAlign w:val="bottom"/>
          </w:tcPr>
          <w:p>
            <w:pPr>
              <w:ind w:left="1960"/>
              <w:spacing w:after="0"/>
              <w:rPr>
                <w:sz w:val="20"/>
                <w:szCs w:val="20"/>
                <w:color w:val="auto"/>
              </w:rPr>
            </w:pPr>
            <w:r>
              <w:rPr>
                <w:rFonts w:ascii="Arial" w:cs="Arial" w:eastAsia="Arial" w:hAnsi="Arial"/>
                <w:sz w:val="18"/>
                <w:szCs w:val="18"/>
                <w:color w:val="auto"/>
              </w:rPr>
              <w:t>ii</w:t>
            </w:r>
          </w:p>
        </w:tc>
      </w:tr>
      <w:tr>
        <w:trPr>
          <w:trHeight w:val="446"/>
        </w:trPr>
        <w:tc>
          <w:tcPr>
            <w:tcW w:w="27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68"/>
        </w:trPr>
        <w:tc>
          <w:tcPr>
            <w:tcW w:w="2760" w:type="dxa"/>
            <w:vAlign w:val="bottom"/>
            <w:shd w:val="clear" w:color="auto" w:fill="000000"/>
          </w:tcPr>
          <w:p>
            <w:pPr>
              <w:spacing w:after="0"/>
              <w:rPr>
                <w:sz w:val="5"/>
                <w:szCs w:val="5"/>
                <w:color w:val="auto"/>
              </w:rPr>
            </w:pPr>
          </w:p>
        </w:tc>
        <w:tc>
          <w:tcPr>
            <w:tcW w:w="68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601"/>
        </w:trPr>
        <w:tc>
          <w:tcPr>
            <w:tcW w:w="3020" w:type="dxa"/>
            <w:vAlign w:val="bottom"/>
            <w:gridSpan w:val="2"/>
          </w:tcPr>
          <w:p>
            <w:pPr>
              <w:spacing w:after="0"/>
              <w:rPr>
                <w:sz w:val="20"/>
                <w:szCs w:val="20"/>
                <w:color w:val="auto"/>
              </w:rPr>
            </w:pPr>
            <w:r>
              <w:rPr>
                <w:rFonts w:ascii="Arial" w:cs="Arial" w:eastAsia="Arial" w:hAnsi="Arial"/>
                <w:sz w:val="18"/>
                <w:szCs w:val="18"/>
                <w:color w:val="auto"/>
              </w:rPr>
              <w:t>NGA</w:t>
            </w:r>
          </w:p>
        </w:tc>
        <w:tc>
          <w:tcPr>
            <w:tcW w:w="6540" w:type="dxa"/>
            <w:vAlign w:val="bottom"/>
          </w:tcPr>
          <w:p>
            <w:pPr>
              <w:ind w:left="1480"/>
              <w:spacing w:after="0"/>
              <w:rPr>
                <w:sz w:val="20"/>
                <w:szCs w:val="20"/>
                <w:color w:val="auto"/>
              </w:rPr>
            </w:pPr>
            <w:r>
              <w:rPr>
                <w:rFonts w:ascii="Arial" w:cs="Arial" w:eastAsia="Arial" w:hAnsi="Arial"/>
                <w:sz w:val="18"/>
                <w:szCs w:val="18"/>
                <w:color w:val="auto"/>
              </w:rPr>
              <w:t>Natural Gas Act of 1938, as amended</w:t>
            </w:r>
          </w:p>
        </w:tc>
      </w:tr>
      <w:tr>
        <w:trPr>
          <w:trHeight w:val="472"/>
        </w:trPr>
        <w:tc>
          <w:tcPr>
            <w:tcW w:w="3020" w:type="dxa"/>
            <w:vAlign w:val="bottom"/>
            <w:gridSpan w:val="2"/>
          </w:tcPr>
          <w:p>
            <w:pPr>
              <w:spacing w:after="0"/>
              <w:rPr>
                <w:sz w:val="20"/>
                <w:szCs w:val="20"/>
                <w:color w:val="auto"/>
              </w:rPr>
            </w:pPr>
            <w:r>
              <w:rPr>
                <w:rFonts w:ascii="Arial" w:cs="Arial" w:eastAsia="Arial" w:hAnsi="Arial"/>
                <w:sz w:val="18"/>
                <w:szCs w:val="18"/>
                <w:color w:val="auto"/>
              </w:rPr>
              <w:t>non-FTA countries</w:t>
            </w:r>
          </w:p>
        </w:tc>
        <w:tc>
          <w:tcPr>
            <w:tcW w:w="6540" w:type="dxa"/>
            <w:vAlign w:val="bottom"/>
          </w:tcPr>
          <w:p>
            <w:pPr>
              <w:ind w:left="1480"/>
              <w:spacing w:after="0"/>
              <w:rPr>
                <w:sz w:val="20"/>
                <w:szCs w:val="20"/>
                <w:color w:val="auto"/>
              </w:rPr>
            </w:pPr>
            <w:r>
              <w:rPr>
                <w:rFonts w:ascii="Arial" w:cs="Arial" w:eastAsia="Arial" w:hAnsi="Arial"/>
                <w:sz w:val="18"/>
                <w:szCs w:val="18"/>
                <w:color w:val="auto"/>
              </w:rPr>
              <w:t>countries without a free trade agreement providing for national</w:t>
            </w:r>
          </w:p>
        </w:tc>
      </w:tr>
      <w:tr>
        <w:trPr>
          <w:trHeight w:val="230"/>
        </w:trPr>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1480"/>
              <w:spacing w:after="0"/>
              <w:rPr>
                <w:sz w:val="20"/>
                <w:szCs w:val="20"/>
                <w:color w:val="auto"/>
              </w:rPr>
            </w:pPr>
            <w:r>
              <w:rPr>
                <w:rFonts w:ascii="Arial" w:cs="Arial" w:eastAsia="Arial" w:hAnsi="Arial"/>
                <w:sz w:val="18"/>
                <w:szCs w:val="18"/>
                <w:color w:val="auto"/>
                <w:w w:val="95"/>
              </w:rPr>
              <w:t>treatment for trade in natural gas and with which trade is permitted</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OPA</w:t>
            </w:r>
          </w:p>
        </w:tc>
        <w:tc>
          <w:tcPr>
            <w:tcW w:w="6540" w:type="dxa"/>
            <w:vAlign w:val="bottom"/>
          </w:tcPr>
          <w:p>
            <w:pPr>
              <w:ind w:left="1480"/>
              <w:spacing w:after="0"/>
              <w:rPr>
                <w:sz w:val="20"/>
                <w:szCs w:val="20"/>
                <w:color w:val="auto"/>
              </w:rPr>
            </w:pPr>
            <w:r>
              <w:rPr>
                <w:rFonts w:ascii="Arial" w:cs="Arial" w:eastAsia="Arial" w:hAnsi="Arial"/>
                <w:sz w:val="18"/>
                <w:szCs w:val="18"/>
                <w:color w:val="auto"/>
              </w:rPr>
              <w:t>Oil Pollution Act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OUR</w:t>
            </w:r>
          </w:p>
        </w:tc>
        <w:tc>
          <w:tcPr>
            <w:tcW w:w="6540" w:type="dxa"/>
            <w:vAlign w:val="bottom"/>
          </w:tcPr>
          <w:p>
            <w:pPr>
              <w:ind w:left="1480"/>
              <w:spacing w:after="0"/>
              <w:rPr>
                <w:sz w:val="20"/>
                <w:szCs w:val="20"/>
                <w:color w:val="auto"/>
              </w:rPr>
            </w:pPr>
            <w:r>
              <w:rPr>
                <w:rFonts w:ascii="Arial" w:cs="Arial" w:eastAsia="Arial" w:hAnsi="Arial"/>
                <w:sz w:val="18"/>
                <w:szCs w:val="18"/>
                <w:color w:val="auto"/>
              </w:rPr>
              <w:t>Office of Utilities Regulation (Jamaica)</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PHMSA</w:t>
            </w:r>
          </w:p>
        </w:tc>
        <w:tc>
          <w:tcPr>
            <w:tcW w:w="6540" w:type="dxa"/>
            <w:vAlign w:val="bottom"/>
          </w:tcPr>
          <w:p>
            <w:pPr>
              <w:ind w:left="148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PPA</w:t>
            </w:r>
          </w:p>
        </w:tc>
        <w:tc>
          <w:tcPr>
            <w:tcW w:w="6540" w:type="dxa"/>
            <w:vAlign w:val="bottom"/>
          </w:tcPr>
          <w:p>
            <w:pPr>
              <w:ind w:left="1480"/>
              <w:spacing w:after="0"/>
              <w:rPr>
                <w:sz w:val="20"/>
                <w:szCs w:val="20"/>
                <w:color w:val="auto"/>
              </w:rPr>
            </w:pPr>
            <w:r>
              <w:rPr>
                <w:rFonts w:ascii="Arial" w:cs="Arial" w:eastAsia="Arial" w:hAnsi="Arial"/>
                <w:sz w:val="18"/>
                <w:szCs w:val="18"/>
                <w:color w:val="auto"/>
              </w:rPr>
              <w:t>power purchase agreement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SSA</w:t>
            </w:r>
          </w:p>
        </w:tc>
        <w:tc>
          <w:tcPr>
            <w:tcW w:w="6540" w:type="dxa"/>
            <w:vAlign w:val="bottom"/>
          </w:tcPr>
          <w:p>
            <w:pPr>
              <w:ind w:left="1480"/>
              <w:spacing w:after="0"/>
              <w:rPr>
                <w:sz w:val="20"/>
                <w:szCs w:val="20"/>
                <w:color w:val="auto"/>
              </w:rPr>
            </w:pPr>
            <w:r>
              <w:rPr>
                <w:rFonts w:ascii="Arial" w:cs="Arial" w:eastAsia="Arial" w:hAnsi="Arial"/>
                <w:sz w:val="18"/>
                <w:szCs w:val="18"/>
                <w:color w:val="auto"/>
              </w:rPr>
              <w:t>steam supply agreement</w:t>
            </w:r>
          </w:p>
        </w:tc>
      </w:tr>
      <w:tr>
        <w:trPr>
          <w:trHeight w:val="472"/>
        </w:trPr>
        <w:tc>
          <w:tcPr>
            <w:tcW w:w="3020" w:type="dxa"/>
            <w:vAlign w:val="bottom"/>
            <w:gridSpan w:val="2"/>
          </w:tcPr>
          <w:p>
            <w:pPr>
              <w:spacing w:after="0"/>
              <w:rPr>
                <w:sz w:val="20"/>
                <w:szCs w:val="20"/>
                <w:color w:val="auto"/>
              </w:rPr>
            </w:pPr>
            <w:r>
              <w:rPr>
                <w:rFonts w:ascii="Arial" w:cs="Arial" w:eastAsia="Arial" w:hAnsi="Arial"/>
                <w:sz w:val="18"/>
                <w:szCs w:val="18"/>
                <w:color w:val="auto"/>
              </w:rPr>
              <w:t>TBtu</w:t>
            </w:r>
          </w:p>
        </w:tc>
        <w:tc>
          <w:tcPr>
            <w:tcW w:w="6540" w:type="dxa"/>
            <w:vAlign w:val="bottom"/>
          </w:tcPr>
          <w:p>
            <w:pPr>
              <w:ind w:left="1480"/>
              <w:spacing w:after="0"/>
              <w:rPr>
                <w:sz w:val="20"/>
                <w:szCs w:val="20"/>
                <w:color w:val="auto"/>
              </w:rPr>
            </w:pPr>
            <w:r>
              <w:rPr>
                <w:rFonts w:ascii="Arial" w:cs="Arial" w:eastAsia="Arial" w:hAnsi="Arial"/>
                <w:sz w:val="18"/>
                <w:szCs w:val="18"/>
                <w:color w:val="auto"/>
                <w:w w:val="97"/>
              </w:rPr>
              <w:t>one trillion Btus, which corresponds to approximately 12,100,000</w:t>
            </w:r>
          </w:p>
        </w:tc>
      </w:tr>
      <w:tr>
        <w:trPr>
          <w:trHeight w:val="230"/>
        </w:trPr>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1480"/>
              <w:spacing w:after="0"/>
              <w:rPr>
                <w:sz w:val="20"/>
                <w:szCs w:val="20"/>
                <w:color w:val="auto"/>
              </w:rPr>
            </w:pPr>
            <w:r>
              <w:rPr>
                <w:rFonts w:ascii="Arial" w:cs="Arial" w:eastAsia="Arial" w:hAnsi="Arial"/>
                <w:sz w:val="18"/>
                <w:szCs w:val="18"/>
                <w:color w:val="auto"/>
              </w:rPr>
              <w:t>LNG gallons</w:t>
            </w:r>
          </w:p>
        </w:tc>
      </w:tr>
      <w:tr>
        <w:trPr>
          <w:trHeight w:val="446"/>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ind w:left="1680"/>
              <w:spacing w:after="0"/>
              <w:rPr>
                <w:sz w:val="20"/>
                <w:szCs w:val="20"/>
                <w:color w:val="auto"/>
              </w:rPr>
            </w:pPr>
            <w:r>
              <w:rPr>
                <w:rFonts w:ascii="Arial" w:cs="Arial" w:eastAsia="Arial" w:hAnsi="Arial"/>
                <w:sz w:val="18"/>
                <w:szCs w:val="18"/>
                <w:color w:val="auto"/>
              </w:rPr>
              <w:t>iii</w:t>
            </w:r>
          </w:p>
        </w:tc>
      </w:tr>
      <w:tr>
        <w:trPr>
          <w:trHeight w:val="459"/>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5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6"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100" w:right="60" w:firstLine="360"/>
        <w:spacing w:after="0" w:line="270"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Because it is abbreviated, this summary does not contain all of the information that you should consider before investing in our Class A shares. While this summary highlights what we consider to be the most important information about us, you should read this entire prospectus carefully including, in particular, “Risk Factors,” “Forward-Looking Statements,” “Management’s Discussion and Analysis of Financial Condition and Results of Operations” and the consolidated financial statements and notes included elsewhere in this prospectus. The information presented in this prospectus assumes (i) an initial public offering price of $ per Class A share (the mid-point of the price range set forth on the cover page of this prospectus), (ii) unless otherwise indicated, that the underwriters’ option to purchase additional Class A shares is not exercised and (iii) excludes Class A shares reserved for issuance under our equity incentive plan. This summary is qualified in its entirety by the more detailed information and financial statements and notes thereto included elsewhere in this prospectus.</w:t>
      </w:r>
    </w:p>
    <w:p>
      <w:pPr>
        <w:spacing w:after="0" w:line="70"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i w:val="1"/>
          <w:iCs w:val="1"/>
          <w:color w:val="auto"/>
        </w:rPr>
        <w:t>Unless the context otherwise requires, references in this prospectus to “Company,” “NFE,” “we,” “our,” “us” or like terms refer to NFE Financial Holdings LLC and its subsidiaries. When used in a historical context, “our,” “us,” “we” or like terms refer to New Fortress Energy Holdings LLC, a Delaware limited liability company (“New Fortress Energy Holdings”), our predecessor for financial reporting purposes. References in this prospectus to “NFI” refer to New Fortress Intermediate LLC, which following the transactions discussed in this prospectus, will own our operating subsidiaries, including NFE Atlantic Holdings LLC (“NFE Atlantic”) as well as limited assets or liabilities of New Fortress Energy Holdings held prior to the completion of this offering. Upon the completion of this offering, we will own a controlling % membership interest in NFI (through our role as the sole managing member of NFI), and New Fortress Energy Holdings will own a non-controlling % membership interest in NFI. You should also see the “Glossary of Terms” for definitions of some of the terms we use to describe our business and industry and other terms used in this prospectus.</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NFE Financial Holdings LLC</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00" w:right="40" w:firstLine="360"/>
        <w:spacing w:after="0" w:line="276" w:lineRule="auto"/>
        <w:rPr>
          <w:sz w:val="20"/>
          <w:szCs w:val="20"/>
          <w:color w:val="auto"/>
        </w:rPr>
      </w:pPr>
      <w:r>
        <w:rPr>
          <w:rFonts w:ascii="Arial" w:cs="Arial" w:eastAsia="Arial" w:hAnsi="Arial"/>
          <w:sz w:val="17"/>
          <w:szCs w:val="17"/>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unique for the liquefied natural gas (“LNG”) industry. We aim to deliver targeted energy solutions to customers around the world, thereby reducing their energy costs and diversifying their energy resources, while also reducing pollution and generating compelling margins.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9" w:lineRule="exact"/>
        <w:rPr>
          <w:sz w:val="20"/>
          <w:szCs w:val="20"/>
          <w:color w:val="auto"/>
        </w:rPr>
      </w:pPr>
    </w:p>
    <w:p>
      <w:pPr>
        <w:ind w:left="100" w:right="40" w:firstLine="360"/>
        <w:spacing w:after="0" w:line="257"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two liquefiers in the Marcellus area of Pennsylvania, each of which is expected to have the capacity to produce approximately 3 to 4 million gallons of LNG (which is the equivalent of 250,000 to 350,000 MMBtu) per day, and intend to develop five or more additional liquefiers over the next five years.</w:t>
      </w:r>
    </w:p>
    <w:p>
      <w:pPr>
        <w:spacing w:after="0" w:line="80" w:lineRule="exact"/>
        <w:rPr>
          <w:sz w:val="20"/>
          <w:szCs w:val="20"/>
          <w:color w:val="auto"/>
        </w:rPr>
      </w:pPr>
    </w:p>
    <w:p>
      <w:pPr>
        <w:ind w:left="100" w:right="40" w:firstLine="360"/>
        <w:spacing w:after="0" w:line="286"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 We will own or control the logistics assets necessary to deliver LNG to our customers through our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Tanker trucks will transport LNG from our liquefiers to a port on the Delaware river for Marcellus sourced LNG or the Gulf of Mexico for Mid-Continent sourced LNG, at which LNG will be transloaded directly to large marine vessels.</w:t>
      </w:r>
    </w:p>
    <w:p>
      <w:pPr>
        <w:spacing w:after="0" w:line="57" w:lineRule="exact"/>
        <w:rPr>
          <w:sz w:val="20"/>
          <w:szCs w:val="20"/>
          <w:color w:val="auto"/>
        </w:rPr>
      </w:pPr>
    </w:p>
    <w:p>
      <w:pPr>
        <w:ind w:left="100" w:right="220" w:firstLine="360"/>
        <w:spacing w:after="0" w:line="264"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floating storage units (“FSUs”)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and smaller liquefied natural gas carriers (“LNGCs”). These assets transport LNG from port to our downstream terminals for ultimate delivery to our customers.</w:t>
      </w:r>
    </w:p>
    <w:p>
      <w:pPr>
        <w:spacing w:after="0" w:line="73" w:lineRule="exact"/>
        <w:rPr>
          <w:sz w:val="20"/>
          <w:szCs w:val="20"/>
          <w:color w:val="auto"/>
        </w:rPr>
      </w:pPr>
    </w:p>
    <w:p>
      <w:pPr>
        <w:ind w:left="100" w:right="60" w:firstLine="360"/>
        <w:spacing w:after="0" w:line="264"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power solutions to our customers seeking either to transition from environmentally dirtier distillate fuels such as ADO and heavy fuel oil (“HFO”) or to purchase natural gas to meet their current fuel needs.</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072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5072380"/>
                    </a:xfrm>
                    <a:prstGeom prst="rect">
                      <a:avLst/>
                    </a:prstGeom>
                    <a:noFill/>
                  </pic:spPr>
                </pic:pic>
              </a:graphicData>
            </a:graphic>
          </wp:anchor>
        </w:drawing>
      </w:r>
    </w:p>
    <w:p>
      <w:pPr>
        <w:spacing w:after="0" w:line="246" w:lineRule="exact"/>
        <w:rPr>
          <w:sz w:val="20"/>
          <w:szCs w:val="20"/>
          <w:color w:val="auto"/>
        </w:rPr>
      </w:pPr>
    </w:p>
    <w:p>
      <w:pPr>
        <w:ind w:left="100" w:firstLine="360"/>
        <w:spacing w:after="0" w:line="297" w:lineRule="auto"/>
        <w:rPr>
          <w:sz w:val="20"/>
          <w:szCs w:val="20"/>
          <w:color w:val="auto"/>
        </w:rPr>
      </w:pPr>
      <w:r>
        <w:rPr>
          <w:rFonts w:ascii="Arial" w:cs="Arial" w:eastAsia="Arial" w:hAnsi="Arial"/>
          <w:sz w:val="16"/>
          <w:szCs w:val="16"/>
          <w:color w:val="auto"/>
        </w:rPr>
        <w:t>We believe this compelling business model will generate average revenues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NFE’s Global Market Landscape</w:t>
      </w:r>
    </w:p>
    <w:p>
      <w:pPr>
        <w:spacing w:after="0" w:line="121" w:lineRule="exact"/>
        <w:rPr>
          <w:sz w:val="20"/>
          <w:szCs w:val="20"/>
          <w:color w:val="auto"/>
        </w:rPr>
      </w:pPr>
    </w:p>
    <w:p>
      <w:pPr>
        <w:ind w:left="100" w:firstLine="360"/>
        <w:spacing w:after="0" w:line="272"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left="100" w:right="80" w:firstLine="360"/>
        <w:spacing w:after="0" w:line="290" w:lineRule="auto"/>
        <w:rPr>
          <w:sz w:val="20"/>
          <w:szCs w:val="20"/>
          <w:color w:val="auto"/>
        </w:rPr>
      </w:pPr>
      <w:r>
        <w:rPr>
          <w:rFonts w:ascii="Arial" w:cs="Arial" w:eastAsia="Arial" w:hAnsi="Arial"/>
          <w:sz w:val="16"/>
          <w:szCs w:val="16"/>
          <w:color w:val="auto"/>
        </w:rPr>
        <w:t>Today over a billion people, or approximately 15%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Further, we believe that many countries around the world – keenly focused on economics as well as the environment – will increasingly look to natural gas to displace environmentally dirtier fuels such as HFO, ADO and coal that are used to generate power, particularly if natural gas is cheaper than these environmentally dirtier fuels. The market opportunity is immense.</w:t>
      </w:r>
    </w:p>
    <w:p>
      <w:pPr>
        <w:spacing w:after="0" w:line="58" w:lineRule="exact"/>
        <w:rPr>
          <w:sz w:val="20"/>
          <w:szCs w:val="20"/>
          <w:color w:val="auto"/>
        </w:rPr>
      </w:pPr>
    </w:p>
    <w:p>
      <w:pPr>
        <w:ind w:left="100" w:right="100" w:firstLine="360"/>
        <w:spacing w:after="0" w:line="272" w:lineRule="auto"/>
        <w:rPr>
          <w:sz w:val="20"/>
          <w:szCs w:val="20"/>
          <w:color w:val="auto"/>
        </w:rPr>
      </w:pPr>
      <w:r>
        <w:rPr>
          <w:rFonts w:ascii="Arial" w:cs="Arial" w:eastAsia="Arial" w:hAnsi="Arial"/>
          <w:sz w:val="17"/>
          <w:szCs w:val="17"/>
          <w:color w:val="auto"/>
        </w:rPr>
        <w:t>Liquefaction projects currently under construction are expected to come online by 2020. Afterward, LNG supply growth is expected to slow through 2025. According to the Shell 2018 LNG Outlook Report, from 2020 through 2025, LNG supply estimates are almost half that of demand expectations. By 2025, this equates to an addressable LNG market with over 450 mtpa (approximately 740 million gallons per day) of demand, which management estimates to represent a global market value of approximately $215 billion per annum. Based on this report, by 2025, we expect the shortfall in supply to be approximately 200 mtpa versus current operating plants and 100 mtpa versus projects under construction. This shortfall is the equivalent of approximately 50 to 100 liquefiers of similar capacity to one of our liquefiers in Pennsylvania.</w:t>
      </w:r>
    </w:p>
    <w:p>
      <w:pPr>
        <w:spacing w:after="0" w:line="70" w:lineRule="exact"/>
        <w:rPr>
          <w:sz w:val="20"/>
          <w:szCs w:val="20"/>
          <w:color w:val="auto"/>
        </w:rPr>
      </w:pPr>
    </w:p>
    <w:p>
      <w:pPr>
        <w:ind w:left="100" w:right="20" w:firstLine="360"/>
        <w:spacing w:after="0" w:line="259" w:lineRule="auto"/>
        <w:rPr>
          <w:sz w:val="20"/>
          <w:szCs w:val="20"/>
          <w:color w:val="auto"/>
        </w:rPr>
      </w:pPr>
      <w:r>
        <w:rPr>
          <w:rFonts w:ascii="Arial" w:cs="Arial" w:eastAsia="Arial" w:hAnsi="Arial"/>
          <w:sz w:val="18"/>
          <w:szCs w:val="18"/>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64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2825" cy="686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EIA World Shale Gas Resource Assessment Reports</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2015 International Energy Agency Report</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00" w:firstLine="360"/>
        <w:spacing w:after="0" w:line="293"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Our goal is to purchase gas, liquefy it, and transport it to one of our Terminals (as defined herein) at a cost of approximately $4.20 per MMBtu or less (before owner’s costs such as marketing and administrative costs, financing costs and contingencies). We expect that much of this gas – our goal is substantially all of it – will be sold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$8.00 to $12.00 per MMBtu, depending on the size of cargoes purchased. For contracted delivery, assuming the costs and sales prices described above, we seek to earn a margin of $4.30 per MMBtu, or $0.36 per gallon, which would equal a margin of 40% or more, on our gas sales. For spot sales, we seek to earn an attractive margin by adjusting our sales price based on current market rates. Our operations, which are currently conducted at our LNG storage and regasification terminal at the Port of Montego Bay, Jamaica (the “Montego Bay Terminal”) and at our own liquefaction, storage and production facility in Miami, Florida (the “Miami Facility”), are currently generating revenue on sales of approximately 400,000 gallons of LNG (33,000 MMBtu) per day. We have contracts, letters of intent or expect to secure contracts in the near term to sell LNG volumes in excess of 8.3 million gallons (685,000 MMBtu) per day. We are in active discussions with additional customers who may have significant demand for additional LNG, and our ambition is to aggressively grow our customer portfolio.</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Terminals</w:t>
      </w:r>
    </w:p>
    <w:p>
      <w:pPr>
        <w:spacing w:after="0" w:line="121" w:lineRule="exact"/>
        <w:rPr>
          <w:sz w:val="20"/>
          <w:szCs w:val="20"/>
          <w:color w:val="auto"/>
        </w:rPr>
      </w:pPr>
    </w:p>
    <w:p>
      <w:pPr>
        <w:ind w:left="100" w:right="160" w:firstLine="360"/>
        <w:spacing w:after="0" w:line="277" w:lineRule="auto"/>
        <w:rPr>
          <w:sz w:val="20"/>
          <w:szCs w:val="20"/>
          <w:color w:val="auto"/>
        </w:rPr>
      </w:pPr>
      <w:r>
        <w:rPr>
          <w:rFonts w:ascii="Arial" w:cs="Arial" w:eastAsia="Arial" w:hAnsi="Arial"/>
          <w:sz w:val="18"/>
          <w:szCs w:val="18"/>
          <w:color w:val="auto"/>
        </w:rPr>
        <w:t>Downstream, we have five terminals operational or under development. Our terminals will position us to access customers in a number of attractive markets around the world.</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42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2825" cy="724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 w:right="40" w:firstLine="360"/>
        <w:spacing w:after="0" w:line="259"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left="100" w:right="80" w:firstLine="360"/>
        <w:spacing w:after="0" w:line="276" w:lineRule="auto"/>
        <w:rPr>
          <w:sz w:val="20"/>
          <w:szCs w:val="20"/>
          <w:color w:val="auto"/>
        </w:rPr>
      </w:pPr>
      <w:r>
        <w:rPr>
          <w:rFonts w:ascii="Arial" w:cs="Arial" w:eastAsia="Arial" w:hAnsi="Arial"/>
          <w:sz w:val="17"/>
          <w:szCs w:val="17"/>
          <w:color w:val="auto"/>
        </w:rPr>
        <w:t>We currently have five terminals, which are either operational or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64"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i w:val="1"/>
          <w:iCs w:val="1"/>
          <w:color w:val="auto"/>
        </w:rPr>
        <w:t xml:space="preserve">Montego Bay, Jamaica – </w:t>
      </w:r>
      <w:r>
        <w:rPr>
          <w:rFonts w:ascii="Arial" w:cs="Arial" w:eastAsia="Arial" w:hAnsi="Arial"/>
          <w:sz w:val="16"/>
          <w:szCs w:val="16"/>
          <w:color w:val="auto"/>
        </w:rPr>
        <w:t>Our Montego Bay Terminal commenced commercial operations in October 2016. The terminal is</w:t>
      </w:r>
      <w:r>
        <w:rPr>
          <w:rFonts w:ascii="Arial" w:cs="Arial" w:eastAsia="Arial" w:hAnsi="Arial"/>
          <w:sz w:val="16"/>
          <w:szCs w:val="16"/>
          <w:i w:val="1"/>
          <w:iCs w:val="1"/>
          <w:color w:val="auto"/>
        </w:rPr>
        <w:t xml:space="preserve"> </w:t>
      </w:r>
      <w:r>
        <w:rPr>
          <w:rFonts w:ascii="Arial" w:cs="Arial" w:eastAsia="Arial" w:hAnsi="Arial"/>
          <w:sz w:val="16"/>
          <w:szCs w:val="16"/>
          <w:color w:val="auto"/>
        </w:rPr>
        <w:t>capable of processing up to 740,000 LNG gallons (61,000 MMBtu) per day. It supplies natural gas to 145MW turbines at the power plant operated by Jamaican Public Service Company Limited (“JPS”) pursuant to a long-term take-or-pay contract for natural gas equivalent to approximately 300,000 gallons of LNG (25,000 MMBtu) per day. The Montego Bay Terminal also supplies several on-island industrial users with natural gas or LNG pursuant to other long-term take-or-pay contracts. Our Montego Bay Terminal is currently operating at 36%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58" w:lineRule="exact"/>
        <w:rPr>
          <w:sz w:val="20"/>
          <w:szCs w:val="20"/>
          <w:color w:val="auto"/>
        </w:rPr>
      </w:pPr>
    </w:p>
    <w:p>
      <w:pPr>
        <w:ind w:left="100" w:right="80" w:firstLine="360"/>
        <w:spacing w:after="0" w:line="291" w:lineRule="auto"/>
        <w:rPr>
          <w:sz w:val="20"/>
          <w:szCs w:val="20"/>
          <w:color w:val="auto"/>
        </w:rPr>
      </w:pPr>
      <w:r>
        <w:rPr>
          <w:rFonts w:ascii="Arial" w:cs="Arial" w:eastAsia="Arial" w:hAnsi="Arial"/>
          <w:sz w:val="16"/>
          <w:szCs w:val="16"/>
          <w:i w:val="1"/>
          <w:iCs w:val="1"/>
          <w:color w:val="auto"/>
        </w:rPr>
        <w:t xml:space="preserve">Old Harbour, Jamaica – </w:t>
      </w:r>
      <w:r>
        <w:rPr>
          <w:rFonts w:ascii="Arial" w:cs="Arial" w:eastAsia="Arial" w:hAnsi="Arial"/>
          <w:sz w:val="16"/>
          <w:szCs w:val="16"/>
          <w:color w:val="auto"/>
        </w:rPr>
        <w:t>Our marine LNG storage and regasification terminal in Old Harbour, Jamaica (the “Old Harbour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and, together with the Montego Bay Terminal, the “Jamaica Terminals”) is substantially complete and expected to commence commercial operations in the first quarter 2019. It is capable of processing approximately 6 million gallons of LNG (500,000 MMBtu) per day. The Old Harbour Terminal is expected to supply gas to a new 190MW Old Harbour power plant (the “Old Harbour Power Plant”) operated by South Jamaica Power Company Limited (“JPC”) pursuant to a long-term take-or-pay contract for natural gas equivalent to approximately 400,000 gallons of LNG (33,000 MMBtu) per day. We also expect the Old Harbour Terminal to supply gas to a new 100MW power plant that we are constructing, and, subject to agreement on</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138" w:lineRule="exact"/>
        <w:rPr>
          <w:sz w:val="20"/>
          <w:szCs w:val="20"/>
          <w:color w:val="auto"/>
        </w:rPr>
      </w:pPr>
    </w:p>
    <w:p>
      <w:pPr>
        <w:ind w:left="100" w:right="20"/>
        <w:spacing w:after="0" w:line="255" w:lineRule="auto"/>
        <w:rPr>
          <w:sz w:val="20"/>
          <w:szCs w:val="20"/>
          <w:color w:val="auto"/>
        </w:rPr>
      </w:pPr>
      <w:r>
        <w:rPr>
          <w:rFonts w:ascii="Arial" w:cs="Arial" w:eastAsia="Arial" w:hAnsi="Arial"/>
          <w:sz w:val="18"/>
          <w:szCs w:val="18"/>
          <w:color w:val="auto"/>
        </w:rPr>
        <w:t>terms, to the alumina refinery operated by Jamalco, an entity owned by the government of Jamaica with a focus on bauxite mining and alumina production in Jamaica.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85" w:lineRule="exact"/>
        <w:rPr>
          <w:sz w:val="20"/>
          <w:szCs w:val="20"/>
          <w:color w:val="auto"/>
        </w:rPr>
      </w:pPr>
    </w:p>
    <w:p>
      <w:pPr>
        <w:ind w:left="100" w:right="20" w:firstLine="360"/>
        <w:spacing w:after="0" w:line="253" w:lineRule="auto"/>
        <w:rPr>
          <w:sz w:val="20"/>
          <w:szCs w:val="20"/>
          <w:color w:val="auto"/>
        </w:rPr>
      </w:pPr>
      <w:r>
        <w:rPr>
          <w:rFonts w:ascii="Arial" w:cs="Arial" w:eastAsia="Arial" w:hAnsi="Arial"/>
          <w:sz w:val="18"/>
          <w:szCs w:val="18"/>
          <w:i w:val="1"/>
          <w:iCs w:val="1"/>
          <w:color w:val="auto"/>
        </w:rPr>
        <w:t xml:space="preserve">San Juan, Puerto Rico </w:t>
      </w:r>
      <w:r>
        <w:rPr>
          <w:rFonts w:ascii="Arial" w:cs="Arial" w:eastAsia="Arial" w:hAnsi="Arial"/>
          <w:sz w:val="18"/>
          <w:szCs w:val="18"/>
          <w:color w:val="auto"/>
        </w:rPr>
        <w:t>– Our San Juan facility is currently under construction and is expected to commence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second quarter 2019. It is designed as a landed multi-fuel handling facility located in the Port of San Juan, Puerto Rico, with floating LNG storage from a small LNGC vessel (the “San Juan Facility”). The San Juan Facility is being constructed with multiple truck loading bays to provide gas to on-island industrial users. In addition, we have submitted a proposal to the Puerto Rico Electric Power Authority (“PREPA”) to convert and supply natural gas to Units 5 and 6 of the San Juan Combined Cycle Power Plant – which have a capacity of 440MW. The power plant is currently running on diesel, and we plan to convert the power plant to run on natural gas and fuel approximately 25 TBtu of natural gas per year directly from the terminal, which would equal approximately 850,000 gallons of LNG (70,000 MMBtu) per day. The conversion to natural gas would allow the PREPA to realize significant, recurring annual cost savings while also using a more sustainable, environmentally friendly form of energy.</w:t>
      </w:r>
    </w:p>
    <w:p>
      <w:pPr>
        <w:spacing w:after="0" w:line="87" w:lineRule="exact"/>
        <w:rPr>
          <w:sz w:val="20"/>
          <w:szCs w:val="20"/>
          <w:color w:val="auto"/>
        </w:rPr>
      </w:pPr>
    </w:p>
    <w:p>
      <w:pPr>
        <w:ind w:left="100" w:right="140" w:firstLine="360"/>
        <w:spacing w:after="0" w:line="291" w:lineRule="auto"/>
        <w:rPr>
          <w:sz w:val="20"/>
          <w:szCs w:val="20"/>
          <w:color w:val="auto"/>
        </w:rPr>
      </w:pPr>
      <w:r>
        <w:rPr>
          <w:rFonts w:ascii="Arial" w:cs="Arial" w:eastAsia="Arial" w:hAnsi="Arial"/>
          <w:sz w:val="16"/>
          <w:szCs w:val="16"/>
          <w:i w:val="1"/>
          <w:iCs w:val="1"/>
          <w:color w:val="auto"/>
        </w:rPr>
        <w:t xml:space="preserve">La Paz, Baja California Sur, Mexico </w:t>
      </w:r>
      <w:r>
        <w:rPr>
          <w:rFonts w:ascii="Arial" w:cs="Arial" w:eastAsia="Arial" w:hAnsi="Arial"/>
          <w:sz w:val="16"/>
          <w:szCs w:val="16"/>
          <w:color w:val="auto"/>
        </w:rPr>
        <w:t>– Our La Paz terminal is currently under development and is expected to commence</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operations in October 2019. It is being designed as an LNG receiving terminal located at the Port of Pichilingue in Baja California Sur, Mexico, where LNG will be delivered via a small LNGC vessel or barge (the “La Paz Terminal”). Initially, the La Paz Terminal will supply approximately 225,000 gallons of LNG (18,000 MMBtu) per day for a 94MW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80MW Los Cabos power plant, as well as regional industrial users such as ferries and hotels.</w:t>
      </w:r>
    </w:p>
    <w:p>
      <w:pPr>
        <w:spacing w:after="0" w:line="59"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i w:val="1"/>
          <w:iCs w:val="1"/>
          <w:color w:val="auto"/>
        </w:rPr>
        <w:t xml:space="preserve">Shannon, Ireland </w:t>
      </w:r>
      <w:r>
        <w:rPr>
          <w:rFonts w:ascii="Arial" w:cs="Arial" w:eastAsia="Arial" w:hAnsi="Arial"/>
          <w:sz w:val="17"/>
          <w:szCs w:val="17"/>
          <w:color w:val="auto"/>
        </w:rPr>
        <w:t>– Our Ireland terminal is currently under development and is expected to commence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fourth quarter 2020. We intend this terminal to include a floating storage facility with onshore regasification equipment and pipeline connection into Gas Networks Ireland’s distribution system (the “Ireland Terminal” and, together with the Jamaica Terminals, the San Juan Facility and the La Paz Terminal, our “Terminals”). We plan to deliver LNG to the terminal via a traditional size LNGC and offload it into the FSU moored at the dock.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are currently developing two liquefaction facilities in Pennsylvania (our “Pennsylvania Facilities”) – with one already developed — and plan to develop five or more additional liquefaction facilities over the next five years.</w:t>
      </w:r>
    </w:p>
    <w:p>
      <w:pPr>
        <w:spacing w:after="0" w:line="73" w:lineRule="exact"/>
        <w:rPr>
          <w:sz w:val="20"/>
          <w:szCs w:val="20"/>
          <w:color w:val="auto"/>
        </w:rPr>
      </w:pPr>
    </w:p>
    <w:p>
      <w:pPr>
        <w:ind w:left="100" w:right="60" w:firstLine="360"/>
        <w:spacing w:after="0" w:line="255" w:lineRule="auto"/>
        <w:rPr>
          <w:sz w:val="20"/>
          <w:szCs w:val="20"/>
          <w:color w:val="auto"/>
        </w:rPr>
      </w:pPr>
      <w:r>
        <w:rPr>
          <w:rFonts w:ascii="Arial" w:cs="Arial" w:eastAsia="Arial" w:hAnsi="Arial"/>
          <w:sz w:val="18"/>
          <w:szCs w:val="18"/>
          <w:color w:val="auto"/>
        </w:rPr>
        <w:t>We believe that, by building smaller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This is considerably more cost-effective than the industry’s published liquefaction costs, which range from $511 to $867 per ton excluding ancillary infrastructure. Each of our liquefaction facilities is anticipated to produce between 3-4 million gallons of LNG (250,000 – 330,000 MMBtu) per day, or between 1.75 – 2.5 mtpa, of LNG.</w:t>
      </w:r>
    </w:p>
    <w:p>
      <w:pPr>
        <w:spacing w:after="0" w:line="81" w:lineRule="exact"/>
        <w:rPr>
          <w:sz w:val="20"/>
          <w:szCs w:val="20"/>
          <w:color w:val="auto"/>
        </w:rPr>
      </w:pPr>
    </w:p>
    <w:p>
      <w:pPr>
        <w:jc w:val="both"/>
        <w:ind w:left="100" w:right="100" w:firstLine="360"/>
        <w:spacing w:after="0" w:line="259" w:lineRule="auto"/>
        <w:rPr>
          <w:sz w:val="20"/>
          <w:szCs w:val="20"/>
          <w:color w:val="auto"/>
        </w:rPr>
      </w:pPr>
      <w:r>
        <w:rPr>
          <w:rFonts w:ascii="Arial" w:cs="Arial" w:eastAsia="Arial" w:hAnsi="Arial"/>
          <w:sz w:val="18"/>
          <w:szCs w:val="18"/>
          <w:color w:val="auto"/>
        </w:rPr>
        <w:t>We are in advanced stages of the design, development and permitting for our first Pennsylvania Facility, and we expect it to be substantially complete in the fourth quarter of 2020. We expect our first Pennsylvania Facility to have the capacity to liquefy 3-4 million gallons of LNG (250,000 – 330,000 MMBtu) per day. We have already entered into a 15-year contract to acquire all of the feedgas needed to operate our first Pennsylvania</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483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2825" cy="5483860"/>
                    </a:xfrm>
                    <a:prstGeom prst="rect">
                      <a:avLst/>
                    </a:prstGeom>
                    <a:noFill/>
                  </pic:spPr>
                </pic:pic>
              </a:graphicData>
            </a:graphic>
          </wp:anchor>
        </w:drawing>
      </w:r>
    </w:p>
    <w:p>
      <w:pPr>
        <w:spacing w:after="0" w:line="138" w:lineRule="exact"/>
        <w:rPr>
          <w:sz w:val="20"/>
          <w:szCs w:val="20"/>
          <w:color w:val="auto"/>
        </w:rPr>
      </w:pPr>
    </w:p>
    <w:p>
      <w:pPr>
        <w:ind w:left="100" w:right="140"/>
        <w:spacing w:after="0" w:line="272" w:lineRule="auto"/>
        <w:rPr>
          <w:sz w:val="20"/>
          <w:szCs w:val="20"/>
          <w:color w:val="auto"/>
        </w:rPr>
      </w:pPr>
      <w:r>
        <w:rPr>
          <w:rFonts w:ascii="Arial" w:cs="Arial" w:eastAsia="Arial" w:hAnsi="Arial"/>
          <w:sz w:val="17"/>
          <w:szCs w:val="17"/>
          <w:color w:val="auto"/>
        </w:rPr>
        <w:t>Facility at capacity, with pricing that is generally fixed at $2.50 per MMBtu. Once LNG is produced at this facility, a dedicated tanker truck fleet will transport the LNG to a nearby port. We are currently developing plans with a suitable port along the Delaware river, and we expect to finalize a long-term contract prior to the completion of this offering. Under these plans, we expect that LNG will be transferred directly from tanker truck to marine vessel through multiple transloading bays, allowing for simultaneous and continuous operations. From there, our dedicated fleet of marine vessels will be able to transport the LNG to our Terminals and then on to our customers. We are also in the process of developing our second Pennsylvania Facility and expect to begin commercial operations in the second quarter of 2021.</w:t>
      </w:r>
    </w:p>
    <w:p>
      <w:pPr>
        <w:spacing w:after="0" w:line="70"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In addition, we aim to develop in-basin liquefaction facilities in the Haynesville Shale region of the Southeastern United States (the “Haynesville Facilities” and, together with the Pennsylvania Facilities and the Miami Facility, the “Liquefaction Facilities”) and then transport this LNG to one or more nearby terminals located on the Gulf of Mexico. We are currently working with a major gas feedstock supplier to execute a gas supply agreement to provide sufficient gas for two 3.6 million gallon (300,000 MMBtu) per day liquefiers in the Haynesville Shale region. We expect to construct each liquefaction facility for a total cost (including ancillary logistics infrastructure) of approximately $800 million, which implies an anticipated cost of LNG production of approximately $370 per ton.</w:t>
      </w:r>
    </w:p>
    <w:p>
      <w:pPr>
        <w:spacing w:after="0" w:line="81" w:lineRule="exact"/>
        <w:rPr>
          <w:sz w:val="20"/>
          <w:szCs w:val="20"/>
          <w:color w:val="auto"/>
        </w:rPr>
      </w:pPr>
    </w:p>
    <w:p>
      <w:pPr>
        <w:ind w:left="100" w:right="120" w:firstLine="360"/>
        <w:spacing w:after="0" w:line="271" w:lineRule="auto"/>
        <w:rPr>
          <w:sz w:val="20"/>
          <w:szCs w:val="20"/>
          <w:color w:val="auto"/>
        </w:rPr>
      </w:pPr>
      <w:r>
        <w:rPr>
          <w:rFonts w:ascii="Arial" w:cs="Arial" w:eastAsia="Arial" w:hAnsi="Arial"/>
          <w:sz w:val="17"/>
          <w:szCs w:val="17"/>
          <w:color w:val="auto"/>
        </w:rPr>
        <w:t>Pending completion and commissioning of our liquefiers in development, we expect to continue to supply our downstream customers with LNG and natural gas sourced from a combination of our Miami Facility and purchases of LNG on the open market. We constructed the Miami Facility, which commenced commercial operations in 2016, in under 12 months. We are drawing on this experience to optimize the development of our Pennsylvania Facilities and Haynesville Facilities. The Miami Facility employs what we believe is one of the largest ISO container fleets in the world. It has one liquefaction train, with liquefaction production capacity of approximately 100,000 gallons of LNG (8,300 MMBtu) per day. The facility also has three LNG storage tanks, with total capacity of approximately 270,000 gallons (22,000 MMBtu). The plant also includes two separate LNG transfer areas capable of serving both truck and rail.</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00" w:right="60" w:firstLine="360"/>
        <w:spacing w:after="0" w:line="312"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39" w:lineRule="exact"/>
        <w:rPr>
          <w:sz w:val="20"/>
          <w:szCs w:val="20"/>
          <w:color w:val="auto"/>
        </w:rPr>
      </w:pPr>
    </w:p>
    <w:p>
      <w:pPr>
        <w:ind w:left="100" w:right="80" w:firstLine="360"/>
        <w:spacing w:after="0" w:line="279" w:lineRule="auto"/>
        <w:rPr>
          <w:sz w:val="20"/>
          <w:szCs w:val="20"/>
          <w:color w:val="auto"/>
        </w:rPr>
      </w:pPr>
      <w:r>
        <w:rPr>
          <w:rFonts w:ascii="Arial" w:cs="Arial" w:eastAsia="Arial" w:hAnsi="Arial"/>
          <w:sz w:val="17"/>
          <w:szCs w:val="17"/>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In general, the better the credit and larger the size of the user, the lower the contract price of our fuel.</w:t>
      </w:r>
    </w:p>
    <w:p>
      <w:pPr>
        <w:spacing w:after="0" w:line="63" w:lineRule="exact"/>
        <w:rPr>
          <w:sz w:val="20"/>
          <w:szCs w:val="20"/>
          <w:color w:val="auto"/>
        </w:rPr>
      </w:pPr>
    </w:p>
    <w:p>
      <w:pPr>
        <w:ind w:left="100" w:right="180" w:firstLine="360"/>
        <w:spacing w:after="0" w:line="276" w:lineRule="auto"/>
        <w:rPr>
          <w:sz w:val="20"/>
          <w:szCs w:val="20"/>
          <w:color w:val="auto"/>
        </w:rPr>
      </w:pPr>
      <w:r>
        <w:rPr>
          <w:rFonts w:ascii="Arial" w:cs="Arial" w:eastAsia="Arial" w:hAnsi="Arial"/>
          <w:sz w:val="17"/>
          <w:szCs w:val="17"/>
          <w:color w:val="auto"/>
        </w:rPr>
        <w:t>To date, we have contracts, letters of intent or expect to secure contracts in the near term to sell LNG volumes in excess of 8.3 million gallons (685,000 MMBtu) per day. Our operations, which are currently conducted primarily at our Montego Bay Terminal and at our Miami Facility, are currently generating revenue from sales of approximately 400,000 gallons (33,000 MMBtu) per day. Our ambition is to continue to aggressively grow this customer portfolio. We are in active discussions with additional customers who may have significant demand for additional LNG.</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67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2825" cy="756793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Illustrative LNG Production and Natural Gas Sale Economics</w:t>
      </w:r>
    </w:p>
    <w:p>
      <w:pPr>
        <w:spacing w:after="0" w:line="121" w:lineRule="exact"/>
        <w:rPr>
          <w:sz w:val="20"/>
          <w:szCs w:val="20"/>
          <w:color w:val="auto"/>
        </w:rPr>
      </w:pPr>
    </w:p>
    <w:p>
      <w:pPr>
        <w:ind w:left="100" w:right="60" w:firstLine="360"/>
        <w:spacing w:after="0" w:line="257" w:lineRule="auto"/>
        <w:rPr>
          <w:sz w:val="20"/>
          <w:szCs w:val="20"/>
          <w:color w:val="auto"/>
        </w:rPr>
      </w:pPr>
      <w:r>
        <w:rPr>
          <w:rFonts w:ascii="Arial" w:cs="Arial" w:eastAsia="Arial" w:hAnsi="Arial"/>
          <w:sz w:val="18"/>
          <w:szCs w:val="18"/>
          <w:color w:val="auto"/>
        </w:rPr>
        <w:t>We believe our combination of low-cost LNG production and contracted downstream offtake should result in compelling economics, both on a per-unit and an aggregate basis. Assuming revenue of approximately $10.00 per MMBtu and the successful execution of our Terminals and increased customer contracts, we aim to achieve unit economics in 2022 of approximately $4.30 per MMBtu. If achieved, this would equate to $0.36 per LNG gallon, or a margin of 40% or more, as illustrated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right="180" w:hanging="353"/>
        <w:spacing w:after="0" w:line="273"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our expected average total revenue per unit for gas sales inclusive of the return on capital expenditures we incur to construct the infrastructure and logistics supply chain to deliver gas to our customers.</w:t>
      </w:r>
    </w:p>
    <w:p>
      <w:pPr>
        <w:spacing w:after="0" w:line="65" w:lineRule="exact"/>
        <w:rPr>
          <w:rFonts w:ascii="Arial" w:cs="Arial" w:eastAsia="Arial" w:hAnsi="Arial"/>
          <w:sz w:val="14"/>
          <w:szCs w:val="14"/>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costs to purchase natural gas feedstock under our 15-year, take-or-pay gas supply contract.</w:t>
      </w:r>
    </w:p>
    <w:p>
      <w:pPr>
        <w:spacing w:after="0" w:line="109" w:lineRule="exact"/>
        <w:rPr>
          <w:rFonts w:ascii="Arial" w:cs="Arial" w:eastAsia="Arial" w:hAnsi="Arial"/>
          <w:sz w:val="14"/>
          <w:szCs w:val="14"/>
          <w:color w:val="auto"/>
        </w:rPr>
      </w:pPr>
    </w:p>
    <w:p>
      <w:pPr>
        <w:ind w:left="460" w:right="100" w:hanging="353"/>
        <w:spacing w:after="0" w:line="257"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expenses for (i) gathering and pipeline transportation of natural gas feedstock to our Pennsylvania Facilities, (ii) liquefaction of natural gas into LNG at our Pennsylvania Facilities, (iii) transportation of LNG from our Pennsylvania Facilities to marine export terminals and (iv) costs to store LNG at the export terminals pending delivery.</w:t>
      </w:r>
    </w:p>
    <w:p>
      <w:pPr>
        <w:spacing w:after="0" w:line="77" w:lineRule="exact"/>
        <w:rPr>
          <w:rFonts w:ascii="Arial" w:cs="Arial" w:eastAsia="Arial" w:hAnsi="Arial"/>
          <w:sz w:val="14"/>
          <w:szCs w:val="14"/>
          <w:color w:val="auto"/>
        </w:rPr>
      </w:pPr>
    </w:p>
    <w:p>
      <w:pPr>
        <w:ind w:left="460" w:right="180" w:hanging="353"/>
        <w:spacing w:after="0" w:line="273"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(i) shipping and charter expenses to transport LNG from marine ports to the location of end users and (ii) terminal and storage expenses at the location of delivery, in each case estimated based on our current costs in Jamaica.</w:t>
      </w:r>
    </w:p>
    <w:p>
      <w:pPr>
        <w:spacing w:after="0" w:line="65" w:lineRule="exact"/>
        <w:rPr>
          <w:rFonts w:ascii="Arial" w:cs="Arial" w:eastAsia="Arial" w:hAnsi="Arial"/>
          <w:sz w:val="14"/>
          <w:szCs w:val="14"/>
          <w:color w:val="auto"/>
        </w:rPr>
      </w:pPr>
    </w:p>
    <w:p>
      <w:pPr>
        <w:ind w:left="460" w:hanging="353"/>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(i) expenses to regasify LNG and (ii) compensation, general and administrative costs, estimated based on our current costs in Jamaica.</w:t>
      </w:r>
    </w:p>
    <w:p>
      <w:pPr>
        <w:spacing w:after="0" w:line="112"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color w:val="auto"/>
        </w:rPr>
        <w:t>The graphic above is for illustrative purposes only and is not representative of our historical or projected financial results and does not purport to be an accurate representation of our actual economics. The illustrative economics above do not represent all of our expenses or revenues; for example, expenses and revenues associated with our Miami operations are not represented. You are cautioned to review our historical results of operations for any detail related to our operating revenues and expenses for historical periods. These illustrative economics are based on assumptions specific to our operations in Jamaica and developments in Puerto Rico, Ireland and Mexico and estimated liquefaction of natural gas at our Pennsylvania Facilities or the Haynesville Facilities, which are under construction or our Terminals under development. There can be no assurance that we will complete the Pennsylvania Facilities or the Haynesville Facilities or, if completed, that they will operate as described in this prospectus. We cannot guarantee that we will achieve similar results in the future or in other geographic areas. All of our assumptions and estimates with respect to the unit economics shown above are</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56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2825" cy="6856095"/>
                    </a:xfrm>
                    <a:prstGeom prst="rect">
                      <a:avLst/>
                    </a:prstGeom>
                    <a:noFill/>
                  </pic:spPr>
                </pic:pic>
              </a:graphicData>
            </a:graphic>
          </wp:anchor>
        </w:drawing>
      </w:r>
    </w:p>
    <w:p>
      <w:pPr>
        <w:spacing w:after="0" w:line="138" w:lineRule="exact"/>
        <w:rPr>
          <w:sz w:val="20"/>
          <w:szCs w:val="20"/>
          <w:color w:val="auto"/>
        </w:rPr>
      </w:pPr>
    </w:p>
    <w:p>
      <w:pPr>
        <w:jc w:val="both"/>
        <w:ind w:left="100" w:right="280"/>
        <w:spacing w:after="0" w:line="312" w:lineRule="auto"/>
        <w:rPr>
          <w:sz w:val="20"/>
          <w:szCs w:val="20"/>
          <w:color w:val="auto"/>
        </w:rPr>
      </w:pPr>
      <w:r>
        <w:rPr>
          <w:rFonts w:ascii="Arial" w:cs="Arial" w:eastAsia="Arial" w:hAnsi="Arial"/>
          <w:sz w:val="16"/>
          <w:szCs w:val="16"/>
          <w:color w:val="auto"/>
        </w:rPr>
        <w:t>speculative in nature and based on the assumptions set forth above, which may prove to be inaccurate. Significant changes in commodity prices, delays in construction of any of the Pennsylvania Facilities or Haynesville Facilities or other disruptions at any of our facilities could cause actual results to materially differ from the illustration above. Please read “Risk Factors.”</w:t>
      </w:r>
    </w:p>
    <w:p>
      <w:pPr>
        <w:spacing w:after="0" w:line="39" w:lineRule="exact"/>
        <w:rPr>
          <w:sz w:val="20"/>
          <w:szCs w:val="20"/>
          <w:color w:val="auto"/>
        </w:rPr>
      </w:pPr>
    </w:p>
    <w:p>
      <w:pPr>
        <w:ind w:left="100" w:right="60" w:firstLine="360"/>
        <w:spacing w:after="0" w:line="259" w:lineRule="auto"/>
        <w:rPr>
          <w:sz w:val="20"/>
          <w:szCs w:val="20"/>
          <w:color w:val="auto"/>
        </w:rPr>
      </w:pPr>
      <w:r>
        <w:rPr>
          <w:rFonts w:ascii="Arial" w:cs="Arial" w:eastAsia="Arial" w:hAnsi="Arial"/>
          <w:sz w:val="18"/>
          <w:szCs w:val="18"/>
          <w:color w:val="auto"/>
        </w:rPr>
        <w:t>If we achieve $4.30/MMBtu unit economics and are able to construct each of our planned liquefiers for approximately $800 million (which would equate to a production cost of LNG of approximately $374 per ton), and assuming we are able to sell the full liquefier production of 3.6 million gallons to customers, our resulting Operating EBITDA potentially generated by each liquefier could be approximately $500 million.</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21" w:lineRule="exact"/>
        <w:rPr>
          <w:sz w:val="20"/>
          <w:szCs w:val="20"/>
          <w:color w:val="auto"/>
        </w:rPr>
      </w:pPr>
    </w:p>
    <w:p>
      <w:pPr>
        <w:ind w:left="100" w:right="60" w:firstLine="360"/>
        <w:spacing w:after="0" w:line="312" w:lineRule="auto"/>
        <w:rPr>
          <w:sz w:val="20"/>
          <w:szCs w:val="20"/>
          <w:color w:val="auto"/>
        </w:rPr>
      </w:pPr>
      <w:r>
        <w:rPr>
          <w:rFonts w:ascii="Arial" w:cs="Arial" w:eastAsia="Arial" w:hAnsi="Arial"/>
          <w:sz w:val="16"/>
          <w:szCs w:val="16"/>
          <w:color w:val="auto"/>
        </w:rPr>
        <w:t>As the world continues to electrify and demand for power grows, we believe that countries will continue to look to natural gas as a viable, efficient, cost-efficient and more environmentally friendly fuel. With a potential 3.75 billion LNG-gallon-per-day addressable market created by this increased power demand, we see multiple opportunities for our business to grow.</w:t>
      </w:r>
    </w:p>
    <w:p>
      <w:pPr>
        <w:spacing w:after="0" w:line="39"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i w:val="1"/>
          <w:iCs w:val="1"/>
          <w:color w:val="auto"/>
        </w:rPr>
        <w:t xml:space="preserve">Proven Ability to Execute. </w:t>
      </w:r>
      <w:r>
        <w:rPr>
          <w:rFonts w:ascii="Arial" w:cs="Arial" w:eastAsia="Arial" w:hAnsi="Arial"/>
          <w:sz w:val="16"/>
          <w:szCs w:val="16"/>
          <w:color w:val="auto"/>
        </w:rPr>
        <w:t>We are confident in our ability to execute and scale our business model to support our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And most recently, we expect to commission our Old Harbour Terminal starting in December 2018. Construction is complete, and we expect our chartered FSRU to arrive in the fourth quarter 2018. When operational, the Old Harbour Terminal will service a new 190MW power plant operated by JPC and a new 100MW plant that we have begun constructing at 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64" w:lineRule="exact"/>
        <w:rPr>
          <w:sz w:val="20"/>
          <w:szCs w:val="20"/>
          <w:color w:val="auto"/>
        </w:rPr>
      </w:pPr>
    </w:p>
    <w:p>
      <w:pPr>
        <w:ind w:left="100" w:right="220" w:firstLine="360"/>
        <w:spacing w:after="0" w:line="297" w:lineRule="auto"/>
        <w:rPr>
          <w:sz w:val="20"/>
          <w:szCs w:val="20"/>
          <w:color w:val="auto"/>
        </w:rPr>
      </w:pPr>
      <w:r>
        <w:rPr>
          <w:rFonts w:ascii="Arial" w:cs="Arial" w:eastAsia="Arial" w:hAnsi="Arial"/>
          <w:sz w:val="16"/>
          <w:szCs w:val="16"/>
          <w:i w:val="1"/>
          <w:iCs w:val="1"/>
          <w:color w:val="auto"/>
        </w:rPr>
        <w:t>Growth Opportunity — Africa</w:t>
      </w:r>
      <w:r>
        <w:rPr>
          <w:rFonts w:ascii="Arial" w:cs="Arial" w:eastAsia="Arial" w:hAnsi="Arial"/>
          <w:sz w:val="16"/>
          <w:szCs w:val="16"/>
          <w:color w:val="auto"/>
        </w:rPr>
        <w:t>. In Sub-Saharan Africa, 590 million people, or 57% of the population, lack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As a result, power generation on the continent is anticipated to more than double to 253GW by 2030. Natural gas consumption is expected to grow by nearly 150% over this timeframe, outpacing nearly every other fuel. We recognize the immense opportunity that Africa affords and are opening our first office in Ghana in late 2018. We have engaged with multiple local counterparties, and we anticipate deploying meaningful capital in African projects in the future.</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100" w:right="840" w:firstLine="360"/>
        <w:spacing w:after="0" w:line="308" w:lineRule="auto"/>
        <w:rPr>
          <w:sz w:val="20"/>
          <w:szCs w:val="20"/>
          <w:color w:val="auto"/>
        </w:rPr>
      </w:pPr>
      <w:r>
        <w:rPr>
          <w:rFonts w:ascii="Arial" w:cs="Arial" w:eastAsia="Arial" w:hAnsi="Arial"/>
          <w:sz w:val="17"/>
          <w:szCs w:val="17"/>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38" w:lineRule="exact"/>
        <w:rPr>
          <w:sz w:val="20"/>
          <w:szCs w:val="20"/>
          <w:color w:val="auto"/>
        </w:rPr>
      </w:pPr>
    </w:p>
    <w:p>
      <w:pPr>
        <w:ind w:left="800" w:right="80" w:hanging="342"/>
        <w:spacing w:after="0" w:line="272"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develop LNG liquefaction and distribution facilities</w:t>
      </w:r>
      <w:r>
        <w:rPr>
          <w:rFonts w:ascii="Arial" w:cs="Arial" w:eastAsia="Arial" w:hAnsi="Arial"/>
          <w:sz w:val="17"/>
          <w:szCs w:val="17"/>
          <w:color w:val="auto"/>
        </w:rPr>
        <w:t>. We currently procure our LNG either by purchasing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Facilities and our Haynesville Facilities.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69" w:lineRule="exact"/>
        <w:rPr>
          <w:rFonts w:ascii="Arial" w:cs="Arial" w:eastAsia="Arial" w:hAnsi="Arial"/>
          <w:sz w:val="17"/>
          <w:szCs w:val="17"/>
          <w:color w:val="auto"/>
        </w:rPr>
      </w:pPr>
    </w:p>
    <w:p>
      <w:pPr>
        <w:ind w:left="800" w:right="540" w:hanging="342"/>
        <w:spacing w:after="0" w:line="26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LNG distribution business</w:t>
      </w:r>
      <w:r>
        <w:rPr>
          <w:rFonts w:ascii="Arial" w:cs="Arial" w:eastAsia="Arial" w:hAnsi="Arial"/>
          <w:sz w:val="18"/>
          <w:szCs w:val="18"/>
          <w:color w:val="auto"/>
        </w:rPr>
        <w:t>. Our sales and marketing team seeks to identify utilities, transportation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industrial end-users who may view natural gas or LNG as a potentially compelling alternative to traditional distillate fuels and enter into long-term, take-or-pay contracts for</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30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2825" cy="7130415"/>
                    </a:xfrm>
                    <a:prstGeom prst="rect">
                      <a:avLst/>
                    </a:prstGeom>
                    <a:noFill/>
                  </pic:spPr>
                </pic:pic>
              </a:graphicData>
            </a:graphic>
          </wp:anchor>
        </w:drawing>
      </w:r>
    </w:p>
    <w:p>
      <w:pPr>
        <w:spacing w:after="0" w:line="138"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59" w:lineRule="exact"/>
        <w:rPr>
          <w:sz w:val="20"/>
          <w:szCs w:val="20"/>
          <w:color w:val="auto"/>
        </w:rPr>
      </w:pPr>
    </w:p>
    <w:p>
      <w:pPr>
        <w:ind w:left="800" w:right="120" w:hanging="342"/>
        <w:spacing w:after="0" w:line="291"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Develop gas-fired power generation assets</w:t>
      </w:r>
      <w:r>
        <w:rPr>
          <w:rFonts w:ascii="Arial" w:cs="Arial" w:eastAsia="Arial" w:hAnsi="Arial"/>
          <w:sz w:val="16"/>
          <w:szCs w:val="16"/>
          <w:color w:val="auto"/>
        </w:rPr>
        <w:t>. We believe that developing and constructing our own gas-fired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is a compelling growth strategy for our company. We are currently developing a dual-fired combined heat and power facility in Clarendon, Jamaica (the “CHP Plant”),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59" w:lineRule="exact"/>
        <w:rPr>
          <w:rFonts w:ascii="Arial" w:cs="Arial" w:eastAsia="Arial" w:hAnsi="Arial"/>
          <w:sz w:val="16"/>
          <w:szCs w:val="16"/>
          <w:color w:val="auto"/>
        </w:rPr>
      </w:pPr>
    </w:p>
    <w:p>
      <w:pPr>
        <w:ind w:left="800" w:hanging="342"/>
        <w:spacing w:after="0" w:line="271"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build-out our Caribbean infrastructure</w:t>
      </w:r>
      <w:r>
        <w:rPr>
          <w:rFonts w:ascii="Arial" w:cs="Arial" w:eastAsia="Arial" w:hAnsi="Arial"/>
          <w:sz w:val="17"/>
          <w:szCs w:val="17"/>
          <w:color w:val="auto"/>
        </w:rPr>
        <w:t>. Our take-or-pay gas supply agreements and steam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with electric utilities and industrial end-users in Jamaica provide us with stable, long-term contracted cash flows. In order to service these contracts efficiently and cost effectively, we have begun to develop the necessary assets and infrastructure in Jamaica. Following this offering, we are developing and optimizing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70" w:lineRule="exact"/>
        <w:rPr>
          <w:rFonts w:ascii="Arial" w:cs="Arial" w:eastAsia="Arial" w:hAnsi="Arial"/>
          <w:sz w:val="17"/>
          <w:szCs w:val="17"/>
          <w:color w:val="auto"/>
        </w:rPr>
      </w:pPr>
    </w:p>
    <w:p>
      <w:pPr>
        <w:ind w:left="800" w:hanging="342"/>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Maintain financial strength and flexibility</w:t>
      </w:r>
      <w:r>
        <w:rPr>
          <w:rFonts w:ascii="Arial" w:cs="Arial" w:eastAsia="Arial" w:hAnsi="Arial"/>
          <w:sz w:val="16"/>
          <w:szCs w:val="16"/>
          <w:color w:val="auto"/>
        </w:rPr>
        <w:t>. We will seek to maintain a conservative balance sheet, which will allow us</w:t>
      </w:r>
    </w:p>
    <w:p>
      <w:pPr>
        <w:sectPr>
          <w:pgSz w:w="11900" w:h="16838" w:orient="portrait"/>
          <w:cols w:equalWidth="0" w:num="1">
            <w:col w:w="9460"/>
          </w:cols>
          <w:pgMar w:left="1180" w:top="279" w:right="1259" w:bottom="1440" w:gutter="0" w:footer="0" w:header="0"/>
        </w:sectPr>
      </w:pPr>
    </w:p>
    <w:p>
      <w:pPr>
        <w:spacing w:after="0" w:line="46" w:lineRule="exact"/>
        <w:rPr>
          <w:sz w:val="20"/>
          <w:szCs w:val="20"/>
          <w:color w:val="auto"/>
        </w:rPr>
      </w:pPr>
    </w:p>
    <w:p>
      <w:pPr>
        <w:jc w:val="both"/>
        <w:ind w:left="800" w:right="80"/>
        <w:spacing w:after="0" w:line="265" w:lineRule="auto"/>
        <w:rPr>
          <w:sz w:val="20"/>
          <w:szCs w:val="20"/>
          <w:color w:val="auto"/>
        </w:rPr>
      </w:pPr>
      <w:r>
        <w:rPr>
          <w:rFonts w:ascii="Arial" w:cs="Arial" w:eastAsia="Arial" w:hAnsi="Arial"/>
          <w:sz w:val="17"/>
          <w:szCs w:val="17"/>
          <w:color w:val="auto"/>
        </w:rPr>
        <w:t>to better react to our customers’ changing needs. As of the closing of this offering, we expect to have $ in total assets (including $ in cash and cash equivalents) and $ of total indebtedness outstanding. We believe this low</w:t>
      </w:r>
    </w:p>
    <w:p>
      <w:pPr>
        <w:sectPr>
          <w:pgSz w:w="11900" w:h="16838" w:orient="portrait"/>
          <w:cols w:equalWidth="0" w:num="1">
            <w:col w:w="9460"/>
          </w:cols>
          <w:pgMar w:left="1180" w:top="279" w:right="1259" w:bottom="1440" w:gutter="0" w:footer="0" w:header="0"/>
          <w:type w:val="continuous"/>
        </w:sectPr>
      </w:pPr>
    </w:p>
    <w:p>
      <w:pPr>
        <w:ind w:left="800" w:right="60"/>
        <w:spacing w:after="0" w:line="261" w:lineRule="auto"/>
        <w:rPr>
          <w:sz w:val="20"/>
          <w:szCs w:val="20"/>
          <w:color w:val="auto"/>
        </w:rPr>
      </w:pPr>
      <w:r>
        <w:rPr>
          <w:rFonts w:ascii="Arial" w:cs="Arial" w:eastAsia="Arial" w:hAnsi="Arial"/>
          <w:sz w:val="18"/>
          <w:szCs w:val="18"/>
          <w:color w:val="auto"/>
        </w:rPr>
        <w:t>leverage and robust cash position, along with our cash flows from operations will provide us with sufficient liquidity to execute on the business strategies discussed above.</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00" w:right="180" w:firstLine="360"/>
        <w:spacing w:after="0" w:line="277"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2" w:lineRule="exact"/>
        <w:rPr>
          <w:sz w:val="20"/>
          <w:szCs w:val="20"/>
          <w:color w:val="auto"/>
        </w:rPr>
      </w:pPr>
    </w:p>
    <w:p>
      <w:pPr>
        <w:ind w:left="800" w:right="60" w:hanging="342"/>
        <w:spacing w:after="0" w:line="25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energy solution creates new customer base</w:t>
      </w:r>
      <w:r>
        <w:rPr>
          <w:rFonts w:ascii="Arial" w:cs="Arial" w:eastAsia="Arial" w:hAnsi="Arial"/>
          <w:sz w:val="18"/>
          <w:szCs w:val="18"/>
          <w:color w:val="auto"/>
        </w:rPr>
        <w:t>. We offer our customers a comprehensive energy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81" w:lineRule="exact"/>
        <w:rPr>
          <w:rFonts w:ascii="Arial" w:cs="Arial" w:eastAsia="Arial" w:hAnsi="Arial"/>
          <w:sz w:val="18"/>
          <w:szCs w:val="18"/>
          <w:color w:val="auto"/>
        </w:rPr>
      </w:pPr>
    </w:p>
    <w:p>
      <w:pPr>
        <w:ind w:left="800" w:right="120" w:hanging="342"/>
        <w:spacing w:after="0" w:line="291"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Demonstrated ability to execute</w:t>
      </w:r>
      <w:r>
        <w:rPr>
          <w:rFonts w:ascii="Arial" w:cs="Arial" w:eastAsia="Arial" w:hAnsi="Arial"/>
          <w:sz w:val="16"/>
          <w:szCs w:val="16"/>
          <w:color w:val="auto"/>
        </w:rPr>
        <w:t>. The success of our business strategy and its benefit to our customers is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proven ability to secure long-term, take-or-pay contracts. Our Montego Bay Terminal and related infrastructure (operational since October 30, 2016) has enabled JPS to use natural gas at the Bogue Power Plant, rather than rely on automotive diesel oil (“ADO”), at prices that are competitive with ADO. We have also entered into a long-term, take-or-pay contract with JPC to supply JPC’s Old Harbour Power Plant with LNG, a 20-year steam supply agreement (“SSA”) to supply Jamalco with steam for use in its alumina refinery operations, and a 20-year power purchase agreement (“PPA”) to supply electricity to the Jamaica power grid from our CHP Plant in Clarendon, Jamaica.</w:t>
      </w:r>
    </w:p>
    <w:p>
      <w:pPr>
        <w:spacing w:after="0" w:line="59"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and environmentally attractive product</w:t>
      </w:r>
      <w:r>
        <w:rPr>
          <w:rFonts w:ascii="Arial" w:cs="Arial" w:eastAsia="Arial" w:hAnsi="Arial"/>
          <w:sz w:val="18"/>
          <w:szCs w:val="18"/>
          <w:color w:val="auto"/>
        </w:rPr>
        <w:t>. We believe natural gas is a cheaper, cleaner and thus superior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alternative energy source to traditional oil-based fuels. According to our internal</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138" w:lineRule="exact"/>
        <w:rPr>
          <w:sz w:val="20"/>
          <w:szCs w:val="20"/>
          <w:color w:val="auto"/>
        </w:rPr>
      </w:pPr>
    </w:p>
    <w:p>
      <w:pPr>
        <w:ind w:left="820"/>
        <w:spacing w:after="0" w:line="293" w:lineRule="auto"/>
        <w:rPr>
          <w:sz w:val="20"/>
          <w:szCs w:val="20"/>
          <w:color w:val="auto"/>
        </w:rPr>
      </w:pPr>
      <w:r>
        <w:rPr>
          <w:rFonts w:ascii="Arial" w:cs="Arial" w:eastAsia="Arial" w:hAnsi="Arial"/>
          <w:sz w:val="16"/>
          <w:szCs w:val="16"/>
          <w:color w:val="auto"/>
        </w:rPr>
        <w:t>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57" w:lineRule="exact"/>
        <w:rPr>
          <w:sz w:val="20"/>
          <w:szCs w:val="20"/>
          <w:color w:val="auto"/>
        </w:rPr>
      </w:pPr>
    </w:p>
    <w:p>
      <w:pPr>
        <w:ind w:left="800" w:right="160" w:hanging="342"/>
        <w:spacing w:after="0" w:line="271"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Scalable infrastructure can drive margin expansion</w:t>
      </w:r>
      <w:r>
        <w:rPr>
          <w:rFonts w:ascii="Arial" w:cs="Arial" w:eastAsia="Arial" w:hAnsi="Arial"/>
          <w:sz w:val="17"/>
          <w:szCs w:val="17"/>
          <w:color w:val="auto"/>
        </w:rPr>
        <w:t>. Our Jamaica Terminals, CHP Plant and other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 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Facilities and the Haynesville Facilities, together with the current operations at the Miami Facility, will enable us to supply our existing and future customers with LNG produced entirely at our own Liquefaction Facilities and will help to reduce the risk of future LNG price variations.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Relationship with New Fortress Energy Holdings and its Affiliates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the completion of this offering, New Fortress Energy Holdings will retain a significant interest in us through its</w:t>
      </w:r>
    </w:p>
    <w:p>
      <w:pPr>
        <w:spacing w:after="0" w:line="35" w:lineRule="exact"/>
        <w:rPr>
          <w:sz w:val="20"/>
          <w:szCs w:val="20"/>
          <w:color w:val="auto"/>
        </w:rPr>
      </w:pPr>
    </w:p>
    <w:p>
      <w:pPr>
        <w:ind w:left="520" w:right="100" w:hanging="404"/>
        <w:spacing w:after="0" w:line="261" w:lineRule="auto"/>
        <w:rPr>
          <w:sz w:val="20"/>
          <w:szCs w:val="20"/>
          <w:color w:val="auto"/>
        </w:rPr>
      </w:pPr>
      <w:r>
        <w:rPr>
          <w:rFonts w:ascii="Arial" w:cs="Arial" w:eastAsia="Arial" w:hAnsi="Arial"/>
          <w:sz w:val="18"/>
          <w:szCs w:val="18"/>
          <w:color w:val="auto"/>
        </w:rPr>
        <w:t>ownership of</w:t>
      </w:r>
      <w:r>
        <w:rPr>
          <w:sz w:val="20"/>
          <w:szCs w:val="20"/>
          <w:color w:val="auto"/>
        </w:rPr>
        <w:t xml:space="preserve"> </w:t>
      </w:r>
      <w:r>
        <w:rPr>
          <w:rFonts w:ascii="Arial" w:cs="Arial" w:eastAsia="Arial" w:hAnsi="Arial"/>
          <w:sz w:val="18"/>
          <w:szCs w:val="18"/>
          <w:color w:val="auto"/>
        </w:rPr>
        <w:t>Class B shares, representing a % voting and non-economic limited liability company interest in us and a % economic interest in NFI.</w:t>
      </w:r>
    </w:p>
    <w:p>
      <w:pPr>
        <w:spacing w:after="0" w:line="76" w:lineRule="exact"/>
        <w:rPr>
          <w:sz w:val="20"/>
          <w:szCs w:val="20"/>
          <w:color w:val="auto"/>
        </w:rPr>
      </w:pPr>
    </w:p>
    <w:p>
      <w:pPr>
        <w:ind w:left="100" w:right="160" w:firstLine="360"/>
        <w:spacing w:after="0" w:line="286" w:lineRule="auto"/>
        <w:rPr>
          <w:sz w:val="20"/>
          <w:szCs w:val="20"/>
          <w:color w:val="auto"/>
        </w:rPr>
      </w:pPr>
      <w:r>
        <w:rPr>
          <w:rFonts w:ascii="Arial" w:cs="Arial" w:eastAsia="Arial" w:hAnsi="Arial"/>
          <w:sz w:val="17"/>
          <w:szCs w:val="17"/>
          <w:color w:val="auto"/>
        </w:rPr>
        <w:t>A substantial majority of the equity of New Fortress Energy Holdings is owned by Fortress Equity Partners (A) LP (the “Fortress Shareholder”), a Delaware limited partnership. The Fortress Shareholder is managed by FIG LLC, a Delaware limited liability company (“FIG LLC”), which is an affiliate of Fortress Investment Group LLC (“Fortress”).</w:t>
      </w:r>
    </w:p>
    <w:p>
      <w:pPr>
        <w:spacing w:after="0" w:line="57" w:lineRule="exact"/>
        <w:rPr>
          <w:sz w:val="20"/>
          <w:szCs w:val="20"/>
          <w:color w:val="auto"/>
        </w:rPr>
      </w:pPr>
    </w:p>
    <w:p>
      <w:pPr>
        <w:ind w:left="100" w:right="300" w:firstLine="360"/>
        <w:spacing w:after="0" w:line="277" w:lineRule="auto"/>
        <w:rPr>
          <w:sz w:val="20"/>
          <w:szCs w:val="20"/>
          <w:color w:val="auto"/>
        </w:rPr>
      </w:pPr>
      <w:r>
        <w:rPr>
          <w:rFonts w:ascii="Arial" w:cs="Arial" w:eastAsia="Arial" w:hAnsi="Arial"/>
          <w:sz w:val="18"/>
          <w:szCs w:val="18"/>
          <w:color w:val="auto"/>
        </w:rPr>
        <w:t>While our relationship with New Fortress Energy Holdings and its affiliates is a significant strength, it is also a source of potential conflicts. Please read “—Controlled Company Status” and “Risk Factors.”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Emerging Growth Company Status</w:t>
      </w:r>
    </w:p>
    <w:p>
      <w:pPr>
        <w:spacing w:after="0" w:line="121" w:lineRule="exact"/>
        <w:rPr>
          <w:sz w:val="20"/>
          <w:szCs w:val="20"/>
          <w:color w:val="auto"/>
        </w:rPr>
      </w:pPr>
    </w:p>
    <w:p>
      <w:pPr>
        <w:ind w:left="100" w:right="14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For as long as we are an emerging growth company, unlike other public companies, we will not be required to:</w:t>
      </w:r>
    </w:p>
    <w:p>
      <w:pPr>
        <w:spacing w:after="0" w:line="62" w:lineRule="exact"/>
        <w:rPr>
          <w:sz w:val="20"/>
          <w:szCs w:val="20"/>
          <w:color w:val="auto"/>
        </w:rPr>
      </w:pPr>
    </w:p>
    <w:p>
      <w:pPr>
        <w:ind w:left="800" w:right="360" w:hanging="342"/>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 auditor’s attestation report on the effectiveness of our system of internal control over financial reporting pursuant to Section 404(b) of the Sarbanes-Oxley Act of 2002 (the “Sarbanes-Oxley Act”);</w:t>
      </w:r>
    </w:p>
    <w:p>
      <w:pPr>
        <w:spacing w:after="0" w:line="62" w:lineRule="exact"/>
        <w:rPr>
          <w:rFonts w:ascii="Arial" w:cs="Arial" w:eastAsia="Arial" w:hAnsi="Arial"/>
          <w:sz w:val="18"/>
          <w:szCs w:val="18"/>
          <w:color w:val="auto"/>
        </w:rPr>
      </w:pPr>
    </w:p>
    <w:p>
      <w:pPr>
        <w:ind w:left="800" w:right="160" w:hanging="342"/>
        <w:spacing w:after="0" w:line="286"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comply with any new requirements adopted by the Public Company Accounting Oversight Board, or the “PCAOB,” requiring mandatory audit firm rotation or a supplement to the auditor’s report in which the auditor would be required to provide additional information about the audit and the financial statements of the issuer;</w:t>
      </w:r>
    </w:p>
    <w:p>
      <w:pPr>
        <w:spacing w:after="0" w:line="57" w:lineRule="exact"/>
        <w:rPr>
          <w:rFonts w:ascii="Arial" w:cs="Arial" w:eastAsia="Arial" w:hAnsi="Arial"/>
          <w:sz w:val="17"/>
          <w:szCs w:val="17"/>
          <w:color w:val="auto"/>
        </w:rPr>
      </w:pPr>
    </w:p>
    <w:p>
      <w:pPr>
        <w:ind w:left="800" w:hanging="34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any new audit rules adopted by the PCAOB, unless the SEC determines otherwise;</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certain disclosure regarding executive compensation required of larger public companies; or</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shareholder approval of any golden parachute payments not previously approved.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cease to be an “emerging growth company” upon the earliest of:</w:t>
      </w:r>
    </w:p>
    <w:p>
      <w:pPr>
        <w:spacing w:after="0" w:line="117" w:lineRule="exact"/>
        <w:rPr>
          <w:sz w:val="20"/>
          <w:szCs w:val="20"/>
          <w:color w:val="auto"/>
        </w:rPr>
      </w:pPr>
    </w:p>
    <w:p>
      <w:pPr>
        <w:ind w:left="800" w:hanging="34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we have $1.07 billion or more in annual revenues;</w:t>
      </w:r>
    </w:p>
    <w:p>
      <w:pPr>
        <w:spacing w:after="0" w:line="117" w:lineRule="exact"/>
        <w:rPr>
          <w:rFonts w:ascii="Arial" w:cs="Arial" w:eastAsia="Arial" w:hAnsi="Arial"/>
          <w:sz w:val="18"/>
          <w:szCs w:val="18"/>
          <w:color w:val="auto"/>
        </w:rPr>
      </w:pPr>
    </w:p>
    <w:p>
      <w:pPr>
        <w:ind w:left="800" w:right="100" w:hanging="342"/>
        <w:spacing w:after="0" w:line="290"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date on which we become a “large-accelerated filer” (i.e., the end of the fiscal year on which the total market value of our common equity securities held by non-affiliates is $700.0 million or more as of the preceding June 30</w:t>
      </w:r>
      <w:r>
        <w:rPr>
          <w:rFonts w:ascii="Arial" w:cs="Arial" w:eastAsia="Arial" w:hAnsi="Arial"/>
          <w:sz w:val="24"/>
          <w:szCs w:val="24"/>
          <w:color w:val="auto"/>
          <w:vertAlign w:val="superscript"/>
        </w:rPr>
        <w:t>th</w:t>
      </w:r>
      <w:r>
        <w:rPr>
          <w:rFonts w:ascii="Arial" w:cs="Arial" w:eastAsia="Arial" w:hAnsi="Arial"/>
          <w:sz w:val="16"/>
          <w:szCs w:val="16"/>
          <w:color w:val="auto"/>
        </w:rPr>
        <w:t>);</w:t>
      </w:r>
    </w:p>
    <w:p>
      <w:pPr>
        <w:ind w:left="800" w:hanging="34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we issue more than $1.0 billion of non-convertible debt over a three-year period; or</w:t>
      </w:r>
    </w:p>
    <w:p>
      <w:pPr>
        <w:spacing w:after="0" w:line="101" w:lineRule="exact"/>
        <w:rPr>
          <w:rFonts w:ascii="Arial" w:cs="Arial" w:eastAsia="Arial" w:hAnsi="Arial"/>
          <w:sz w:val="18"/>
          <w:szCs w:val="18"/>
          <w:color w:val="auto"/>
        </w:rPr>
      </w:pPr>
    </w:p>
    <w:p>
      <w:pPr>
        <w:ind w:left="800" w:hanging="34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initial public offering.</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700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2825" cy="3700145"/>
                    </a:xfrm>
                    <a:prstGeom prst="rect">
                      <a:avLst/>
                    </a:prstGeom>
                    <a:noFill/>
                  </pic:spPr>
                </pic:pic>
              </a:graphicData>
            </a:graphic>
          </wp:anchor>
        </w:drawing>
      </w:r>
    </w:p>
    <w:p>
      <w:pPr>
        <w:spacing w:after="0" w:line="246"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102(b)(2) of the JOBS Act, that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Controlled Company Status</w:t>
      </w:r>
    </w:p>
    <w:p>
      <w:pPr>
        <w:spacing w:after="0" w:line="121" w:lineRule="exact"/>
        <w:rPr>
          <w:sz w:val="20"/>
          <w:szCs w:val="20"/>
          <w:color w:val="auto"/>
        </w:rPr>
      </w:pPr>
    </w:p>
    <w:p>
      <w:pPr>
        <w:ind w:left="100" w:right="100" w:firstLine="360"/>
        <w:spacing w:after="0" w:line="274" w:lineRule="auto"/>
        <w:rPr>
          <w:sz w:val="20"/>
          <w:szCs w:val="20"/>
          <w:color w:val="auto"/>
        </w:rPr>
      </w:pPr>
      <w:r>
        <w:rPr>
          <w:rFonts w:ascii="Arial" w:cs="Arial" w:eastAsia="Arial" w:hAnsi="Arial"/>
          <w:sz w:val="17"/>
          <w:szCs w:val="17"/>
          <w:color w:val="auto"/>
        </w:rPr>
        <w:t>Because New Fortress Energy Holdings will initially hold approximately % of the voting power of our shares following the completion of this offering (or approximately % if the underwriters’ option to purchase additional Class A shares is</w:t>
      </w:r>
    </w:p>
    <w:p>
      <w:pPr>
        <w:ind w:left="100" w:right="40"/>
        <w:spacing w:after="0" w:line="287" w:lineRule="auto"/>
        <w:rPr>
          <w:sz w:val="20"/>
          <w:szCs w:val="20"/>
          <w:color w:val="auto"/>
        </w:rPr>
      </w:pPr>
      <w:r>
        <w:rPr>
          <w:rFonts w:ascii="Arial" w:cs="Arial" w:eastAsia="Arial" w:hAnsi="Arial"/>
          <w:sz w:val="16"/>
          <w:szCs w:val="16"/>
          <w:color w:val="auto"/>
        </w:rPr>
        <w:t>exercised in full), we expect to be a controlled company as of the completion of the offering under the Sarbanes-Oxley Act and the New York Stock Exchange (the “NYSE”) rules. A controlled company does not need its board of directors to have a majority of independent directors or to form an independent compensation or nominating and corporate governance committee. As a controlled company, we will remain subject to rules of the Sarbanes-Oxley Act and the NYSE that require us to have an audit committee composed entirely of independent directors. Under these rules, we must have at least one independent director on our audit committee by the date our Class A shares are listed on the NYSE, at least two independent directors on our audit committee within 90 days of the listing date, and at least three independent directors on our audit committee within one year of the listing date. We expect to have independent directors upon the closing of this offering.</w:t>
      </w:r>
    </w:p>
    <w:p>
      <w:pPr>
        <w:spacing w:after="0" w:line="62" w:lineRule="exact"/>
        <w:rPr>
          <w:sz w:val="20"/>
          <w:szCs w:val="20"/>
          <w:color w:val="auto"/>
        </w:rPr>
      </w:pPr>
    </w:p>
    <w:p>
      <w:pPr>
        <w:ind w:left="100" w:right="20" w:firstLine="360"/>
        <w:spacing w:after="0" w:line="259"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NYSE rules, including by appointing a majority of independent directors to our board of directors and ensuring we have a compensation committee and a nominating and corporate governance committee, each composed entirely of independent directors, subject to a permitted “phase-in” period.</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56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2825" cy="685609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100" w:right="160" w:firstLine="360"/>
        <w:spacing w:after="0" w:line="302" w:lineRule="auto"/>
        <w:rPr>
          <w:sz w:val="20"/>
          <w:szCs w:val="20"/>
          <w:color w:val="auto"/>
        </w:rPr>
      </w:pPr>
      <w:r>
        <w:rPr>
          <w:rFonts w:ascii="Arial" w:cs="Arial" w:eastAsia="Arial" w:hAnsi="Arial"/>
          <w:sz w:val="16"/>
          <w:szCs w:val="16"/>
          <w:color w:val="auto"/>
        </w:rPr>
        <w:t>An investment in our Class A shares involves risks associated with our business, regulatory and legal matters, our limited liability company structure and the tax characteristics of our Class A shares. Below is a summary of certain key risk factors that you should consider in evaluating an investment in our Class A shares. However, this list is not exhaustive. Please read the full discussion of these risks and the other risks described under “Risk Factors” and “Forward-Looking Statements.”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include the following:</w:t>
      </w:r>
    </w:p>
    <w:p>
      <w:pPr>
        <w:spacing w:after="0" w:line="117" w:lineRule="exact"/>
        <w:rPr>
          <w:sz w:val="20"/>
          <w:szCs w:val="20"/>
          <w:color w:val="auto"/>
        </w:rPr>
      </w:pPr>
    </w:p>
    <w:p>
      <w:pPr>
        <w:ind w:left="800" w:hanging="342"/>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limited operating history, and an investment in our Class A shares is highly speculative.</w:t>
      </w:r>
    </w:p>
    <w:p>
      <w:pPr>
        <w:spacing w:after="0" w:line="117" w:lineRule="exact"/>
        <w:rPr>
          <w:rFonts w:ascii="Arial" w:cs="Arial" w:eastAsia="Arial" w:hAnsi="Arial"/>
          <w:sz w:val="18"/>
          <w:szCs w:val="18"/>
          <w:color w:val="auto"/>
        </w:rPr>
      </w:pPr>
    </w:p>
    <w:p>
      <w:pPr>
        <w:ind w:left="80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62" w:lineRule="exact"/>
        <w:rPr>
          <w:rFonts w:ascii="Arial" w:cs="Arial" w:eastAsia="Arial" w:hAnsi="Arial"/>
          <w:sz w:val="18"/>
          <w:szCs w:val="18"/>
          <w:color w:val="auto"/>
        </w:rPr>
      </w:pPr>
    </w:p>
    <w:p>
      <w:pPr>
        <w:ind w:left="800" w:right="34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spacing w:after="0" w:line="62" w:lineRule="exact"/>
        <w:rPr>
          <w:rFonts w:ascii="Arial" w:cs="Arial" w:eastAsia="Arial" w:hAnsi="Arial"/>
          <w:sz w:val="18"/>
          <w:szCs w:val="18"/>
          <w:color w:val="auto"/>
        </w:rPr>
      </w:pPr>
    </w:p>
    <w:p>
      <w:pPr>
        <w:jc w:val="both"/>
        <w:ind w:left="800" w:right="100" w:hanging="342"/>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3" w:lineRule="exact"/>
        <w:rPr>
          <w:rFonts w:ascii="Arial" w:cs="Arial" w:eastAsia="Arial" w:hAnsi="Arial"/>
          <w:sz w:val="18"/>
          <w:szCs w:val="18"/>
          <w:color w:val="auto"/>
        </w:rPr>
      </w:pPr>
    </w:p>
    <w:p>
      <w:pPr>
        <w:ind w:left="800" w:right="50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62" w:lineRule="exact"/>
        <w:rPr>
          <w:rFonts w:ascii="Arial" w:cs="Arial" w:eastAsia="Arial" w:hAnsi="Arial"/>
          <w:sz w:val="18"/>
          <w:szCs w:val="18"/>
          <w:color w:val="auto"/>
        </w:rPr>
      </w:pPr>
    </w:p>
    <w:p>
      <w:pPr>
        <w:ind w:left="800" w:right="52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spacing w:after="0" w:line="62" w:lineRule="exact"/>
        <w:rPr>
          <w:rFonts w:ascii="Arial" w:cs="Arial" w:eastAsia="Arial" w:hAnsi="Arial"/>
          <w:sz w:val="18"/>
          <w:szCs w:val="18"/>
          <w:color w:val="auto"/>
        </w:rPr>
      </w:pPr>
    </w:p>
    <w:p>
      <w:pPr>
        <w:ind w:left="800" w:right="60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spacing w:after="0" w:line="62" w:lineRule="exact"/>
        <w:rPr>
          <w:rFonts w:ascii="Arial" w:cs="Arial" w:eastAsia="Arial" w:hAnsi="Arial"/>
          <w:sz w:val="18"/>
          <w:szCs w:val="18"/>
          <w:color w:val="auto"/>
        </w:rPr>
      </w:pPr>
    </w:p>
    <w:p>
      <w:pPr>
        <w:ind w:left="800" w:right="20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and the other jurisdictions in which we operate.</w:t>
      </w:r>
    </w:p>
    <w:p>
      <w:pPr>
        <w:spacing w:after="0" w:line="62" w:lineRule="exact"/>
        <w:rPr>
          <w:rFonts w:ascii="Arial" w:cs="Arial" w:eastAsia="Arial" w:hAnsi="Arial"/>
          <w:sz w:val="18"/>
          <w:szCs w:val="18"/>
          <w:color w:val="auto"/>
        </w:rPr>
      </w:pPr>
    </w:p>
    <w:p>
      <w:pPr>
        <w:ind w:left="800" w:right="320" w:hanging="342"/>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9" w:lineRule="exact"/>
        <w:rPr>
          <w:sz w:val="20"/>
          <w:szCs w:val="20"/>
          <w:color w:val="auto"/>
        </w:rPr>
      </w:pPr>
    </w:p>
    <w:p>
      <w:pPr>
        <w:ind w:left="460"/>
        <w:spacing w:after="0"/>
        <w:tabs>
          <w:tab w:leader="none" w:pos="78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Shareholders will experience immediate and substantial dilution of $</w:t>
      </w:r>
      <w:r>
        <w:rPr>
          <w:sz w:val="20"/>
          <w:szCs w:val="20"/>
          <w:color w:val="auto"/>
        </w:rPr>
        <w:tab/>
      </w:r>
      <w:r>
        <w:rPr>
          <w:rFonts w:ascii="Arial" w:cs="Arial" w:eastAsia="Arial" w:hAnsi="Arial"/>
          <w:sz w:val="15"/>
          <w:szCs w:val="15"/>
          <w:color w:val="auto"/>
        </w:rPr>
        <w:t>per Class A share.</w:t>
      </w:r>
    </w:p>
    <w:p>
      <w:pPr>
        <w:spacing w:after="0" w:line="117" w:lineRule="exact"/>
        <w:rPr>
          <w:sz w:val="20"/>
          <w:szCs w:val="20"/>
          <w:color w:val="auto"/>
        </w:rPr>
      </w:pPr>
    </w:p>
    <w:p>
      <w:pPr>
        <w:ind w:left="800" w:right="440" w:hanging="342"/>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Fortress Energy Holdings has the ability to direct the voting of a majority of our shares, and its interests may conflict with those of our other shareholders.</w:t>
      </w:r>
    </w:p>
    <w:p>
      <w:pPr>
        <w:spacing w:after="0" w:line="62" w:lineRule="exact"/>
        <w:rPr>
          <w:rFonts w:ascii="Arial" w:cs="Arial" w:eastAsia="Arial" w:hAnsi="Arial"/>
          <w:sz w:val="18"/>
          <w:szCs w:val="18"/>
          <w:color w:val="auto"/>
        </w:rPr>
      </w:pPr>
    </w:p>
    <w:p>
      <w:pPr>
        <w:ind w:left="800" w:right="80" w:hanging="342"/>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intend to pay cash dividends on our Class A shares. Consequently, your only opportunity to achieve a return on your investment is if the price of our Class A shares appreciates.</w:t>
      </w:r>
    </w:p>
    <w:p>
      <w:pPr>
        <w:spacing w:after="0" w:line="62" w:lineRule="exact"/>
        <w:rPr>
          <w:rFonts w:ascii="Arial" w:cs="Arial" w:eastAsia="Arial" w:hAnsi="Arial"/>
          <w:sz w:val="18"/>
          <w:szCs w:val="18"/>
          <w:color w:val="auto"/>
        </w:rPr>
      </w:pPr>
    </w:p>
    <w:p>
      <w:pPr>
        <w:ind w:left="800" w:right="100" w:hanging="342"/>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73" w:lineRule="exact"/>
        <w:rPr>
          <w:rFonts w:ascii="Arial" w:cs="Arial" w:eastAsia="Arial" w:hAnsi="Arial"/>
          <w:sz w:val="18"/>
          <w:szCs w:val="18"/>
          <w:color w:val="auto"/>
        </w:rPr>
      </w:pPr>
    </w:p>
    <w:p>
      <w:pPr>
        <w:ind w:left="800" w:right="100" w:hanging="342"/>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be a “controlled company” within the meaning of NYSE rules and, as a result, will qualify for and intend to rely on exemptions from certain corporate governance requirements.</w:t>
      </w:r>
    </w:p>
    <w:p>
      <w:pPr>
        <w:spacing w:after="0" w:line="62" w:lineRule="exact"/>
        <w:rPr>
          <w:rFonts w:ascii="Arial" w:cs="Arial" w:eastAsia="Arial" w:hAnsi="Arial"/>
          <w:sz w:val="18"/>
          <w:szCs w:val="18"/>
          <w:color w:val="auto"/>
        </w:rPr>
      </w:pPr>
    </w:p>
    <w:p>
      <w:pPr>
        <w:ind w:left="800" w:right="80" w:hanging="342"/>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NFE is a holding company. NFE’s sole material asset after completion of this offering will be its equity interest in NFI, and accordingly, NFE will be dependent upon dividends from NFI to pay taxes and cover its corporate and other overhead expenses.</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21" w:lineRule="exact"/>
        <w:rPr>
          <w:sz w:val="20"/>
          <w:szCs w:val="20"/>
          <w:color w:val="auto"/>
        </w:rPr>
      </w:pPr>
    </w:p>
    <w:p>
      <w:pPr>
        <w:ind w:left="100" w:right="60" w:firstLine="360"/>
        <w:spacing w:after="0" w:line="302" w:lineRule="auto"/>
        <w:rPr>
          <w:sz w:val="20"/>
          <w:szCs w:val="20"/>
          <w:color w:val="auto"/>
        </w:rPr>
      </w:pPr>
      <w:r>
        <w:rPr>
          <w:rFonts w:ascii="Arial" w:cs="Arial" w:eastAsia="Arial" w:hAnsi="Arial"/>
          <w:sz w:val="16"/>
          <w:szCs w:val="16"/>
          <w:color w:val="auto"/>
        </w:rPr>
        <w:t>NFE was formed as a Delaware limited liability company by New Fortress Energy Holdings on August 6, 2018. NFE is currently a shell company with no assets or liabilities and has conducted no operations. New Fortress Energy Holdings currently owns all of the outstanding membership interests of the subsidiaries through which we operate our business, including NFE Atlantic. New Fortress Energy Holdings’ only asset other than cash is its investments in consolidated subsidiaries.</w:t>
      </w:r>
    </w:p>
    <w:p>
      <w:pPr>
        <w:spacing w:after="0" w:line="46" w:lineRule="exact"/>
        <w:rPr>
          <w:sz w:val="20"/>
          <w:szCs w:val="20"/>
          <w:color w:val="auto"/>
        </w:rPr>
      </w:pPr>
    </w:p>
    <w:p>
      <w:pPr>
        <w:ind w:left="100" w:firstLine="360"/>
        <w:spacing w:after="0" w:line="279" w:lineRule="auto"/>
        <w:rPr>
          <w:sz w:val="20"/>
          <w:szCs w:val="20"/>
          <w:color w:val="auto"/>
        </w:rPr>
      </w:pPr>
      <w:r>
        <w:rPr>
          <w:rFonts w:ascii="Arial" w:cs="Arial" w:eastAsia="Arial" w:hAnsi="Arial"/>
          <w:sz w:val="17"/>
          <w:szCs w:val="17"/>
          <w:color w:val="auto"/>
        </w:rPr>
        <w:t>Following this offering and the related transactions described below, NFE will be a holding company whose only material asset will consist of membership interests in NFI, which will own all of the outstanding membership interests in NFE Atlantic. NFE will be the sole managing member of NFI, will be responsible for all operational, management and administrative decisions relating to NFI’s business and will consolidate financial results of NFI and its subsidiaries.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offering, the following transactions have occurred or will occur:</w:t>
      </w:r>
    </w:p>
    <w:p>
      <w:pPr>
        <w:spacing w:after="0" w:line="117" w:lineRule="exact"/>
        <w:rPr>
          <w:sz w:val="20"/>
          <w:szCs w:val="20"/>
          <w:color w:val="auto"/>
        </w:rPr>
      </w:pPr>
    </w:p>
    <w:p>
      <w:pPr>
        <w:ind w:left="800" w:right="20" w:hanging="342"/>
        <w:spacing w:after="0" w:line="308"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Fortress Energy Holdings will contribute all of its interests in NFE Atlantic and its limited assets and liabilities, if any, to NFI in exchange for common units of NFI (“NFI LLC Units”), which will be the only class of units of NFI;</w:t>
      </w:r>
    </w:p>
    <w:p>
      <w:pPr>
        <w:sectPr>
          <w:pgSz w:w="11900" w:h="16838" w:orient="portrait"/>
          <w:cols w:equalWidth="0" w:num="1">
            <w:col w:w="9400"/>
          </w:cols>
          <w:pgMar w:left="1180" w:top="279" w:right="1319" w:bottom="1440" w:gutter="0" w:footer="0" w:header="0"/>
        </w:sectPr>
      </w:pP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NFE will issue Class A shares in this offering to the public, representing limited liability company interests with 100% of the economic rights in NFE, at an initial offering price of $ per Class A share;</w:t>
      </w:r>
    </w:p>
    <w:p>
      <w:pPr>
        <w:spacing w:after="0" w:line="62" w:lineRule="exact"/>
        <w:rPr>
          <w:sz w:val="20"/>
          <w:szCs w:val="20"/>
          <w:color w:val="auto"/>
        </w:rPr>
      </w:pPr>
    </w:p>
    <w:p>
      <w:pPr>
        <w:sectPr>
          <w:pgSz w:w="11900" w:h="16838" w:orient="portrait"/>
          <w:cols w:equalWidth="0" w:num="2">
            <w:col w:w="520" w:space="280"/>
            <w:col w:w="8600"/>
          </w:cols>
          <w:pgMar w:left="1180" w:top="279" w:right="1319" w:bottom="1440" w:gutter="0" w:footer="0" w:header="0"/>
          <w:type w:val="continuous"/>
        </w:sectPr>
      </w:pPr>
    </w:p>
    <w:p>
      <w:pPr>
        <w:ind w:left="800" w:hanging="342"/>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NFE will contribute the net proceeds from this offering (including any net proceeds from the exercise of the</w:t>
      </w:r>
    </w:p>
    <w:p>
      <w:pPr>
        <w:sectPr>
          <w:pgSz w:w="11900" w:h="16838" w:orient="portrait"/>
          <w:cols w:equalWidth="0" w:num="1">
            <w:col w:w="9400"/>
          </w:cols>
          <w:pgMar w:left="1180" w:top="279" w:right="1319" w:bottom="1440" w:gutter="0" w:footer="0" w:header="0"/>
          <w:type w:val="continuous"/>
        </w:sectPr>
      </w:pPr>
    </w:p>
    <w:p>
      <w:pPr>
        <w:spacing w:after="0" w:line="46" w:lineRule="exact"/>
        <w:rPr>
          <w:sz w:val="20"/>
          <w:szCs w:val="20"/>
          <w:color w:val="auto"/>
        </w:rPr>
      </w:pPr>
    </w:p>
    <w:p>
      <w:pPr>
        <w:ind w:left="800"/>
        <w:spacing w:after="0" w:line="261" w:lineRule="auto"/>
        <w:rPr>
          <w:sz w:val="20"/>
          <w:szCs w:val="20"/>
          <w:color w:val="auto"/>
        </w:rPr>
      </w:pPr>
      <w:r>
        <w:rPr>
          <w:rFonts w:ascii="Arial" w:cs="Arial" w:eastAsia="Arial" w:hAnsi="Arial"/>
          <w:sz w:val="18"/>
          <w:szCs w:val="18"/>
          <w:color w:val="auto"/>
        </w:rPr>
        <w:t>underwriters’ option to purchase additional Class A shares from us) to NFI in exchange for NFI LLC Units, equal to the number of Class A shares sold in this offering;</w:t>
      </w:r>
    </w:p>
    <w:p>
      <w:pPr>
        <w:sectPr>
          <w:pgSz w:w="11900" w:h="16838" w:orient="portrait"/>
          <w:cols w:equalWidth="0" w:num="1">
            <w:col w:w="9400"/>
          </w:cols>
          <w:pgMar w:left="1180" w:top="279" w:right="1319" w:bottom="1440" w:gutter="0" w:footer="0" w:header="0"/>
          <w:type w:val="continuous"/>
        </w:sectPr>
      </w:pPr>
    </w:p>
    <w:p>
      <w:pPr>
        <w:spacing w:after="0" w:line="76" w:lineRule="exact"/>
        <w:rPr>
          <w:sz w:val="20"/>
          <w:szCs w:val="20"/>
          <w:color w:val="auto"/>
        </w:rPr>
      </w:pPr>
    </w:p>
    <w:p>
      <w:pPr>
        <w:ind w:left="800" w:right="340" w:hanging="342"/>
        <w:spacing w:after="0" w:line="308"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NFI will use the net proceeds from this offering (including any net proceeds from the exercise of the underwriters’ option to purchase additional Class A shares from us) as described in “Use of Proceeds;” and</w:t>
      </w:r>
    </w:p>
    <w:p>
      <w:pPr>
        <w:spacing w:after="0" w:line="38" w:lineRule="exact"/>
        <w:rPr>
          <w:rFonts w:ascii="Arial" w:cs="Arial" w:eastAsia="Arial" w:hAnsi="Arial"/>
          <w:sz w:val="17"/>
          <w:szCs w:val="17"/>
          <w:color w:val="auto"/>
        </w:rPr>
      </w:pPr>
    </w:p>
    <w:p>
      <w:pPr>
        <w:ind w:left="800" w:right="60" w:hanging="34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it immediately following the completion of this offering.</w:t>
      </w:r>
    </w:p>
    <w:p>
      <w:pPr>
        <w:spacing w:after="0" w:line="62" w:lineRule="exact"/>
        <w:rPr>
          <w:sz w:val="20"/>
          <w:szCs w:val="20"/>
          <w:color w:val="auto"/>
        </w:rPr>
      </w:pPr>
    </w:p>
    <w:p>
      <w:pPr>
        <w:ind w:left="100" w:right="380" w:firstLine="360"/>
        <w:spacing w:after="0" w:line="277" w:lineRule="auto"/>
        <w:rPr>
          <w:sz w:val="20"/>
          <w:szCs w:val="20"/>
          <w:color w:val="auto"/>
        </w:rPr>
      </w:pPr>
      <w:r>
        <w:rPr>
          <w:rFonts w:ascii="Arial" w:cs="Arial" w:eastAsia="Arial" w:hAnsi="Arial"/>
          <w:sz w:val="18"/>
          <w:szCs w:val="18"/>
          <w:color w:val="auto"/>
        </w:rPr>
        <w:t>The diagram under “—Organizational Structure” below depicts a simplified version of our organization and ownership structure after giving effect to this offering and the related formation transactions.</w:t>
      </w:r>
    </w:p>
    <w:p>
      <w:pPr>
        <w:spacing w:after="0" w:line="62" w:lineRule="exact"/>
        <w:rPr>
          <w:sz w:val="20"/>
          <w:szCs w:val="20"/>
          <w:color w:val="auto"/>
        </w:rPr>
      </w:pPr>
    </w:p>
    <w:p>
      <w:pPr>
        <w:ind w:left="100" w:right="880" w:firstLine="360"/>
        <w:spacing w:after="0" w:line="277" w:lineRule="auto"/>
        <w:rPr>
          <w:sz w:val="20"/>
          <w:szCs w:val="20"/>
          <w:color w:val="auto"/>
        </w:rPr>
      </w:pPr>
      <w:r>
        <w:rPr>
          <w:rFonts w:ascii="Arial" w:cs="Arial" w:eastAsia="Arial" w:hAnsi="Arial"/>
          <w:sz w:val="18"/>
          <w:szCs w:val="18"/>
          <w:color w:val="auto"/>
        </w:rPr>
        <w:t>For further details on our agreements with New Fortress Energy Holdings and its affiliates, please read “Certain Relationships and Related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 above transactions throughout this prospectus as the “Transactions.”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Class A shares and Class B shares</w:t>
      </w:r>
    </w:p>
    <w:p>
      <w:pPr>
        <w:spacing w:after="0" w:line="117" w:lineRule="exact"/>
        <w:rPr>
          <w:sz w:val="20"/>
          <w:szCs w:val="20"/>
          <w:color w:val="auto"/>
        </w:rPr>
      </w:pPr>
    </w:p>
    <w:p>
      <w:pPr>
        <w:ind w:left="100" w:right="120" w:firstLine="360"/>
        <w:spacing w:after="0" w:line="279" w:lineRule="auto"/>
        <w:rPr>
          <w:sz w:val="20"/>
          <w:szCs w:val="20"/>
          <w:color w:val="auto"/>
        </w:rPr>
      </w:pPr>
      <w:r>
        <w:rPr>
          <w:rFonts w:ascii="Arial" w:cs="Arial" w:eastAsia="Arial" w:hAnsi="Arial"/>
          <w:sz w:val="17"/>
          <w:szCs w:val="17"/>
          <w:color w:val="auto"/>
        </w:rPr>
        <w:t>Our operating agreement will provide for two classes of shares, Class A shares and Class B shares, representing limited liability company interests in us. Only the holders of our Class A shares are entitled to participate in any dividends our board of directors may declare. Each Class A share will also be entitled to one vote on the limited matters to be voted on by our shareholders. We expect to list our Class A shares for trading on the NYSE under the symbol “NFE.”</w:t>
      </w:r>
    </w:p>
    <w:p>
      <w:pPr>
        <w:spacing w:after="0" w:line="63" w:lineRule="exact"/>
        <w:rPr>
          <w:sz w:val="20"/>
          <w:szCs w:val="20"/>
          <w:color w:val="auto"/>
        </w:rPr>
      </w:pPr>
    </w:p>
    <w:p>
      <w:pPr>
        <w:ind w:left="100" w:right="20" w:firstLine="360"/>
        <w:spacing w:after="0" w:line="297" w:lineRule="auto"/>
        <w:rPr>
          <w:sz w:val="20"/>
          <w:szCs w:val="20"/>
          <w:color w:val="auto"/>
        </w:rPr>
      </w:pPr>
      <w:r>
        <w:rPr>
          <w:rFonts w:ascii="Arial" w:cs="Arial" w:eastAsia="Arial" w:hAnsi="Arial"/>
          <w:sz w:val="16"/>
          <w:szCs w:val="16"/>
          <w:color w:val="auto"/>
        </w:rPr>
        <w:t>Class B shares are not entitled to receive dividends but will be entitled to vote on the same basis as the Class A shares. Holders of Class A shares and Class B shares will vote together as a single class on all matters presented to our shareholders for their vote or approval, except as otherwise required by applicable law. We do not intend to list the Class B shares on any stock exchange. All of our Class B shares will initially be owned by New Fortress Energy Holdings. For a description of the rights and privileges of shareholders under our operating agreement, including voting rights, please read “Our Operating Agreement.”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Redemption Right</w:t>
      </w:r>
    </w:p>
    <w:p>
      <w:pPr>
        <w:spacing w:after="0" w:line="117" w:lineRule="exact"/>
        <w:rPr>
          <w:sz w:val="20"/>
          <w:szCs w:val="20"/>
          <w:color w:val="auto"/>
        </w:rPr>
      </w:pPr>
    </w:p>
    <w:p>
      <w:pPr>
        <w:jc w:val="both"/>
        <w:ind w:left="100" w:right="320" w:firstLine="360"/>
        <w:spacing w:after="0" w:line="264" w:lineRule="auto"/>
        <w:rPr>
          <w:sz w:val="20"/>
          <w:szCs w:val="20"/>
          <w:color w:val="auto"/>
        </w:rPr>
      </w:pPr>
      <w:r>
        <w:rPr>
          <w:rFonts w:ascii="Arial" w:cs="Arial" w:eastAsia="Arial" w:hAnsi="Arial"/>
          <w:sz w:val="18"/>
          <w:szCs w:val="18"/>
          <w:color w:val="auto"/>
        </w:rPr>
        <w:t>Following this offering, under the NFI limited liability company agreement (the “NFI LLC Agreement”), New Fortress Energy Holdings and any permitted transferees of their NFI LLC Units will, subject to certain limitations, have the right (the “Redemption Right”) to cause NFI to acquire all or a portion of its NFI LLC</w:t>
      </w: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00"/>
          </w:cols>
          <w:pgMar w:left="1180" w:top="279" w:right="131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138" w:lineRule="exact"/>
        <w:rPr>
          <w:sz w:val="20"/>
          <w:szCs w:val="20"/>
          <w:color w:val="auto"/>
        </w:rPr>
      </w:pPr>
    </w:p>
    <w:p>
      <w:pPr>
        <w:ind w:left="100" w:right="80"/>
        <w:spacing w:after="0" w:line="268" w:lineRule="auto"/>
        <w:rPr>
          <w:sz w:val="20"/>
          <w:szCs w:val="20"/>
          <w:color w:val="auto"/>
        </w:rPr>
      </w:pPr>
      <w:r>
        <w:rPr>
          <w:rFonts w:ascii="Arial" w:cs="Arial" w:eastAsia="Arial" w:hAnsi="Arial"/>
          <w:sz w:val="17"/>
          <w:szCs w:val="17"/>
          <w:color w:val="auto"/>
        </w:rPr>
        <w:t>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Our decision to make a cash payment upon the redemption of NFI LLC Units will be made by our independent directors (within the meaning of the NYSE) who are disinterested. Alternatively, upon the exercise of the Redemption Right, NFE (instead of NFI) will have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w:t>
      </w:r>
    </w:p>
    <w:p>
      <w:pPr>
        <w:spacing w:after="0" w:line="77" w:lineRule="exact"/>
        <w:rPr>
          <w:sz w:val="20"/>
          <w:szCs w:val="20"/>
          <w:color w:val="auto"/>
        </w:rPr>
      </w:pPr>
    </w:p>
    <w:p>
      <w:pPr>
        <w:ind w:left="100" w:right="40"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79" w:lineRule="exact"/>
        <w:rPr>
          <w:sz w:val="20"/>
          <w:szCs w:val="20"/>
          <w:color w:val="auto"/>
        </w:rPr>
      </w:pPr>
    </w:p>
    <w:p>
      <w:pPr>
        <w:ind w:left="100" w:right="340" w:firstLine="360"/>
        <w:spacing w:after="0" w:line="308" w:lineRule="auto"/>
        <w:rPr>
          <w:sz w:val="20"/>
          <w:szCs w:val="20"/>
          <w:color w:val="auto"/>
        </w:rPr>
      </w:pPr>
      <w:r>
        <w:rPr>
          <w:rFonts w:ascii="Arial" w:cs="Arial" w:eastAsia="Arial" w:hAnsi="Arial"/>
          <w:sz w:val="17"/>
          <w:szCs w:val="17"/>
          <w:color w:val="auto"/>
        </w:rPr>
        <w:t>For additional information, please read “Certain Relationships and Related Transactions—Agreements with Affiliates in Connection with the Transactions—Amended and Restated Limited Liability Company Agreement of NFI.”</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Holding Company Structure</w:t>
      </w:r>
    </w:p>
    <w:p>
      <w:pPr>
        <w:spacing w:after="0" w:line="117" w:lineRule="exact"/>
        <w:rPr>
          <w:sz w:val="20"/>
          <w:szCs w:val="20"/>
          <w:color w:val="auto"/>
        </w:rPr>
      </w:pPr>
    </w:p>
    <w:p>
      <w:pPr>
        <w:jc w:val="both"/>
        <w:ind w:left="100" w:right="180" w:firstLine="360"/>
        <w:spacing w:after="0" w:line="257" w:lineRule="auto"/>
        <w:rPr>
          <w:sz w:val="20"/>
          <w:szCs w:val="20"/>
          <w:color w:val="auto"/>
        </w:rPr>
      </w:pPr>
      <w:r>
        <w:rPr>
          <w:rFonts w:ascii="Arial" w:cs="Arial" w:eastAsia="Arial" w:hAnsi="Arial"/>
          <w:sz w:val="18"/>
          <w:szCs w:val="18"/>
          <w:color w:val="auto"/>
        </w:rPr>
        <w:t>Our post-offering organizational structure will allow New Fortress Energy Holdings to retain a direct equity ownership in NFI, which is classified as a partnership for U.S. federal income tax purposes. Investors in this offering will, by contrast, hold a direct equity ownership in us in the form of Class A shares, and an indirect ownership interest in NFI through our ownership of NFI LLC Units. Although we were formed as a limited liability company, we have elected to be taxed as a corporation for U.S. federal income tax purposes.</w:t>
      </w:r>
    </w:p>
    <w:p>
      <w:pPr>
        <w:spacing w:after="0" w:line="80"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Pursuant to our operating agreement and the NFI LLC Agreement, our capital structure and the capital structure of NFI will generally replicate one another and will provide for customary antidilution mechanisms in order to maintain the one-for-one exchange ratio between the NFI LLC Units and our Class A shares.</w:t>
      </w:r>
    </w:p>
    <w:p>
      <w:pPr>
        <w:spacing w:after="0" w:line="73" w:lineRule="exact"/>
        <w:rPr>
          <w:sz w:val="20"/>
          <w:szCs w:val="20"/>
          <w:color w:val="auto"/>
        </w:rPr>
      </w:pPr>
    </w:p>
    <w:p>
      <w:pPr>
        <w:jc w:val="both"/>
        <w:ind w:left="100" w:right="20" w:firstLine="360"/>
        <w:spacing w:after="0" w:line="264" w:lineRule="auto"/>
        <w:rPr>
          <w:sz w:val="20"/>
          <w:szCs w:val="20"/>
          <w:color w:val="auto"/>
        </w:rPr>
      </w:pPr>
      <w:r>
        <w:rPr>
          <w:rFonts w:ascii="Arial" w:cs="Arial" w:eastAsia="Arial" w:hAnsi="Arial"/>
          <w:sz w:val="18"/>
          <w:szCs w:val="18"/>
          <w:color w:val="auto"/>
        </w:rPr>
        <w:t>For additional information, please read “—Organizational Structure” and “Certain Relationships and Related Transactions— Agreements with Affiliates in Connection with the Transactions—Amended and Restated Limited Liability Company Agreement of NFI.”</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73" w:lineRule="exact"/>
        <w:rPr>
          <w:sz w:val="20"/>
          <w:szCs w:val="20"/>
          <w:color w:val="auto"/>
        </w:rPr>
      </w:pPr>
    </w:p>
    <w:p>
      <w:pPr>
        <w:ind w:left="100" w:right="40" w:firstLine="360"/>
        <w:spacing w:after="0" w:line="291"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For example, we have some of the same directors and officers as other entities affiliated with Fortress. In addition, we do not have a policy that expressly prohibits our directors, officers, securityholders or affiliates from engaging in business activities of the types conducted by us for their own account. Fortress and its members, managers, officers and employees may pursue acquisition opportunities that we may acquire or dispose of assets in which such persons have a personal interest. In the event of a violation of this code of business conduct and ethics that does not constitute bad faith, willful misconduct, gross negligence or reckless disregard of our directors’ or officers’ duties, our directors, officers or employees will not be liable to us.</w:t>
      </w:r>
    </w:p>
    <w:p>
      <w:pPr>
        <w:spacing w:after="0" w:line="59" w:lineRule="exact"/>
        <w:rPr>
          <w:sz w:val="20"/>
          <w:szCs w:val="20"/>
          <w:color w:val="auto"/>
        </w:rPr>
      </w:pPr>
    </w:p>
    <w:p>
      <w:pPr>
        <w:ind w:left="100" w:right="40" w:firstLine="360"/>
        <w:spacing w:after="0" w:line="264" w:lineRule="auto"/>
        <w:rPr>
          <w:sz w:val="20"/>
          <w:szCs w:val="20"/>
          <w:color w:val="auto"/>
        </w:rPr>
      </w:pPr>
      <w:r>
        <w:rPr>
          <w:rFonts w:ascii="Arial" w:cs="Arial" w:eastAsia="Arial" w:hAnsi="Arial"/>
          <w:sz w:val="18"/>
          <w:szCs w:val="18"/>
          <w:color w:val="auto"/>
        </w:rPr>
        <w:t>Our key agreements, including our operating agreement and the NFI LLC Agreement, were negotiated among related parties, and their respective terms, including fees and other amounts payable, may not be as favorable to us as terms negotiated at an arm’s-length basis with unaffiliated parties.</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705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2825" cy="7705090"/>
                    </a:xfrm>
                    <a:prstGeom prst="rect">
                      <a:avLst/>
                    </a:prstGeom>
                    <a:noFill/>
                  </pic:spPr>
                </pic:pic>
              </a:graphicData>
            </a:graphic>
          </wp:anchor>
        </w:drawing>
      </w:r>
    </w:p>
    <w:p>
      <w:pPr>
        <w:spacing w:after="0" w:line="246" w:lineRule="exact"/>
        <w:rPr>
          <w:sz w:val="20"/>
          <w:szCs w:val="20"/>
          <w:color w:val="auto"/>
        </w:rPr>
      </w:pPr>
    </w:p>
    <w:p>
      <w:pPr>
        <w:ind w:left="100" w:firstLine="360"/>
        <w:spacing w:after="0" w:line="273" w:lineRule="auto"/>
        <w:rPr>
          <w:sz w:val="20"/>
          <w:szCs w:val="20"/>
          <w:color w:val="auto"/>
        </w:rPr>
      </w:pPr>
      <w:r>
        <w:rPr>
          <w:rFonts w:ascii="Arial" w:cs="Arial" w:eastAsia="Arial" w:hAnsi="Arial"/>
          <w:sz w:val="17"/>
          <w:szCs w:val="17"/>
          <w:color w:val="auto"/>
        </w:rPr>
        <w:t>We may compete with entities affiliated with Fortress for certain business opportunities. From time to time, affiliates of Fortress may focus on investments in assets in industries in which we currently, and may seek to, operate. These affiliates may have meaningful access to capital, which may change over time depending upon a variety of factors, including, but not limited to, available equity capital and debt financing, market conditions and cash on hand. Fortress has multiple existing and planned funds focused on investing in the industries in which we currently, and may seek to, operate, each with significant current or expected capital commitments. We may co-invest with these funds in certain business opportunities.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00" w:right="760" w:firstLine="360"/>
        <w:spacing w:after="0" w:line="308" w:lineRule="auto"/>
        <w:rPr>
          <w:sz w:val="20"/>
          <w:szCs w:val="20"/>
          <w:color w:val="auto"/>
        </w:rPr>
      </w:pPr>
      <w:r>
        <w:rPr>
          <w:rFonts w:ascii="Arial" w:cs="Arial" w:eastAsia="Arial" w:hAnsi="Arial"/>
          <w:sz w:val="17"/>
          <w:szCs w:val="17"/>
          <w:color w:val="auto"/>
        </w:rPr>
        <w:t>The following is a simplified diagram of our ownership structure after giving effect to this offering and the related transactions assuming the underwriters do not exercise their option to purchase additional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right="80" w:hanging="353"/>
        <w:spacing w:after="0" w:line="25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shares of the Company, is majority-owned and controlled by the Fortress Shareholder. Fortress Shareholder is controlled by Wesley R. Edens, our Chief Executive Officer. Mr. Edens exercises voting and dispositive power over the shares held by New Fortress Energy Holdings and may be deemed to be the beneficial owner thereof. Mr. Edens disclaims beneficial ownership of shares in excess of his pecuniary interest therein.</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230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2825" cy="123063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11" w:lineRule="exact"/>
        <w:rPr>
          <w:sz w:val="20"/>
          <w:szCs w:val="20"/>
          <w:color w:val="auto"/>
        </w:rPr>
      </w:pPr>
    </w:p>
    <w:p>
      <w:pPr>
        <w:ind w:left="100" w:firstLine="360"/>
        <w:spacing w:after="0" w:line="266" w:lineRule="auto"/>
        <w:rPr>
          <w:sz w:val="20"/>
          <w:szCs w:val="20"/>
          <w:color w:val="auto"/>
        </w:rPr>
      </w:pPr>
      <w:r>
        <w:rPr>
          <w:rFonts w:ascii="Arial" w:cs="Arial" w:eastAsia="Arial" w:hAnsi="Arial"/>
          <w:sz w:val="16"/>
          <w:szCs w:val="16"/>
          <w:color w:val="auto"/>
        </w:rPr>
        <w:t>Our principal executive offices are located at 111 W. 19</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Street, 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New York 10011 and our telephone number is (516) 268-7400. Our website is located at </w:t>
      </w:r>
      <w:r>
        <w:rPr>
          <w:rFonts w:ascii="Arial" w:cs="Arial" w:eastAsia="Arial" w:hAnsi="Arial"/>
          <w:sz w:val="16"/>
          <w:szCs w:val="16"/>
          <w:i w:val="1"/>
          <w:iCs w:val="1"/>
          <w:color w:val="auto"/>
        </w:rPr>
        <w:t>www.newfortressenergy.com</w:t>
      </w:r>
      <w:r>
        <w:rPr>
          <w:rFonts w:ascii="Arial" w:cs="Arial" w:eastAsia="Arial" w:hAnsi="Arial"/>
          <w:sz w:val="16"/>
          <w:szCs w:val="16"/>
          <w:color w:val="auto"/>
        </w:rPr>
        <w:t>.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38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92825" cy="6238875"/>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00"/>
        <w:spacing w:after="0"/>
        <w:tabs>
          <w:tab w:leader="none" w:pos="4940" w:val="left"/>
          <w:tab w:leader="none" w:pos="6840" w:val="left"/>
        </w:tabs>
        <w:rPr>
          <w:sz w:val="20"/>
          <w:szCs w:val="20"/>
          <w:color w:val="auto"/>
        </w:rPr>
      </w:pPr>
      <w:r>
        <w:rPr>
          <w:rFonts w:ascii="Arial" w:cs="Arial" w:eastAsia="Arial" w:hAnsi="Arial"/>
          <w:sz w:val="18"/>
          <w:szCs w:val="18"/>
          <w:color w:val="auto"/>
        </w:rPr>
        <w:t>Class A shares offered to the public</w:t>
      </w:r>
      <w:r>
        <w:rPr>
          <w:sz w:val="20"/>
          <w:szCs w:val="20"/>
          <w:color w:val="auto"/>
        </w:rPr>
        <w:tab/>
      </w:r>
      <w:r>
        <w:rPr>
          <w:rFonts w:ascii="Arial" w:cs="Arial" w:eastAsia="Arial" w:hAnsi="Arial"/>
          <w:sz w:val="18"/>
          <w:szCs w:val="18"/>
          <w:color w:val="auto"/>
        </w:rPr>
        <w:t>Class A shares, or</w:t>
      </w:r>
      <w:r>
        <w:rPr>
          <w:sz w:val="20"/>
          <w:szCs w:val="20"/>
          <w:color w:val="auto"/>
        </w:rPr>
        <w:tab/>
      </w:r>
      <w:r>
        <w:rPr>
          <w:rFonts w:ascii="Arial" w:cs="Arial" w:eastAsia="Arial" w:hAnsi="Arial"/>
          <w:sz w:val="16"/>
          <w:szCs w:val="16"/>
          <w:color w:val="auto"/>
        </w:rPr>
        <w:t>Class A shares if the underwriters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exercise their option to purchase additional Class A shares in full.</w:t>
      </w:r>
    </w:p>
    <w:p>
      <w:pPr>
        <w:spacing w:after="0" w:line="114" w:lineRule="exact"/>
        <w:rPr>
          <w:sz w:val="20"/>
          <w:szCs w:val="20"/>
          <w:color w:val="auto"/>
        </w:rPr>
      </w:pPr>
    </w:p>
    <w:p>
      <w:pPr>
        <w:ind w:left="100"/>
        <w:spacing w:after="0"/>
        <w:tabs>
          <w:tab w:leader="none" w:pos="4940" w:val="left"/>
          <w:tab w:leader="none" w:pos="6840" w:val="left"/>
        </w:tabs>
        <w:rPr>
          <w:sz w:val="20"/>
          <w:szCs w:val="20"/>
          <w:color w:val="auto"/>
        </w:rPr>
      </w:pPr>
      <w:r>
        <w:rPr>
          <w:rFonts w:ascii="Arial" w:cs="Arial" w:eastAsia="Arial" w:hAnsi="Arial"/>
          <w:sz w:val="18"/>
          <w:szCs w:val="18"/>
          <w:color w:val="auto"/>
        </w:rPr>
        <w:t>Class A shares outstanding after this offering</w:t>
      </w:r>
      <w:r>
        <w:rPr>
          <w:sz w:val="20"/>
          <w:szCs w:val="20"/>
          <w:color w:val="auto"/>
        </w:rPr>
        <w:tab/>
      </w:r>
      <w:r>
        <w:rPr>
          <w:rFonts w:ascii="Arial" w:cs="Arial" w:eastAsia="Arial" w:hAnsi="Arial"/>
          <w:sz w:val="18"/>
          <w:szCs w:val="18"/>
          <w:color w:val="auto"/>
        </w:rPr>
        <w:t>Class A shares, or</w:t>
      </w:r>
      <w:r>
        <w:rPr>
          <w:sz w:val="20"/>
          <w:szCs w:val="20"/>
          <w:color w:val="auto"/>
        </w:rPr>
        <w:tab/>
      </w:r>
      <w:r>
        <w:rPr>
          <w:rFonts w:ascii="Arial" w:cs="Arial" w:eastAsia="Arial" w:hAnsi="Arial"/>
          <w:sz w:val="16"/>
          <w:szCs w:val="16"/>
          <w:color w:val="auto"/>
        </w:rPr>
        <w:t>Class A shares if the underwriters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exercise their option to purchase additional Class A shares in full.</w:t>
      </w:r>
    </w:p>
    <w:p>
      <w:pPr>
        <w:spacing w:after="0" w:line="114" w:lineRule="exact"/>
        <w:rPr>
          <w:sz w:val="20"/>
          <w:szCs w:val="20"/>
          <w:color w:val="auto"/>
        </w:rPr>
      </w:pPr>
    </w:p>
    <w:p>
      <w:pPr>
        <w:ind w:left="100"/>
        <w:spacing w:after="0"/>
        <w:tabs>
          <w:tab w:leader="none" w:pos="4940" w:val="left"/>
        </w:tabs>
        <w:rPr>
          <w:sz w:val="20"/>
          <w:szCs w:val="20"/>
          <w:color w:val="auto"/>
        </w:rPr>
      </w:pPr>
      <w:r>
        <w:rPr>
          <w:rFonts w:ascii="Arial" w:cs="Arial" w:eastAsia="Arial" w:hAnsi="Arial"/>
          <w:sz w:val="18"/>
          <w:szCs w:val="18"/>
          <w:color w:val="auto"/>
        </w:rPr>
        <w:t>Class B shares outstanding after this offering</w:t>
      </w:r>
      <w:r>
        <w:rPr>
          <w:sz w:val="20"/>
          <w:szCs w:val="20"/>
          <w:color w:val="auto"/>
        </w:rPr>
        <w:tab/>
      </w:r>
      <w:r>
        <w:rPr>
          <w:rFonts w:ascii="Arial" w:cs="Arial" w:eastAsia="Arial" w:hAnsi="Arial"/>
          <w:sz w:val="16"/>
          <w:szCs w:val="16"/>
          <w:color w:val="auto"/>
        </w:rPr>
        <w:t>Class B shares, or one Class B share for each NFI LLC Unit</w:t>
      </w:r>
    </w:p>
    <w:p>
      <w:pPr>
        <w:spacing w:after="0" w:line="23" w:lineRule="exact"/>
        <w:rPr>
          <w:sz w:val="20"/>
          <w:szCs w:val="20"/>
          <w:color w:val="auto"/>
        </w:rPr>
      </w:pPr>
    </w:p>
    <w:p>
      <w:pPr>
        <w:ind w:left="4420" w:right="220"/>
        <w:spacing w:after="0" w:line="281" w:lineRule="auto"/>
        <w:rPr>
          <w:sz w:val="20"/>
          <w:szCs w:val="20"/>
          <w:color w:val="auto"/>
        </w:rPr>
      </w:pPr>
      <w:r>
        <w:rPr>
          <w:rFonts w:ascii="Arial" w:cs="Arial" w:eastAsia="Arial" w:hAnsi="Arial"/>
          <w:sz w:val="16"/>
          <w:szCs w:val="16"/>
          <w:color w:val="auto"/>
        </w:rPr>
        <w:t>held by New Fortress Energy Holdings immediately following this offering. Class B shares vote as a class with Class A shares, but have no right to receive any dividends. When a NFI LLC Unit currently held by New Fortress Energy Holdings is redeemed for a Class A</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share, a Class B share will be cancelled.</w:t>
      </w:r>
    </w:p>
    <w:p>
      <w:pPr>
        <w:sectPr>
          <w:pgSz w:w="11900" w:h="16838" w:orient="portrait"/>
          <w:cols w:equalWidth="0" w:num="1">
            <w:col w:w="9600"/>
          </w:cols>
          <w:pgMar w:left="1180" w:top="279" w:right="1119" w:bottom="1440" w:gutter="0" w:footer="0" w:header="0"/>
        </w:sectPr>
      </w:pPr>
    </w:p>
    <w:p>
      <w:pPr>
        <w:spacing w:after="0" w:line="103" w:lineRule="exact"/>
        <w:rPr>
          <w:sz w:val="20"/>
          <w:szCs w:val="20"/>
          <w:color w:val="auto"/>
        </w:rPr>
      </w:pPr>
    </w:p>
    <w:p>
      <w:pPr>
        <w:ind w:left="280" w:hanging="179"/>
        <w:spacing w:after="0" w:line="277" w:lineRule="auto"/>
        <w:rPr>
          <w:sz w:val="20"/>
          <w:szCs w:val="20"/>
          <w:color w:val="auto"/>
        </w:rPr>
      </w:pPr>
      <w:r>
        <w:rPr>
          <w:rFonts w:ascii="Arial" w:cs="Arial" w:eastAsia="Arial" w:hAnsi="Arial"/>
          <w:sz w:val="18"/>
          <w:szCs w:val="18"/>
          <w:color w:val="auto"/>
        </w:rPr>
        <w:t>Voting power of Class A shares after giving effect to this offering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 (or % if the underwriters’ option to purchase additional Class A shares is exercised in full). The voting power of our Class A shares would be 100% if all outstanding NFI LLC Units held by New Fortress Energy Holdings were redeemed (along with a corresponding number of our Class B shares) for newly issued Class A shares on a one-for-one basis.</w:t>
      </w:r>
    </w:p>
    <w:p>
      <w:pPr>
        <w:spacing w:after="0" w:line="85" w:lineRule="exact"/>
        <w:rPr>
          <w:sz w:val="20"/>
          <w:szCs w:val="20"/>
          <w:color w:val="auto"/>
        </w:rPr>
      </w:pPr>
    </w:p>
    <w:p>
      <w:pPr>
        <w:sectPr>
          <w:pgSz w:w="11900" w:h="16838" w:orient="portrait"/>
          <w:cols w:equalWidth="0" w:num="2">
            <w:col w:w="4200" w:space="220"/>
            <w:col w:w="5180"/>
          </w:cols>
          <w:pgMar w:left="1180" w:top="279" w:right="1119" w:bottom="1440" w:gutter="0" w:footer="0" w:header="0"/>
          <w:type w:val="continuous"/>
        </w:sectPr>
      </w:pPr>
    </w:p>
    <w:p>
      <w:pPr>
        <w:ind w:left="280" w:hanging="179"/>
        <w:spacing w:after="0" w:line="277" w:lineRule="auto"/>
        <w:rPr>
          <w:sz w:val="20"/>
          <w:szCs w:val="20"/>
          <w:color w:val="auto"/>
        </w:rPr>
      </w:pPr>
      <w:r>
        <w:rPr>
          <w:rFonts w:ascii="Arial" w:cs="Arial" w:eastAsia="Arial" w:hAnsi="Arial"/>
          <w:sz w:val="18"/>
          <w:szCs w:val="18"/>
          <w:color w:val="auto"/>
        </w:rPr>
        <w:t>Voting power of Class B shares after giving effect to this offering</w:t>
      </w:r>
    </w:p>
    <w:p>
      <w:pPr>
        <w:spacing w:after="0" w:line="20" w:lineRule="exact"/>
        <w:rPr>
          <w:sz w:val="20"/>
          <w:szCs w:val="20"/>
          <w:color w:val="auto"/>
        </w:rPr>
      </w:pPr>
      <w:r>
        <w:rPr>
          <w:sz w:val="20"/>
          <w:szCs w:val="20"/>
          <w:color w:val="auto"/>
        </w:rPr>
        <w:br w:type="column"/>
      </w:r>
    </w:p>
    <w:p>
      <w:pPr>
        <w:ind w:right="240" w:firstLine="270"/>
        <w:spacing w:after="0" w:line="255" w:lineRule="auto"/>
        <w:rPr>
          <w:sz w:val="20"/>
          <w:szCs w:val="20"/>
          <w:color w:val="auto"/>
        </w:rPr>
      </w:pPr>
      <w:r>
        <w:rPr>
          <w:rFonts w:ascii="Arial" w:cs="Arial" w:eastAsia="Arial" w:hAnsi="Arial"/>
          <w:sz w:val="18"/>
          <w:szCs w:val="18"/>
          <w:color w:val="auto"/>
        </w:rPr>
        <w:t>% (or % if the underwriters’ option to purchase additional Class A shares is exercised in full). The voting power of our Class B shares would be 0% if all outstanding NFI LLC Units held by New Fortress Energy Holdings were redeemed (along with a corresponding number of our Class B shares) for newly issued Class A shares on a one-for-one basis.</w:t>
      </w:r>
    </w:p>
    <w:p>
      <w:pPr>
        <w:spacing w:after="0" w:line="85" w:lineRule="exact"/>
        <w:rPr>
          <w:sz w:val="20"/>
          <w:szCs w:val="20"/>
          <w:color w:val="auto"/>
        </w:rPr>
      </w:pPr>
    </w:p>
    <w:p>
      <w:pPr>
        <w:sectPr>
          <w:pgSz w:w="11900" w:h="16838" w:orient="portrait"/>
          <w:cols w:equalWidth="0" w:num="2">
            <w:col w:w="4180" w:space="240"/>
            <w:col w:w="5180"/>
          </w:cols>
          <w:pgMar w:left="1180" w:top="279" w:right="11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Voting rights</w:t>
            </w: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3"/>
              </w:rPr>
              <w:t>Each Class A share entitles its holder to one vote on all matters to be</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6"/>
              </w:rPr>
              <w:t>voted on by shareholders generally. Each Class B share entitles its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holder to one vote on all matters to be voted on by shareholders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8"/>
              </w:rPr>
              <w:t>generally. Holders of our Class A shares and Class B shares vote</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1"/>
              </w:rPr>
              <w:t>together as a single class on all matters presented to our shareholders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4"/>
              </w:rPr>
              <w:t>for their vote or approval, except as otherwise required by applicable</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law or by our operating agreement. See “Description of Shares.”</w:t>
            </w:r>
          </w:p>
        </w:tc>
      </w:tr>
      <w:tr>
        <w:trPr>
          <w:trHeight w:val="310"/>
        </w:trPr>
        <w:tc>
          <w:tcPr>
            <w:tcW w:w="28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We expect the estimated net proceeds from this offering to be</w:t>
            </w:r>
          </w:p>
        </w:tc>
      </w:tr>
      <w:tr>
        <w:trPr>
          <w:trHeight w:val="216"/>
        </w:trPr>
        <w:tc>
          <w:tcPr>
            <w:tcW w:w="2840" w:type="dxa"/>
            <w:vAlign w:val="bottom"/>
          </w:tcPr>
          <w:p>
            <w:pPr>
              <w:spacing w:after="0"/>
              <w:rPr>
                <w:sz w:val="18"/>
                <w:szCs w:val="18"/>
                <w:color w:val="auto"/>
              </w:rPr>
            </w:pPr>
          </w:p>
        </w:tc>
        <w:tc>
          <w:tcPr>
            <w:tcW w:w="2920" w:type="dxa"/>
            <w:vAlign w:val="bottom"/>
            <w:gridSpan w:val="2"/>
          </w:tcPr>
          <w:p>
            <w:pPr>
              <w:ind w:left="1580"/>
              <w:spacing w:after="0"/>
              <w:rPr>
                <w:sz w:val="20"/>
                <w:szCs w:val="20"/>
                <w:color w:val="auto"/>
              </w:rPr>
            </w:pPr>
            <w:r>
              <w:rPr>
                <w:rFonts w:ascii="Arial" w:cs="Arial" w:eastAsia="Arial" w:hAnsi="Arial"/>
                <w:sz w:val="18"/>
                <w:szCs w:val="18"/>
                <w:color w:val="auto"/>
              </w:rPr>
              <w:t>approximately $</w:t>
            </w: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million (based on an assumed initial offering</w:t>
            </w:r>
          </w:p>
        </w:tc>
      </w:tr>
      <w:tr>
        <w:trPr>
          <w:trHeight w:val="216"/>
        </w:trPr>
        <w:tc>
          <w:tcPr>
            <w:tcW w:w="2840" w:type="dxa"/>
            <w:vAlign w:val="bottom"/>
          </w:tcPr>
          <w:p>
            <w:pPr>
              <w:spacing w:after="0"/>
              <w:rPr>
                <w:sz w:val="18"/>
                <w:szCs w:val="18"/>
                <w:color w:val="auto"/>
              </w:rPr>
            </w:pPr>
          </w:p>
        </w:tc>
        <w:tc>
          <w:tcPr>
            <w:tcW w:w="2440" w:type="dxa"/>
            <w:vAlign w:val="bottom"/>
          </w:tcPr>
          <w:p>
            <w:pPr>
              <w:ind w:left="1580"/>
              <w:spacing w:after="0"/>
              <w:rPr>
                <w:sz w:val="20"/>
                <w:szCs w:val="20"/>
                <w:color w:val="auto"/>
              </w:rPr>
            </w:pPr>
            <w:r>
              <w:rPr>
                <w:rFonts w:ascii="Arial" w:cs="Arial" w:eastAsia="Arial" w:hAnsi="Arial"/>
                <w:sz w:val="18"/>
                <w:szCs w:val="18"/>
                <w:color w:val="auto"/>
              </w:rPr>
              <w:t>price of $</w:t>
            </w:r>
          </w:p>
        </w:tc>
        <w:tc>
          <w:tcPr>
            <w:tcW w:w="4320" w:type="dxa"/>
            <w:vAlign w:val="bottom"/>
            <w:gridSpan w:val="4"/>
          </w:tcPr>
          <w:p>
            <w:pPr>
              <w:ind w:left="160"/>
              <w:spacing w:after="0"/>
              <w:rPr>
                <w:sz w:val="20"/>
                <w:szCs w:val="20"/>
                <w:color w:val="auto"/>
              </w:rPr>
            </w:pPr>
            <w:r>
              <w:rPr>
                <w:rFonts w:ascii="Arial" w:cs="Arial" w:eastAsia="Arial" w:hAnsi="Arial"/>
                <w:sz w:val="18"/>
                <w:szCs w:val="18"/>
                <w:color w:val="auto"/>
                <w:w w:val="96"/>
              </w:rPr>
              <w:t>per Class A share, the mid-point of the price range set</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forth on the cover page of this prospectus), after deducting the</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estimated underwriting discounts and offering expenses.</w:t>
            </w:r>
          </w:p>
        </w:tc>
      </w:tr>
      <w:tr>
        <w:trPr>
          <w:trHeight w:val="310"/>
        </w:trPr>
        <w:tc>
          <w:tcPr>
            <w:tcW w:w="2840" w:type="dxa"/>
            <w:vAlign w:val="bottom"/>
          </w:tcPr>
          <w:p>
            <w:pPr>
              <w:spacing w:after="0"/>
              <w:rPr>
                <w:sz w:val="24"/>
                <w:szCs w:val="24"/>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We will contribute the net proceeds of this offering to NFI in</w:t>
            </w:r>
          </w:p>
        </w:tc>
      </w:tr>
      <w:tr>
        <w:trPr>
          <w:trHeight w:val="216"/>
        </w:trPr>
        <w:tc>
          <w:tcPr>
            <w:tcW w:w="2840" w:type="dxa"/>
            <w:vAlign w:val="bottom"/>
          </w:tcPr>
          <w:p>
            <w:pPr>
              <w:spacing w:after="0"/>
              <w:rPr>
                <w:sz w:val="18"/>
                <w:szCs w:val="18"/>
                <w:color w:val="auto"/>
              </w:rPr>
            </w:pPr>
          </w:p>
        </w:tc>
        <w:tc>
          <w:tcPr>
            <w:tcW w:w="4520" w:type="dxa"/>
            <w:vAlign w:val="bottom"/>
            <w:gridSpan w:val="3"/>
          </w:tcPr>
          <w:p>
            <w:pPr>
              <w:ind w:left="1580"/>
              <w:spacing w:after="0"/>
              <w:rPr>
                <w:sz w:val="20"/>
                <w:szCs w:val="20"/>
                <w:color w:val="auto"/>
              </w:rPr>
            </w:pPr>
            <w:r>
              <w:rPr>
                <w:rFonts w:ascii="Arial" w:cs="Arial" w:eastAsia="Arial" w:hAnsi="Arial"/>
                <w:sz w:val="18"/>
                <w:szCs w:val="18"/>
                <w:color w:val="auto"/>
              </w:rPr>
              <w:t>exchange for NFI’s issuance to us of</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NFI LLC Units. NFI will</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6"/>
              </w:rPr>
              <w:t>use the net proceeds to complete the construction of our Terminals</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and Liquefaction Facilities, as well as for working</w:t>
            </w:r>
          </w:p>
        </w:tc>
      </w:tr>
      <w:tr>
        <w:trPr>
          <w:trHeight w:val="267"/>
        </w:trPr>
        <w:tc>
          <w:tcPr>
            <w:tcW w:w="28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2840" w:type="dxa"/>
            <w:vAlign w:val="bottom"/>
          </w:tcPr>
          <w:p>
            <w:pPr>
              <w:spacing w:after="0"/>
              <w:rPr>
                <w:sz w:val="24"/>
                <w:szCs w:val="24"/>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2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40" w:type="dxa"/>
            <w:vAlign w:val="bottom"/>
            <w:shd w:val="clear" w:color="auto" w:fill="000000"/>
          </w:tcPr>
          <w:p>
            <w:pPr>
              <w:spacing w:after="0"/>
              <w:rPr>
                <w:sz w:val="5"/>
                <w:szCs w:val="5"/>
                <w:color w:val="auto"/>
              </w:rPr>
            </w:pPr>
          </w:p>
        </w:tc>
        <w:tc>
          <w:tcPr>
            <w:tcW w:w="24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895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2825" cy="5895975"/>
                    </a:xfrm>
                    <a:prstGeom prst="rect">
                      <a:avLst/>
                    </a:prstGeom>
                    <a:noFill/>
                  </pic:spPr>
                </pic:pic>
              </a:graphicData>
            </a:graphic>
          </wp:anchor>
        </w:drawing>
      </w:r>
    </w:p>
    <w:p>
      <w:pPr>
        <w:spacing w:after="0" w:line="138" w:lineRule="exact"/>
        <w:rPr>
          <w:sz w:val="20"/>
          <w:szCs w:val="20"/>
          <w:color w:val="auto"/>
        </w:rPr>
      </w:pPr>
    </w:p>
    <w:p>
      <w:pPr>
        <w:ind w:left="4420" w:right="80"/>
        <w:spacing w:after="0" w:line="264" w:lineRule="auto"/>
        <w:rPr>
          <w:sz w:val="20"/>
          <w:szCs w:val="20"/>
          <w:color w:val="auto"/>
        </w:rPr>
      </w:pPr>
      <w:r>
        <w:rPr>
          <w:rFonts w:ascii="Arial" w:cs="Arial" w:eastAsia="Arial" w:hAnsi="Arial"/>
          <w:sz w:val="18"/>
          <w:szCs w:val="18"/>
          <w:color w:val="auto"/>
        </w:rPr>
        <w:t>capital and general corporate purposes, including the development of future projects. Please read “Use of Proceeds” for additional information.</w:t>
      </w:r>
    </w:p>
    <w:p>
      <w:pPr>
        <w:spacing w:after="0" w:line="73" w:lineRule="exact"/>
        <w:rPr>
          <w:sz w:val="20"/>
          <w:szCs w:val="20"/>
          <w:color w:val="auto"/>
        </w:rPr>
      </w:pPr>
    </w:p>
    <w:p>
      <w:pPr>
        <w:ind w:left="4420" w:right="120"/>
        <w:spacing w:after="0" w:line="287" w:lineRule="auto"/>
        <w:rPr>
          <w:sz w:val="20"/>
          <w:szCs w:val="20"/>
          <w:color w:val="auto"/>
        </w:rPr>
      </w:pPr>
      <w:r>
        <w:rPr>
          <w:rFonts w:ascii="Arial" w:cs="Arial" w:eastAsia="Arial" w:hAnsi="Arial"/>
          <w:sz w:val="16"/>
          <w:szCs w:val="16"/>
          <w:color w:val="auto"/>
        </w:rPr>
        <w:t>If the underwriters exercise their option to purchase additional Class A shares in full, the additional net proceeds will be approximately $ million (based on an assumed initial offering price of $ per Class A share, the mid-point of the price range set forth on the cover page of this prospectus). The net proceeds from any exercise of such option will be contributed to NFI in exchange for NFI’s issuance to us of NFI LLC Units. After the application of the net proceeds from this offering, we will own a % membership interest in NFI (or a % membership interest if the underwriters’ option to purchase additional Class A shares is exercised in full). Please read “Security Ownership of Certain Beneficial Owners and Management.”</w:t>
      </w:r>
    </w:p>
    <w:p>
      <w:pPr>
        <w:sectPr>
          <w:pgSz w:w="11900" w:h="16838" w:orient="portrait"/>
          <w:cols w:equalWidth="0" w:num="1">
            <w:col w:w="9480"/>
          </w:cols>
          <w:pgMar w:left="1180" w:top="279" w:right="1239" w:bottom="1440" w:gutter="0" w:footer="0" w:header="0"/>
        </w:sectPr>
      </w:pPr>
    </w:p>
    <w:p>
      <w:pPr>
        <w:spacing w:after="0" w:line="6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anticipate paying any dividends on our Class A shares. See “Dividend Policy.”</w:t>
      </w:r>
    </w:p>
    <w:p>
      <w:pPr>
        <w:spacing w:after="0" w:line="62" w:lineRule="exact"/>
        <w:rPr>
          <w:sz w:val="20"/>
          <w:szCs w:val="20"/>
          <w:color w:val="auto"/>
        </w:rPr>
      </w:pPr>
    </w:p>
    <w:p>
      <w:pPr>
        <w:sectPr>
          <w:pgSz w:w="11900" w:h="16838" w:orient="portrait"/>
          <w:cols w:equalWidth="0" w:num="2">
            <w:col w:w="3700" w:space="720"/>
            <w:col w:w="5060"/>
          </w:cols>
          <w:pgMar w:left="1180" w:top="279" w:right="12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Redemption Right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Under the NFI LLC Agreement, New Fortress Energy Holdings and any permitted transferees of their NFI LLC Units will, subject to</w:t>
      </w:r>
    </w:p>
    <w:p>
      <w:pPr>
        <w:spacing w:after="0" w:line="1" w:lineRule="exact"/>
        <w:rPr>
          <w:sz w:val="20"/>
          <w:szCs w:val="20"/>
          <w:color w:val="auto"/>
        </w:rPr>
      </w:pPr>
    </w:p>
    <w:p>
      <w:pPr>
        <w:sectPr>
          <w:pgSz w:w="11900" w:h="16838" w:orient="portrait"/>
          <w:cols w:equalWidth="0" w:num="2">
            <w:col w:w="3700" w:space="720"/>
            <w:col w:w="5060"/>
          </w:cols>
          <w:pgMar w:left="1180" w:top="279" w:right="1239" w:bottom="1440" w:gutter="0" w:footer="0" w:header="0"/>
          <w:type w:val="continuous"/>
        </w:sectPr>
      </w:pPr>
    </w:p>
    <w:p>
      <w:pPr>
        <w:ind w:left="4420"/>
        <w:spacing w:after="0" w:line="283" w:lineRule="auto"/>
        <w:rPr>
          <w:sz w:val="20"/>
          <w:szCs w:val="20"/>
          <w:color w:val="auto"/>
        </w:rPr>
      </w:pPr>
      <w:r>
        <w:rPr>
          <w:rFonts w:ascii="Arial" w:cs="Arial" w:eastAsia="Arial" w:hAnsi="Arial"/>
          <w:sz w:val="16"/>
          <w:szCs w:val="16"/>
          <w:color w:val="auto"/>
        </w:rPr>
        <w:t>certain limitations, have the right, pursuant to the Redemption Right, to cause NFI to acquire all or a portion of its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Alternatively, upon the exercise of the Redemption Right, NFE (instead of NFI) will have the right, pursuant to the Call Right, to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 For additional information, please read “Certain Relationships and Related Transactions—Agreements with Affiliates in Connection with the Transactions—Amended and Restated Limited Liability Company Agreement of NFI.”</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28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Exchange listing</w:t>
            </w:r>
          </w:p>
        </w:tc>
        <w:tc>
          <w:tcPr>
            <w:tcW w:w="674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3"/>
              </w:rPr>
              <w:t>We intend to apply to list our Class A shares on the NYSE, under the</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symbol “NFE.”</w:t>
            </w:r>
          </w:p>
        </w:tc>
      </w:tr>
      <w:tr>
        <w:trPr>
          <w:trHeight w:val="310"/>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Risk Factors</w:t>
            </w: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You should carefully read and consider the information set forth</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under the heading “Risk Factors” and all other information set forth</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in this prospectus before deciding to invest in our Class A shares.</w:t>
            </w:r>
          </w:p>
        </w:tc>
      </w:tr>
      <w:tr>
        <w:trPr>
          <w:trHeight w:val="267"/>
        </w:trPr>
        <w:tc>
          <w:tcPr>
            <w:tcW w:w="2860" w:type="dxa"/>
            <w:vAlign w:val="bottom"/>
            <w:tcBorders>
              <w:left w:val="single" w:sz="8" w:color="auto"/>
              <w:bottom w:val="single" w:sz="8" w:color="auto"/>
            </w:tcBorders>
          </w:tcPr>
          <w:p>
            <w:pPr>
              <w:spacing w:after="0"/>
              <w:rPr>
                <w:sz w:val="23"/>
                <w:szCs w:val="23"/>
                <w:color w:val="auto"/>
              </w:rPr>
            </w:pPr>
          </w:p>
        </w:tc>
        <w:tc>
          <w:tcPr>
            <w:tcW w:w="67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2860" w:type="dxa"/>
            <w:vAlign w:val="bottom"/>
          </w:tcPr>
          <w:p>
            <w:pPr>
              <w:spacing w:after="0"/>
              <w:rPr>
                <w:sz w:val="24"/>
                <w:szCs w:val="24"/>
                <w:color w:val="auto"/>
              </w:rPr>
            </w:pPr>
          </w:p>
        </w:tc>
        <w:tc>
          <w:tcPr>
            <w:tcW w:w="6700" w:type="dxa"/>
            <w:vAlign w:val="bottom"/>
          </w:tcPr>
          <w:p>
            <w:pPr>
              <w:ind w:left="18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446"/>
        </w:trPr>
        <w:tc>
          <w:tcPr>
            <w:tcW w:w="28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60" w:type="dxa"/>
            <w:vAlign w:val="bottom"/>
            <w:tcBorders>
              <w:left w:val="single" w:sz="8" w:color="auto"/>
            </w:tcBorders>
            <w:shd w:val="clear" w:color="auto" w:fill="000000"/>
          </w:tcPr>
          <w:p>
            <w:pPr>
              <w:spacing w:after="0"/>
              <w:rPr>
                <w:sz w:val="5"/>
                <w:szCs w:val="5"/>
                <w:color w:val="auto"/>
              </w:rPr>
            </w:pPr>
          </w:p>
        </w:tc>
        <w:tc>
          <w:tcPr>
            <w:tcW w:w="67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954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2825" cy="795401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Financial Data</w:t>
      </w:r>
    </w:p>
    <w:p>
      <w:pPr>
        <w:spacing w:after="0" w:line="121" w:lineRule="exact"/>
        <w:rPr>
          <w:sz w:val="20"/>
          <w:szCs w:val="20"/>
          <w:color w:val="auto"/>
        </w:rPr>
      </w:pPr>
    </w:p>
    <w:p>
      <w:pPr>
        <w:ind w:left="100" w:right="40" w:firstLine="360"/>
        <w:spacing w:after="0" w:line="276" w:lineRule="auto"/>
        <w:rPr>
          <w:sz w:val="20"/>
          <w:szCs w:val="20"/>
          <w:color w:val="auto"/>
        </w:rPr>
      </w:pPr>
      <w:r>
        <w:rPr>
          <w:rFonts w:ascii="Arial" w:cs="Arial" w:eastAsia="Arial" w:hAnsi="Arial"/>
          <w:sz w:val="17"/>
          <w:szCs w:val="17"/>
          <w:color w:val="auto"/>
        </w:rPr>
        <w:t>NFE was formed August 6, 2018 and does not have historical financial results. NFE is currently a shell company with no assets or liabilities and has conducted no operations. The following table shows summary historical financial information of New Fortress Energy Holdings, our predecessor, for the periods and as of the dates indicated. The summary historical financial data as of and for the years ended December 31, 2017 and 2016 was derived from the audited historical consolidated financial statements of New Fortress Energy Holdings included elsewhere in this prospectus.</w:t>
      </w:r>
    </w:p>
    <w:p>
      <w:pPr>
        <w:spacing w:after="0" w:line="64" w:lineRule="exact"/>
        <w:rPr>
          <w:sz w:val="20"/>
          <w:szCs w:val="20"/>
          <w:color w:val="auto"/>
        </w:rPr>
      </w:pPr>
    </w:p>
    <w:p>
      <w:pPr>
        <w:ind w:left="100" w:firstLine="360"/>
        <w:spacing w:after="0" w:line="259" w:lineRule="auto"/>
        <w:rPr>
          <w:sz w:val="20"/>
          <w:szCs w:val="20"/>
          <w:color w:val="auto"/>
        </w:rPr>
      </w:pPr>
      <w:r>
        <w:rPr>
          <w:rFonts w:ascii="Arial" w:cs="Arial" w:eastAsia="Arial" w:hAnsi="Arial"/>
          <w:sz w:val="18"/>
          <w:szCs w:val="18"/>
          <w:color w:val="auto"/>
        </w:rPr>
        <w:t>You should read the information set forth below together with “Use of Proceeds,” “Selected Historical Financial Data,”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and per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78,692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(24,990)</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Loss before taxes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(31,145)</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 provision (benefit)</w:t>
            </w:r>
          </w:p>
        </w:tc>
        <w:tc>
          <w:tcPr>
            <w:tcW w:w="3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 and diluted</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58,753,425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Long-term debt (includes current portion)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(54,892)</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(52,396)</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180" w:top="279" w:right="1239" w:bottom="1440" w:gutter="0" w:footer="0" w:header="0"/>
          <w:type w:val="continuous"/>
        </w:sect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i w:val="1"/>
          <w:iCs w:val="1"/>
          <w:color w:val="auto"/>
        </w:rPr>
        <w:t>Investing in our Class A shares involves risks. You should carefully consider the following risk factors together with all of the other information included in this prospectus in evaluating an investment in our Class A shares. Additional risks not presently known to us or that we currently deem immaterial could also materially affect our business.</w:t>
      </w:r>
    </w:p>
    <w:p>
      <w:pPr>
        <w:spacing w:after="0" w:line="57" w:lineRule="exact"/>
        <w:rPr>
          <w:sz w:val="20"/>
          <w:szCs w:val="20"/>
          <w:color w:val="auto"/>
        </w:rPr>
      </w:pPr>
    </w:p>
    <w:p>
      <w:pPr>
        <w:ind w:right="460" w:firstLine="360"/>
        <w:spacing w:after="0" w:line="264" w:lineRule="auto"/>
        <w:rPr>
          <w:sz w:val="20"/>
          <w:szCs w:val="20"/>
          <w:color w:val="auto"/>
        </w:rPr>
      </w:pPr>
      <w:r>
        <w:rPr>
          <w:rFonts w:ascii="Arial" w:cs="Arial" w:eastAsia="Arial" w:hAnsi="Arial"/>
          <w:sz w:val="18"/>
          <w:szCs w:val="18"/>
          <w:i w:val="1"/>
          <w:iCs w:val="1"/>
          <w:color w:val="auto"/>
        </w:rPr>
        <w:t>If any of the following risks were to occur, our business, financial condition and results of operations could be materially adversely affected. In that case, the trading price of our Class A shares could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left="360" w:right="120"/>
        <w:spacing w:after="0" w:line="343" w:lineRule="auto"/>
        <w:rPr>
          <w:sz w:val="20"/>
          <w:szCs w:val="20"/>
          <w:color w:val="auto"/>
        </w:rPr>
      </w:pPr>
      <w:r>
        <w:rPr>
          <w:rFonts w:ascii="Arial" w:cs="Arial" w:eastAsia="Arial" w:hAnsi="Arial"/>
          <w:sz w:val="15"/>
          <w:szCs w:val="15"/>
          <w:b w:val="1"/>
          <w:bCs w:val="1"/>
          <w:i w:val="1"/>
          <w:iCs w:val="1"/>
          <w:color w:val="auto"/>
        </w:rPr>
        <w:t>We have not yet completed construction and commissioning of all of our Terminals and Liquefaction Facilities. There can be no assurance that our Terminals and Liquefaction Facilities will operate as described in this prospectus, or at all.</w:t>
      </w:r>
    </w:p>
    <w:p>
      <w:pPr>
        <w:spacing w:after="0" w:line="7"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While our marine LNG storage and regasification terminal approximately three nautical miles from the Old Harbour Power Plant (the “Old Harbour Terminal” and, together with the Montego Bay Terminal, the “Jamaica Terminals”) is substantially complete, it must still undergo extensive testing and commissioning before operations can commence. With respect to our Pennsylvania Facilities, though we are in the advanced stages of design, development and permitting of our first Pennsylvania Facility, we have not reached a final investment decision regarding such facility. As such, we have not entered into binding construction contracts or obtained all necessary environmental, regulatory, construction and zoning permissions. There can be no assurance that we will be able to enter into the contracts required for the development of these assets on commercially favorable terms, if at all. In particular, we will require an agreement with a port proximate to our Liquefaction Facilities capable of handling the transload of LNG direct from our transportation assets to our occupying vessel. If we are unable to enter into favorable contracts or to obtain the necessary regulatory and land use approvals on favorable terms, we may not be able to construct and operate these assets as described in this prospectus, or at all.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described in this prospectus, or, when and if constructed, they do not accomplish the goals described in this prospectus,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159" w:lineRule="exact"/>
        <w:rPr>
          <w:sz w:val="20"/>
          <w:szCs w:val="20"/>
          <w:color w:val="auto"/>
        </w:rPr>
      </w:pPr>
    </w:p>
    <w:p>
      <w:pPr>
        <w:ind w:left="360" w:right="400"/>
        <w:spacing w:after="0" w:line="246"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7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Ireland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Old Harbour Terminal, the Pennsylvania Facilities and the CHP Plant, as well as other future projects, into efficient and profitable operations, obtain approvals from all relevant federal, state and local authorities, as needed, for the construction and operation of these projects and other relevant approvals, and obtain long</w:t>
      </w:r>
      <w:r>
        <w:rPr>
          <w:rFonts w:ascii="Arial" w:cs="Arial" w:eastAsia="Arial" w:hAnsi="Arial"/>
          <w:sz w:val="16"/>
          <w:szCs w:val="16"/>
          <w:b w:val="1"/>
          <w:bCs w:val="1"/>
          <w:color w:val="auto"/>
        </w:rPr>
        <w:t>-</w:t>
      </w:r>
      <w:r>
        <w:rPr>
          <w:rFonts w:ascii="Arial" w:cs="Arial" w:eastAsia="Arial" w:hAnsi="Arial"/>
          <w:sz w:val="16"/>
          <w:szCs w:val="16"/>
          <w:color w:val="auto"/>
        </w:rPr>
        <w:t>term capital appreciation and liquidity with respect to such investments.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Our future ability to execute our business strategy is uncertain, and it can be expected that one or more of our assumptions will prove to be incorrect and that we will face unanticipated events and circumstances that may adversely affect our proposed business. Any one or more of the following factors may have a material adverse effect on our ability to implement our proposed strategy and achieve our targets:</w:t>
      </w:r>
    </w:p>
    <w:p>
      <w:pPr>
        <w:spacing w:after="0" w:line="79" w:lineRule="exact"/>
        <w:rPr>
          <w:sz w:val="20"/>
          <w:szCs w:val="20"/>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Terminals and Liquefaction Facilities, as well as other future projects, in a timely and cost-effective manner;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attract personnel in a timely and cost-effective manner;</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source LNG in sufficient quantities and/or at economically attractive prices;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and elsewhere;</w:t>
      </w:r>
    </w:p>
    <w:p>
      <w:pPr>
        <w:spacing w:after="0" w:line="62"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inability to raise additional capital in the future to implement our strategy as well as to operate and expand our business;</w:t>
      </w:r>
    </w:p>
    <w:p>
      <w:pPr>
        <w:spacing w:after="0" w:line="140" w:lineRule="exact"/>
        <w:rPr>
          <w:rFonts w:ascii="Arial" w:cs="Arial" w:eastAsia="Arial" w:hAnsi="Arial"/>
          <w:sz w:val="16"/>
          <w:szCs w:val="16"/>
          <w:color w:val="auto"/>
        </w:rPr>
      </w:pPr>
    </w:p>
    <w:p>
      <w:pPr>
        <w:ind w:left="700" w:right="16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and in the other geographic areas in which we intend to operate;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approvals from the Pennsylvania Department of Environmental Protection and relevant local authorities for the construction and operation of the Pennsylvania Facilities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win new bids or contracts, including our proposal to PREPA;</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 or</w:t>
      </w:r>
    </w:p>
    <w:p>
      <w:pPr>
        <w:spacing w:after="0" w:line="117" w:lineRule="exact"/>
        <w:rPr>
          <w:rFonts w:ascii="Arial" w:cs="Arial" w:eastAsia="Arial" w:hAnsi="Arial"/>
          <w:sz w:val="18"/>
          <w:szCs w:val="18"/>
          <w:color w:val="auto"/>
        </w:rPr>
      </w:pPr>
    </w:p>
    <w:p>
      <w:pPr>
        <w:ind w:left="700" w:right="180" w:hanging="356"/>
        <w:spacing w:after="0" w:line="25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failure, of any customer or contract counterparty to perform their contractual obligations to us (for further discussion of counterparty risk, see “—Risks Related to Our Business—Our current ability to generate cash is substantially dependent upon the performance by customers under long-term contracts that we have entered into, and we could be materially and adversely affected if any customer fails to perform its contractual obligations for any reason, including nonpayment and nonperformance.”).</w:t>
      </w:r>
    </w:p>
    <w:p>
      <w:pPr>
        <w:spacing w:after="0" w:line="80"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limited operating history, and an investment in our Class A shares is highly speculative.</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and $31.7 million in 2017. Our strategy may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 be successful, and if unsuccessful, we may be unable to modify it in a timely and successful manner. We cannot give you any assurance that we will be able to implement our strategy on a timely basis, if at all, or achieve our internal model or projections. Accordingly, your investment in our Class A shares is speculative and subject to a high degree of risk. Prior to investing in our Class A shares, you should understand that there is a possibility of the loss of your entire investment.</w:t>
      </w:r>
    </w:p>
    <w:p>
      <w:pPr>
        <w:spacing w:after="0" w:line="6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Jamaica Terminals, and we have not completed constructing all of our Terminals and Liquefaction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7" w:lineRule="exact"/>
        <w:rPr>
          <w:sz w:val="20"/>
          <w:szCs w:val="20"/>
          <w:color w:val="auto"/>
        </w:rPr>
      </w:pPr>
    </w:p>
    <w:p>
      <w:pPr>
        <w:ind w:right="200" w:firstLine="360"/>
        <w:spacing w:after="0" w:line="271"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therefore did not achieve profitability as of December 31, 2017. We will invest a substantial portion of the proceeds of this offering in capital expenditures or in pursuit of development opportunities. We will need to make a significant initial investment to complete construction and begin operations of all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w:t>
      </w:r>
    </w:p>
    <w:p>
      <w:pPr>
        <w:spacing w:after="0" w:line="7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68" w:lineRule="exact"/>
        <w:rPr>
          <w:sz w:val="20"/>
          <w:szCs w:val="20"/>
          <w:color w:val="auto"/>
        </w:rPr>
      </w:pPr>
    </w:p>
    <w:p>
      <w:pPr>
        <w:ind w:left="360" w:right="60"/>
        <w:spacing w:after="0" w:line="246"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7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majority of our revenue for the near future to be from JPS, JPC and Jamalco. We may be unable to accomplish our business plan to diversify and expand our customer base by attracting a broad array of customers, which could negatively affect our business, results of operations and financial condition.</w:t>
      </w:r>
    </w:p>
    <w:p>
      <w:pPr>
        <w:spacing w:after="0" w:line="151" w:lineRule="exact"/>
        <w:rPr>
          <w:sz w:val="20"/>
          <w:szCs w:val="20"/>
          <w:color w:val="auto"/>
        </w:rPr>
      </w:pPr>
    </w:p>
    <w:p>
      <w:pPr>
        <w:ind w:left="360" w:right="220"/>
        <w:spacing w:after="0" w:line="276"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performance by customers under long-term contracts that we have entered into, and we could be materially and adversely affected if any customer fails to perform its contractual obligations for any reason, including nonpayment and nonperformance.</w:t>
      </w:r>
    </w:p>
    <w:p>
      <w:pPr>
        <w:spacing w:after="0" w:line="5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Our GSAs, PPA and SSA have a weighted average of 14.3 years remaining under such contracts, weighted based on contracted volumes. Our near term ability to generate cash is dependent on JPS’s, JPC’s and Jamalco’s continued willingness and ability to perform their obligations under their respective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contracts. If JPS, JPC or Jamalco fails to perform its obligations under its contract, our operating results, cash flow and liquidity could be materially and adversely affected, even if we were ultimately successful in seeking damages from JPS, JPC or Jamalco for a breach of the contract.</w:t>
      </w:r>
    </w:p>
    <w:p>
      <w:pPr>
        <w:spacing w:after="0" w:line="73"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Risks of nonpayment and nonperformance by customers are a consideration in our businesses, and our credit procedures and policies may be inadequate to sufficiently eliminate customer credit risk. In assessing customer credit risk, we perform background checks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General Alumina Jamaica (“GAJ”), one of the lessors, is a subsidiary of Noble Group, which is undergoing a financial restructuring that was recently approved by its shareholders.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w:t>
      </w:r>
    </w:p>
    <w:p>
      <w:pPr>
        <w:spacing w:after="0" w:line="65"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Further, adverse economic conditions in our industry increase the risk of nonpayment and nonperformance by customers, particularly customers that have sub-investment grade credit ratings.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JPC and Jamalco, contains various termination rights allowing our customers to terminate the contract, including, without limitation:</w:t>
      </w:r>
    </w:p>
    <w:p>
      <w:pPr>
        <w:spacing w:after="0" w:line="73"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117"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33" w:lineRule="exact"/>
        <w:rPr>
          <w:sz w:val="20"/>
          <w:szCs w:val="20"/>
          <w:color w:val="auto"/>
        </w:rPr>
      </w:pPr>
    </w:p>
    <w:p>
      <w:pPr>
        <w:ind w:left="360" w:right="240"/>
        <w:spacing w:after="0" w:line="235"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8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30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which may decrease the production of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117"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62"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117" w:lineRule="exact"/>
        <w:rPr>
          <w:rFonts w:ascii="Arial" w:cs="Arial" w:eastAsia="Arial" w:hAnsi="Arial"/>
          <w:sz w:val="18"/>
          <w:szCs w:val="18"/>
          <w:color w:val="auto"/>
        </w:rPr>
      </w:pPr>
    </w:p>
    <w:p>
      <w:pPr>
        <w:ind w:left="700" w:right="38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11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Adverse trends or developments affecting any of these factors – in particular prior to our Pennsylvania Facilities becoming operational – could result in decreases in the prices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In particular, because we have not currently procured fixed-price, long-term LNG supply (our plan being to liquefy ourselves in our Liquefaction Facilities), increases in LNG prices and/or shortages of LNG supply could be material and adverse to our business.</w:t>
      </w:r>
    </w:p>
    <w:p>
      <w:pPr>
        <w:spacing w:after="0" w:line="165" w:lineRule="exact"/>
        <w:rPr>
          <w:sz w:val="20"/>
          <w:szCs w:val="20"/>
          <w:color w:val="auto"/>
        </w:rPr>
      </w:pPr>
    </w:p>
    <w:p>
      <w:pPr>
        <w:ind w:left="360" w:right="40"/>
        <w:spacing w:after="0" w:line="262"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61"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The net proceeds from this offering will not be sufficient to fully execute our business plan. After giving effect to this offering and committed debt financing of $ million, we believe that our cash resources will be sufficient to meet projected capital expenditures, financing obligations and operating requirements related to the construction and development of our Pennsylvania Facilities, our Haynesville Facilities, the Ireland Terminal, the San Juan Facility and the La Paz Terminal, which are further described in “Business.” In the future, we may pursue additional offerings of debt or equity securities to assist us in developing our operations. If we are unable to secure additional funding, or if it is only available on terms that we determine are not acceptable to us, we may be unable to fully execute our business plan and our business, financial condition or results of operations may be adversely affected. Our ability to raise additional capital will depend on financial, economic and market conditions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If we are unable to comply with these covenants and service our debt, we may lose control of our business and be forced to reduce or delay planned investments or capital expenditures, sell assets, restructure our operations or submit to foreclosure proceedings, all of which would result in a material adverse effect upon our business and reduce the value of your investment.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53" w:lineRule="exact"/>
        <w:rPr>
          <w:sz w:val="20"/>
          <w:szCs w:val="20"/>
          <w:color w:val="auto"/>
        </w:rPr>
      </w:pPr>
    </w:p>
    <w:p>
      <w:pPr>
        <w:ind w:left="360" w:right="160"/>
        <w:spacing w:after="0" w:line="24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September 30, 2018, we had $130 million of total indebtedness outstanding, excluding deferred financing costs, and, as of the closing of this offering, we expect to have $ million of total indebtedness outstanding.</w:t>
      </w:r>
    </w:p>
    <w:p>
      <w:pPr>
        <w:spacing w:after="0" w:line="57"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7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7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in each case, which could result in your losing your investment.</w:t>
      </w:r>
    </w:p>
    <w:p>
      <w:pPr>
        <w:spacing w:after="0" w:line="141" w:lineRule="exact"/>
        <w:rPr>
          <w:sz w:val="20"/>
          <w:szCs w:val="20"/>
          <w:color w:val="auto"/>
        </w:rPr>
      </w:pPr>
    </w:p>
    <w:p>
      <w:pPr>
        <w:ind w:left="360" w:right="520"/>
        <w:spacing w:after="0" w:line="246"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7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merchant clients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more fully discussed in this prospectus, our existing facilities and expected future facilities face operational risks, including the following: performing below expected levels of efficiency, breakdown or failures of equipment, operational errors by trucks, tankers or tug operators, operational errors by us or any contracted facility operator, labor disputes and weather-related interruptions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operation of the CHP Plant will involve particular, significant risks.</w:t>
      </w:r>
    </w:p>
    <w:p>
      <w:pPr>
        <w:spacing w:after="0" w:line="117"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78" w:lineRule="exact"/>
        <w:rPr>
          <w:sz w:val="20"/>
          <w:szCs w:val="20"/>
          <w:color w:val="auto"/>
        </w:rPr>
      </w:pPr>
    </w:p>
    <w:p>
      <w:pPr>
        <w:ind w:left="360" w:right="140"/>
        <w:spacing w:after="0" w:line="248"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74"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Although we do not believe that recent hurricanes will have a material adverse effect on our business, we are unable to predict with certainty the impact of future storms on our customers, our infrastructure or our operations.</w:t>
      </w:r>
    </w:p>
    <w:p>
      <w:pPr>
        <w:spacing w:after="0" w:line="70"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and could have a material adverse effect on our business, contracts, financial condition, operating results, cash flow, liquidity and prospects.</w:t>
      </w:r>
    </w:p>
    <w:p>
      <w:pPr>
        <w:spacing w:after="0" w:line="8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insurance may be insufficient to cover losses that may occur to our property or result from our operations.</w:t>
      </w:r>
    </w:p>
    <w:p>
      <w:pPr>
        <w:spacing w:after="0" w:line="115"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7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85"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success depends on key members of our management, the loss of any of whom could disrupt our business operations.</w:t>
      </w:r>
    </w:p>
    <w:p>
      <w:pPr>
        <w:spacing w:after="0" w:line="138"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We depend to a large extent on the services of our chief executive officer, Wesley R. Edens, and some of our other executive officers. The loss of the services of Mr. Edens or one or more of our other key executives could disrupt our operations and increase our exposure to the other risks described in this “Risk Factors” section. We do not maintain key man insurance on Mr. Edens or any of our employees. As a result, we are not insured against any losses resulting from the death of our key employees.</w:t>
      </w:r>
    </w:p>
    <w:p>
      <w:pPr>
        <w:spacing w:after="0" w:line="141"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75"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700" w:right="54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62" w:lineRule="exact"/>
        <w:rPr>
          <w:rFonts w:ascii="Arial" w:cs="Arial" w:eastAsia="Arial" w:hAnsi="Arial"/>
          <w:sz w:val="18"/>
          <w:szCs w:val="18"/>
          <w:color w:val="auto"/>
        </w:rPr>
      </w:pPr>
    </w:p>
    <w:p>
      <w:pPr>
        <w:ind w:left="700" w:right="260" w:hanging="356"/>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73"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the project is completed, even though we may have expended considerable funds during the construction phase, which may be prolonged;</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2" w:lineRule="exact"/>
        <w:rPr>
          <w:rFonts w:ascii="Arial" w:cs="Arial" w:eastAsia="Arial" w:hAnsi="Arial"/>
          <w:sz w:val="18"/>
          <w:szCs w:val="18"/>
          <w:color w:val="auto"/>
        </w:rPr>
      </w:pPr>
    </w:p>
    <w:p>
      <w:pPr>
        <w:ind w:left="700" w:right="160" w:hanging="356"/>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 may depend on the completion of a third-party construction project (e.g., additional public utility infrastructure projects) that we do not control and that may be subject to numerous of its own potential risks, delays and complexities;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40" w:hanging="356"/>
        <w:spacing w:after="0" w:line="279"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 and</w:t>
      </w:r>
    </w:p>
    <w:p>
      <w:pPr>
        <w:spacing w:after="0" w:line="63" w:lineRule="exact"/>
        <w:rPr>
          <w:rFonts w:ascii="Arial" w:cs="Arial" w:eastAsia="Arial" w:hAnsi="Arial"/>
          <w:sz w:val="17"/>
          <w:szCs w:val="17"/>
          <w:color w:val="auto"/>
        </w:rPr>
      </w:pPr>
    </w:p>
    <w:p>
      <w:pPr>
        <w:ind w:left="700" w:right="10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68"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75"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their agreements. The ability of our primary building contractor and our other contractors to perform successfully under their agreements is dependent on a number of factors, including their ability to:</w:t>
      </w:r>
    </w:p>
    <w:p>
      <w:pPr>
        <w:spacing w:after="0" w:line="80"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7" w:lineRule="exact"/>
        <w:rPr>
          <w:rFonts w:ascii="Arial" w:cs="Arial" w:eastAsia="Arial" w:hAnsi="Arial"/>
          <w:sz w:val="18"/>
          <w:szCs w:val="18"/>
          <w:color w:val="auto"/>
        </w:rPr>
      </w:pPr>
    </w:p>
    <w:p>
      <w:pPr>
        <w:ind w:left="700" w:right="92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We expect to enter into an EPC contract for our first Pennsylvania Facility in the fourth quarter of 2018.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we would be required to engage a substitute contractor. This would likely result in significant project delays and increased costs, which could have a material adverse effect on our business, contracts, financial condition, operating results, cash flow, liquidity and prospects.</w:t>
      </w:r>
    </w:p>
    <w:p>
      <w:pPr>
        <w:spacing w:after="0" w:line="172" w:lineRule="exact"/>
        <w:rPr>
          <w:sz w:val="20"/>
          <w:szCs w:val="20"/>
          <w:color w:val="auto"/>
        </w:rPr>
      </w:pPr>
    </w:p>
    <w:p>
      <w:pPr>
        <w:ind w:left="360" w:right="260"/>
        <w:spacing w:after="0" w:line="246" w:lineRule="auto"/>
        <w:rPr>
          <w:sz w:val="20"/>
          <w:szCs w:val="20"/>
          <w:color w:val="auto"/>
        </w:rPr>
      </w:pPr>
      <w:r>
        <w:rPr>
          <w:rFonts w:ascii="Arial" w:cs="Arial" w:eastAsia="Arial" w:hAnsi="Arial"/>
          <w:sz w:val="18"/>
          <w:szCs w:val="18"/>
          <w:b w:val="1"/>
          <w:bCs w:val="1"/>
          <w:i w:val="1"/>
          <w:iCs w:val="1"/>
          <w:color w:val="auto"/>
        </w:rPr>
        <w:t>We are relying on third party engineers to estimate the future rated capacity and performance capabilities of our existing and future facilities, and these estimates may prove to be inaccurate.</w:t>
      </w:r>
    </w:p>
    <w:p>
      <w:pPr>
        <w:spacing w:after="0" w:line="7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68" w:lineRule="exact"/>
        <w:rPr>
          <w:sz w:val="20"/>
          <w:szCs w:val="20"/>
          <w:color w:val="auto"/>
        </w:rPr>
      </w:pPr>
    </w:p>
    <w:p>
      <w:pPr>
        <w:ind w:left="360" w:right="240"/>
        <w:spacing w:after="0" w:line="235"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8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Under the GSAs with JPS and JPC, we are required to deliver to JPS and JPC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Jamalco with the right to terminate their GSAs, PPA or SSA, as applicable. In addition, price fluctuations in natural gas and LNG may make it expensive or uneconomical for us to acquire adequate supply of these items (until our Pennsylvania Facilities are operational).</w:t>
      </w:r>
    </w:p>
    <w:p>
      <w:pPr>
        <w:spacing w:after="0" w:line="5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Until the Pennsylvania Facilities become fully operational, we will be dependent upon third 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59"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intend to enter into purchase agreements pursuant to which we expect to have the option to purchase LNG to supply the Jamaica Terminals that will facilitate delivery of natural gas to JPS, JPC and Jamalco until the Pennsylvania Facilities are operational. Failure to secure contracts for the purchase of a sufficient amount of natural gas could materially and adversely affect our business, operating results, cash flows and liquidity.</w:t>
      </w:r>
    </w:p>
    <w:p>
      <w:pPr>
        <w:spacing w:after="0" w:line="79"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 party LNG suppliers and shippers negatively impacts our ability to purchase a sufficient amount of LNG, our business, operating results, cash flows and liquidity could be materially and adversely affected. There can be no assurances that we will complete the Pennsylvania Facilities or be able to supply our facilities with LNG produced at our own facilities. Even if we do complete the Pennsylvania Facilities, there can be no assurance that they will operate as we expect or that we will succeed in our goal of reducing the risk to our operations of future LNG price variations.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5"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decreases in the cost of competing sources of natural gas, LNG or alternate fuels such as coal, HFO and diesel;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7"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entirely at our own facilities upon completion of the Pennsylvania Facility. See “Risk Related to Our Business—We have not yet completed construction and commissioning of all of our Terminals and Liquefaction Facilities. There can be no assurance that our Terminals and Liquefaction Facilities will operate as described in this prospectus, or at all.”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Technological innovation may render our processes obsolete.</w:t>
      </w:r>
    </w:p>
    <w:p>
      <w:pPr>
        <w:spacing w:after="0" w:line="11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and the Haynesville Shale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realize benefits from future projects, results of operations, financial condition, liquidity and prospects.</w:t>
      </w:r>
    </w:p>
    <w:p>
      <w:pPr>
        <w:spacing w:after="0" w:line="154" w:lineRule="exact"/>
        <w:rPr>
          <w:sz w:val="20"/>
          <w:szCs w:val="20"/>
          <w:color w:val="auto"/>
        </w:rPr>
      </w:pPr>
    </w:p>
    <w:p>
      <w:pPr>
        <w:ind w:left="360" w:right="680"/>
        <w:spacing w:after="0" w:line="246"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117"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73" w:lineRule="exact"/>
        <w:rPr>
          <w:sz w:val="20"/>
          <w:szCs w:val="20"/>
          <w:color w:val="auto"/>
        </w:rPr>
      </w:pPr>
    </w:p>
    <w:p>
      <w:pPr>
        <w:ind w:left="360" w:right="500"/>
        <w:spacing w:after="0" w:line="246"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75"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obtained long-term leases and corresponding rights-of-way agreements with respect to the land on which the Jamaica Terminals, the pipeline connecting the Montego Bay Terminal to the Bogue Power Plant, the Miami Facility and the CHP Plant are situated. However, we do not own the land. As a result, we are subject to the possibility of increased costs to retain necessary land use rights.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70"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64" w:lineRule="exact"/>
        <w:rPr>
          <w:sz w:val="20"/>
          <w:szCs w:val="20"/>
          <w:color w:val="auto"/>
        </w:rPr>
      </w:pPr>
    </w:p>
    <w:p>
      <w:pPr>
        <w:ind w:left="360"/>
        <w:spacing w:after="0" w:line="275" w:lineRule="auto"/>
        <w:rPr>
          <w:sz w:val="20"/>
          <w:szCs w:val="20"/>
          <w:color w:val="auto"/>
        </w:rPr>
      </w:pPr>
      <w:r>
        <w:rPr>
          <w:rFonts w:ascii="Arial" w:cs="Arial" w:eastAsia="Arial" w:hAnsi="Arial"/>
          <w:sz w:val="17"/>
          <w:szCs w:val="17"/>
          <w:b w:val="1"/>
          <w:bCs w:val="1"/>
          <w:i w:val="1"/>
          <w:iCs w:val="1"/>
          <w:color w:val="auto"/>
        </w:rPr>
        <w:t>We may not be able to successfully enter into contracts or renew existing contracts to charter tankers and to lease or acquire ship-to-ship kits in the future, which may result in us not being able to meet our obligations.</w:t>
      </w:r>
    </w:p>
    <w:p>
      <w:pPr>
        <w:spacing w:after="0" w:line="5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also rely on two ship-to-ship kits, one of which we currently own and one of which we currently lease, and one ship-to-shore kit, which we currently own, to transmit LNG between ships and to transport it onshore. We may need to purchase additional kits, or upgrade our existing kits, in the future. We may not be able to successfully enter into contracts or renew existing contracts to charter tankers and to lease or acquire kits in the future, which may result in us not being able to meet our obligations. We are also exposed to changes in market rates and availability for tankers and kits,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7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We rely on the operation of tankers under our time charters and kits to transfer LNG between ships. The operation of ocean-going tankers and kits carries inherent risks. These risks include the possibility of:</w:t>
      </w:r>
    </w:p>
    <w:p>
      <w:pPr>
        <w:spacing w:after="0" w:line="62"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production, we may need to procure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68" w:lineRule="exact"/>
        <w:rPr>
          <w:sz w:val="20"/>
          <w:szCs w:val="20"/>
          <w:color w:val="auto"/>
        </w:rPr>
      </w:pPr>
    </w:p>
    <w:p>
      <w:pPr>
        <w:ind w:left="360" w:right="840"/>
        <w:spacing w:after="0" w:line="246"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117"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7"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weaken our financial condition and negatively affect our ability to pay dividends.</w:t>
      </w:r>
    </w:p>
    <w:p>
      <w:pPr>
        <w:spacing w:after="0" w:line="175" w:lineRule="exact"/>
        <w:rPr>
          <w:sz w:val="20"/>
          <w:szCs w:val="20"/>
          <w:color w:val="auto"/>
        </w:rPr>
      </w:pPr>
    </w:p>
    <w:p>
      <w:pPr>
        <w:ind w:left="360" w:right="200"/>
        <w:spacing w:after="0" w:line="246"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MARPOL, including designation of Emission Control Areas (“ECAs”), thereunder,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time to time, the International Safety Management Code for the Safe Operation of Ships and for Pollution Prevention (the “ISM Code”), the IMO International Convention on Load Lines of 1966, as amended from time to time and the International Convention for the Control and Management of Ships’ Ballast Water and Sediments in February 2004.</w:t>
      </w:r>
    </w:p>
    <w:p>
      <w:pPr>
        <w:spacing w:after="0" w:line="73"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64"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54" w:lineRule="exact"/>
        <w:rPr>
          <w:sz w:val="20"/>
          <w:szCs w:val="20"/>
          <w:color w:val="auto"/>
        </w:rPr>
      </w:pPr>
    </w:p>
    <w:p>
      <w:pPr>
        <w:ind w:left="360" w:right="120"/>
        <w:spacing w:after="0" w:line="246"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7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5"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58" w:lineRule="exact"/>
        <w:rPr>
          <w:sz w:val="20"/>
          <w:szCs w:val="20"/>
          <w:color w:val="auto"/>
        </w:rPr>
      </w:pPr>
    </w:p>
    <w:p>
      <w:pPr>
        <w:ind w:left="360" w:right="240"/>
        <w:spacing w:after="0" w:line="246"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75" w:lineRule="exact"/>
        <w:rPr>
          <w:sz w:val="20"/>
          <w:szCs w:val="20"/>
          <w:color w:val="auto"/>
        </w:rPr>
      </w:pPr>
    </w:p>
    <w:p>
      <w:pPr>
        <w:jc w:val="both"/>
        <w:ind w:right="660" w:firstLine="360"/>
        <w:spacing w:after="0" w:line="342" w:lineRule="auto"/>
        <w:rPr>
          <w:sz w:val="20"/>
          <w:szCs w:val="20"/>
          <w:color w:val="auto"/>
        </w:rPr>
      </w:pPr>
      <w:r>
        <w:rPr>
          <w:rFonts w:ascii="Arial" w:cs="Arial" w:eastAsia="Arial" w:hAnsi="Arial"/>
          <w:sz w:val="16"/>
          <w:szCs w:val="16"/>
          <w:color w:val="auto"/>
        </w:rPr>
        <w:t>We plan to operate in the highly competitive area of LNG production and face intense competition from independent, technology-driven companies as well as from both major and other independent oil and natural gas companies and utilities.</w:t>
      </w:r>
    </w:p>
    <w:p>
      <w:pPr>
        <w:spacing w:after="0" w:line="16"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We may face competition from major energy companies and others in pursuing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65" w:lineRule="exact"/>
        <w:rPr>
          <w:sz w:val="20"/>
          <w:szCs w:val="20"/>
          <w:color w:val="auto"/>
        </w:rPr>
      </w:pPr>
    </w:p>
    <w:p>
      <w:pPr>
        <w:ind w:left="360" w:right="680"/>
        <w:spacing w:after="0" w:line="262"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5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5"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5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63"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2"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have a material adverse effect on our business, financial condition and operating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7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exposed to some risks that are not hedged,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Facilities or the Haynesville Facilities or be able to supply our facilities and the CHP Plant with LNG produced at our own facilities. Even if we do complete the Pennsylvania Facilities or the Haynesville Facilities, there can be no assurance that it will operate as described in this prospectus or that we will succeed in our goal of reducing the risk to our operations of future LNG price variations.</w:t>
      </w:r>
    </w:p>
    <w:p>
      <w:pPr>
        <w:spacing w:after="0" w:line="380" w:lineRule="exact"/>
        <w:rPr>
          <w:sz w:val="20"/>
          <w:szCs w:val="20"/>
          <w:color w:val="auto"/>
        </w:rPr>
      </w:pPr>
    </w:p>
    <w:p>
      <w:pPr>
        <w:ind w:left="360" w:right="520"/>
        <w:spacing w:after="0" w:line="246"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55" w:lineRule="exact"/>
        <w:rPr>
          <w:sz w:val="20"/>
          <w:szCs w:val="20"/>
          <w:color w:val="auto"/>
        </w:rPr>
      </w:pPr>
    </w:p>
    <w:p>
      <w:pPr>
        <w:ind w:left="360" w:right="140"/>
        <w:spacing w:after="0" w:line="246"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7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substantial majority of our anticipated revenue in 2018 and 2019 will be dependent upon our assets and customers in Jamaica. Due to our current lack of asset and geographic diversification, an adverse development at the Jamaica Terminals, or in the energy industry, would have a significantly greater impact on our financial condition and operating results than if we maintained more diverse assets and operating areas.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impairments to goodwill or long-lived assets.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We test our long-lived assets for impairment whenever events or changes in circumstances indicate that the carrying amount of these assets may not be recoverable. We currently intend to test goodwill for impairment annually, or more frequently as circumstances dictate. Significant negative industry or economic trends, and decline of our market capitalization, reduced estimates of future cash flows for our business segments or disruptions to our business could lead to an impairment charge of our long-lived assets, including goodwill. Our valuation methodology for assessing impairment requires management to make judgments and assumptions based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historical experience and to rely heavily on projections of future operating performance. Projections of future operating results and cash flows may vary significantly from results. In addition, if our analysis results in an impairment to our goodwill or long-lived assets, we may be required to record a charge to earnings in our consolidated financial statements during a period in which such impairment is determined to exist, which may negatively impact our operating results.</w:t>
      </w:r>
    </w:p>
    <w:p>
      <w:pPr>
        <w:spacing w:after="0" w:line="158" w:lineRule="exact"/>
        <w:rPr>
          <w:sz w:val="20"/>
          <w:szCs w:val="20"/>
          <w:color w:val="auto"/>
        </w:rPr>
      </w:pPr>
    </w:p>
    <w:p>
      <w:pPr>
        <w:ind w:left="360" w:right="40"/>
        <w:spacing w:after="0" w:line="231"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8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66" w:lineRule="exact"/>
        <w:rPr>
          <w:sz w:val="20"/>
          <w:szCs w:val="20"/>
          <w:color w:val="auto"/>
        </w:rPr>
      </w:pPr>
    </w:p>
    <w:p>
      <w:pPr>
        <w:ind w:left="360" w:right="300"/>
        <w:spacing w:after="0" w:line="289"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47"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the Miami Facility, the Pennsylvania Facilities and our Haynesville Facilities.</w:t>
      </w:r>
    </w:p>
    <w:p>
      <w:pPr>
        <w:spacing w:after="0" w:line="84"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6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line="290" w:lineRule="auto"/>
        <w:rPr>
          <w:sz w:val="20"/>
          <w:szCs w:val="20"/>
          <w:color w:val="auto"/>
        </w:rPr>
      </w:pPr>
      <w:r>
        <w:rPr>
          <w:rFonts w:ascii="Arial" w:cs="Arial" w:eastAsia="Arial" w:hAnsi="Arial"/>
          <w:sz w:val="16"/>
          <w:szCs w:val="16"/>
          <w:color w:val="auto"/>
        </w:rPr>
        <w:t>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as to any swap we enter into and have to clear that swap through a derivatives clearing organization, we could be required to post margin with respect to such swap, our cost of entering into and maintaining such swap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58" w:lineRule="exact"/>
        <w:rPr>
          <w:sz w:val="20"/>
          <w:szCs w:val="20"/>
          <w:color w:val="auto"/>
        </w:rPr>
      </w:pPr>
    </w:p>
    <w:p>
      <w:pPr>
        <w:ind w:left="7" w:right="20" w:firstLine="360"/>
        <w:spacing w:after="0" w:line="289"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Our counterparties that are subject to the regulations imposing the Basel III capital requirements on them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59" w:lineRule="exact"/>
        <w:rPr>
          <w:sz w:val="20"/>
          <w:szCs w:val="20"/>
          <w:color w:val="auto"/>
        </w:rPr>
      </w:pPr>
    </w:p>
    <w:p>
      <w:pPr>
        <w:ind w:left="7" w:right="80" w:firstLine="360"/>
        <w:spacing w:after="0" w:line="288" w:lineRule="auto"/>
        <w:rPr>
          <w:sz w:val="20"/>
          <w:szCs w:val="20"/>
          <w:color w:val="auto"/>
        </w:rPr>
      </w:pPr>
      <w:r>
        <w:rPr>
          <w:rFonts w:ascii="Arial" w:cs="Arial" w:eastAsia="Arial" w:hAnsi="Arial"/>
          <w:sz w:val="16"/>
          <w:szCs w:val="16"/>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w:t>
      </w:r>
    </w:p>
    <w:p>
      <w:pPr>
        <w:ind w:left="7" w:hanging="7"/>
        <w:spacing w:after="0" w:line="290" w:lineRule="auto"/>
        <w:tabs>
          <w:tab w:leader="none" w:pos="2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56" w:lineRule="exact"/>
        <w:rPr>
          <w:sz w:val="20"/>
          <w:szCs w:val="20"/>
          <w:color w:val="auto"/>
        </w:rPr>
      </w:pPr>
    </w:p>
    <w:p>
      <w:pPr>
        <w:ind w:left="7" w:right="20" w:firstLine="360"/>
        <w:spacing w:after="0" w:line="290" w:lineRule="auto"/>
        <w:rPr>
          <w:sz w:val="20"/>
          <w:szCs w:val="20"/>
          <w:color w:val="auto"/>
        </w:rPr>
      </w:pPr>
      <w:r>
        <w:rPr>
          <w:rFonts w:ascii="Arial" w:cs="Arial" w:eastAsia="Arial" w:hAnsi="Arial"/>
          <w:sz w:val="16"/>
          <w:szCs w:val="16"/>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58"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75" w:lineRule="exact"/>
        <w:rPr>
          <w:sz w:val="20"/>
          <w:szCs w:val="20"/>
          <w:color w:val="auto"/>
        </w:rPr>
      </w:pPr>
    </w:p>
    <w:p>
      <w:pPr>
        <w:ind w:left="367" w:right="520"/>
        <w:spacing w:after="0" w:line="235"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81" w:lineRule="exact"/>
        <w:rPr>
          <w:sz w:val="20"/>
          <w:szCs w:val="20"/>
          <w:color w:val="auto"/>
        </w:rPr>
      </w:pPr>
    </w:p>
    <w:p>
      <w:pPr>
        <w:ind w:left="7" w:right="180" w:firstLine="360"/>
        <w:spacing w:after="0" w:line="264" w:lineRule="auto"/>
        <w:rPr>
          <w:sz w:val="20"/>
          <w:szCs w:val="20"/>
          <w:color w:val="auto"/>
        </w:rPr>
      </w:pPr>
      <w:r>
        <w:rPr>
          <w:rFonts w:ascii="Arial" w:cs="Arial" w:eastAsia="Arial" w:hAnsi="Arial"/>
          <w:sz w:val="18"/>
          <w:szCs w:val="18"/>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yet additional requirements in Jamaica, Bermuda, Mexico, Ireland or other jurisdictions, including with respect to land use approvals needed to construct and operate our facilities.</w:t>
      </w:r>
    </w:p>
    <w:p>
      <w:pPr>
        <w:spacing w:after="0" w:line="6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59" w:lineRule="exact"/>
        <w:rPr>
          <w:sz w:val="20"/>
          <w:szCs w:val="20"/>
          <w:color w:val="auto"/>
        </w:rPr>
      </w:pPr>
    </w:p>
    <w:p>
      <w:pPr>
        <w:ind w:left="360" w:right="280"/>
        <w:spacing w:after="0" w:line="246"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75"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None of our LNG facilities are subject to PHMSA’s jurisdiction, but state and local regulators can impose similar siting, design, construction and operational requirements.</w:t>
      </w:r>
    </w:p>
    <w:p>
      <w:pPr>
        <w:spacing w:after="0" w:line="7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7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Facilities.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7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Greenhouse Gases/Climate Change</w:t>
      </w:r>
      <w:r>
        <w:rPr>
          <w:rFonts w:ascii="Arial" w:cs="Arial" w:eastAsia="Arial" w:hAnsi="Arial"/>
          <w:sz w:val="17"/>
          <w:szCs w:val="17"/>
          <w:color w:val="auto"/>
        </w:rPr>
        <w:t>. From time to time, there may be federal and state regulatory and policy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GHG 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8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59" w:lineRule="exact"/>
        <w:rPr>
          <w:sz w:val="20"/>
          <w:szCs w:val="20"/>
          <w:color w:val="auto"/>
        </w:rPr>
      </w:pPr>
    </w:p>
    <w:p>
      <w:pPr>
        <w:ind w:right="40" w:firstLine="360"/>
        <w:spacing w:after="0" w:line="276" w:lineRule="auto"/>
        <w:rPr>
          <w:sz w:val="20"/>
          <w:szCs w:val="20"/>
          <w:color w:val="auto"/>
        </w:rPr>
      </w:pPr>
      <w:r>
        <w:rPr>
          <w:rFonts w:ascii="Arial" w:cs="Arial" w:eastAsia="Arial" w:hAnsi="Arial"/>
          <w:sz w:val="16"/>
          <w:szCs w:val="16"/>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7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employ hydraulic fracturing techniques to stimulate natural gas production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64"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1" w:lineRule="exact"/>
        <w:rPr>
          <w:sz w:val="20"/>
          <w:szCs w:val="20"/>
          <w:color w:val="auto"/>
        </w:rPr>
      </w:pPr>
    </w:p>
    <w:p>
      <w:pPr>
        <w:ind w:left="360" w:right="60"/>
        <w:spacing w:after="0" w:line="235"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 failure by us to comply with such laws and regulations could subject us to liability and have a material adverse impact on our business, results of operations or financial condition.</w:t>
      </w:r>
    </w:p>
    <w:p>
      <w:pPr>
        <w:spacing w:after="0" w:line="81"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5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 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70"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121" w:lineRule="exact"/>
        <w:rPr>
          <w:sz w:val="20"/>
          <w:szCs w:val="20"/>
          <w:color w:val="auto"/>
        </w:rPr>
      </w:pPr>
    </w:p>
    <w:p>
      <w:pPr>
        <w:ind w:left="360" w:right="480"/>
        <w:spacing w:after="0" w:line="262"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and the other jurisdictions in which we operate.</w:t>
      </w:r>
    </w:p>
    <w:p>
      <w:pPr>
        <w:spacing w:after="0" w:line="6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73"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currently have interests and operations in Jamaica and the United States and currently intend to expand to other countries in the Caribbean, Mexico, Ireland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7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Any slowdown or contraction affecting the local economy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73"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economic activity;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governmental policies in our Caribbean markets may reduce demand for our products, adversely affect our business, financial condition, results of operations or prospects.</w:t>
      </w:r>
    </w:p>
    <w:p>
      <w:pPr>
        <w:spacing w:after="0" w:line="7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For example, JPS and JPC are subject to the mandate of the OUR. The OUR regulates the amount of money that power utilities in Jamaica, including JPS and JPC, can charge its customers. Though the OUR cannot impact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80"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6"/>
          <w:szCs w:val="16"/>
          <w:color w:val="auto"/>
        </w:rPr>
        <w:t>A portion of our cash flows and expenses may in the future be incurred in currencies other than the U.S. dollar. Our material counterparties’ cash flows and expenses may be incurred in currencies other than the U.S. dollar. We cannot be sure that non-U.S. currencies will not be subject to volatility and depreciation or that the current exchange rate policies affecting these currencies will remain the same. We may choose not to hedge, or we may not be effective in efforts to hedge, this foreign currency risk.</w:t>
      </w:r>
    </w:p>
    <w:p>
      <w:pPr>
        <w:spacing w:after="0" w:line="2"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6" w:lineRule="exact"/>
        <w:rPr>
          <w:sz w:val="20"/>
          <w:szCs w:val="20"/>
          <w:color w:val="auto"/>
        </w:rPr>
      </w:pPr>
    </w:p>
    <w:p>
      <w:pPr>
        <w:ind w:left="360" w:right="120"/>
        <w:spacing w:after="0" w:line="303" w:lineRule="auto"/>
        <w:rPr>
          <w:sz w:val="20"/>
          <w:szCs w:val="20"/>
          <w:color w:val="auto"/>
        </w:rPr>
      </w:pPr>
      <w:r>
        <w:rPr>
          <w:rFonts w:ascii="Arial" w:cs="Arial" w:eastAsia="Arial" w:hAnsi="Arial"/>
          <w:sz w:val="15"/>
          <w:szCs w:val="15"/>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8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In addition, our after-tax profitability may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and the Multilateral Convention to Implement Tax Treaty Related Measures to Prevent BEPS recently entered into force among the jurisdictions that ratified it, both of which could result in further changes to our global taxation. These tax reforms provided for new and complex provisions that significantly change how the United States and other jurisdiction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08" w:lineRule="exact"/>
        <w:rPr>
          <w:sz w:val="20"/>
          <w:szCs w:val="20"/>
          <w:color w:val="auto"/>
        </w:rPr>
      </w:pPr>
    </w:p>
    <w:p>
      <w:pPr>
        <w:ind w:left="360" w:right="160"/>
        <w:spacing w:after="0" w:line="246" w:lineRule="auto"/>
        <w:rPr>
          <w:sz w:val="20"/>
          <w:szCs w:val="20"/>
          <w:color w:val="auto"/>
        </w:rPr>
      </w:pPr>
      <w:r>
        <w:rPr>
          <w:rFonts w:ascii="Arial" w:cs="Arial" w:eastAsia="Arial" w:hAnsi="Arial"/>
          <w:sz w:val="18"/>
          <w:szCs w:val="18"/>
          <w:b w:val="1"/>
          <w:bCs w:val="1"/>
          <w:i w:val="1"/>
          <w:iCs w:val="1"/>
          <w:color w:val="auto"/>
        </w:rPr>
        <w:t>New Fortress Energy Holdings has the ability to direct the voting of a majority of our shares, and its interests may conflict with those of our other shareholders.</w:t>
      </w:r>
    </w:p>
    <w:p>
      <w:pPr>
        <w:spacing w:after="0" w:line="75"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Upon completion of this offering, New Fortress Energy Holdings will initially own, an aggregate of approximately Class B shares representing % of our voting power (or approximately % if the underwriters’ option to purchase additional Class A shares is exercised in full).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 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71"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In addition, New Fortress Energy Holdings may have different tax positions from us that could influence its decisions regarding whether and when to support the disposition of assets,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Holdings’s tax or other considerations which may differ from the considerations of us or our other stockholders.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Fortress Energy Holdings may compete with us.</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governing documents will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54" w:lineRule="exact"/>
        <w:rPr>
          <w:sz w:val="20"/>
          <w:szCs w:val="20"/>
          <w:color w:val="auto"/>
        </w:rPr>
      </w:pPr>
    </w:p>
    <w:p>
      <w:pPr>
        <w:ind w:left="360" w:right="40"/>
        <w:spacing w:after="0" w:line="235" w:lineRule="auto"/>
        <w:rPr>
          <w:sz w:val="20"/>
          <w:szCs w:val="20"/>
          <w:color w:val="auto"/>
        </w:rPr>
      </w:pPr>
      <w:r>
        <w:rPr>
          <w:rFonts w:ascii="Arial" w:cs="Arial" w:eastAsia="Arial" w:hAnsi="Arial"/>
          <w:sz w:val="18"/>
          <w:szCs w:val="18"/>
          <w:b w:val="1"/>
          <w:bCs w:val="1"/>
          <w:i w:val="1"/>
          <w:iCs w:val="1"/>
          <w:color w:val="auto"/>
        </w:rPr>
        <w:t>Our operating agreement, as well as Delaware law, will contain provisions that could discourage acquisition bids or merger proposals, which may adversely affect the market price of our Class A shares and could deprive our investors of the opportunity to receive a premium for their shares.</w:t>
      </w:r>
    </w:p>
    <w:p>
      <w:pPr>
        <w:spacing w:after="0" w:line="81"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Our operating agreement will authorize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70"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of directors, with each class serving staggered three-year terms;</w:t>
      </w:r>
    </w:p>
    <w:p>
      <w:pPr>
        <w:spacing w:after="0" w:line="128" w:lineRule="exact"/>
        <w:rPr>
          <w:rFonts w:ascii="Arial" w:cs="Arial" w:eastAsia="Arial" w:hAnsi="Arial"/>
          <w:sz w:val="17"/>
          <w:szCs w:val="17"/>
          <w:color w:val="auto"/>
        </w:rPr>
      </w:pPr>
    </w:p>
    <w:p>
      <w:pPr>
        <w:ind w:left="700" w:right="500" w:hanging="356"/>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73" w:lineRule="exact"/>
        <w:rPr>
          <w:rFonts w:ascii="Arial" w:cs="Arial" w:eastAsia="Arial" w:hAnsi="Arial"/>
          <w:sz w:val="18"/>
          <w:szCs w:val="18"/>
          <w:color w:val="auto"/>
        </w:rPr>
      </w:pPr>
    </w:p>
    <w:p>
      <w:pPr>
        <w:ind w:left="700" w:right="300" w:hanging="356"/>
        <w:spacing w:after="0" w:line="342"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5"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adopt, or to alter or repeal our operating agreement.</w:t>
      </w:r>
    </w:p>
    <w:p>
      <w:pPr>
        <w:spacing w:after="0" w:line="223" w:lineRule="exact"/>
        <w:rPr>
          <w:sz w:val="20"/>
          <w:szCs w:val="20"/>
          <w:color w:val="auto"/>
        </w:rPr>
      </w:pPr>
    </w:p>
    <w:p>
      <w:pPr>
        <w:jc w:val="both"/>
        <w:ind w:left="360" w:right="340"/>
        <w:spacing w:after="0" w:line="235" w:lineRule="auto"/>
        <w:rPr>
          <w:sz w:val="20"/>
          <w:szCs w:val="20"/>
          <w:color w:val="auto"/>
        </w:rPr>
      </w:pPr>
      <w:r>
        <w:rPr>
          <w:rFonts w:ascii="Arial" w:cs="Arial" w:eastAsia="Arial" w:hAnsi="Arial"/>
          <w:sz w:val="18"/>
          <w:szCs w:val="18"/>
          <w:b w:val="1"/>
          <w:bCs w:val="1"/>
          <w:i w:val="1"/>
          <w:iCs w:val="1"/>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8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international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ectPr>
          <w:pgSz w:w="11900" w:h="16838" w:orient="portrait"/>
          <w:cols w:equalWidth="0" w:num="1">
            <w:col w:w="9540"/>
          </w:cols>
          <w:pgMar w:left="1180" w:top="279" w:right="1179" w:bottom="1440" w:gutter="0" w:footer="0" w:header="0"/>
        </w:sectPr>
      </w:pP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Shareholders will experience immediate and substantial dilution of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 Class A share.</w:t>
      </w:r>
    </w:p>
    <w:p>
      <w:pPr>
        <w:spacing w:after="0" w:line="152" w:lineRule="exact"/>
        <w:rPr>
          <w:sz w:val="20"/>
          <w:szCs w:val="20"/>
          <w:color w:val="auto"/>
        </w:rPr>
      </w:pPr>
    </w:p>
    <w:p>
      <w:pPr>
        <w:sectPr>
          <w:pgSz w:w="11900" w:h="16838" w:orient="portrait"/>
          <w:cols w:equalWidth="0" w:num="2">
            <w:col w:w="5460" w:space="300"/>
            <w:col w:w="3780"/>
          </w:cols>
          <w:pgMar w:left="1180" w:top="279" w:right="1179" w:bottom="1440" w:gutter="0" w:footer="0" w:header="0"/>
          <w:type w:val="continuous"/>
        </w:sectPr>
      </w:pPr>
    </w:p>
    <w:p>
      <w:pPr>
        <w:ind w:firstLine="360"/>
        <w:spacing w:after="0" w:line="288" w:lineRule="auto"/>
        <w:rPr>
          <w:sz w:val="20"/>
          <w:szCs w:val="20"/>
          <w:color w:val="auto"/>
        </w:rPr>
      </w:pPr>
      <w:r>
        <w:rPr>
          <w:rFonts w:ascii="Arial" w:cs="Arial" w:eastAsia="Arial" w:hAnsi="Arial"/>
          <w:sz w:val="16"/>
          <w:szCs w:val="16"/>
          <w:color w:val="auto"/>
        </w:rPr>
        <w:t>The assumed initial public offering price of $ per Class A share (the mid-point of the price range set forth on the cover page of this prospectus) exceeds our pro forma net tangible book value of $ per Class A share. Based on the assumed initial public offering price of $ per Class A share, shareholders will incur immediate and substantial dilution of $ per Class A share in the</w:t>
      </w:r>
    </w:p>
    <w:p>
      <w:pPr>
        <w:sectPr>
          <w:pgSz w:w="11900" w:h="16838" w:orient="portrait"/>
          <w:cols w:equalWidth="0" w:num="1">
            <w:col w:w="9540"/>
          </w:cols>
          <w:pgMar w:left="1180" w:top="279" w:right="1179" w:bottom="1440" w:gutter="0" w:footer="0" w:header="0"/>
          <w:type w:val="continuous"/>
        </w:sectPr>
      </w:pPr>
    </w:p>
    <w:p>
      <w:pPr>
        <w:jc w:val="both"/>
        <w:ind w:right="240"/>
        <w:spacing w:after="0" w:line="255" w:lineRule="auto"/>
        <w:rPr>
          <w:sz w:val="20"/>
          <w:szCs w:val="20"/>
          <w:color w:val="auto"/>
        </w:rPr>
      </w:pPr>
      <w:r>
        <w:rPr>
          <w:rFonts w:ascii="Arial" w:cs="Arial" w:eastAsia="Arial" w:hAnsi="Arial"/>
          <w:sz w:val="18"/>
          <w:szCs w:val="18"/>
          <w:color w:val="auto"/>
        </w:rPr>
        <w:t>pro forma net tangible book value per share. This dilution results primarily because the assets contributed to us by New Fortress Energy Holdings are recorded at their historical cost in accordance with generally accepted accounting principles (“GAAP”), and not their fair value. Please read “Dilution.”</w:t>
      </w:r>
    </w:p>
    <w:p>
      <w:pPr>
        <w:spacing w:after="0" w:line="177" w:lineRule="exact"/>
        <w:rPr>
          <w:sz w:val="20"/>
          <w:szCs w:val="20"/>
          <w:color w:val="auto"/>
        </w:rPr>
      </w:pPr>
    </w:p>
    <w:p>
      <w:pPr>
        <w:ind w:left="360" w:right="180"/>
        <w:spacing w:after="0" w:line="246" w:lineRule="auto"/>
        <w:rPr>
          <w:sz w:val="20"/>
          <w:szCs w:val="20"/>
          <w:color w:val="auto"/>
        </w:rPr>
      </w:pPr>
      <w:r>
        <w:rPr>
          <w:rFonts w:ascii="Arial" w:cs="Arial" w:eastAsia="Arial" w:hAnsi="Arial"/>
          <w:sz w:val="18"/>
          <w:szCs w:val="18"/>
          <w:b w:val="1"/>
          <w:bCs w:val="1"/>
          <w:i w:val="1"/>
          <w:iCs w:val="1"/>
          <w:color w:val="auto"/>
        </w:rPr>
        <w:t>We do not intend to pay cash dividends on our Class A shares. Consequently, your only opportunity to achieve a return on your investment is if the price of our Class A shares appreciates.</w:t>
      </w:r>
    </w:p>
    <w:p>
      <w:pPr>
        <w:spacing w:after="0" w:line="75"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We do not plan to declare cash dividends on our Class A shares in the foreseeable future. Consequently, your only opportunity to achieve a return on your investment in us will be if you sell your Class A share at a price greater than you paid for it. There is no guarantee that the price of our Class A share that will prevail in the market will ever exceed the price that you pay in this offering.</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issue preferred shares, the terms of which could adversely affect the voting power or value of our Class A shares.</w:t>
      </w:r>
    </w:p>
    <w:p>
      <w:pPr>
        <w:spacing w:after="0" w:line="138"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operating agreement will authorize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64" w:lineRule="exact"/>
        <w:rPr>
          <w:sz w:val="20"/>
          <w:szCs w:val="20"/>
          <w:color w:val="auto"/>
        </w:rPr>
      </w:pPr>
    </w:p>
    <w:p>
      <w:pPr>
        <w:jc w:val="both"/>
        <w:ind w:left="360" w:right="60"/>
        <w:spacing w:after="0" w:line="235" w:lineRule="auto"/>
        <w:rPr>
          <w:sz w:val="20"/>
          <w:szCs w:val="20"/>
          <w:color w:val="auto"/>
        </w:rPr>
      </w:pPr>
      <w:r>
        <w:rPr>
          <w:rFonts w:ascii="Arial" w:cs="Arial" w:eastAsia="Arial" w:hAnsi="Arial"/>
          <w:sz w:val="18"/>
          <w:szCs w:val="18"/>
          <w:b w:val="1"/>
          <w:bCs w:val="1"/>
          <w:i w:val="1"/>
          <w:iCs w:val="1"/>
          <w:color w:val="auto"/>
        </w:rPr>
        <w:t>The market price of our Class A shares could be adversely affected by sales of substantial amounts of our Class A shares in the public or private markets, including sales by New Fortress Energy Holdings after the exercise of the Redemption Right or other large holders.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After this offering, we will have Class A shares and Class B shares outstanding, assuming no exercise of the underwriters’ option to purchase additional Class A shares. The NFI LLC Units held by New Fortress Energy Holdings and any Class A shares New Fortress Energy Holdings acquires through the exercise of the Redemption Right will be subject to resale restrictions under a 180-day lock-up agreement with the underwriters. Each of the lock-up agreements with the underwriters may be waived in the discretion of certain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underwriters. Sales by New Fortress Energy Holdings after the exercise of the Redemption Right or other large holders of a substantial number of our Class A shares in the public markets following this offering,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 Please read “Shares Eligible for Future Sale.”</w:t>
      </w:r>
    </w:p>
    <w:p>
      <w:pPr>
        <w:spacing w:after="0" w:line="176" w:lineRule="exact"/>
        <w:rPr>
          <w:sz w:val="20"/>
          <w:szCs w:val="20"/>
          <w:color w:val="auto"/>
        </w:rPr>
      </w:pPr>
    </w:p>
    <w:p>
      <w:pPr>
        <w:ind w:left="360" w:right="200"/>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81" w:lineRule="exact"/>
        <w:rPr>
          <w:sz w:val="20"/>
          <w:szCs w:val="20"/>
          <w:color w:val="auto"/>
        </w:rPr>
      </w:pPr>
    </w:p>
    <w:p>
      <w:pPr>
        <w:ind w:left="540" w:right="500" w:hanging="179"/>
        <w:spacing w:after="0" w:line="291" w:lineRule="auto"/>
        <w:rPr>
          <w:sz w:val="20"/>
          <w:szCs w:val="20"/>
          <w:color w:val="auto"/>
        </w:rPr>
      </w:pPr>
      <w:r>
        <w:rPr>
          <w:rFonts w:ascii="Arial" w:cs="Arial" w:eastAsia="Arial" w:hAnsi="Arial"/>
          <w:sz w:val="16"/>
          <w:szCs w:val="16"/>
          <w:color w:val="auto"/>
        </w:rPr>
        <w:t>Prior to this offering, there has been no public market for the Class A shares. After this offering, there will be only publicly-traded Class A shares. We do not know the extent to which investor interest will lead to the development of a</w:t>
      </w:r>
    </w:p>
    <w:p>
      <w:pPr>
        <w:ind w:right="200"/>
        <w:spacing w:after="0" w:line="302" w:lineRule="auto"/>
        <w:rPr>
          <w:sz w:val="20"/>
          <w:szCs w:val="20"/>
          <w:color w:val="auto"/>
        </w:rPr>
      </w:pPr>
      <w:r>
        <w:rPr>
          <w:rFonts w:ascii="Arial" w:cs="Arial" w:eastAsia="Arial" w:hAnsi="Arial"/>
          <w:sz w:val="16"/>
          <w:szCs w:val="16"/>
          <w:color w:val="auto"/>
        </w:rPr>
        <w:t>trading market or how liquid that market might be. Class A shareholders may not be able to resell their Class A shares at or above the initial public offering price. Additionally, the lack of liquidity may result in wide bid-ask spreads, contribute to significant fluctuations in the market price of the Class A shares and limit the number of investors who are able to buy the Class A shares.</w:t>
      </w:r>
    </w:p>
    <w:p>
      <w:pPr>
        <w:spacing w:after="0" w:line="4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initial public offering price for our Class A shares will be determined by negotiations between us and the representatives of the underwriters and may not be indicative of the market price of the Class A shares that will prevail in the trading market. The market price of our Class A shares may decline below the initial public offering price. The market price of our Class A shares may also be influenced by many factors, some of which are beyond our control, including:</w:t>
      </w:r>
    </w:p>
    <w:p>
      <w:pPr>
        <w:spacing w:after="0" w:line="63"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700" w:right="62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shares after this offering or changes in financial estimates by analysts;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sales of our Class A shares;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212"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NYSE rules and, as a result, will qualify for and intend to rely on exemptions from certain corporate governance requirements.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Upon completion of this offering, New Fortress Energy Holdings will hold a majority of the voting power of our shares. As a result, we expect to be a controlled company within the meaning of NYSE corporate governance standards. Under NYSE rules, a company of which more than 50% of the voting power for the election of directors is held by an individual, a group or another company is a controlled company and may elect not to comply with certain NYSE corporate governance requirements, including the requirements that:</w:t>
      </w:r>
    </w:p>
    <w:p>
      <w:pPr>
        <w:spacing w:after="0" w:line="80" w:lineRule="exact"/>
        <w:rPr>
          <w:sz w:val="20"/>
          <w:szCs w:val="20"/>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the NYSE;</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700" w:right="720" w:hanging="356"/>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Following this offering, we intend to utilize some or all of these exemptions. Accordingly, you may not have the same protections afforded to shareholders of companies that are subject to all of the corporate governance requirements of the NYSE. See “Management.”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7" w:right="100"/>
        <w:spacing w:after="0" w:line="235"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81" w:lineRule="exact"/>
        <w:rPr>
          <w:sz w:val="20"/>
          <w:szCs w:val="20"/>
          <w:color w:val="auto"/>
        </w:rPr>
      </w:pPr>
    </w:p>
    <w:p>
      <w:pPr>
        <w:ind w:left="7" w:right="20" w:firstLine="360"/>
        <w:spacing w:after="0" w:line="284" w:lineRule="auto"/>
        <w:rPr>
          <w:sz w:val="20"/>
          <w:szCs w:val="20"/>
          <w:color w:val="auto"/>
        </w:rPr>
      </w:pPr>
      <w:r>
        <w:rPr>
          <w:rFonts w:ascii="Arial" w:cs="Arial" w:eastAsia="Arial" w:hAnsi="Arial"/>
          <w:sz w:val="16"/>
          <w:szCs w:val="16"/>
          <w:color w:val="auto"/>
        </w:rPr>
        <w:t>The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1" w:lineRule="exact"/>
        <w:rPr>
          <w:sz w:val="20"/>
          <w:szCs w:val="20"/>
          <w:color w:val="auto"/>
        </w:rPr>
      </w:pPr>
    </w:p>
    <w:p>
      <w:pPr>
        <w:ind w:left="7" w:right="120" w:hanging="7"/>
        <w:spacing w:after="0" w:line="287" w:lineRule="auto"/>
        <w:tabs>
          <w:tab w:leader="none" w:pos="3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hold nonbinding advisory votes on executive compensation.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62"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73" w:lineRule="exact"/>
        <w:rPr>
          <w:sz w:val="20"/>
          <w:szCs w:val="20"/>
          <w:color w:val="auto"/>
        </w:rPr>
      </w:pPr>
    </w:p>
    <w:p>
      <w:pPr>
        <w:ind w:left="367" w:right="320"/>
        <w:spacing w:after="0" w:line="276" w:lineRule="auto"/>
        <w:rPr>
          <w:sz w:val="20"/>
          <w:szCs w:val="20"/>
          <w:color w:val="auto"/>
        </w:rPr>
      </w:pPr>
      <w:r>
        <w:rPr>
          <w:rFonts w:ascii="Arial" w:cs="Arial" w:eastAsia="Arial" w:hAnsi="Arial"/>
          <w:sz w:val="16"/>
          <w:szCs w:val="16"/>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54" w:lineRule="exact"/>
        <w:rPr>
          <w:sz w:val="20"/>
          <w:szCs w:val="20"/>
          <w:color w:val="auto"/>
        </w:rPr>
      </w:pPr>
    </w:p>
    <w:p>
      <w:pPr>
        <w:ind w:left="7" w:right="20" w:firstLine="360"/>
        <w:spacing w:after="0" w:line="290" w:lineRule="auto"/>
        <w:rPr>
          <w:sz w:val="20"/>
          <w:szCs w:val="20"/>
          <w:color w:val="auto"/>
        </w:rPr>
      </w:pPr>
      <w:r>
        <w:rPr>
          <w:rFonts w:ascii="Arial" w:cs="Arial" w:eastAsia="Arial" w:hAnsi="Arial"/>
          <w:sz w:val="16"/>
          <w:szCs w:val="16"/>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66"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17" w:lineRule="exact"/>
        <w:rPr>
          <w:sz w:val="20"/>
          <w:szCs w:val="20"/>
          <w:color w:val="auto"/>
        </w:rPr>
      </w:pPr>
    </w:p>
    <w:p>
      <w:pPr>
        <w:ind w:left="7" w:right="20" w:firstLine="360"/>
        <w:spacing w:after="0" w:line="271" w:lineRule="auto"/>
        <w:rPr>
          <w:sz w:val="20"/>
          <w:szCs w:val="20"/>
          <w:color w:val="auto"/>
        </w:rPr>
      </w:pPr>
      <w:r>
        <w:rPr>
          <w:rFonts w:ascii="Arial" w:cs="Arial" w:eastAsia="Arial" w:hAnsi="Arial"/>
          <w:sz w:val="17"/>
          <w:szCs w:val="17"/>
          <w:color w:val="auto"/>
        </w:rPr>
        <w:t>We have no history operating as a publicly traded company. As a newly public company with shares listed on the NYSE, we will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accounting and other expenses that we did not incur prior to this offering and make some activities more time-consuming and costly. For example, as a result of becoming a public company, we intend to add independent directors and create additional board committees. In addition, we may incur additional costs associated with our public company reporting requirements and maintaining directors’ and officers’ liability insurance. Because of the limitations in coverage for directors, it may be more difficult for us to attract and</w:t>
      </w:r>
    </w:p>
    <w:p>
      <w:pPr>
        <w:spacing w:after="0" w:line="179"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retain qualified persons to serve on our board of directors or as executive officers. We estimate that we will incur approximately $ million of incremental costs per year associated with being a publicly traded company; however, it is possible that our actual incremental costs of being a publicly traded company will be higher than we currently estimate.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73" w:lineRule="exact"/>
        <w:rPr>
          <w:sz w:val="20"/>
          <w:szCs w:val="20"/>
          <w:color w:val="auto"/>
        </w:rPr>
      </w:pPr>
    </w:p>
    <w:p>
      <w:pPr>
        <w:ind w:left="360" w:right="220"/>
        <w:spacing w:after="0" w:line="24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74" w:lineRule="exact"/>
        <w:rPr>
          <w:sz w:val="20"/>
          <w:szCs w:val="20"/>
          <w:color w:val="auto"/>
        </w:rPr>
      </w:pPr>
    </w:p>
    <w:p>
      <w:pPr>
        <w:jc w:val="both"/>
        <w:ind w:right="260" w:firstLine="360"/>
        <w:spacing w:after="0" w:line="312"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47" w:lineRule="exact"/>
        <w:rPr>
          <w:sz w:val="20"/>
          <w:szCs w:val="20"/>
          <w:color w:val="auto"/>
        </w:rPr>
      </w:pPr>
    </w:p>
    <w:p>
      <w:pPr>
        <w:ind w:left="360" w:right="40"/>
        <w:spacing w:after="0" w:line="248" w:lineRule="auto"/>
        <w:rPr>
          <w:sz w:val="20"/>
          <w:szCs w:val="20"/>
          <w:color w:val="auto"/>
        </w:rPr>
      </w:pPr>
      <w:r>
        <w:rPr>
          <w:rFonts w:ascii="Arial" w:cs="Arial" w:eastAsia="Arial" w:hAnsi="Arial"/>
          <w:sz w:val="18"/>
          <w:szCs w:val="18"/>
          <w:b w:val="1"/>
          <w:bCs w:val="1"/>
          <w:i w:val="1"/>
          <w:iCs w:val="1"/>
          <w:color w:val="auto"/>
        </w:rPr>
        <w:t>NFE is a holding company. NFE’s sole material asset after completion of this offering will be its equity interest in NFI, and accordingly, NFE will be dependent upon distributions from NFI to pay taxes and cover its corporate and other overhead expenses.</w:t>
      </w:r>
    </w:p>
    <w:p>
      <w:pPr>
        <w:spacing w:after="0" w:line="74"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NFE is a holding company and will have no material assets other than its equity interest in NFI. Please read “Summary— Organizational Structure.” NFE has no independent means of generating revenue. To the extent NFI has available cash and subject to the terms of NFI’s credit agreements and any other debt instruments, we intend to cause NFI to make (i) generally pro rata distributions to its unitholders, including NFE, in an amount sufficient to allow NFE to pay its taxes and (ii)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92" w:lineRule="exact"/>
        <w:rPr>
          <w:sz w:val="20"/>
          <w:szCs w:val="20"/>
          <w:color w:val="auto"/>
        </w:rPr>
      </w:pPr>
    </w:p>
    <w:p>
      <w:pPr>
        <w:ind w:left="360" w:right="680"/>
        <w:spacing w:after="0" w:line="262" w:lineRule="auto"/>
        <w:rPr>
          <w:sz w:val="20"/>
          <w:szCs w:val="20"/>
          <w:color w:val="auto"/>
        </w:rPr>
      </w:pPr>
      <w:r>
        <w:rPr>
          <w:rFonts w:ascii="Arial" w:cs="Arial" w:eastAsia="Arial" w:hAnsi="Arial"/>
          <w:sz w:val="18"/>
          <w:szCs w:val="18"/>
          <w:b w:val="1"/>
          <w:bCs w:val="1"/>
          <w:i w:val="1"/>
          <w:iCs w:val="1"/>
          <w:color w:val="auto"/>
        </w:rPr>
        <w:t>If NFI were to become a publicly traded partnership taxable as a corporation for U.S. federal income tax purposes, significant tax inefficiencies might result.</w:t>
      </w:r>
    </w:p>
    <w:p>
      <w:pPr>
        <w:spacing w:after="0" w:line="6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our Call Right)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which will be entered into in connection with the closing of this offering, will provide for limitations on the ability of unitholders of NFI to transfer their NFI LLC Units and will provide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6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If NFI were to become a publicly traded partnership, significant tax inefficiencies might result for us and for NFI, including as a result of our inability to file a consolidated U.S. federal income tax return with NFI.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tbl>
      <w:tblPr>
        <w:tblLayout w:type="fixed"/>
        <w:tblInd w:w="7" w:type="dxa"/>
        <w:tblCellMar>
          <w:top w:w="0" w:type="dxa"/>
          <w:left w:w="0" w:type="dxa"/>
          <w:bottom w:w="0" w:type="dxa"/>
          <w:right w:w="0" w:type="dxa"/>
        </w:tblCellMar>
      </w:tblPr>
      <w:tr>
        <w:trPr>
          <w:trHeight w:val="161"/>
        </w:trPr>
        <w:tc>
          <w:tcPr>
            <w:tcW w:w="6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26"/>
        </w:trPr>
        <w:tc>
          <w:tcPr>
            <w:tcW w:w="1540" w:type="dxa"/>
            <w:vAlign w:val="bottom"/>
            <w:tcBorders>
              <w:top w:val="single" w:sz="8" w:color="0000EE"/>
            </w:tcBorders>
          </w:tcPr>
          <w:p>
            <w:pPr>
              <w:spacing w:after="0"/>
              <w:rPr>
                <w:sz w:val="24"/>
                <w:szCs w:val="24"/>
                <w:color w:val="auto"/>
              </w:rPr>
            </w:pPr>
          </w:p>
        </w:tc>
        <w:tc>
          <w:tcPr>
            <w:tcW w:w="4620" w:type="dxa"/>
            <w:vAlign w:val="bottom"/>
          </w:tcPr>
          <w:p>
            <w:pPr>
              <w:ind w:left="2400"/>
              <w:spacing w:after="0"/>
              <w:rPr>
                <w:sz w:val="20"/>
                <w:szCs w:val="20"/>
                <w:color w:val="auto"/>
              </w:rPr>
            </w:pPr>
            <w:r>
              <w:rPr>
                <w:rFonts w:ascii="Arial" w:cs="Arial" w:eastAsia="Arial" w:hAnsi="Arial"/>
                <w:sz w:val="18"/>
                <w:szCs w:val="18"/>
                <w:b w:val="1"/>
                <w:bCs w:val="1"/>
                <w:color w:val="auto"/>
              </w:rPr>
              <w:t>USE OF PROCEEDS</w:t>
            </w:r>
          </w:p>
        </w:tc>
        <w:tc>
          <w:tcPr>
            <w:tcW w:w="16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0"/>
        </w:trPr>
        <w:tc>
          <w:tcPr>
            <w:tcW w:w="6160" w:type="dxa"/>
            <w:vAlign w:val="bottom"/>
            <w:gridSpan w:val="2"/>
          </w:tcPr>
          <w:p>
            <w:pPr>
              <w:ind w:left="360"/>
              <w:spacing w:after="0"/>
              <w:rPr>
                <w:sz w:val="20"/>
                <w:szCs w:val="20"/>
                <w:color w:val="auto"/>
              </w:rPr>
            </w:pPr>
            <w:r>
              <w:rPr>
                <w:rFonts w:ascii="Arial" w:cs="Arial" w:eastAsia="Arial" w:hAnsi="Arial"/>
                <w:sz w:val="18"/>
                <w:szCs w:val="18"/>
                <w:color w:val="auto"/>
                <w:w w:val="92"/>
              </w:rPr>
              <w:t>We expect the estimated net proceeds from this offering to be approximately $</w:t>
            </w:r>
          </w:p>
        </w:tc>
        <w:tc>
          <w:tcPr>
            <w:tcW w:w="3360" w:type="dxa"/>
            <w:vAlign w:val="bottom"/>
            <w:gridSpan w:val="2"/>
          </w:tcPr>
          <w:p>
            <w:pPr>
              <w:ind w:left="140"/>
              <w:spacing w:after="0"/>
              <w:rPr>
                <w:sz w:val="20"/>
                <w:szCs w:val="20"/>
                <w:color w:val="auto"/>
              </w:rPr>
            </w:pPr>
            <w:r>
              <w:rPr>
                <w:rFonts w:ascii="Arial" w:cs="Arial" w:eastAsia="Arial" w:hAnsi="Arial"/>
                <w:sz w:val="18"/>
                <w:szCs w:val="18"/>
                <w:color w:val="auto"/>
                <w:w w:val="95"/>
              </w:rPr>
              <w:t>million, before offering expenses and after</w:t>
            </w: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w w:val="92"/>
              </w:rPr>
              <w:t>deducting underwriting discounts and commissions, based on an assumed initial public offering price of $</w:t>
            </w:r>
          </w:p>
        </w:tc>
        <w:tc>
          <w:tcPr>
            <w:tcW w:w="1740" w:type="dxa"/>
            <w:vAlign w:val="bottom"/>
          </w:tcPr>
          <w:p>
            <w:pPr>
              <w:ind w:left="140"/>
              <w:spacing w:after="0"/>
              <w:rPr>
                <w:sz w:val="20"/>
                <w:szCs w:val="20"/>
                <w:color w:val="auto"/>
              </w:rPr>
            </w:pPr>
            <w:r>
              <w:rPr>
                <w:rFonts w:ascii="Arial" w:cs="Arial" w:eastAsia="Arial" w:hAnsi="Arial"/>
                <w:sz w:val="18"/>
                <w:szCs w:val="18"/>
                <w:color w:val="auto"/>
                <w:w w:val="88"/>
              </w:rPr>
              <w:t>per Class A share (the</w:t>
            </w:r>
          </w:p>
        </w:tc>
      </w:tr>
    </w:tbl>
    <w:p>
      <w:pPr>
        <w:jc w:val="both"/>
        <w:ind w:left="7" w:right="20"/>
        <w:spacing w:after="0" w:line="290" w:lineRule="auto"/>
        <w:rPr>
          <w:sz w:val="20"/>
          <w:szCs w:val="20"/>
          <w:color w:val="auto"/>
        </w:rPr>
      </w:pPr>
      <w:r>
        <w:rPr>
          <w:rFonts w:ascii="Arial" w:cs="Arial" w:eastAsia="Arial" w:hAnsi="Arial"/>
          <w:sz w:val="17"/>
          <w:szCs w:val="17"/>
          <w:color w:val="auto"/>
        </w:rPr>
        <w:t>mid-point of the price range set forth on the cover of this prospectus). If the underwriters exercise their option to purchase additional Class A shares in full, we expect the estimated net proceeds to be approximately $ million. See “Underwriting.”</w:t>
      </w:r>
    </w:p>
    <w:p>
      <w:pPr>
        <w:spacing w:after="0" w:line="53" w:lineRule="exact"/>
        <w:rPr>
          <w:sz w:val="20"/>
          <w:szCs w:val="20"/>
          <w:color w:val="auto"/>
        </w:rPr>
      </w:pPr>
    </w:p>
    <w:p>
      <w:pPr>
        <w:ind w:left="7" w:firstLine="360"/>
        <w:spacing w:after="0" w:line="283" w:lineRule="auto"/>
        <w:rPr>
          <w:sz w:val="20"/>
          <w:szCs w:val="20"/>
          <w:color w:val="auto"/>
        </w:rPr>
      </w:pPr>
      <w:r>
        <w:rPr>
          <w:rFonts w:ascii="Arial" w:cs="Arial" w:eastAsia="Arial" w:hAnsi="Arial"/>
          <w:sz w:val="16"/>
          <w:szCs w:val="16"/>
          <w:color w:val="auto"/>
        </w:rPr>
        <w:t>We will contribute the net proceeds of this offering to NFI in exchange for NFI’s issuance to us of NFI LLC Units. NFI intends to use the net proceeds from this offering in the following manner: (i) $ million to complete the construction of the Old Harbour Terminal, (ii) $ million to complete the construction of the Pennsylvania Facilities, (iii) $ million to complete the construction of the CHP Plant, (iv) $ million to complete the construction of the Haynesville Facilities, (v) $ million to complete the construction of the La Paz Terminal, (vi) $ million to complete the construction of the San Juan Facility, (vii) $ million to complete the construction of the Ireland Terminal and (viii) $ million for general company purposes, including the development of future projects. If the underwriters exercise their option to purchase additional Class A shares in full, the additional net proceeds will be approximately $ million (based on an assumed initial offering price of $ per Class A share, the mid-point of the price range set forth on the cover page of this prospectus). The net proceeds from any exercise of such option will be contributed to NFI in exchange for NFI’s issuance to us of NFI LLC Units. After the application of the net proceeds from this offering, we will own a</w:t>
      </w:r>
    </w:p>
    <w:p>
      <w:pPr>
        <w:spacing w:after="0" w:line="6" w:lineRule="exact"/>
        <w:rPr>
          <w:sz w:val="20"/>
          <w:szCs w:val="20"/>
          <w:color w:val="auto"/>
        </w:rPr>
      </w:pPr>
    </w:p>
    <w:p>
      <w:pPr>
        <w:ind w:left="7" w:right="80" w:firstLine="263"/>
        <w:spacing w:after="0" w:line="255" w:lineRule="auto"/>
        <w:tabs>
          <w:tab w:leader="none" w:pos="4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membership interest in NFI (or a % membership interest if the underwriters’ option to purchase additional Class A shares is exercised in full). Please read “Security Ownership of Certain Beneficial Owners and Management.” For a description of our Terminals and Liquefaction Facilities, see “Business.”</w:t>
      </w:r>
    </w:p>
    <w:p>
      <w:pPr>
        <w:spacing w:after="0" w:line="82" w:lineRule="exact"/>
        <w:rPr>
          <w:sz w:val="20"/>
          <w:szCs w:val="20"/>
          <w:color w:val="auto"/>
        </w:rPr>
      </w:pPr>
    </w:p>
    <w:p>
      <w:pPr>
        <w:ind w:left="367"/>
        <w:spacing w:after="0"/>
        <w:rPr>
          <w:sz w:val="20"/>
          <w:szCs w:val="20"/>
          <w:color w:val="auto"/>
        </w:rPr>
      </w:pPr>
      <w:r>
        <w:rPr>
          <w:rFonts w:ascii="Arial" w:cs="Arial" w:eastAsia="Arial" w:hAnsi="Arial"/>
          <w:sz w:val="16"/>
          <w:szCs w:val="16"/>
          <w:color w:val="auto"/>
        </w:rPr>
        <w:t>Pending any use, the net proceeds of this offering may be invested in short-term, interest-bearing investment-grade securities.</w:t>
      </w:r>
    </w:p>
    <w:p>
      <w:pPr>
        <w:spacing w:after="0" w:line="140" w:lineRule="exact"/>
        <w:rPr>
          <w:sz w:val="20"/>
          <w:szCs w:val="20"/>
          <w:color w:val="auto"/>
        </w:rPr>
      </w:pPr>
    </w:p>
    <w:p>
      <w:pPr>
        <w:ind w:left="7" w:right="380" w:firstLine="360"/>
        <w:spacing w:after="0" w:line="288" w:lineRule="auto"/>
        <w:rPr>
          <w:sz w:val="20"/>
          <w:szCs w:val="20"/>
          <w:color w:val="auto"/>
        </w:rPr>
      </w:pPr>
      <w:r>
        <w:rPr>
          <w:rFonts w:ascii="Arial" w:cs="Arial" w:eastAsia="Arial" w:hAnsi="Arial"/>
          <w:sz w:val="16"/>
          <w:szCs w:val="16"/>
          <w:color w:val="auto"/>
        </w:rPr>
        <w:t>Assuming no exercise of the underwriters’ option to purchase additional Class A shares, a $1.00 increase (decrease) in the assumed initial public offering price of $ per Class A share would increase (decrease) the net proceeds from this offering received by us, after deducting the underwriting discounts and commissions and estimated offering expenses, by approximately</w:t>
      </w:r>
    </w:p>
    <w:p>
      <w:pPr>
        <w:ind w:left="7" w:right="280" w:hanging="7"/>
        <w:spacing w:after="0" w:line="261" w:lineRule="auto"/>
        <w:tabs>
          <w:tab w:leader="none" w:pos="4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million, assuming the number of Class A shares offered by us, as set forth on the cover page of this prospectus, remains the same.</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54" w:name="page55"/>
    <w:bookmarkEnd w:id="5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2017:</w:t>
      </w:r>
    </w:p>
    <w:p>
      <w:pPr>
        <w:spacing w:after="0" w:line="117" w:lineRule="exact"/>
        <w:rPr>
          <w:sz w:val="20"/>
          <w:szCs w:val="20"/>
          <w:color w:val="auto"/>
        </w:rPr>
      </w:pPr>
    </w:p>
    <w:p>
      <w:pPr>
        <w:ind w:left="707" w:hanging="356"/>
        <w:spacing w:after="0"/>
        <w:tabs>
          <w:tab w:leader="none" w:pos="7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an adjusted basis to give effect to (i) the Transactions, (ii) the sale by us of Class A shares at the initial public offering</w:t>
      </w:r>
    </w:p>
    <w:p>
      <w:pPr>
        <w:spacing w:after="0" w:line="46" w:lineRule="exact"/>
        <w:rPr>
          <w:rFonts w:ascii="Arial" w:cs="Arial" w:eastAsia="Arial" w:hAnsi="Arial"/>
          <w:sz w:val="16"/>
          <w:szCs w:val="16"/>
          <w:color w:val="auto"/>
        </w:rPr>
      </w:pPr>
    </w:p>
    <w:p>
      <w:pPr>
        <w:ind w:left="707" w:right="320"/>
        <w:spacing w:after="0" w:line="254" w:lineRule="auto"/>
        <w:rPr>
          <w:rFonts w:ascii="Arial" w:cs="Arial" w:eastAsia="Arial" w:hAnsi="Arial"/>
          <w:sz w:val="16"/>
          <w:szCs w:val="16"/>
          <w:color w:val="auto"/>
        </w:rPr>
      </w:pPr>
      <w:r>
        <w:rPr>
          <w:rFonts w:ascii="Arial" w:cs="Arial" w:eastAsia="Arial" w:hAnsi="Arial"/>
          <w:sz w:val="18"/>
          <w:szCs w:val="18"/>
          <w:color w:val="auto"/>
        </w:rPr>
        <w:t>price of $ per Class A share (the mid-point of the price range set forth on the cover page of this prospectus), after deducting assumed underwriting discounts and commissions and estimated offering expenses, (iii) the issuance of a $240,000 Term Loan Facility on August 16, 2018 and (iv) and repayment in full of the outstanding indebtedness of the Miami Loan and the MoBay Loan.</w:t>
      </w:r>
    </w:p>
    <w:p>
      <w:pPr>
        <w:spacing w:after="0" w:line="82"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initial public offering price and other terms of this offering determined at pricing. You should read this table in conjunction with “Management’s Discussion and Analysis of Financial Condition and Results of Operations” and our consolidated financial statements and related notes contained elsewhere in this prospectus.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As</w:t>
            </w:r>
          </w:p>
        </w:tc>
      </w:tr>
      <w:tr>
        <w:trPr>
          <w:trHeight w:val="189"/>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0"/>
              <w:spacing w:after="0" w:line="189"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1"/>
                <w:szCs w:val="21"/>
                <w:b w:val="1"/>
                <w:bCs w:val="1"/>
                <w:color w:val="auto"/>
                <w:vertAlign w:val="superscript"/>
              </w:rPr>
              <w:t>(1)</w:t>
            </w: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6"/>
          </w:tcPr>
          <w:p>
            <w:pPr>
              <w:ind w:left="380"/>
              <w:spacing w:after="0"/>
              <w:rPr>
                <w:sz w:val="20"/>
                <w:szCs w:val="20"/>
                <w:color w:val="auto"/>
              </w:rPr>
            </w:pPr>
            <w:r>
              <w:rPr>
                <w:rFonts w:ascii="Arial" w:cs="Arial" w:eastAsia="Arial" w:hAnsi="Arial"/>
                <w:sz w:val="14"/>
                <w:szCs w:val="14"/>
                <w:b w:val="1"/>
                <w:bCs w:val="1"/>
                <w:color w:val="auto"/>
              </w:rPr>
              <w:t>(Dollars in thousands)</w:t>
            </w:r>
          </w:p>
        </w:tc>
      </w:tr>
      <w:tr>
        <w:trPr>
          <w:trHeight w:val="277"/>
        </w:trPr>
        <w:tc>
          <w:tcPr>
            <w:tcW w:w="20" w:type="dxa"/>
            <w:vAlign w:val="bottom"/>
          </w:tcPr>
          <w:p>
            <w:pPr>
              <w:spacing w:after="0"/>
              <w:rPr>
                <w:sz w:val="24"/>
                <w:szCs w:val="24"/>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Borders>
              <w:top w:val="single" w:sz="8" w:color="CCEEFF"/>
            </w:tcBorders>
            <w:gridSpan w:val="2"/>
          </w:tcPr>
          <w:p>
            <w:pPr>
              <w:spacing w:after="0" w:line="243" w:lineRule="exact"/>
              <w:rPr>
                <w:sz w:val="20"/>
                <w:szCs w:val="20"/>
                <w:color w:val="auto"/>
              </w:rPr>
            </w:pPr>
            <w:r>
              <w:rPr>
                <w:rFonts w:ascii="Arial" w:cs="Arial" w:eastAsia="Arial" w:hAnsi="Arial"/>
                <w:sz w:val="17"/>
                <w:szCs w:val="17"/>
                <w:color w:val="auto"/>
              </w:rPr>
              <w:t>Total long-term debt</w:t>
            </w:r>
            <w:r>
              <w:rPr>
                <w:rFonts w:ascii="Arial" w:cs="Arial" w:eastAsia="Arial" w:hAnsi="Arial"/>
                <w:sz w:val="28"/>
                <w:szCs w:val="28"/>
                <w:color w:val="auto"/>
                <w:vertAlign w:val="superscript"/>
              </w:rPr>
              <w:t>(2)</w:t>
            </w:r>
          </w:p>
        </w:tc>
        <w:tc>
          <w:tcPr>
            <w:tcW w:w="20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equity/Shareholders’ equity</w:t>
            </w:r>
          </w:p>
        </w:tc>
        <w:tc>
          <w:tcPr>
            <w:tcW w:w="2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Members’ equity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A shareholders – Public</w:t>
            </w:r>
          </w:p>
        </w:tc>
        <w:tc>
          <w:tcPr>
            <w:tcW w:w="2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Class B shareholders – New Fortress Energy Holdings</w:t>
            </w: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members’ equity/shareholders’ equity</w:t>
            </w:r>
          </w:p>
        </w:tc>
        <w:tc>
          <w:tcPr>
            <w:tcW w:w="2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900" w:type="dxa"/>
            <w:vAlign w:val="bottom"/>
            <w:gridSpan w:val="3"/>
          </w:tcPr>
          <w:p>
            <w:pPr>
              <w:spacing w:after="0"/>
              <w:rPr>
                <w:sz w:val="20"/>
                <w:szCs w:val="20"/>
                <w:color w:val="auto"/>
              </w:rPr>
            </w:pPr>
            <w:r>
              <w:rPr>
                <w:rFonts w:ascii="Arial" w:cs="Arial" w:eastAsia="Arial" w:hAnsi="Arial"/>
                <w:sz w:val="18"/>
                <w:szCs w:val="18"/>
                <w:color w:val="auto"/>
              </w:rPr>
              <w:t>Non-controlling interests</w:t>
            </w: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354,163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4660" w:type="dxa"/>
            <w:vAlign w:val="bottom"/>
            <w:gridSpan w:val="8"/>
          </w:tcPr>
          <w:p>
            <w:pPr>
              <w:spacing w:after="0"/>
              <w:rPr>
                <w:sz w:val="15"/>
                <w:szCs w:val="15"/>
                <w:color w:val="auto"/>
              </w:rPr>
            </w:pPr>
          </w:p>
        </w:tc>
      </w:tr>
      <w:tr>
        <w:trPr>
          <w:trHeight w:val="258"/>
        </w:trPr>
        <w:tc>
          <w:tcPr>
            <w:tcW w:w="4900" w:type="dxa"/>
            <w:vAlign w:val="bottom"/>
            <w:gridSpan w:val="3"/>
          </w:tcPr>
          <w:p>
            <w:pPr>
              <w:spacing w:after="0"/>
              <w:rPr>
                <w:sz w:val="20"/>
                <w:szCs w:val="20"/>
                <w:color w:val="auto"/>
              </w:rPr>
            </w:pPr>
            <w:r>
              <w:rPr>
                <w:rFonts w:ascii="Arial" w:cs="Arial" w:eastAsia="Arial" w:hAnsi="Arial"/>
                <w:sz w:val="14"/>
                <w:szCs w:val="14"/>
                <w:color w:val="auto"/>
                <w:w w:val="97"/>
              </w:rPr>
              <w:t>(1)   Each $1.00 increase (decrease) in the assumed initial public offering price of</w:t>
            </w:r>
          </w:p>
        </w:tc>
        <w:tc>
          <w:tcPr>
            <w:tcW w:w="4660" w:type="dxa"/>
            <w:vAlign w:val="bottom"/>
            <w:gridSpan w:val="8"/>
          </w:tcPr>
          <w:p>
            <w:pPr>
              <w:ind w:left="140"/>
              <w:spacing w:after="0"/>
              <w:rPr>
                <w:sz w:val="20"/>
                <w:szCs w:val="20"/>
                <w:color w:val="auto"/>
              </w:rPr>
            </w:pPr>
            <w:r>
              <w:rPr>
                <w:rFonts w:ascii="Arial" w:cs="Arial" w:eastAsia="Arial" w:hAnsi="Arial"/>
                <w:sz w:val="14"/>
                <w:szCs w:val="14"/>
                <w:color w:val="auto"/>
              </w:rPr>
              <w:t>per share, which is the mid-point of the price range set forth on the cover</w:t>
            </w:r>
          </w:p>
        </w:tc>
      </w:tr>
      <w:tr>
        <w:trPr>
          <w:trHeight w:val="174"/>
        </w:trPr>
        <w:tc>
          <w:tcPr>
            <w:tcW w:w="20" w:type="dxa"/>
            <w:vAlign w:val="bottom"/>
          </w:tcPr>
          <w:p>
            <w:pPr>
              <w:spacing w:after="0"/>
              <w:rPr>
                <w:sz w:val="15"/>
                <w:szCs w:val="15"/>
                <w:color w:val="auto"/>
              </w:rPr>
            </w:pPr>
          </w:p>
        </w:tc>
        <w:tc>
          <w:tcPr>
            <w:tcW w:w="8520" w:type="dxa"/>
            <w:vAlign w:val="bottom"/>
            <w:gridSpan w:val="8"/>
          </w:tcPr>
          <w:p>
            <w:pPr>
              <w:ind w:left="320"/>
              <w:spacing w:after="0"/>
              <w:rPr>
                <w:sz w:val="20"/>
                <w:szCs w:val="20"/>
                <w:color w:val="auto"/>
              </w:rPr>
            </w:pPr>
            <w:r>
              <w:rPr>
                <w:rFonts w:ascii="Arial" w:cs="Arial" w:eastAsia="Arial" w:hAnsi="Arial"/>
                <w:sz w:val="14"/>
                <w:szCs w:val="14"/>
                <w:color w:val="auto"/>
                <w:w w:val="93"/>
              </w:rPr>
              <w:t>page of this prospectus, would increase (decrease) our as adjusted cash, total shareholders’ equity and total capitalization by approximately $</w:t>
            </w: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w w:val="90"/>
              </w:rPr>
              <w:t>, assuming that</w:t>
            </w:r>
          </w:p>
        </w:tc>
      </w:tr>
    </w:tbl>
    <w:p>
      <w:pPr>
        <w:ind w:left="347" w:right="280"/>
        <w:spacing w:after="0" w:line="281" w:lineRule="auto"/>
        <w:rPr>
          <w:sz w:val="20"/>
          <w:szCs w:val="20"/>
          <w:color w:val="auto"/>
        </w:rPr>
      </w:pPr>
      <w:r>
        <w:rPr>
          <w:rFonts w:ascii="Arial" w:cs="Arial" w:eastAsia="Arial" w:hAnsi="Arial"/>
          <w:sz w:val="12"/>
          <w:szCs w:val="12"/>
          <w:color w:val="auto"/>
        </w:rPr>
        <w:t>the number of Class A shares offered by us, as set forth on the cover page of this prospectus, remains the same after deducting underwriting discounts and commissions and estimated offering expenses payable by us. Each increase (decrease) of 1,000 shares in the number of Class A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7" w:right="60"/>
        <w:spacing w:after="0" w:line="257" w:lineRule="auto"/>
        <w:rPr>
          <w:sz w:val="20"/>
          <w:szCs w:val="20"/>
          <w:color w:val="auto"/>
        </w:rPr>
      </w:pPr>
      <w:r>
        <w:rPr>
          <w:rFonts w:ascii="Arial" w:cs="Arial" w:eastAsia="Arial" w:hAnsi="Arial"/>
          <w:sz w:val="14"/>
          <w:szCs w:val="14"/>
          <w:color w:val="auto"/>
        </w:rPr>
        <w:t>increase (decrease) the amount of our as adjusted cash, total shareholders’ equity and total capitalization by approximately $ , assuming an initial public offering price of $ per share, which is the mid-point of the price range set forth on the cover page of this prospectus, after deducting underwriting discounts and commissions and estimated offering expenses payable by us.</w:t>
      </w:r>
    </w:p>
    <w:p>
      <w:pPr>
        <w:spacing w:after="0" w:line="77" w:lineRule="exact"/>
        <w:rPr>
          <w:sz w:val="20"/>
          <w:szCs w:val="20"/>
          <w:color w:val="auto"/>
        </w:rPr>
      </w:pPr>
    </w:p>
    <w:p>
      <w:pPr>
        <w:ind w:left="347" w:hanging="347"/>
        <w:spacing w:after="0"/>
        <w:tabs>
          <w:tab w:leader="none" w:pos="3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presented are net of unamortized debt issuance costs and includes the current portion of the long-term debt outstanding.</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5" w:name="page56"/>
    <w:bookmarkEnd w:id="5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Dilution is the amount by which the offering price per Class A share in this offering will exceed the pro forma net tangible</w:t>
      </w:r>
    </w:p>
    <w:p>
      <w:pPr>
        <w:spacing w:after="0" w:line="35" w:lineRule="exact"/>
        <w:rPr>
          <w:sz w:val="20"/>
          <w:szCs w:val="20"/>
          <w:color w:val="auto"/>
        </w:rPr>
      </w:pPr>
    </w:p>
    <w:p>
      <w:pPr>
        <w:jc w:val="both"/>
        <w:ind w:left="7" w:right="20"/>
        <w:spacing w:after="0" w:line="265" w:lineRule="auto"/>
        <w:rPr>
          <w:sz w:val="20"/>
          <w:szCs w:val="20"/>
          <w:color w:val="auto"/>
        </w:rPr>
      </w:pPr>
      <w:r>
        <w:rPr>
          <w:rFonts w:ascii="Arial" w:cs="Arial" w:eastAsia="Arial" w:hAnsi="Arial"/>
          <w:sz w:val="17"/>
          <w:szCs w:val="17"/>
          <w:color w:val="auto"/>
        </w:rPr>
        <w:t>book value per share after the offering. On a pro forma basis as of , 2018, after giving effect to the offering of Class A shares and the Transactions, our net tangible book value was approximately $ million, or $ per Class A share. Purchasers of Class A</w:t>
      </w:r>
    </w:p>
    <w:p>
      <w:pPr>
        <w:ind w:left="7" w:right="80"/>
        <w:spacing w:after="0" w:line="261" w:lineRule="auto"/>
        <w:rPr>
          <w:sz w:val="20"/>
          <w:szCs w:val="20"/>
          <w:color w:val="auto"/>
        </w:rPr>
      </w:pPr>
      <w:r>
        <w:rPr>
          <w:rFonts w:ascii="Arial" w:cs="Arial" w:eastAsia="Arial" w:hAnsi="Arial"/>
          <w:sz w:val="18"/>
          <w:szCs w:val="18"/>
          <w:color w:val="auto"/>
        </w:rPr>
        <w:t>shares in this offering will experience substantial and immediate dilution in pro forma net tangible book value per Class A share for financial accounting purposes, as illustrated in the following table.</w:t>
      </w:r>
    </w:p>
    <w:tbl>
      <w:tblPr>
        <w:tblLayout w:type="fixed"/>
        <w:tblInd w:w="7" w:type="dxa"/>
        <w:tblCellMar>
          <w:top w:w="0" w:type="dxa"/>
          <w:left w:w="0" w:type="dxa"/>
          <w:bottom w:w="0" w:type="dxa"/>
          <w:right w:w="0" w:type="dxa"/>
        </w:tblCellMar>
      </w:tblPr>
      <w:tr>
        <w:trPr>
          <w:trHeight w:val="279"/>
        </w:trPr>
        <w:tc>
          <w:tcPr>
            <w:tcW w:w="20" w:type="dxa"/>
            <w:vAlign w:val="bottom"/>
          </w:tcPr>
          <w:p>
            <w:pPr>
              <w:spacing w:after="0"/>
              <w:rPr>
                <w:sz w:val="24"/>
                <w:szCs w:val="24"/>
                <w:color w:val="auto"/>
              </w:rPr>
            </w:pPr>
          </w:p>
        </w:tc>
        <w:tc>
          <w:tcPr>
            <w:tcW w:w="6940" w:type="dxa"/>
            <w:vAlign w:val="bottom"/>
            <w:gridSpan w:val="2"/>
            <w:shd w:val="clear" w:color="auto" w:fill="CCEEFF"/>
          </w:tcPr>
          <w:p>
            <w:pPr>
              <w:spacing w:after="0" w:line="278" w:lineRule="exact"/>
              <w:rPr>
                <w:sz w:val="20"/>
                <w:szCs w:val="20"/>
                <w:color w:val="auto"/>
              </w:rPr>
            </w:pPr>
            <w:r>
              <w:rPr>
                <w:rFonts w:ascii="Arial" w:cs="Arial" w:eastAsia="Arial" w:hAnsi="Arial"/>
                <w:sz w:val="18"/>
                <w:szCs w:val="18"/>
                <w:color w:val="auto"/>
              </w:rPr>
              <w:t>Assumed initial public offering price per Class A share</w:t>
            </w:r>
            <w:r>
              <w:rPr>
                <w:rFonts w:ascii="Arial" w:cs="Arial" w:eastAsia="Arial" w:hAnsi="Arial"/>
                <w:sz w:val="29"/>
                <w:szCs w:val="29"/>
                <w:color w:val="auto"/>
                <w:vertAlign w:val="superscript"/>
              </w:rPr>
              <w:t>(1)</w:t>
            </w:r>
          </w:p>
        </w:tc>
        <w:tc>
          <w:tcPr>
            <w:tcW w:w="25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line="243" w:lineRule="exact"/>
              <w:rPr>
                <w:sz w:val="20"/>
                <w:szCs w:val="20"/>
                <w:color w:val="auto"/>
              </w:rPr>
            </w:pPr>
            <w:r>
              <w:rPr>
                <w:rFonts w:ascii="Arial" w:cs="Arial" w:eastAsia="Arial" w:hAnsi="Arial"/>
                <w:sz w:val="17"/>
                <w:szCs w:val="17"/>
                <w:color w:val="auto"/>
              </w:rPr>
              <w:t>Pro forma net tangible book value per Class A share before the offering</w:t>
            </w:r>
            <w:r>
              <w:rPr>
                <w:rFonts w:ascii="Arial" w:cs="Arial" w:eastAsia="Arial" w:hAnsi="Arial"/>
                <w:sz w:val="28"/>
                <w:szCs w:val="28"/>
                <w:color w:val="auto"/>
                <w:vertAlign w:val="superscript"/>
              </w:rPr>
              <w:t>(2)</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Decrease in net tangible book value per share attributable to purchasers in the offering</w:t>
            </w:r>
          </w:p>
        </w:tc>
        <w:tc>
          <w:tcPr>
            <w:tcW w:w="1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gridSpan w:val="3"/>
          </w:tcPr>
          <w:p>
            <w:pPr>
              <w:spacing w:after="0" w:line="230" w:lineRule="exact"/>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Pro forma net tangible book value per share after the offering</w:t>
            </w:r>
            <w:r>
              <w:rPr>
                <w:rFonts w:ascii="Arial" w:cs="Arial" w:eastAsia="Arial" w:hAnsi="Arial"/>
                <w:sz w:val="26"/>
                <w:szCs w:val="26"/>
                <w:color w:val="auto"/>
                <w:vertAlign w:val="superscript"/>
              </w:rPr>
              <w:t>(3)</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Immediate dilution in net tangible book value per Class A share to purchasers in the</w:t>
            </w:r>
          </w:p>
        </w:tc>
        <w:tc>
          <w:tcPr>
            <w:tcW w:w="2500" w:type="dxa"/>
            <w:vAlign w:val="bottom"/>
            <w:gridSpan w:val="3"/>
            <w:vMerge w:val="restart"/>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940" w:type="dxa"/>
            <w:vAlign w:val="bottom"/>
            <w:gridSpan w:val="2"/>
            <w:shd w:val="clear" w:color="auto" w:fill="CCEEFF"/>
          </w:tcPr>
          <w:p>
            <w:pPr>
              <w:ind w:left="160"/>
              <w:spacing w:after="0" w:line="226" w:lineRule="exact"/>
              <w:rPr>
                <w:sz w:val="20"/>
                <w:szCs w:val="20"/>
                <w:color w:val="auto"/>
              </w:rPr>
            </w:pPr>
            <w:r>
              <w:rPr>
                <w:rFonts w:ascii="Arial" w:cs="Arial" w:eastAsia="Arial" w:hAnsi="Arial"/>
                <w:sz w:val="16"/>
                <w:szCs w:val="16"/>
                <w:color w:val="auto"/>
              </w:rPr>
              <w:t>offering</w:t>
            </w:r>
            <w:r>
              <w:rPr>
                <w:rFonts w:ascii="Arial" w:cs="Arial" w:eastAsia="Arial" w:hAnsi="Arial"/>
                <w:sz w:val="26"/>
                <w:szCs w:val="26"/>
                <w:color w:val="auto"/>
                <w:vertAlign w:val="superscript"/>
              </w:rPr>
              <w:t>(4)(5)</w:t>
            </w:r>
          </w:p>
        </w:tc>
        <w:tc>
          <w:tcPr>
            <w:tcW w:w="2500" w:type="dxa"/>
            <w:vAlign w:val="bottom"/>
            <w:gridSpan w:val="3"/>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552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mid-point of the price range set forth on the cover of this prospectus.</w:t>
      </w:r>
    </w:p>
    <w:p>
      <w:pPr>
        <w:spacing w:after="0" w:line="109"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Determined by dividing the number of Class B shares ( Class B shares) to be issued to New Fortress Energy Holdings and its affiliates for their contribution of assets and liabilities to us into the pro forma net tangible book value of the contributed assets and liabilities.</w:t>
      </w:r>
    </w:p>
    <w:p>
      <w:pPr>
        <w:spacing w:after="0" w:line="66" w:lineRule="exact"/>
        <w:rPr>
          <w:sz w:val="20"/>
          <w:szCs w:val="20"/>
          <w:color w:val="auto"/>
        </w:rPr>
      </w:pPr>
    </w:p>
    <w:p>
      <w:pPr>
        <w:ind w:left="347" w:right="40" w:hanging="339"/>
        <w:spacing w:after="0" w:line="273" w:lineRule="auto"/>
        <w:tabs>
          <w:tab w:leader="none" w:pos="326" w:val="left"/>
        </w:tabs>
        <w:rPr>
          <w:sz w:val="20"/>
          <w:szCs w:val="20"/>
          <w:color w:val="auto"/>
        </w:rPr>
      </w:pPr>
      <w:r>
        <w:rPr>
          <w:rFonts w:ascii="Arial" w:cs="Arial" w:eastAsia="Arial" w:hAnsi="Arial"/>
          <w:sz w:val="14"/>
          <w:szCs w:val="14"/>
          <w:color w:val="auto"/>
        </w:rPr>
        <w:t>(3)</w:t>
        <w:tab/>
        <w:t>Determined by dividing the number of shares to be outstanding after this offering ( Class A shares and Class B shares) and the application of the related net proceeds into our pro forma net tangible book value, after giving effect to the application of the net proceeds of this offering.</w:t>
      </w:r>
    </w:p>
    <w:p>
      <w:pPr>
        <w:spacing w:after="0" w:line="66" w:lineRule="exact"/>
        <w:rPr>
          <w:sz w:val="20"/>
          <w:szCs w:val="20"/>
          <w:color w:val="auto"/>
        </w:rPr>
      </w:pPr>
    </w:p>
    <w:p>
      <w:pPr>
        <w:ind w:left="347" w:right="300" w:hanging="347"/>
        <w:spacing w:after="0" w:line="273" w:lineRule="auto"/>
        <w:tabs>
          <w:tab w:leader="none" w:pos="3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If the initial public offering price were to increase or decrease by $1.00 per Class A share, then dilution in net tangible book value per Class A share would equal $ and $ , respectively.</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Assumes the underwriters’ option to purchase additional Class A shares from us is not exercised. If the underwriters’ option to purchase additional Class A</w:t>
      </w:r>
    </w:p>
    <w:p>
      <w:pPr>
        <w:spacing w:after="0" w:line="25" w:lineRule="exact"/>
        <w:rPr>
          <w:sz w:val="20"/>
          <w:szCs w:val="20"/>
          <w:color w:val="auto"/>
        </w:rPr>
      </w:pPr>
    </w:p>
    <w:p>
      <w:pPr>
        <w:ind w:left="347"/>
        <w:spacing w:after="0"/>
        <w:tabs>
          <w:tab w:leader="none" w:pos="8846" w:val="left"/>
        </w:tabs>
        <w:rPr>
          <w:sz w:val="20"/>
          <w:szCs w:val="20"/>
          <w:color w:val="auto"/>
        </w:rPr>
      </w:pPr>
      <w:r>
        <w:rPr>
          <w:rFonts w:ascii="Arial" w:cs="Arial" w:eastAsia="Arial" w:hAnsi="Arial"/>
          <w:sz w:val="13"/>
          <w:szCs w:val="13"/>
          <w:color w:val="auto"/>
        </w:rPr>
        <w:t>shares from us is exercised in full, the immediate dilution in net tangible book value per Class A share to purchasers in this offering will remain $</w:t>
      </w:r>
      <w:r>
        <w:rPr>
          <w:sz w:val="20"/>
          <w:szCs w:val="20"/>
          <w:color w:val="auto"/>
        </w:rPr>
        <w:tab/>
      </w:r>
      <w:r>
        <w:rPr>
          <w:rFonts w:ascii="Arial" w:cs="Arial" w:eastAsia="Arial" w:hAnsi="Arial"/>
          <w:sz w:val="14"/>
          <w:szCs w:val="14"/>
          <w:color w:val="auto"/>
        </w:rPr>
        <w:t>.</w:t>
      </w:r>
    </w:p>
    <w:p>
      <w:pPr>
        <w:spacing w:after="0" w:line="88" w:lineRule="exact"/>
        <w:rPr>
          <w:sz w:val="20"/>
          <w:szCs w:val="20"/>
          <w:color w:val="auto"/>
        </w:rPr>
      </w:pPr>
    </w:p>
    <w:p>
      <w:pPr>
        <w:ind w:left="7" w:right="180" w:firstLine="360"/>
        <w:spacing w:after="0" w:line="312" w:lineRule="auto"/>
        <w:rPr>
          <w:sz w:val="20"/>
          <w:szCs w:val="20"/>
          <w:color w:val="auto"/>
        </w:rPr>
      </w:pPr>
      <w:r>
        <w:rPr>
          <w:rFonts w:ascii="Arial" w:cs="Arial" w:eastAsia="Arial" w:hAnsi="Arial"/>
          <w:sz w:val="16"/>
          <w:szCs w:val="16"/>
          <w:color w:val="auto"/>
        </w:rPr>
        <w:t>The following table sets forth the number of Class A and Class B shares that we will issue and the total consideration contributed to us by New Fortress Energy Holdings and by the purchasers of Class A shares calculated before deducting estimated underwriting discounts and commissions and estimated offering expenses payable by us (in millions, except per share amounts):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7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Price</w:t>
            </w:r>
          </w:p>
        </w:tc>
      </w:tr>
      <w:tr>
        <w:trPr>
          <w:trHeight w:val="185"/>
        </w:trPr>
        <w:tc>
          <w:tcPr>
            <w:tcW w:w="1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Acquired</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Consideration</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Per Share</w:t>
            </w:r>
          </w:p>
        </w:tc>
      </w:tr>
      <w:tr>
        <w:trPr>
          <w:trHeight w:val="183"/>
        </w:trPr>
        <w:tc>
          <w:tcPr>
            <w:tcW w:w="1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w w:val="97"/>
              </w:rPr>
              <w:t>($ in millions)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440" w:type="dxa"/>
            <w:vAlign w:val="bottom"/>
            <w:gridSpan w:val="5"/>
            <w:shd w:val="clear" w:color="auto" w:fill="CCEEFF"/>
          </w:tcPr>
          <w:p>
            <w:pPr>
              <w:spacing w:after="0" w:line="243"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8"/>
                <w:szCs w:val="28"/>
                <w:color w:val="auto"/>
                <w:vertAlign w:val="superscript"/>
              </w:rPr>
              <w:t>(1)(2)(3)</w:t>
            </w: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1"/>
                <w:szCs w:val="21"/>
                <w:color w:val="auto"/>
              </w:rPr>
            </w:pPr>
          </w:p>
        </w:tc>
      </w:tr>
      <w:tr>
        <w:trPr>
          <w:trHeight w:val="243"/>
        </w:trPr>
        <w:tc>
          <w:tcPr>
            <w:tcW w:w="4160" w:type="dxa"/>
            <w:vAlign w:val="bottom"/>
            <w:gridSpan w:val="2"/>
          </w:tcPr>
          <w:p>
            <w:pPr>
              <w:spacing w:after="0" w:line="243" w:lineRule="exact"/>
              <w:rPr>
                <w:sz w:val="20"/>
                <w:szCs w:val="20"/>
                <w:color w:val="auto"/>
              </w:rPr>
            </w:pPr>
            <w:r>
              <w:rPr>
                <w:rFonts w:ascii="Arial" w:cs="Arial" w:eastAsia="Arial" w:hAnsi="Arial"/>
                <w:sz w:val="17"/>
                <w:szCs w:val="17"/>
                <w:color w:val="auto"/>
              </w:rPr>
              <w:t>Purchasers in this offering</w:t>
            </w:r>
            <w:r>
              <w:rPr>
                <w:rFonts w:ascii="Arial" w:cs="Arial" w:eastAsia="Arial" w:hAnsi="Arial"/>
                <w:sz w:val="28"/>
                <w:szCs w:val="28"/>
                <w:color w:val="auto"/>
                <w:vertAlign w:val="superscript"/>
              </w:rPr>
              <w:t>(2)</w:t>
            </w: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Pr>
          <w:p>
            <w:pPr>
              <w:jc w:val="right"/>
              <w:ind w:right="1139"/>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gridSpan w:val="2"/>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79"/>
        </w:trPr>
        <w:tc>
          <w:tcPr>
            <w:tcW w:w="7340" w:type="dxa"/>
            <w:vAlign w:val="bottom"/>
            <w:gridSpan w:val="10"/>
          </w:tcPr>
          <w:p>
            <w:pPr>
              <w:spacing w:after="0"/>
              <w:rPr>
                <w:sz w:val="20"/>
                <w:szCs w:val="20"/>
                <w:color w:val="auto"/>
              </w:rPr>
            </w:pPr>
            <w:r>
              <w:rPr>
                <w:rFonts w:ascii="Arial" w:cs="Arial" w:eastAsia="Arial" w:hAnsi="Arial"/>
                <w:sz w:val="14"/>
                <w:szCs w:val="14"/>
                <w:color w:val="auto"/>
                <w:w w:val="96"/>
              </w:rPr>
              <w:t>(1)   Upon the consummation of the Transactions contemplated by this prospectus, New Fortress Energy Holdings will own</w:t>
            </w:r>
          </w:p>
        </w:tc>
        <w:tc>
          <w:tcPr>
            <w:tcW w:w="2220" w:type="dxa"/>
            <w:vAlign w:val="bottom"/>
            <w:gridSpan w:val="5"/>
          </w:tcPr>
          <w:p>
            <w:pPr>
              <w:ind w:left="120"/>
              <w:spacing w:after="0"/>
              <w:rPr>
                <w:sz w:val="20"/>
                <w:szCs w:val="20"/>
                <w:color w:val="auto"/>
              </w:rPr>
            </w:pPr>
            <w:r>
              <w:rPr>
                <w:rFonts w:ascii="Arial" w:cs="Arial" w:eastAsia="Arial" w:hAnsi="Arial"/>
                <w:sz w:val="14"/>
                <w:szCs w:val="14"/>
                <w:color w:val="auto"/>
              </w:rPr>
              <w:t>Class B shares.</w:t>
            </w:r>
          </w:p>
        </w:tc>
      </w:tr>
    </w:tbl>
    <w:p>
      <w:pPr>
        <w:spacing w:after="0" w:line="88" w:lineRule="exact"/>
        <w:rPr>
          <w:sz w:val="20"/>
          <w:szCs w:val="20"/>
          <w:color w:val="auto"/>
        </w:rPr>
      </w:pPr>
    </w:p>
    <w:p>
      <w:pPr>
        <w:ind w:left="347" w:hanging="347"/>
        <w:spacing w:after="0"/>
        <w:tabs>
          <w:tab w:leader="none" w:pos="3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the underwriters’ option to purchase additional Class A shares from us is not exercised.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assets contributed by New Fortress Energy Holdings were recorded at historical cost in accordance with GAAP. Book value of the consideration provided</w:t>
      </w:r>
    </w:p>
    <w:p>
      <w:pPr>
        <w:spacing w:after="0" w:line="25" w:lineRule="exact"/>
        <w:rPr>
          <w:sz w:val="20"/>
          <w:szCs w:val="20"/>
          <w:color w:val="auto"/>
        </w:rPr>
      </w:pPr>
    </w:p>
    <w:p>
      <w:pPr>
        <w:jc w:val="center"/>
        <w:ind w:right="-106"/>
        <w:spacing w:after="0"/>
        <w:tabs>
          <w:tab w:leader="none" w:pos="240" w:val="left"/>
          <w:tab w:leader="none" w:pos="240" w:val="left"/>
        </w:tabs>
        <w:rPr>
          <w:sz w:val="20"/>
          <w:szCs w:val="20"/>
          <w:color w:val="auto"/>
        </w:rPr>
      </w:pPr>
      <w:r>
        <w:rPr>
          <w:rFonts w:ascii="Arial" w:cs="Arial" w:eastAsia="Arial" w:hAnsi="Arial"/>
          <w:sz w:val="14"/>
          <w:szCs w:val="14"/>
          <w:color w:val="auto"/>
        </w:rPr>
        <w:t>by New Fortress Energy Holdings and its affiliates, as of</w:t>
      </w:r>
      <w:r>
        <w:rPr>
          <w:sz w:val="20"/>
          <w:szCs w:val="20"/>
          <w:color w:val="auto"/>
        </w:rPr>
        <w:tab/>
      </w:r>
      <w:r>
        <w:rPr>
          <w:rFonts w:ascii="Arial" w:cs="Arial" w:eastAsia="Arial" w:hAnsi="Arial"/>
          <w:sz w:val="14"/>
          <w:szCs w:val="14"/>
          <w:color w:val="auto"/>
        </w:rPr>
        <w:t>, 2018, after giving effect to the application of the net proceeds of the offering, is $</w:t>
      </w:r>
      <w:r>
        <w:rPr>
          <w:sz w:val="20"/>
          <w:szCs w:val="20"/>
          <w:color w:val="auto"/>
        </w:rPr>
        <w:tab/>
      </w:r>
      <w:r>
        <w:rPr>
          <w:rFonts w:ascii="Arial" w:cs="Arial" w:eastAsia="Arial" w:hAnsi="Arial"/>
          <w:sz w:val="14"/>
          <w:szCs w:val="14"/>
          <w:color w:val="auto"/>
        </w:rPr>
        <w:t>million.</w:t>
      </w:r>
    </w:p>
    <w:p>
      <w:pPr>
        <w:spacing w:after="0" w:line="19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do not anticipate declaring or paying any cash dividends to holders of our Class A shares in the foreseeable future.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NFE was formed August 6, 2018 and does not have historical financial results. NFE is currently a shell company with no assets or liabilities and has conducted no operations. The following table shows selected historical financial information of New Fortress Energy Holdings, our predecessor, for the periods and as of the dates indicated. The selected historical financial data as of and for the years ended December 31, 2017 and 2016 was derived from the audited historical consolidated financial statements of New Fortress Energy Holdings included elsewhere in this prospectus.</w:t>
      </w:r>
    </w:p>
    <w:p>
      <w:pPr>
        <w:spacing w:after="0" w:line="64" w:lineRule="exact"/>
        <w:rPr>
          <w:sz w:val="20"/>
          <w:szCs w:val="20"/>
          <w:color w:val="auto"/>
        </w:rPr>
      </w:pPr>
    </w:p>
    <w:p>
      <w:pPr>
        <w:jc w:val="both"/>
        <w:ind w:right="140" w:firstLine="360"/>
        <w:spacing w:after="0" w:line="312" w:lineRule="auto"/>
        <w:rPr>
          <w:sz w:val="20"/>
          <w:szCs w:val="20"/>
          <w:color w:val="auto"/>
        </w:rPr>
      </w:pPr>
      <w:r>
        <w:rPr>
          <w:rFonts w:ascii="Arial" w:cs="Arial" w:eastAsia="Arial" w:hAnsi="Arial"/>
          <w:sz w:val="16"/>
          <w:szCs w:val="16"/>
          <w:color w:val="auto"/>
        </w:rPr>
        <w:t>You should read the information set forth below together with “Use of Proceeds,”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and per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Costs of sales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(24,990)</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58,753,425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69,350</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Long-term debt (includes current portion)</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75,253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66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Certain information contained in this discussion and analysis or set forth elsewhere in this prospectus or accompanying marketing material, including information with respect to our plans, strategy, projections and expected timeline for our business and related financing, includes forward-looking statements that involve risks and uncertainties. Forward-looking statements contained in this prospectus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8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You should read “Risk Factors” and “Forward-Looking Statements” elsewhere in this prospectus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The following information should be read in conjunction with our consolidated financial statements and accompanying notes included elsewhere in this prospectus, as well as the information presented under “Selected Historical Financial Data.”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Financal Results” for further discussion. Unless otherwise indicated, dollar amounts are presented in thousands.</w:t>
      </w:r>
    </w:p>
    <w:p>
      <w:pPr>
        <w:spacing w:after="0" w:line="8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NFE Financial Holdings LLC and its subsidiaries. When used in a historical context, “Company,” “we,” “our,” “us,” or like terms refer to New Fortress Energy Holdings LLC, a Delaware limited liability company (“New Fortress Energy Holdings”), our predecessor for financial reporting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We are engaged in providing energy and logistical services to end users worldwide seeking to convert their operating assets from diesel or heavy fuel oil (“HFO”) to LNG. The Company currently has liquefaction and regasification operations in the United States and Jamaica. We currently source LNG from a combination of our own liquefaction facility in Miami, Florida and purchases on the open market. We are developing the infrastructure necessary to supply all existing and future customers with LNG produced entirely at our own facilities. We expect that control of our vertical supply chain, from liquefaction to delivery of LNG, will help to reduce the risk of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LLC (“GAJ”), a subsidiary of Noble Group, and Clarendon Alumina Production Limited (“CAP”),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 Facility”). In the future, we intend to develop the infrastructure necessary to supply our existing and future customers with LNG produced entirely at our own facilities, including our expanded delivery logistics chain in Northern Pennsylvania (the “Pennsylvania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storage and regasification terminal in Montego Bay, Jamaica (the “Montego Bay Terminal”) serves as our supply hub for the north side of Jamaica, providing gas to JPS to fuel the 145MW turbines at the Bogue Power Plant in Montego Bay, Jamaica (the “Bogue Power Plant”). The Montego Bay Terminal commenced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commercial operations on October 30, 2016 and stores approximately two million gallons of LNG in seven storage tanks. The Montego Bay Terminal also consists of an ISO loading facility that can transport LNG to all of our industrial and manufacturing (“small-scale”) sales across the island. The small-scale business provides these users with an alternative fuel to support their business operations and limit reliance on monopolistic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Miami Facility began operation in April of 2016. We believe, based on available data, it is the first privately owned natural gas liquefaction plant in Florida. This facility enables us to produce LNG for our customers and reduces our dependence on other suppliers for LNG. The facility is the first plant to successfully export domestically produced LNG from the lower 48 states to a non-free trade agreement country and it employs one of the largest ISO container fleets in the world. The Miami Facility provides LNG to small-scale customers in south Florida including Florida East Coast Railway via our train loading facility and other customers throughout the Caribbean using ISO containers.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18,615</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63,489</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75,867</w:t>
            </w:r>
          </w:p>
        </w:tc>
        <w:tc>
          <w:tcPr>
            <w:tcW w:w="100" w:type="dxa"/>
            <w:vAlign w:val="bottom"/>
          </w:tcPr>
          <w:p>
            <w:pPr>
              <w:spacing w:after="0"/>
              <w:rPr>
                <w:sz w:val="20"/>
                <w:szCs w:val="20"/>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55,945</w:t>
            </w:r>
          </w:p>
        </w:tc>
        <w:tc>
          <w:tcPr>
            <w:tcW w:w="100" w:type="dxa"/>
            <w:vAlign w:val="bottom"/>
          </w:tcPr>
          <w:p>
            <w:pPr>
              <w:spacing w:after="0"/>
              <w:rPr>
                <w:sz w:val="20"/>
                <w:szCs w:val="20"/>
                <w:color w:val="auto"/>
              </w:rPr>
            </w:pPr>
          </w:p>
        </w:tc>
      </w:tr>
      <w:tr>
        <w:trPr>
          <w:trHeight w:val="24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73,799</w:t>
            </w:r>
          </w:p>
        </w:tc>
        <w:tc>
          <w:tcPr>
            <w:tcW w:w="100" w:type="dxa"/>
            <w:vAlign w:val="bottom"/>
          </w:tcPr>
          <w:p>
            <w:pPr>
              <w:spacing w:after="0"/>
              <w:rPr>
                <w:sz w:val="20"/>
                <w:szCs w:val="20"/>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(27,058)</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20"/>
                <w:szCs w:val="20"/>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0"/>
        </w:trPr>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(31,145)</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Tax provision (benefit)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1"/>
                <w:szCs w:val="21"/>
                <w:color w:val="auto"/>
              </w:rPr>
            </w:pPr>
          </w:p>
        </w:tc>
      </w:tr>
      <w:tr>
        <w:trPr>
          <w:trHeight w:val="27"/>
        </w:trPr>
        <w:tc>
          <w:tcPr>
            <w:tcW w:w="60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For the year ended December 31, 2017, the Miami Facility has been available to produce LNG over 95.5% of the time. We have executed three contracts in 2016, three contracts in 2017 and one contract year-to-date in 2018 to provide customers with LNG from our Miami Facility. We continue to build our small-scale pipeline of customers and are in advanced dialogues with various domestic and international customers across the utility, power, industrial and transportation sectors to execute additional long-term purchase contracts.</w:t>
      </w:r>
    </w:p>
    <w:p>
      <w:pPr>
        <w:spacing w:after="0" w:line="80"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During the year ended December 31, 2017, the Montego Bay Terminal has been available at over 98.5% of the time. We have also generated revenue from our small-scale customers by supplying LNG directly to industrial end-users in Jamaica.</w:t>
      </w:r>
    </w:p>
    <w:p>
      <w:pPr>
        <w:spacing w:after="0" w:line="16"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Operating revenue from LNG and natural gas sales for the year ended December 31, 2017 was $82,104 which increased by $63,489 from $18,615 for the year-ended December 31, 2016. The increase in revenue was attributable to twelve months of operations at the Miami Facility and Montego Bay Terminal for the year ended December 31, 2017 whereas the Miami Facility and Montego Bay Terminal were operating for eight and two months, respectively, for the year ended December 31,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year ended December 31, 2017 was $15,158 which increased $12,378 from $2,780 for the year-ended December 31, 2016. The increase is attributable to twelve months of operations at the Montego Bay Terminal for the year ended December 31, 2017 whereas the Montego Bay Terminal operated for two months in 2016.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 facilities. Costs to convert natural gas to LNG, including labor and other direct costs to operate our liquefaction facility are also included in Costs of sales. Cost of sales for the year ended December 31, 2017 was $78,692 which increased $55,945 from $22,747 for the year-ended December 31, 2016. The increase in cost of sales was attributable to twelve months of operations at the Miami Facility and Montego Bay Terminal for the year ended December 31, 2017, whereas the Miami Facility and Montego Bay Terminal were operating for eight and two months, respectively, for the year ended December 30, 2016.</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Operations and maintenance relates to costs of operating our Miami Facility exclusive of conversion costs reflected in Cost of sales. Operations and maintenance for the year ended December 31, 2017 was $7,456 which increased $2,251 from $5,205 for the year-ended December 31, 2016. The increase is primarily a result of the Miami Facility operating for twelve months in 2017 in comparison to operating for eight months in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Selling, general and administrative includes employee travel costs, insurance, and costs associated with development activities for projects that are in initial stages and are not yet probable of development. Selling, general and administrative also includes compensation expenses for our corporate employees, including our executives, as well as professional fees for our advisors. Selling, general and administrative for the year ended December 31, 2017 was $33,343 which increased $15,183 from $18,160 for the year-ended December 31, 2016 primarily as a result of increased development activities and employee travel as well as increased headcount.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Depreciation and amortization for the year ended December 31, 2017 was $2,761 which increased $420 from $2,341 for the year ended December 31, 2016. The increase is primarily a result of twelve months of operations since the Miami Facility has been placed into service and the purchase of additional equipment and vehicles which were placed into service during 2017.</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Interest expense for the year ended December 31, 2017 was $6,456, which increased $1,351 from $5,105 for the year ended December 31, 2016, primarily as a result of interest on the MoBay Loan (as defined below) of $3,611 and $643 and Miami Loan (as defined below) of $2,845 and $1,803 for the years ended December 31, 2017 and December 31, 2016, respectively, net of capitalized interest recognized during construction in the year ended December 31, 2016. During 2017, we raised equity capital, which funded a majority of our capital expenditures resulting in a decreased in capitalized interest compared to December 31, 2016. The increase in interest expense is partially offset by the reduction of interest expense on the Corporate Loan which was repaid at maturity in June 2016.</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40" w:firstLine="360"/>
        <w:spacing w:after="0" w:line="308" w:lineRule="auto"/>
        <w:rPr>
          <w:sz w:val="20"/>
          <w:szCs w:val="20"/>
          <w:color w:val="auto"/>
        </w:rPr>
      </w:pPr>
      <w:r>
        <w:rPr>
          <w:rFonts w:ascii="Arial" w:cs="Arial" w:eastAsia="Arial" w:hAnsi="Arial"/>
          <w:sz w:val="17"/>
          <w:szCs w:val="17"/>
          <w:color w:val="auto"/>
        </w:rPr>
        <w:t>Other income, net for the year ended December 31, 2017 was $301 which increased $248 from $53 for the year-ended December 31, 2016, primarily as a result of an increase in interest income and realized foreign currency gain.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Loss on extinguishment of debt for the year ended December 31, 2016 was $1,177, which was recognized as a result of the extinguishment of the Corporate Loan on June 3, 2016.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7"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Tax provision (benefit) for the year ended December 31, 2017 was $526, which increased $887 from ($361) for the year-ended December 31, 2016 due to a decrease in net taxable losses in foreign jurisdiction when comparing 2017 to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62" w:lineRule="exact"/>
        <w:rPr>
          <w:sz w:val="20"/>
          <w:szCs w:val="20"/>
          <w:color w:val="auto"/>
        </w:rPr>
      </w:pPr>
    </w:p>
    <w:p>
      <w:pPr>
        <w:ind w:left="700" w:hanging="356"/>
        <w:spacing w:after="0" w:line="255"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historical financial results only include our Miami Facility and our Montego Bay Terminal. </w:t>
      </w:r>
      <w:r>
        <w:rPr>
          <w:rFonts w:ascii="Arial" w:cs="Arial" w:eastAsia="Arial" w:hAnsi="Arial"/>
          <w:sz w:val="18"/>
          <w:szCs w:val="18"/>
          <w:color w:val="auto"/>
        </w:rPr>
        <w:t>Our historical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only include our Miami Facility and our Montego Bay Terminal and do not include future revenue resulting from long-term take-or-pay contracts with downstream customers, expected from projects under development, including the Old Harbour Power Plant, the CHP Plant, the San Juan Facility, the La Paz Terminal, the Ireland Terminal, the Pennsylvania Facilities and the Haynesville Facilities. Some of these development projects are expected to be completed and operational as early as January 2019.</w:t>
      </w:r>
    </w:p>
    <w:p>
      <w:pPr>
        <w:spacing w:after="0" w:line="85" w:lineRule="exact"/>
        <w:rPr>
          <w:rFonts w:ascii="Arial" w:cs="Arial" w:eastAsia="Arial" w:hAnsi="Arial"/>
          <w:sz w:val="18"/>
          <w:szCs w:val="18"/>
          <w:color w:val="auto"/>
        </w:rPr>
      </w:pPr>
    </w:p>
    <w:p>
      <w:pPr>
        <w:ind w:left="720" w:right="60"/>
        <w:spacing w:after="0" w:line="276" w:lineRule="auto"/>
        <w:rPr>
          <w:rFonts w:ascii="Arial" w:cs="Arial" w:eastAsia="Arial" w:hAnsi="Arial"/>
          <w:sz w:val="18"/>
          <w:szCs w:val="18"/>
          <w:color w:val="auto"/>
        </w:rPr>
      </w:pPr>
      <w:r>
        <w:rPr>
          <w:rFonts w:ascii="Arial" w:cs="Arial" w:eastAsia="Arial" w:hAnsi="Arial"/>
          <w:sz w:val="17"/>
          <w:szCs w:val="17"/>
          <w:color w:val="auto"/>
        </w:rPr>
        <w:t>In addition, we currently purchase the majority of our supply of LNG from third parties. For the year ended December 31, 2017, our first full year of commercial operations, we sourced 94.1% of our LNG volumes from third parties. NFE is in the process of developing in-basin liquefaction facilities that will vertically integrate our supply and eliminate the need to source LNG from third parties; this combined with lower cost production should significantly impact our results of operations and cash flows from both contracted and expected downstream sales.</w:t>
      </w:r>
    </w:p>
    <w:p>
      <w:pPr>
        <w:spacing w:after="0" w:line="64" w:lineRule="exact"/>
        <w:rPr>
          <w:rFonts w:ascii="Arial" w:cs="Arial" w:eastAsia="Arial" w:hAnsi="Arial"/>
          <w:sz w:val="18"/>
          <w:szCs w:val="18"/>
          <w:color w:val="auto"/>
        </w:rPr>
      </w:pPr>
    </w:p>
    <w:p>
      <w:pPr>
        <w:ind w:left="700" w:right="200" w:hanging="356"/>
        <w:spacing w:after="0" w:line="271" w:lineRule="auto"/>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expect to incur incremental, selling, general and administrative expenses related to our transition to a publicly traded company. </w:t>
      </w:r>
      <w:r>
        <w:rPr>
          <w:rFonts w:ascii="Arial" w:cs="Arial" w:eastAsia="Arial" w:hAnsi="Arial"/>
          <w:sz w:val="17"/>
          <w:szCs w:val="17"/>
          <w:color w:val="auto"/>
        </w:rPr>
        <w:t>Upon completion of this offering, we expect to incur direct, incremental general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as a result of being a publicly traded company, including costs associated with the employment of additional personnel, compliance under the Exchange Act, annual and quarterly reports to common shareholders, registrar and transfer agent fees, national stock exchange fees, the costs associated with the initial implementation of our Sarbanes-Oxley Section 404 internal controls and testing, audit fees, incremental director and officer liability insurance costs and director and officer compensation. These direct, incremental general and administrative expenses are not included in our historical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twelve months. We expect to fund our current operations and continued development of additional facilities through a combination of cash on hand, additional debt and the proceeds from this offering. We expect to make significant capital expenditures to build out our Terminals and Liquefaction Facilities. We have assumed total expenditures for all completed and existing projects to be approximately $469,000, with approximately $260,000 having already been spent. This estimate represents the complete construction of projects in Jamaica and Miami. We are currently exploring opportunities to expand our business into new markets, including the Caribbean and Mexico and we will require significant additional capital to implement our strategy.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years ended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(54,892)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(43,493)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(11,399)</w:t>
            </w: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(52,396)</w:t>
            </w:r>
          </w:p>
        </w:tc>
        <w:tc>
          <w:tcPr>
            <w:tcW w:w="2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51,644</w:t>
            </w:r>
          </w:p>
        </w:tc>
        <w:tc>
          <w:tcPr>
            <w:tcW w:w="100" w:type="dxa"/>
            <w:vAlign w:val="bottom"/>
            <w:shd w:val="clear" w:color="auto" w:fill="CCEEFF"/>
          </w:tcPr>
          <w:p>
            <w:pPr>
              <w:spacing w:after="0"/>
              <w:rPr>
                <w:sz w:val="22"/>
                <w:szCs w:val="22"/>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277,699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(266,353)</w:t>
            </w: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(226,108)</w:t>
            </w:r>
          </w:p>
        </w:tc>
      </w:tr>
      <w:tr>
        <w:trPr>
          <w:trHeight w:val="27"/>
        </w:trPr>
        <w:tc>
          <w:tcPr>
            <w:tcW w:w="20" w:type="dxa"/>
            <w:vAlign w:val="bottom"/>
          </w:tcPr>
          <w:p>
            <w:pPr>
              <w:spacing w:after="0"/>
              <w:rPr>
                <w:sz w:val="2"/>
                <w:szCs w:val="2"/>
                <w:color w:val="auto"/>
              </w:rPr>
            </w:pPr>
          </w:p>
        </w:tc>
        <w:tc>
          <w:tcPr>
            <w:tcW w:w="5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color w:val="auto"/>
        </w:rPr>
        <w:t>Our cash flow used in operating activities was $54,892 in 2017, which increased by $11,399 from $43,493 in 2016. For both the year ended December 2017 and 2016, we had net loss that comprised a significant portion of cash used in operating activities due to the continued expansion of our operations in Jamaica. A significant portion of cash used in operations for the year ended December 31, 2017 was attributed to an increase in deposits attributed to a prepayment for LNG supply.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cash flow used in investing activities was $52,396 in 2017, which decreased by $51,644 from $104,040 in 2016. The decrease in cash flow used in investing activities is due to significant cash expenditures incurred in 2016 as the Company completed construction of its Miami Facility, and its Montego Bay Terminal. The decrease was offset by construction that began in 2017 on JPC’s Old Harbour Power Plant in Old Harbour, Jamaica (the “Old Harbour Power Plant”) in South Jamaica resulting in $28,500 in capital expenditures. The decrease was also partially offset by a restriction of $15,000 as collateral posted for performance under a gas sales agreement with a customer, and a $7,000 collateral posted with LNG suppliers for an upcoming delivery.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cash flow provided by financing activities was $11,346 in 2017, which decreased by $266,353 from $277,699 in 2016. The decrease in cash flow provided by financing activities is due to the Company issuing shares in June 2016 in exchange for $300,505. The Company also received additional borrowings under the MoBay Loan of $44,000. The receipt of debt and equity capital in 2016 was offset by the repayment of Corporate Loan of $65,000. In December 2017, the Company undertook an additional capital raise of $70,100 of which $20,100 of cash was received during the year and the remainder in January 2018. This capital contribution was offset by principal payments on the Miami Loan and the MoBay Loan of $5,828.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Loan Agreement</w:t>
      </w:r>
    </w:p>
    <w:p>
      <w:pPr>
        <w:spacing w:after="0" w:line="117" w:lineRule="exact"/>
        <w:rPr>
          <w:sz w:val="20"/>
          <w:szCs w:val="20"/>
          <w:color w:val="auto"/>
        </w:rPr>
      </w:pPr>
    </w:p>
    <w:p>
      <w:pPr>
        <w:ind w:right="280" w:firstLine="360"/>
        <w:spacing w:after="0" w:line="257" w:lineRule="auto"/>
        <w:rPr>
          <w:sz w:val="20"/>
          <w:szCs w:val="20"/>
          <w:color w:val="auto"/>
        </w:rPr>
      </w:pPr>
      <w:r>
        <w:rPr>
          <w:rFonts w:ascii="Arial" w:cs="Arial" w:eastAsia="Arial" w:hAnsi="Arial"/>
          <w:sz w:val="18"/>
          <w:szCs w:val="18"/>
          <w:color w:val="auto"/>
        </w:rPr>
        <w:t>In June 2016, NFE North Holdings Limited (“NFE North”), a wholly owned subsidiary of the Company entered into a syndicated loan agreement (the “MoBay Loan Agreement”) providing for a $44,000 term loan facility (the “MoBay Loan”) in connection with the construction and development of the Montego Bay Terminal and related infrastructure. The maturity date for each loan drawn under the MoBay Loan is the day immediately preceding the seventh anniversary of the drawdown date of such loan.</w:t>
      </w:r>
    </w:p>
    <w:p>
      <w:pPr>
        <w:spacing w:after="0" w:line="8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Outstanding amounts under the MoBay Loan accrue interest at a per annum rate of 8.10%. During the continuance of any uncured event of default by the borrower, interest will instead accrue at a per annum rate of 14.10%, subject to any applicable grace period. The MoBay Loan is required to be repaid in advance of the maturity date in consecutive, equal monthly payments, with the remaining outstanding amount due on the maturity date. The MoBay Loan may be prepaid at any time, upon 30 days’ prior written notice to the agent, subject to a prepayment fee of 2% of any amount being prepaid for prepayments during the one year period from the date of the first loan drawdown of the MoBay Loan, or 1% of any amount being prepaid for prepayments during the period commencing one year from the date of the first loan drawdown of the MoBay Loan and expiring on the fifth anniversary of such date. Prepayments made after the fifth anniversary of the date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first loan drawdown of the MoBay Loan are not subject to any prepayment fee. Prepayment of 100% of the outstanding principal amount of the MoBay Loan, and any accrued and unpaid interest thereon, is required to be made, by notice from the agent acting on the direction of the majority lenders, upon the event of any change of control or a merger (as defined in the MoBay Loan Agreement and does not include an IPO or similar liquidity event) of NFE North that is not consented to by the lenders or any material adverse change (as defined in the MoBay Loan Agreement).</w:t>
      </w:r>
    </w:p>
    <w:p>
      <w:pPr>
        <w:spacing w:after="0" w:line="80"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The borrower’s obligations under the MoBay Loan Agreement are guaranteed by Atlantic Energy Holdings Limited (Barbados), our subsidiary and parent company of NFE North and is secured by the LNG Terminal in Montego Bay, Jamaica. The MoBay Loan Agreement contains customary representations and warranties, positive and negative covenants, including certain financial covenants, and such negative covenants include, among other things, restrictions on security interests and additional indebtedness, restrictions on sales or disposals of assets, and restrictions on capital expenditures.</w:t>
      </w:r>
    </w:p>
    <w:p>
      <w:pPr>
        <w:spacing w:after="0" w:line="6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Under the terms of the MoBay Loan, NFE North is required to maintain a Debt Service Reserve Account (the “DSR Account”)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w:t>
      </w:r>
    </w:p>
    <w:p>
      <w:pPr>
        <w:spacing w:after="0" w:line="79" w:lineRule="exact"/>
        <w:rPr>
          <w:sz w:val="20"/>
          <w:szCs w:val="20"/>
          <w:color w:val="auto"/>
        </w:rPr>
      </w:pPr>
    </w:p>
    <w:p>
      <w:pPr>
        <w:jc w:val="both"/>
        <w:ind w:right="440" w:firstLine="360"/>
        <w:spacing w:after="0" w:line="264"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Interest expense, inclusive of amortized debt fees for the years ended December 31, 2017 and 2016, totaled $3,611 and $1,990 respectively, of which $0 and $1,347 was capitalized as a finance lease.</w:t>
      </w:r>
    </w:p>
    <w:p>
      <w:pPr>
        <w:spacing w:after="0" w:line="73"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Financial covenants stipulated by the MoBay Loan Agreement were not effective until December 31, 2017. As of December 31, 2017, NFE North was in compliance with all covenants under this agreement.</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Company used the net proceeds of the Term Loan Facility entered into in August 2018 to repay the MoBay Loan in full in September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Loan Agreement</w:t>
      </w:r>
    </w:p>
    <w:p>
      <w:pPr>
        <w:spacing w:after="0" w:line="117" w:lineRule="exact"/>
        <w:rPr>
          <w:sz w:val="20"/>
          <w:szCs w:val="20"/>
          <w:color w:val="auto"/>
        </w:rPr>
      </w:pPr>
    </w:p>
    <w:p>
      <w:pPr>
        <w:ind w:right="180" w:firstLine="360"/>
        <w:spacing w:after="0" w:line="289"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the Miami Facility.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 Facility.</w:t>
      </w:r>
    </w:p>
    <w:p>
      <w:pPr>
        <w:spacing w:after="0" w:line="59"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The Miami Loan requires periodic payments of interest on either a monthly, quarterly or semi-annual basis where LHFL selected the monthly interest rate option. In addition, with respect to LIBOR based borrowings, LHFL, at its option, may elect to defer up to ten interest periods outstanding at any point in 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3-month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84"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Under the terms of the Miami Loan, LHFL is required to maintain the DSR Account in the amount of $912. Such amount is included as a component of restricted cash on the Company’s consolidated balance sheet (see Note 6 of the Notes to the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Company used the net proceeds of the Term Loan Facility entered into in August 2018 to repay the Miami Loan in full in August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7"/>
          <w:szCs w:val="17"/>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84"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funded at the payoff of the Miami Loan and then the remainder funded in September 2018 at the payoff of the Mobay Loan.</w:t>
      </w:r>
    </w:p>
    <w:p>
      <w:pPr>
        <w:spacing w:after="0" w:line="73"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The Company used the net proceeds of the Term Loan Facility to repay the Miami Loan in full during August 2018. The Company used the net proceeds of the Term Loan Facility to repay the Mobay Loan in September 2018. The remaining proceeds will be used for general corporate purposes, including capital expenditures and future construction projects under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As of December 31, 2017, other than operating leases and certain contractual obligations for the purchase of LNG and natural gas, we had no transactions that met the definition of off-balance sheet arrangements that may have a current or future material effect on our consolidated financial position or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Less than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More than</w:t>
            </w:r>
          </w:p>
        </w:tc>
      </w:tr>
      <w:tr>
        <w:trPr>
          <w:trHeight w:val="185"/>
        </w:trPr>
        <w:tc>
          <w:tcPr>
            <w:tcW w:w="4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 to 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100" w:type="dxa"/>
            <w:vAlign w:val="bottom"/>
          </w:tcPr>
          <w:p>
            <w:pPr>
              <w:spacing w:after="0"/>
              <w:rPr>
                <w:sz w:val="16"/>
                <w:szCs w:val="16"/>
                <w:color w:val="auto"/>
              </w:rPr>
            </w:pPr>
          </w:p>
        </w:tc>
      </w:tr>
      <w:tr>
        <w:trPr>
          <w:trHeight w:val="23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55,099</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31,042</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For information on our long-term debt obligations, see “—Liquidity and Capital Resources—Long-Term Debt.” The amounts included in the table above are based on the total debt balance, scheduled maturities and interest rates in effect at December 31, 2017. On May 16, 2018, the Company extended the maturity of the Miami Loan to November 2019; this extension of principal payments and the corresponding interest costs has been reflected in the table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6"/>
          <w:szCs w:val="16"/>
          <w:color w:val="auto"/>
        </w:rPr>
        <w:t>The Company used proceeds from the Term Loan Facility to repay both the Miami Loan and the MoBay Loan in accordance with their respective terms; these repayments have not not been reflected in the table above. The Company has borrowed $240,000 under the Term Loan Facility with a scheduled maturity of August 14, 2019. Principal payments of $600 are due each quarter; the Company will be required to pay $600 in principal payments in 2018 and the remaining principal balance of $239,400 in 2019.</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Based on the interest rate of 6.08% in effect as of the closing of the Term Loan Facility, the Company is committed to pay $5,477 in interest payments in 2018 and $9,034 in interest payments prior to the maturity date in 2019.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The Company is party to contractual purchase commitments with terms of 38 months and 60 months, principally take-or-pay contracts, which requires the purchase of minimum quantities of natural gas. These commitments are designed to assure sources of supply and are not expected to be in excess of normal requirements.</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On December 20, 2016, the Company committed to the purchase of at least 16,800,000 MMBtu or ~756,000 cubic meters of LNG, with half of the commitment delivered in 2017 and half in 2018.</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8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March 2018, the Company entered into a 15 year agreement with a large production company for gas supply to our first Pennsylvania Facility, which was subsequently amended and restated in September 2018. This agreement provides for 100% of the required supply of feedgas to the facility — inclusive of all support functions of the plant including transportation and power supply. The terms of the agreement require the Company to obtain all requisite permits and make a final investment decision before the agreement is effective.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 obligations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Future minimum lease payments under non-cancellable operating leases are noted in the above table. The Company’s lease obligations are primarily related to LNG vessel time charters, office space, a land site lease, and a marine port berth lease. Office space includes a newly fabricated space shared with affiliated companies in New York with a month to month lease, and an office space under construction in downtown Miami, with a lease term of 84 months. The land site lease is held with an affiliate of the Company and has an initial term up to 5 years, and the marine port berth lease had an initial term up to 10 years. Both leases contain renewal options.</w:t>
      </w:r>
    </w:p>
    <w:p>
      <w:pPr>
        <w:spacing w:after="0" w:line="8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Company entered into several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Operating revenue from the sales of LNG and natural gas are recognized when the LNG or natural gas is delivered to the customer, either when the natural gas arrives at the customer’s flange or at the time that title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77" w:lineRule="auto"/>
        <w:rPr>
          <w:sz w:val="20"/>
          <w:szCs w:val="20"/>
          <w:color w:val="auto"/>
        </w:rPr>
      </w:pPr>
      <w:r>
        <w:rPr>
          <w:rFonts w:ascii="Arial" w:cs="Arial" w:eastAsia="Arial" w:hAnsi="Arial"/>
          <w:sz w:val="18"/>
          <w:szCs w:val="18"/>
          <w:color w:val="auto"/>
        </w:rPr>
        <w:t>the LNG is transferred to the customer. Title typically transfers either when shipped or delivered to the customers’ storage facilities, depending on the terms of the contract.</w:t>
      </w:r>
    </w:p>
    <w:p>
      <w:pPr>
        <w:spacing w:after="0" w:line="62"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on our consolidated balance sheet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 of operations and comprehensive loss. The principal components of the lease payment is reflected as a reduction to the net investment in the finance lease.</w:t>
      </w:r>
    </w:p>
    <w:p>
      <w:pPr>
        <w:spacing w:after="0" w:line="85"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The Company’s contracts with customers to supply LNG may also contain a lease of equipment. The Company allocates consideration received from customers between lease and non-lease components based on the relative fair value of each component. The fair value of the lease component is estimated based on the cost of the leased items plus an expected profit margin. The estimated fair value of the non-lease component is based on estimated volumes to be delivered at an estimated price or contractual price. The estimated fair value of the leased equipment, as a percentage of the estimated total revenue from LNG and leased equipment at inception, will establish the allocation percentage to determine the minimum lease payments and the amount to be accounted for under the revenue recognition guidance.</w:t>
      </w:r>
    </w:p>
    <w:p>
      <w:pPr>
        <w:spacing w:after="0" w:line="17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7" w:firstLine="360"/>
        <w:spacing w:after="0" w:line="291"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w:t>
      </w:r>
    </w:p>
    <w:p>
      <w:pPr>
        <w:ind w:left="7" w:right="140"/>
        <w:spacing w:after="0" w:line="254"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 Thus, an EGC can delay the adoption of certain accounting standards until those standards would otherwise apply to private companies. We intend to take advantage of the exemptions discussed above. Accordingly, the information contained herein may be different than the information you receive from other public companies.</w:t>
      </w:r>
    </w:p>
    <w:p>
      <w:pPr>
        <w:spacing w:after="0" w:line="82" w:lineRule="exact"/>
        <w:rPr>
          <w:sz w:val="20"/>
          <w:szCs w:val="20"/>
          <w:color w:val="auto"/>
        </w:rPr>
      </w:pPr>
    </w:p>
    <w:p>
      <w:pPr>
        <w:ind w:left="7" w:right="140" w:firstLine="360"/>
        <w:spacing w:after="0" w:line="291"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EGC, we intend to rely on certain of these exemptions, including without limitation,</w:t>
      </w:r>
    </w:p>
    <w:p>
      <w:pPr>
        <w:ind w:left="7" w:hanging="7"/>
        <w:spacing w:after="0" w:line="287" w:lineRule="auto"/>
        <w:tabs>
          <w:tab w:leader="none" w:pos="2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this offering;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Recent Account Standards</w:t>
      </w:r>
    </w:p>
    <w:p>
      <w:pPr>
        <w:spacing w:after="0" w:line="121" w:lineRule="exact"/>
        <w:rPr>
          <w:sz w:val="20"/>
          <w:szCs w:val="20"/>
          <w:color w:val="auto"/>
        </w:rPr>
      </w:pPr>
    </w:p>
    <w:p>
      <w:pPr>
        <w:ind w:left="7" w:right="220" w:firstLine="360"/>
        <w:spacing w:after="0" w:line="277" w:lineRule="auto"/>
        <w:rPr>
          <w:sz w:val="20"/>
          <w:szCs w:val="20"/>
          <w:color w:val="auto"/>
        </w:rPr>
      </w:pPr>
      <w:r>
        <w:rPr>
          <w:rFonts w:ascii="Arial" w:cs="Arial" w:eastAsia="Arial" w:hAnsi="Arial"/>
          <w:sz w:val="18"/>
          <w:szCs w:val="18"/>
          <w:color w:val="auto"/>
        </w:rPr>
        <w:t>For descriptions of recently issued accounting standards, see Note 3 - Adoption of new and revised standards of our Notes to Consolidated Financial Statements.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the normal course of business, the Company encounters several significant types of market risks including commodity and interest rate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Debt that we incurred under the Miami Loan and the Term Loan Facility bore interest at variable rates and exposed us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We repaid the Miami Loan with proceeds received from the Term Loan Facility. Interest is calculated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Term Loan Facility based on our selection, from time to time, of one of the index rates available to us plus an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that varies based on certain factors. See “—Liquidity and Capital Resources—Long-Term Debt.” Assuming the full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$240,000 principal amount remains outstanding, the impact on interest expense of a 1% increase or decrease in the interest rate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in place upon closing of the Term Loan Facility would be approximately $2,400 per year. We do not currently have or intend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 into any derivative arrangements to protect against fluctuations in interest rates applicable to our outstanding indebtedness.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unique for the LNG industry. We aim to deliver targeted energy solutions to customers around the world, thereby reducing their energy costs and diversifying their energy resources, while also reducing pollution and generating compelling margins.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two liquefiers in the Marcellus area of Pennsylvania, each of which is expected to have the capacity to produce approximately 3 to 4 million gallons of LNG (which is the equivalent of 250,000 to 350,000 MMBtu) per day, and intend to develop five or more additional liquefiers over the next five years.</w:t>
      </w:r>
    </w:p>
    <w:p>
      <w:pPr>
        <w:spacing w:after="0" w:line="80"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 We will own or control the logistics assets necessary to deliver LNG to our customers through our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Tanker trucks will transport LNG from our liquefiers to a port on the Delaware river for Marcellus sourced LNG or the Gulf of Mexico for Mid-Continent sourced LNG, at which LNG will be transloaded directly to large marine vessels.</w:t>
      </w:r>
    </w:p>
    <w:p>
      <w:pPr>
        <w:spacing w:after="0" w:line="5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FSUs and FSRUs, and smaller LNGCs. These assets transport LNG</w:t>
      </w:r>
      <w:r>
        <w:rPr>
          <w:rFonts w:ascii="Arial" w:cs="Arial" w:eastAsia="Arial" w:hAnsi="Arial"/>
          <w:sz w:val="18"/>
          <w:szCs w:val="18"/>
          <w:i w:val="1"/>
          <w:iCs w:val="1"/>
          <w:color w:val="auto"/>
        </w:rPr>
        <w:t xml:space="preserve"> </w:t>
      </w:r>
      <w:r>
        <w:rPr>
          <w:rFonts w:ascii="Arial" w:cs="Arial" w:eastAsia="Arial" w:hAnsi="Arial"/>
          <w:sz w:val="18"/>
          <w:szCs w:val="18"/>
          <w:color w:val="auto"/>
        </w:rPr>
        <w:t>from port to our downstream terminals for ultimate delivery to our customers.</w:t>
      </w:r>
    </w:p>
    <w:p>
      <w:pPr>
        <w:spacing w:after="0" w:line="6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 power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our customers seeking either to transition from environmentally dirtier distillate fuels such as ADO and HFO or to purchase natural gas to meet their current fuel needs.</w:t>
      </w:r>
    </w:p>
    <w:p>
      <w:pPr>
        <w:spacing w:after="0" w:line="73"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We believe this compelling business model will generate average revenues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NFE’s Global Market Landscape</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 or tankers hauled by rail or truck or by marine vessels, such as LNG carriers. Once delivered to its end destination, LNG can be reconverted to natural gas through a process referred to as “regasification.”</w:t>
      </w:r>
    </w:p>
    <w:p>
      <w:pPr>
        <w:spacing w:after="0" w:line="81"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Today over a billion people, or approximately 15%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Further, we believe that many countries around the world – keenly focused on economics as well as the environment – will increasingly look to natural gas to displace environmentally dirtier fuels such as HFO, ADO and coal that are used to generate power, particularly if natural gas is cheaper than these environmentally dirtier fuels. The market opportunity is immense.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9" w:name="page70"/>
    <w:bookmarkEnd w:id="6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 w:firstLine="360"/>
        <w:spacing w:after="0" w:line="272" w:lineRule="auto"/>
        <w:rPr>
          <w:sz w:val="20"/>
          <w:szCs w:val="20"/>
          <w:color w:val="auto"/>
        </w:rPr>
      </w:pPr>
      <w:r>
        <w:rPr>
          <w:rFonts w:ascii="Arial" w:cs="Arial" w:eastAsia="Arial" w:hAnsi="Arial"/>
          <w:sz w:val="17"/>
          <w:szCs w:val="17"/>
          <w:color w:val="auto"/>
        </w:rPr>
        <w:t>Liquefaction projects currently under construction are expected to come online by 2020. Afterward, LNG supply growth is expected to slow through 2025. According to the Shell 2018 LNG Outlook Report, from 2020 through 2025, LNG supply estimates are almost half that of demand expectations. By 2025, this equates to an addressable LNG market with over 450 mtpa (approximately 740 million gallons per day) of demand, which management estimates to represent a global market value of approximately $215 billion per annum. Based on this report, by 2025, we expect the shortfall in supply to be approximately 200 mtpa versus current operating plants and 100 mtpa versus projects under construction. This shortfall is the equivalent of approximately 50 to 100 liquefiers of similar capacity to one of our liquefiers in Pennsylvania.</w:t>
      </w:r>
    </w:p>
    <w:p>
      <w:pPr>
        <w:spacing w:after="0" w:line="70"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5565775" cy="24784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577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EIA World Shale Gas Resource Assessment Reports</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2015 International Energy Agency Report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7" w:right="100" w:firstLine="360"/>
        <w:spacing w:after="0" w:line="293"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left="367"/>
        <w:spacing w:after="0"/>
        <w:rPr>
          <w:sz w:val="20"/>
          <w:szCs w:val="20"/>
          <w:color w:val="auto"/>
        </w:rPr>
      </w:pPr>
      <w:r>
        <w:rPr>
          <w:rFonts w:ascii="Arial" w:cs="Arial" w:eastAsia="Arial" w:hAnsi="Arial"/>
          <w:sz w:val="16"/>
          <w:szCs w:val="16"/>
          <w:color w:val="auto"/>
        </w:rPr>
        <w:t>Our goal is to purchase gas, liquefy it, and transport it to one of our Terminals at a cost of approximately $4.20 per MMBtu or</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less (before owner’s costs such as marketing and administrative costs, financing costs and contingencies). We expect that much of</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this gas – our goal is substantially all of it – will be sold to downstream customers under long-term contracts at targeted pricing in</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7"/>
          <w:szCs w:val="17"/>
          <w:color w:val="auto"/>
        </w:rPr>
        <w:t>excess of approximately $10.00 per MMBtu, including both fuel sales and capacity charges. Gas not delivered to downstream</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customers would be sold on the spot market. Currently, the market price for LNG delivered via LNGC is approximately $8.00 to</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$12.00 per MMBtu, depending on the size cargoes purchased. For contracted delivery, assuming the costs and sales prices described</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above, we seek to earn a margin of $4.30 per MMBtu, or $0.36 per gallon, which would equal a margin of 40% or more, on our gas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sales. For spot sales, we seek to earn an attractive margin by adjusting our sales price based on current market rates. Our operations,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which are currently conducted at our Montego Bay Terminal and at our Miami Facility, are currently generating revenue on sales of</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approximately 400,000 gallons of LNG (33,000</w:t>
      </w:r>
    </w:p>
    <w:p>
      <w:pPr>
        <w:spacing w:after="0" w:line="211"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MMBtu) per day. We have contracts, letters of intent or expect to secure contracts in the near term to sell LNG volumes in excess of 8.3 million gallons (685,000 MMBtu) per day. We are in active discussions with additional customers who may have significant demand for additional LNG, and our ambition is to aggressively grow our customer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Terminals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Downstream, we have five terminals operational or under development. Our Terminals will position us to access customers in a number of attractive markets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48895</wp:posOffset>
            </wp:positionV>
            <wp:extent cx="4905375" cy="33788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0537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We currently have five terminals, which are either operational or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64"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i w:val="1"/>
          <w:iCs w:val="1"/>
          <w:color w:val="auto"/>
        </w:rPr>
        <w:t xml:space="preserve">Montego Bay, Jamaica – </w:t>
      </w:r>
      <w:r>
        <w:rPr>
          <w:rFonts w:ascii="Arial" w:cs="Arial" w:eastAsia="Arial" w:hAnsi="Arial"/>
          <w:sz w:val="17"/>
          <w:szCs w:val="17"/>
          <w:color w:val="auto"/>
        </w:rPr>
        <w:t>Our Montego Bay Terminal commenced commercial operations in October 2016. The terminal is</w:t>
      </w:r>
      <w:r>
        <w:rPr>
          <w:rFonts w:ascii="Arial" w:cs="Arial" w:eastAsia="Arial" w:hAnsi="Arial"/>
          <w:sz w:val="17"/>
          <w:szCs w:val="17"/>
          <w:i w:val="1"/>
          <w:iCs w:val="1"/>
          <w:color w:val="auto"/>
        </w:rPr>
        <w:t xml:space="preserve"> </w:t>
      </w:r>
      <w:r>
        <w:rPr>
          <w:rFonts w:ascii="Arial" w:cs="Arial" w:eastAsia="Arial" w:hAnsi="Arial"/>
          <w:sz w:val="17"/>
          <w:szCs w:val="17"/>
          <w:color w:val="auto"/>
        </w:rPr>
        <w:t>capable of processing up to 740,000 LNG gallons (61,000 MMBtu) per day. It supplies natural gas to 145MW turbines at the power plant operated by JPS pursuant to a long-term take-or-pay contract for natural gas equivalent to approximately 300,000 gallons of LNG (25,000 MMBtu) per day. The Montego Bay Terminal also supplies several on-island industrial users with natural gas or LNG pursuant to other long-term take-or-pay contracts. Our Montego Bay Terminal is currently operating at 36%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 xml:space="preserve">Old Harbour, Jamaica – </w:t>
      </w:r>
      <w:r>
        <w:rPr>
          <w:rFonts w:ascii="Arial" w:cs="Arial" w:eastAsia="Arial" w:hAnsi="Arial"/>
          <w:sz w:val="17"/>
          <w:szCs w:val="17"/>
          <w:color w:val="auto"/>
        </w:rPr>
        <w:t>Our Old Harbour Terminal is substantially complete and expected to commence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first quarter 2019. It is capable of processing approximately 6 million gallons of LNG (500,000 MMBtu) per day. The Old Harbour Terminal is expected to supply gas to the Old Harbour Power Plant operated JPC pursuant to a long-term take-or-pay contract for natural gas equivalent to approximately 400,000 gallons of LNG (33,000 MMBtu) per day. We also expect the Old Harbour Terminal to supply gas to a new 100MW power plant that we are constructing, and, subject to agreement on terms, to the alumina refinery operated by Jamalco, an entity owned by the government of Jamaica with a focus on bauxite mining and alumina production in Jamaica.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75"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i w:val="1"/>
          <w:iCs w:val="1"/>
          <w:color w:val="auto"/>
        </w:rPr>
        <w:t xml:space="preserve">San Juan, Puerto Rico </w:t>
      </w:r>
      <w:r>
        <w:rPr>
          <w:rFonts w:ascii="Arial" w:cs="Arial" w:eastAsia="Arial" w:hAnsi="Arial"/>
          <w:sz w:val="17"/>
          <w:szCs w:val="17"/>
          <w:color w:val="auto"/>
        </w:rPr>
        <w:t>– Our San Juan Facility is currently under construction and is expected to commence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second quarter 2019. It is designed as a landed multi-fuel handling facility located in the Port of San Juan, Puerto Rico, with floating LNG storage from a small LNGC vessel. The San Juan Facility is being constructed with multiple truck loading bays to provide gas to on-island industrial users. In addition, we have submitted a proposal to the PREPA to convert and supply natural gas to Units 5 and 6 of the San Juan Combined Cycle Power Plant – which have a capacity of 440MW. The power plant is currently running on diesel, and we plan to convert the power plant to run on natural gas and fuel approximately 25 TBtu of natural gas per year directly from the terminal, which would equal approximately 850,000 gallons of LNG (70,000 MMBtu) per day. The conversion to natural gas would allow the PREPA to realize significant, recurring annual cost savings while also using a more sustainable, environmentally friendly form of energy.</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i w:val="1"/>
          <w:iCs w:val="1"/>
          <w:color w:val="auto"/>
        </w:rPr>
        <w:t xml:space="preserve">La Paz, Baja California Sur, Mexico </w:t>
      </w:r>
      <w:r>
        <w:rPr>
          <w:rFonts w:ascii="Arial" w:cs="Arial" w:eastAsia="Arial" w:hAnsi="Arial"/>
          <w:sz w:val="17"/>
          <w:szCs w:val="17"/>
          <w:color w:val="auto"/>
        </w:rPr>
        <w:t>– Our La Paz Terminal is currently under development and is expected to commence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operations in October 2019. It is being designed as an LNG receiving terminal located at the Port of Pichilingue in Baja California Sur, Mexico, where LNG will be delivered via a small LNGC vessel or barge. Initially, the La Paz Terminal will supply approximately 225,000 gallons of LNG (18,000 MMBtu) per day for a 94MW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80MW Los Cabos power plant, as well as regional industrial users such as ferries and hotels.</w:t>
      </w:r>
    </w:p>
    <w:p>
      <w:pPr>
        <w:spacing w:after="0" w:line="7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 xml:space="preserve">Shannon, Ireland </w:t>
      </w:r>
      <w:r>
        <w:rPr>
          <w:rFonts w:ascii="Arial" w:cs="Arial" w:eastAsia="Arial" w:hAnsi="Arial"/>
          <w:sz w:val="18"/>
          <w:szCs w:val="18"/>
          <w:color w:val="auto"/>
        </w:rPr>
        <w:t>– Our Ireland Terminal is currently under development and is expected to commence commercial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fourth quarter 2020. We intend this terminal to include a floating storage facility with onshore regasification equipment and pipeline connection into Gas Networks Ireland’s distribution system. We plan to deliver LNG to the terminal via a traditional size LNGC and offloaded into the FSU moored at the dock.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are currently developing our Pennsylvania Facilities – with one already developed — and plan to develop five or more additional liquefaction facilities over the next five years.</w:t>
      </w:r>
    </w:p>
    <w:p>
      <w:pPr>
        <w:spacing w:after="0" w:line="73"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believe that, by building smaller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This is considerably more cost-effective than the industry’s published liquefaction costs, which range from $511 to $867 per ton excluding ancillary infrastructure. Each of our Liquefaction Facilities is anticipated to produce between 3-4 million gallons of LNG (250,000 – 330,000 MMBtu) per day, or between 1.75 – 2.5 mtpa, of LNG.</w:t>
      </w:r>
    </w:p>
    <w:p>
      <w:pPr>
        <w:spacing w:after="0" w:line="8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We are in advanced stages of the design, development and permitting for our first Pennsylvania Facility, and we expect it to be substantially complete in the fourth quarter of 2020. We expect our first Pennsylvania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have the capacity to liquefy 3-4 million gallons of LNG (250,000 – 330,000 MMBtu) per day. We have already entered into a 15-year contract to acquire all of the feedgas needed to operate our first Pennsylvania Facility at capacity, with pricing that is generally fixed at $2.50 per MMBtu. Once LNG is produced at this facility, a dedicated tanker truck fleet will transport the LNG to a nearby port. We are currently developing plans with a suitable port along the Delaware river, and we expect to finalize a long-term contract prior to the completion of this offering. Under these plans, we expect that LNG will be transferred directly from tanker truck to marine vessel through multiple transloading bays, allowing for simultaneous and continuous operations. From there, our dedicated fleet of marine vessels will be able to transport the LNG to our Terminals and then on to our customers. We are also in the process of developing our second Pennsylvania Facility and expect to begin commercial operations in the second quarter of 2021.</w:t>
      </w:r>
    </w:p>
    <w:p>
      <w:pPr>
        <w:spacing w:after="0" w:line="58"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addition, we aim to the Haynesville Facilities and then transport this LNG to one or more nearby terminals located on the Gulf of Mexico. We are currently working with a major gas feedstock supplier to execute a gas supply agreement to provide sufficient gas for two 3.6 million gallon (300,000 MMBtu) per day liquefiers in the Haynesville Shale region. We expect to construct each liquefaction facility for a total cost (including ancillary logistics infrastructure) of approximately $800 million, which implies an anticipated cost of LNG production of approximately $370 per ton.</w:t>
      </w:r>
    </w:p>
    <w:p>
      <w:pPr>
        <w:spacing w:after="0" w:line="80"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Pending completion and commissioning of our liquefiers in development, we expect to continue to supply our downstream customers with LNG and natural gas sourced from a combination of our Miami Facility, which operated at 28% capacity during the first half of 2018, and purchases of LNG on the open market. We constructed the Miami Facility, which commenced commercial operations in 2016, in under 12 months. We are drawing on this experience to optimize the development of our Pennsylvania Facilities and Haynesville Facilities. The Miami Facility employs what we believe is one of the largest ISO container fleets in the world. It has one liquefaction train, with liquefaction production capacity of approximately 100,000 gallons of LNG (8,300 MMBtu) per day. The facility also has three LNG storage tanks, with total capacity of approximately 270,000 gallons (22,000 MMBtu). The plant also includes two separate LNG transfer areas capable of serving both truck and rail.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Customers</w:t>
      </w:r>
    </w:p>
    <w:p>
      <w:pPr>
        <w:spacing w:after="0" w:line="121"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39"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In general, the better the credit and larger the size of the user, the lower the contract price of our fuel.</w:t>
      </w:r>
    </w:p>
    <w:p>
      <w:pPr>
        <w:spacing w:after="0" w:line="63"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To date, we have contracts, letters of intent or expect to secure contracts in the near term to sell LNG volumes in excess of 8.3 million gallons (685,000 MMBtu) per day with a weight average remaining term of 14.3 years. Our operations, which are currently conducted primarily at our Montego Bay Terminal and at our Miami Facility, are currently generating revenue from sales of approximately 400,000 gallons (33,000 MMBtu) per day. Our ambition is to continue to aggressively grow this customer portfolio. We are in active discussions with additional customers who may have significant demand for additional LNG.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Jamaica Customers</w:t>
      </w:r>
    </w:p>
    <w:p>
      <w:pPr>
        <w:spacing w:after="0" w:line="117"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We have several contracts with government affiliated entities in Jamaica, including contracts with JPS, JPC and Jamalco (the “Jamaica GSAs”) as further described below. The Jamaica GSAs have remaining terms of at least 20 years, with mutual options to extend, subject to certain conditions.</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refer to the structure of our contracts as “take-or-pay” because they include a firm obligation to take a fixed quantity of product at a stated price and provisions that ensure we will be made whole in the case of our customer’s failure to accept all or a part of the contracted volumes or for termination by our customer. Pricing under these contracts generally consists of a fixed fee plus a variable rate, and, in some cases, an additional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index price or volume discount. Our contracts also provide for annual inflation-based adjustments and reimbursement for government charges incurred. The aggregate minimum quantities we are required to deliver, and our counterparties are required to purchase, under the Jamaica GSAs initially total approximately 39,973 MMBtu per 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Bogue Power Plant</w:t>
      </w:r>
    </w:p>
    <w:p>
      <w:pPr>
        <w:spacing w:after="0" w:line="117"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We have executed a 22-year agreement to supply JPS’s Bogue Power Plant in Montego Bay, Jamaica with natural gas. The Bogue Power Plant is an approximately 211MW capacity power plant converted to run on natural gas as well as ADO. We believe the Bogue Power Plant is a compelling example of the power of our business strategy.</w:t>
      </w:r>
    </w:p>
    <w:p>
      <w:pPr>
        <w:spacing w:after="0" w:line="5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plant was originally constructed to burn natural gas, but, because the plant could not procure sufficient amounts of natural gas, the plant has burned ADO in recent years. We provide a comprehensive solution for JPS to use natural gas to power turbines with 145MW power generation capacity at the Bogue Power Plant at prices that are economically attractive to ADO in exchange for JPS entering into a long-term, take-or-pay supply agreement with us. Under the terms of the agreement, we ship LNG to Jamaica, regasify it and ultimately deliver natural gas to the Bogue Power Plant. We constructed the Montego Bay Terminal that commenced commercial operations on October 30, 2016. The Montego Bay Terminal has the capacity to store approximately two million gallons of LNG in seven storage tanks. The facility has regasification equipment and a pipeline capable of transporting sufficient natural gas to support up to 250MW of generation capacity.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Old Harbour Power Plant</w:t>
      </w:r>
    </w:p>
    <w:p>
      <w:pPr>
        <w:spacing w:after="0" w:line="117"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We have also executed an agreement to supply JPC’s Old Harbour Power Plant in Old Harbour, Jamaica with natural gas and back-up ADO for 20 years. The Old Harbour Power Plant will be an approximately 190MW capacity dual fuel plant owned by JPC.</w:t>
      </w:r>
    </w:p>
    <w:p>
      <w:pPr>
        <w:spacing w:after="0" w:line="16"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Similar to our agreement with JPS regarding the Bogue Power Plant, we provide a comprehensive solution to JPC to use natural gas at the Old Harbour Power Plant at prices that are economically attractive relative to distillate fuel alternatives in exchange for JPC entering into a long-term, take-or-pay supply agreement with us. Under the terms of the agreement, we will ship LNG to Jamaica, regasify it and ultimately deliver natural gas to the Old Harbour Power Plant with ADO available as a back-up supply when natural gas is not available. Development has begun at the Old Harbour Terminal and is expected to be completed in the second half of 2018. Upon completion, the Old Harbour Terminal will have the capacity to store up to 35 million gallons of LNG in a floating marine storage unit. The facility will have regasification equipment and a pipeline capable of transporting natural gas to the Old Harbour Power Plant to support up to 400MW of generation capacity. We have secured binding EPC contracts for substantially all of the projected budget for the Old Harbour Terminal, and construction began in August 2017. We have also secured back-up ADO fuel supply under a contract with Petrojam.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Jamalco Combined Heat &amp; Power Plant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also executed a suite of agreements, including a 20 year SSA to supply Jamalco with steam for use in its alumina refinery operations and a 20 year PPA to supply electricity to JPS, to support our development of the CHP Plant. The CHP Plant will be a 94MW capacity power plant and will be fueled by natural gas with the ability to run on diesel as a backup fuel source. We will ship LNG to Jamaica, regasify it at the Old Harbour Terminal and deliver it to the CHP Plant, which will be owned by our wholly owned subsidiary NFE South Power. We have obtained a power generation license for the CHP Plant and we expect construction to be completed by the first quarter of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Jamaica Industrial End-User Sales</w:t>
      </w:r>
    </w:p>
    <w:p>
      <w:pPr>
        <w:spacing w:after="0" w:line="117"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We have entered into multiple long-term contracts to sell LNG directly to industrial end-users in Jamaica. To fulfill the requirements of our end-user customers, we transport LNG through our Jamaica Terminals (either from our Liquefaction Facilities in the United States or from third parties in market purchases) and deliver such LNG directly to customers.</w:t>
      </w:r>
    </w:p>
    <w:p>
      <w:pPr>
        <w:spacing w:after="0" w:line="5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For example, we have entered into a 10-year agreement to supply Red Stripe with LNG to power its brewery operations through Red Stripe’s own CHP facility located on-site at its brewery in Kingston, Jamaica.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57" w:lineRule="auto"/>
        <w:rPr>
          <w:sz w:val="20"/>
          <w:szCs w:val="20"/>
          <w:color w:val="auto"/>
        </w:rPr>
      </w:pPr>
      <w:r>
        <w:rPr>
          <w:rFonts w:ascii="Arial" w:cs="Arial" w:eastAsia="Arial" w:hAnsi="Arial"/>
          <w:sz w:val="18"/>
          <w:szCs w:val="18"/>
          <w:color w:val="auto"/>
        </w:rPr>
        <w:t>We constructed the necessary LNG storage and regasification infrastructure “behind the fence” at Red Stripe’s factory in less than three months, and natural-gas powered operations commenced on October 6, 2017. Red Stripe estimates that its conversion to natural gas will save it at least $336,000 per year. The agreement with Red Stripe is the first of what we anticipate to be many such arrangements to supply LNG directly to industrial end-users in Jamaica and elsewhere utilizing our end-to-end, fully integrated LNG supply network.</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ind w:left="7" w:right="40" w:firstLine="360"/>
        <w:spacing w:after="0" w:line="302" w:lineRule="auto"/>
        <w:rPr>
          <w:sz w:val="20"/>
          <w:szCs w:val="20"/>
          <w:color w:val="auto"/>
        </w:rPr>
      </w:pPr>
      <w:r>
        <w:rPr>
          <w:rFonts w:ascii="Arial" w:cs="Arial" w:eastAsia="Arial" w:hAnsi="Arial"/>
          <w:sz w:val="16"/>
          <w:szCs w:val="16"/>
          <w:color w:val="auto"/>
        </w:rPr>
        <w:t>In September 2018, we amended and restated our GSA with an affiliate of Chesapeake Energy Corporation (“Chesapeake”) to provide for the delivery of natural gas to our Pennsylvania Facilities. Deliveries will commence once the first Pennsylvania Facility has completed commissioning and testing and is capable of receiving the minimum volume of gas. The initial contract term is 15 years and we will purchase gas from Chesapeake at a price equal to a fixed fee plus a variable rate, subject to a minimum volume.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Illustrative LNG Production and Natural Gas Sale Economics</w:t>
      </w:r>
    </w:p>
    <w:p>
      <w:pPr>
        <w:spacing w:after="0" w:line="121"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We believe our combination of low-cost LNG production and contracted downstream offtake should result in compelling economics, both on a per-unit and an aggregate basis. Assuming revenue of approximately $10.00 per MMBtu and the successful execution of our Terminals and increased customer contracts, we aim to achieve unit economics in 2022 of approximately $4.30 per MMBtu. If achieved, this would equate to an $0.36 per LNG gallon or a margin of 40% or more, as illustrated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4579620" cy="31642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796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7" w:right="100" w:hanging="347"/>
        <w:spacing w:after="0" w:line="273"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our expected average total revenue per unit for gas sales inclusive of the return on the capital expenditures we incur to construct the infrastructure and logistics supply chain to deliver gas to our customers.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costs to purchase natural gas feedstock under our 15-year, take-or-pay gas supply contract.</w:t>
      </w:r>
    </w:p>
    <w:p>
      <w:pPr>
        <w:spacing w:after="0" w:line="109" w:lineRule="exact"/>
        <w:rPr>
          <w:rFonts w:ascii="Arial" w:cs="Arial" w:eastAsia="Arial" w:hAnsi="Arial"/>
          <w:sz w:val="14"/>
          <w:szCs w:val="14"/>
          <w:color w:val="auto"/>
        </w:rPr>
      </w:pPr>
    </w:p>
    <w:p>
      <w:pPr>
        <w:ind w:left="347" w:right="80" w:hanging="347"/>
        <w:spacing w:after="0" w:line="257"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expenses for (i) gathering and pipeline transportation of natural gas feedstock to our Pennsylvania Facilities, (ii) liquefaction of natural gas into LNG at our Pennsylvania Facilities, (iii) transportation of LNG from our Pennsylvania Facilities to marine export terminals and (iv) costs to store LNG at the export terminals pending delivery.</w:t>
      </w:r>
    </w:p>
    <w:p>
      <w:pPr>
        <w:spacing w:after="0" w:line="77" w:lineRule="exact"/>
        <w:rPr>
          <w:rFonts w:ascii="Arial" w:cs="Arial" w:eastAsia="Arial" w:hAnsi="Arial"/>
          <w:sz w:val="14"/>
          <w:szCs w:val="14"/>
          <w:color w:val="auto"/>
        </w:rPr>
      </w:pPr>
    </w:p>
    <w:p>
      <w:pPr>
        <w:ind w:left="347" w:right="320" w:hanging="347"/>
        <w:spacing w:after="0" w:line="273" w:lineRule="auto"/>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(i) shipping and charter expenses to transport LNG from marine ports to the location of end users and (ii) terminal and storage expenses at the location of delivery, in each case estimated based on our current costs in Jamaica.</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(i) expenses to regasify LNG and (ii) compensation, general and administrative costs, estimated based on our current costs in Jamaica.</w:t>
      </w:r>
    </w:p>
    <w:p>
      <w:pPr>
        <w:spacing w:after="0" w:line="100"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The graphic above is for illustrative purposes only and is not representative of our historical or projected financial results and does not purport to be an accurate representation of our actual economics. The illustrative economics above do not represent all of our expenses or revenues; for example, expenses and revenues</w:t>
      </w:r>
    </w:p>
    <w:p>
      <w:pPr>
        <w:spacing w:after="0" w:line="181"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associated with our Miami operations are not represented. You are cautioned to review our historical results of operations for any detail related to our operating revenues and expenses for historical periods. These illustrative economics are based on assumptions specific to our operations in Jamaica and developments in Puerto Rico, Ireland and Mexico and estimated liquefaction of natural gas at our Pennsylvania Facilities or the Haynesville Facilities, which are under construction or our Terminals under development. There can be no assurance that we will complete the Pennsylvania Facilities or the Haynesville Facilities or, if completed, that they will operate as described in this prospectus. We cannot guarantee that we will achieve similar results in the future or in other geographic areas. All of our assumptions and estimates with respect to the unit economics shown above are speculative in nature and based on the assumptions set forth above, which may prove to be inaccurate. Significant changes in commodity prices, delays in construction of any of the Pennsylvania Facilities or Haynesville Facilities or other disruptions at any of our facilities could cause actual results to materially differ from the illustration above. Please read “Risk Factors.”</w:t>
      </w:r>
    </w:p>
    <w:p>
      <w:pPr>
        <w:spacing w:after="0" w:line="6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If we achieve $4.30/MMBtu unit economics and are able to construct each of our planned liquefiers for approximately $800 million (which would equate to a production cost of LNG of approximately $374 per ton), and assuming we are able to sell the full liquefier production of 3.6 million gallons to customers, our resulting Operating EBITDA potentially generated by each liquefier could be approximately $500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As the world continues to electrify and demand for power grows, we believe that countries will continue to look to natural gas as a viable, efficient, cost-efficient and more environmentally friendly fuel. With a potential 3.75 billion LNG-gallon-per-day addressable market created by this increased power demand, we see multiple opportunities for our business to grow.</w:t>
      </w:r>
    </w:p>
    <w:p>
      <w:pPr>
        <w:spacing w:after="0" w:line="57"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i w:val="1"/>
          <w:iCs w:val="1"/>
          <w:color w:val="auto"/>
        </w:rPr>
        <w:t xml:space="preserve">Proven Ability to Execute. </w:t>
      </w:r>
      <w:r>
        <w:rPr>
          <w:rFonts w:ascii="Arial" w:cs="Arial" w:eastAsia="Arial" w:hAnsi="Arial"/>
          <w:sz w:val="16"/>
          <w:szCs w:val="16"/>
          <w:color w:val="auto"/>
        </w:rPr>
        <w:t>We are confident in our ability to execute and scale our business model to support our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And most recently, we expect to commission our Old Harbour Terminal starting in December 2018. Construction is complete, and we expect our chartered FSRU to arrive in the fourth quarter 2018. When operational, the Old Harbour Terminal will service a new 190MW power plant operated by JPC and a new 100MW plant that we have begun constructing at 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64"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i w:val="1"/>
          <w:iCs w:val="1"/>
          <w:color w:val="auto"/>
        </w:rPr>
        <w:t>Growth Opportunity — Africa</w:t>
      </w:r>
      <w:r>
        <w:rPr>
          <w:rFonts w:ascii="Arial" w:cs="Arial" w:eastAsia="Arial" w:hAnsi="Arial"/>
          <w:sz w:val="17"/>
          <w:szCs w:val="17"/>
          <w:color w:val="auto"/>
        </w:rPr>
        <w:t>. In Sub-Saharan Africa, 590 million people, or 57% of the population, lack access to electricity.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power generation on the continent is anticipated to more than double to 253GW by 2030. Natural gas consumption is expected to grow by nearly 150% over this timeframe, outpacing nearly every other fuel. We recognize the immense opportunity that Africa affords and are opening our first office in Ghana in late 2018. We have engaged with multiple local counterparties, and we anticipate deploying meaningful capital in African projects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62" w:lineRule="exact"/>
        <w:rPr>
          <w:sz w:val="20"/>
          <w:szCs w:val="20"/>
          <w:color w:val="auto"/>
        </w:rPr>
      </w:pPr>
    </w:p>
    <w:p>
      <w:pPr>
        <w:ind w:left="700" w:right="160" w:hanging="356"/>
        <w:spacing w:after="0" w:line="259"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develop LNG liquefaction and distribution facilities. </w:t>
      </w:r>
      <w:r>
        <w:rPr>
          <w:rFonts w:ascii="Arial" w:cs="Arial" w:eastAsia="Arial" w:hAnsi="Arial"/>
          <w:sz w:val="18"/>
          <w:szCs w:val="18"/>
          <w:color w:val="auto"/>
        </w:rPr>
        <w:t>We currently procure our LNG either by purchasing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open markets in amounts sufficient to service our customers’ needs or by manufacturing it in our Miami Facility. Following this offering, we intend to continue to develop the infrastructure necessary to supply our existing and future customers with LNG produced primarily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480"/>
        <w:spacing w:after="0" w:line="312" w:lineRule="auto"/>
        <w:rPr>
          <w:sz w:val="20"/>
          <w:szCs w:val="20"/>
          <w:color w:val="auto"/>
        </w:rPr>
      </w:pPr>
      <w:r>
        <w:rPr>
          <w:rFonts w:ascii="Arial" w:cs="Arial" w:eastAsia="Arial" w:hAnsi="Arial"/>
          <w:sz w:val="16"/>
          <w:szCs w:val="16"/>
          <w:color w:val="auto"/>
        </w:rPr>
        <w:t>our facilities, including our Pennsylvania Facilities and our Haynesville Facilities.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39" w:lineRule="exact"/>
        <w:rPr>
          <w:sz w:val="20"/>
          <w:szCs w:val="20"/>
          <w:color w:val="auto"/>
        </w:rPr>
      </w:pPr>
    </w:p>
    <w:p>
      <w:pPr>
        <w:ind w:left="700" w:right="40" w:hanging="356"/>
        <w:spacing w:after="0" w:line="289"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LNG distribution business. </w:t>
      </w:r>
      <w:r>
        <w:rPr>
          <w:rFonts w:ascii="Arial" w:cs="Arial" w:eastAsia="Arial" w:hAnsi="Arial"/>
          <w:sz w:val="16"/>
          <w:szCs w:val="16"/>
          <w:color w:val="auto"/>
        </w:rPr>
        <w:t>Our sales and marketing team seeks to identify utilities, transportation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industrial end-users who may view natural gas or LNG as a potentially compelling alternative to traditional distillate fuels and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58" w:lineRule="exact"/>
        <w:rPr>
          <w:rFonts w:ascii="Arial" w:cs="Arial" w:eastAsia="Arial" w:hAnsi="Arial"/>
          <w:sz w:val="16"/>
          <w:szCs w:val="16"/>
          <w:color w:val="auto"/>
        </w:rPr>
      </w:pPr>
    </w:p>
    <w:p>
      <w:pPr>
        <w:ind w:left="700" w:hanging="356"/>
        <w:spacing w:after="0" w:line="272" w:lineRule="auto"/>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gas-fired power generation assets. </w:t>
      </w:r>
      <w:r>
        <w:rPr>
          <w:rFonts w:ascii="Arial" w:cs="Arial" w:eastAsia="Arial" w:hAnsi="Arial"/>
          <w:sz w:val="17"/>
          <w:szCs w:val="17"/>
          <w:color w:val="auto"/>
        </w:rPr>
        <w:t>We believe that developing and constructing our own gas-fired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assets is a compelling growth strategy for our company. We are currently developing the CHP Plant in Clarendon, Jamaica,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69" w:lineRule="exact"/>
        <w:rPr>
          <w:rFonts w:ascii="Arial" w:cs="Arial" w:eastAsia="Arial" w:hAnsi="Arial"/>
          <w:sz w:val="17"/>
          <w:szCs w:val="17"/>
          <w:color w:val="auto"/>
        </w:rPr>
      </w:pPr>
    </w:p>
    <w:p>
      <w:pPr>
        <w:ind w:left="700" w:right="20" w:hanging="356"/>
        <w:spacing w:after="0" w:line="291"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build-out our Caribbean infrastructure. </w:t>
      </w:r>
      <w:r>
        <w:rPr>
          <w:rFonts w:ascii="Arial" w:cs="Arial" w:eastAsia="Arial" w:hAnsi="Arial"/>
          <w:sz w:val="16"/>
          <w:szCs w:val="16"/>
          <w:color w:val="auto"/>
        </w:rPr>
        <w:t>Our take-or-pay GSAs and SSAs with electric utilities and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end-users in Jamaica provide us with stable, long-term contracted cash flows. In order to service these contracts efficiently and cost effectively, we have begun to develop the necessary assets and infrastructure in Jamaica. Following this offering, we are developing and optimizing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59" w:lineRule="exact"/>
        <w:rPr>
          <w:rFonts w:ascii="Arial" w:cs="Arial" w:eastAsia="Arial" w:hAnsi="Arial"/>
          <w:sz w:val="16"/>
          <w:szCs w:val="16"/>
          <w:color w:val="auto"/>
        </w:rPr>
      </w:pPr>
    </w:p>
    <w:p>
      <w:pPr>
        <w:ind w:left="700" w:hanging="356"/>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financial strength and flexibility. </w:t>
      </w:r>
      <w:r>
        <w:rPr>
          <w:rFonts w:ascii="Arial" w:cs="Arial" w:eastAsia="Arial" w:hAnsi="Arial"/>
          <w:sz w:val="16"/>
          <w:szCs w:val="16"/>
          <w:color w:val="auto"/>
        </w:rPr>
        <w:t>We will seek to maintain a conservative balance sheet, which will allow us to</w:t>
      </w:r>
    </w:p>
    <w:p>
      <w:pPr>
        <w:sectPr>
          <w:pgSz w:w="11900" w:h="16838" w:orient="portrait"/>
          <w:cols w:equalWidth="0" w:num="1">
            <w:col w:w="9560"/>
          </w:cols>
          <w:pgMar w:left="1180" w:top="279" w:right="1159" w:bottom="1440" w:gutter="0" w:footer="0" w:header="0"/>
        </w:sectPr>
      </w:pPr>
    </w:p>
    <w:p>
      <w:pPr>
        <w:spacing w:after="0" w:line="46" w:lineRule="exact"/>
        <w:rPr>
          <w:sz w:val="20"/>
          <w:szCs w:val="20"/>
          <w:color w:val="auto"/>
        </w:rPr>
      </w:pPr>
    </w:p>
    <w:p>
      <w:pPr>
        <w:jc w:val="both"/>
        <w:ind w:left="700" w:right="60"/>
        <w:spacing w:after="0" w:line="265" w:lineRule="auto"/>
        <w:rPr>
          <w:sz w:val="20"/>
          <w:szCs w:val="20"/>
          <w:color w:val="auto"/>
        </w:rPr>
      </w:pPr>
      <w:r>
        <w:rPr>
          <w:rFonts w:ascii="Arial" w:cs="Arial" w:eastAsia="Arial" w:hAnsi="Arial"/>
          <w:sz w:val="17"/>
          <w:szCs w:val="17"/>
          <w:color w:val="auto"/>
        </w:rPr>
        <w:t>better react to our customers’ changing needs. As of the closing of this offering, we expect to have $ in total assets (including $ in cash and cash equivalents) and $ of total indebtedness outstanding. We believe this low leverage</w:t>
      </w:r>
    </w:p>
    <w:p>
      <w:pPr>
        <w:sectPr>
          <w:pgSz w:w="11900" w:h="16838" w:orient="portrait"/>
          <w:cols w:equalWidth="0" w:num="1">
            <w:col w:w="9560"/>
          </w:cols>
          <w:pgMar w:left="1180" w:top="279" w:right="1159" w:bottom="1440" w:gutter="0" w:footer="0" w:header="0"/>
          <w:type w:val="continuous"/>
        </w:sectPr>
      </w:pPr>
    </w:p>
    <w:p>
      <w:pPr>
        <w:ind w:left="700" w:right="100"/>
        <w:spacing w:after="0" w:line="261" w:lineRule="auto"/>
        <w:rPr>
          <w:sz w:val="20"/>
          <w:szCs w:val="20"/>
          <w:color w:val="auto"/>
        </w:rPr>
      </w:pPr>
      <w:r>
        <w:rPr>
          <w:rFonts w:ascii="Arial" w:cs="Arial" w:eastAsia="Arial" w:hAnsi="Arial"/>
          <w:sz w:val="18"/>
          <w:szCs w:val="18"/>
          <w:color w:val="auto"/>
        </w:rPr>
        <w:t>and robust cash position, along with our cash flows from operations will provide us with sufficient liquidity to execute on the business strategies discussed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2" w:lineRule="exact"/>
        <w:rPr>
          <w:sz w:val="20"/>
          <w:szCs w:val="20"/>
          <w:color w:val="auto"/>
        </w:rPr>
      </w:pPr>
    </w:p>
    <w:p>
      <w:pPr>
        <w:ind w:left="700" w:right="60" w:hanging="356"/>
        <w:spacing w:after="0" w:line="293"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Comprehensive energy solution creates new customer base. </w:t>
      </w:r>
      <w:r>
        <w:rPr>
          <w:rFonts w:ascii="Arial" w:cs="Arial" w:eastAsia="Arial" w:hAnsi="Arial"/>
          <w:sz w:val="16"/>
          <w:szCs w:val="16"/>
          <w:color w:val="auto"/>
        </w:rPr>
        <w:t>We offer our customers a comprehensive energy 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56" w:lineRule="exact"/>
        <w:rPr>
          <w:rFonts w:ascii="Arial" w:cs="Arial" w:eastAsia="Arial" w:hAnsi="Arial"/>
          <w:sz w:val="16"/>
          <w:szCs w:val="16"/>
          <w:color w:val="auto"/>
        </w:rPr>
      </w:pPr>
    </w:p>
    <w:p>
      <w:pPr>
        <w:ind w:left="700" w:right="12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Demonstrated ability to execute. </w:t>
      </w:r>
      <w:r>
        <w:rPr>
          <w:rFonts w:ascii="Arial" w:cs="Arial" w:eastAsia="Arial" w:hAnsi="Arial"/>
          <w:sz w:val="18"/>
          <w:szCs w:val="18"/>
          <w:color w:val="auto"/>
        </w:rPr>
        <w:t>The success of our business strategy and its benefit to our customers is demonstrated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proven ability to secure long-term, take-or-pay contracts. Our Montego Bay Terminal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60"/>
        <w:spacing w:after="0" w:line="257" w:lineRule="auto"/>
        <w:rPr>
          <w:sz w:val="20"/>
          <w:szCs w:val="20"/>
          <w:color w:val="auto"/>
        </w:rPr>
      </w:pPr>
      <w:r>
        <w:rPr>
          <w:rFonts w:ascii="Arial" w:cs="Arial" w:eastAsia="Arial" w:hAnsi="Arial"/>
          <w:sz w:val="18"/>
          <w:szCs w:val="18"/>
          <w:color w:val="auto"/>
        </w:rPr>
        <w:t>and related infrastructure (operational since October 30, 2016) has enabled JPS to use natural gas at the Bogue Power Plant, rather than rely on ADO, at prices that are competitive with ADO. We have also entered into a long-term, take-or-pay contract with JPC to supply the Old Harbour Power Plant with LNG, a 20-year SSA to supply Jamalco with steam for use in its alumina refinery operations, and a 20-year PPA to supply electricity to the Jamaica power grid from our CHP Plant in Clarendon, Jamaica.</w:t>
      </w:r>
    </w:p>
    <w:p>
      <w:pPr>
        <w:spacing w:after="0" w:line="80" w:lineRule="exact"/>
        <w:rPr>
          <w:sz w:val="20"/>
          <w:szCs w:val="20"/>
          <w:color w:val="auto"/>
        </w:rPr>
      </w:pPr>
    </w:p>
    <w:p>
      <w:pPr>
        <w:ind w:left="700" w:right="20" w:hanging="356"/>
        <w:spacing w:after="0" w:line="271" w:lineRule="auto"/>
        <w:tabs>
          <w:tab w:leader="none" w:pos="7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Economically and environmentally attractive product. </w:t>
      </w:r>
      <w:r>
        <w:rPr>
          <w:rFonts w:ascii="Arial" w:cs="Arial" w:eastAsia="Arial" w:hAnsi="Arial"/>
          <w:sz w:val="17"/>
          <w:szCs w:val="17"/>
          <w:color w:val="auto"/>
        </w:rPr>
        <w:t>We believe natural gas is a cheaper, cleaner and thus superior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70" w:lineRule="exact"/>
        <w:rPr>
          <w:rFonts w:ascii="Arial" w:cs="Arial" w:eastAsia="Arial" w:hAnsi="Arial"/>
          <w:sz w:val="17"/>
          <w:szCs w:val="17"/>
          <w:color w:val="auto"/>
        </w:rPr>
      </w:pPr>
    </w:p>
    <w:p>
      <w:pPr>
        <w:ind w:left="700" w:right="60" w:hanging="356"/>
        <w:spacing w:after="0" w:line="254"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Scalable infrastructure can drive margin expansion. </w:t>
      </w:r>
      <w:r>
        <w:rPr>
          <w:rFonts w:ascii="Arial" w:cs="Arial" w:eastAsia="Arial" w:hAnsi="Arial"/>
          <w:sz w:val="18"/>
          <w:szCs w:val="18"/>
          <w:color w:val="auto"/>
        </w:rPr>
        <w:t>Our Jamaica Terminals, CHP Plant and other infrastructure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Facilities and the Haynesville Facilities, together with the current operations at the Miami Facility, will enable us to supply our existing and future customers with LNG produced entirely at our own Liquefaction Facilities and will help to reduce the risk of future LNG price variations.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 marketers who sell their own natural gas production or the production of their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8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However, we do not expect to experience significant competition for our LNG logistics services with respect to the Jamaica Terminals because we have entered into fixed GSAs with JPS and JPC for the Jamaica Terminals. If and when we have to replace our agreements with JPS or JPC, we may compete with other then-existing LNG logistics companies for these customers.</w:t>
      </w:r>
    </w:p>
    <w:p>
      <w:pPr>
        <w:spacing w:after="0" w:line="39"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There are no other liquefaction terminals currently in operation in Florida. However, a number of plants are currently under development in the region that could compete with our Miami Facility.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purchasing LNG as part of our logistics business, we will compete for supplies of LNG with:</w:t>
      </w:r>
    </w:p>
    <w:p>
      <w:pPr>
        <w:spacing w:after="0" w:line="117" w:lineRule="exact"/>
        <w:rPr>
          <w:sz w:val="20"/>
          <w:szCs w:val="20"/>
          <w:color w:val="auto"/>
        </w:rPr>
      </w:pPr>
    </w:p>
    <w:p>
      <w:pPr>
        <w:ind w:left="700" w:right="180" w:hanging="356"/>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large, multinational and national companies with longer operating histories, more development experience, greater name recognition, larger staffs and substantially greater financial, technical and marketing resources;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oil and gas producers who sell or control LNG derived from their international oil and gas properties;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DOE Export</w:t>
      </w:r>
    </w:p>
    <w:p>
      <w:pPr>
        <w:spacing w:after="0" w:line="117"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The DOE issued orders authorizing us, through our subsidiary, American LNG Marketing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Facilities or the Haynesville Facilities) to FTA and/or non-FTA countries will require us to obtain new authorizations from the DOE.</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which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7"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recent years, PHMSA’s regulation of pipeline facilities has become more stringent. For example, in March 2016, the PHMSA released a comprehensive proposed rulemaking concerning gas pipeline safety that, if adopted, would, among other things, regulate many currently-unregulated gathering lines in rural areas, expand the integrity management requirements beyond “High Consequence Areas” to apply to gas pipelines in newly-defined “Moderate Consequence Areas,” and require to pressure testing of many formerly-grandfathered pipelines in place before 1970 to determine their maximum allowable operating pressures. In January 2017, PHMSA issued a pre-publication version of a final rule that amends its pipeline safety regulations for the design, construction, testing, operation and maintenance of hazardous liquids pipelines. Although the Trump Administration has not yet taken any action to finalize these proposed rules, they remain pending. Similar to these efforts, PHMSA’s regulation of LNG facilities could become more stringent in the future.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LNG infrastructure and operations are subject to various international, federal, state and local laws and regulations as well as foreign laws and regulations relating to the protection of the environment, natural resources and human health. These environmental laws and regulations may require the installation of controls on emissions and structures to prevent or mitigate any potential harm to human health and the environment. These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64"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Coastal Zone Management Act (“CZMA”)</w:t>
      </w:r>
    </w:p>
    <w:p>
      <w:pPr>
        <w:spacing w:after="0" w:line="11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Water Act</w:t>
      </w:r>
    </w:p>
    <w:p>
      <w:pPr>
        <w:spacing w:after="0" w:line="117"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5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w:t>
      </w:r>
    </w:p>
    <w:p>
      <w:pPr>
        <w:spacing w:after="0" w:line="7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 of Homeland Security. In addition, federal permitting processes may trigger the requirements of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70"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Additional federal permits that may be required to conduct our current operations or pursue future projects include, for example, a USACE Section 404 permit under the CWA and a Section 10 of the Rivers and Harbors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Act Permit, a Title V Operating Permit under the CAA, a Prevention of Significant Deterioration Permit under the CAA and, where applicable, a Federal Aviation Administration determinations or approvals relating to certain ground construction activities.</w:t>
      </w:r>
    </w:p>
    <w:p>
      <w:pPr>
        <w:spacing w:after="0" w:line="16"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Other local laws and regulations, including local zoning laws and fire protection codes, may also affect where and how we operate.</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7" w:lineRule="exact"/>
        <w:rPr>
          <w:sz w:val="20"/>
          <w:szCs w:val="20"/>
          <w:color w:val="auto"/>
        </w:rPr>
      </w:pPr>
    </w:p>
    <w:p>
      <w:pPr>
        <w:ind w:right="200" w:firstLine="360"/>
        <w:spacing w:after="0" w:line="269"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the LNG facility must meet. We are in the process of applying for all necessary permits to build and complete the Ireland Terminal.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Terminal, which could delay or protract the process for obtaining and implementing this permission. While we believe that the extension was properly issued, it is not clear how Ireland’s High Court will rule on such a challenge, or whether the ruling of the High Court will be subject to any further appeal.</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Mexican law comprehensively regulates all aspects of the receipt, delivery, storage, re-vaporization of LNG as well as the generation and transmission of electricity. Various federal agencies in Mexico regulate these activities, including the Environment, Natural Resources &amp; Fisheries Ministry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the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IMO is the United Nations agency that provides international regulations governing shipping and international maritime trade. The requirements contained in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8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Vessels that transport gas, including LNG carriers,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Additionally, more stringent emission standards apply in coastal areas designated as ECAs, such as the U.S. and Canadian coastal areas, which are designated by the Marine Environment Protection Committee. Effective August 1, 2012, certain coastal areas of North America were designated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8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46"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transact with leading vessel providers in the LNG industry and look to them to ensure that each of our chartered vessels is in compliance with applicable international and in-country requirements. Nevertheless, the IMO continues to review and introduce new regulations. It is impossible to predict what additional regulations, if any, may be passed by the IMO and what effect, if any, such regulation may have on our operations.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LNG and Natural Gas Marketing Governmental Regulation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Futures Trading Commission</w:t>
      </w:r>
    </w:p>
    <w:p>
      <w:pPr>
        <w:spacing w:after="0" w:line="117"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color w:val="auto"/>
        </w:rPr>
        <w:t>The Dodd-Frank Act provides for federal regulation of the OTC derivatives market and entities, such as us, that participate in that market. The regulatory regime created by the Dodd-Frank Act is designed primarily to (1) regulate certain participants in the swaps markets, including entities falling within the categories of “Swap Dealer” and “Major Swap Participant,” (2) require clearing and exchange trading of certain classes of swaps as designated by the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futures products as it finds necessary and appropriate, and (6) otherwise enhance the rulemaking and enforcement authority of the CFTC and the SEC regarding the derivatives markets. As required by the Dodd-Frank Act, the CFTC, the SEC and other regulators have been 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6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58"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use for hedging.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also adversely affect our existing derivative contracts and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70"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 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European Market Infrastructure Regulation</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EMIR is a European Union (“EU”) regulation designed to increase the stability of the OTC derivative markets throughout the EU member states. EMIR regulates OTC derivatives, central counterparties and trade 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 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6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on Wholesale Energy Market Integrity and Transparency</w:t>
      </w:r>
    </w:p>
    <w:p>
      <w:pPr>
        <w:spacing w:after="0" w:line="117"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6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Market participants and third parties acting on their behalf are required to report transactions in wholesale energy contracts admitted to trading at organized market places and fundamental data from the European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3" w:name="page84"/>
    <w:bookmarkEnd w:id="8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79" w:lineRule="auto"/>
        <w:rPr>
          <w:sz w:val="20"/>
          <w:szCs w:val="20"/>
          <w:color w:val="auto"/>
        </w:rPr>
      </w:pPr>
      <w:r>
        <w:rPr>
          <w:rFonts w:ascii="Arial" w:cs="Arial" w:eastAsia="Arial" w:hAnsi="Arial"/>
          <w:sz w:val="17"/>
          <w:szCs w:val="17"/>
          <w:color w:val="auto"/>
        </w:rPr>
        <w:t>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 storage system operators and LNG system operators have to be provided to ACER as of April 7, 2016.</w:t>
      </w:r>
    </w:p>
    <w:p>
      <w:pPr>
        <w:spacing w:after="0" w:line="17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Markets in Financial Instruments Directive and Regulation (“MiFID II”)</w:t>
      </w:r>
    </w:p>
    <w:p>
      <w:pPr>
        <w:spacing w:after="0" w:line="117" w:lineRule="exact"/>
        <w:rPr>
          <w:sz w:val="20"/>
          <w:szCs w:val="20"/>
          <w:color w:val="auto"/>
        </w:rPr>
      </w:pPr>
    </w:p>
    <w:p>
      <w:pPr>
        <w:ind w:left="7" w:right="20" w:firstLine="360"/>
        <w:spacing w:after="0" w:line="255" w:lineRule="auto"/>
        <w:rPr>
          <w:sz w:val="20"/>
          <w:szCs w:val="20"/>
          <w:color w:val="auto"/>
        </w:rPr>
      </w:pPr>
      <w:r>
        <w:rPr>
          <w:rFonts w:ascii="Arial" w:cs="Arial" w:eastAsia="Arial" w:hAnsi="Arial"/>
          <w:sz w:val="18"/>
          <w:szCs w:val="18"/>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85" w:lineRule="exact"/>
        <w:rPr>
          <w:sz w:val="20"/>
          <w:szCs w:val="20"/>
          <w:color w:val="auto"/>
        </w:rPr>
      </w:pPr>
    </w:p>
    <w:p>
      <w:pPr>
        <w:ind w:left="7" w:right="20" w:firstLine="360"/>
        <w:spacing w:after="0" w:line="268"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European Union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 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80"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80"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Market Abuse Regulation (“MAR”)</w:t>
      </w:r>
    </w:p>
    <w:p>
      <w:pPr>
        <w:spacing w:after="0" w:line="117" w:lineRule="exact"/>
        <w:rPr>
          <w:sz w:val="20"/>
          <w:szCs w:val="20"/>
          <w:color w:val="auto"/>
        </w:rPr>
      </w:pPr>
    </w:p>
    <w:p>
      <w:pPr>
        <w:ind w:left="7" w:right="120" w:firstLine="360"/>
        <w:spacing w:after="0" w:line="283" w:lineRule="auto"/>
        <w:rPr>
          <w:sz w:val="20"/>
          <w:szCs w:val="20"/>
          <w:color w:val="auto"/>
        </w:rPr>
      </w:pPr>
      <w:r>
        <w:rPr>
          <w:rFonts w:ascii="Arial" w:cs="Arial" w:eastAsia="Arial" w:hAnsi="Arial"/>
          <w:sz w:val="16"/>
          <w:szCs w:val="16"/>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 (i) the prohibition of trading in MiFID financial instruments on the basis of inside information,</w:t>
      </w:r>
    </w:p>
    <w:p>
      <w:pPr>
        <w:spacing w:after="0" w:line="7" w:lineRule="exact"/>
        <w:rPr>
          <w:sz w:val="20"/>
          <w:szCs w:val="20"/>
          <w:color w:val="auto"/>
        </w:rPr>
      </w:pPr>
    </w:p>
    <w:p>
      <w:pPr>
        <w:ind w:left="7" w:right="420" w:hanging="7"/>
        <w:spacing w:after="0" w:line="277" w:lineRule="auto"/>
        <w:tabs>
          <w:tab w:leader="none" w:pos="27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Partners</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One of our subsidiaries, Atlantic Distribution Holdings SRL, has entered into a partnership framework agreement, dated as of August 23, 2017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Because of our limited operating history and stage of development, a limited number of customers currently represent a large percentage of our income. During 2017, JPS, JPC and Jamalco each accounted for more than 10% of our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440" w:firstLine="360"/>
        <w:spacing w:after="0" w:line="279" w:lineRule="auto"/>
        <w:rPr>
          <w:sz w:val="20"/>
          <w:szCs w:val="20"/>
          <w:color w:val="auto"/>
        </w:rPr>
      </w:pPr>
      <w:r>
        <w:rPr>
          <w:rFonts w:ascii="Arial" w:cs="Arial" w:eastAsia="Arial" w:hAnsi="Arial"/>
          <w:sz w:val="17"/>
          <w:szCs w:val="17"/>
          <w:color w:val="auto"/>
        </w:rPr>
        <w:t>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w:t>
      </w:r>
    </w:p>
    <w:p>
      <w:pPr>
        <w:spacing w:after="0" w:line="121"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general liability, and the portion of workers’ compensation not covered under a governmental program and are in the process of obtaining environmental liability insurance.</w:t>
      </w:r>
    </w:p>
    <w:p>
      <w:pPr>
        <w:spacing w:after="0" w:line="6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maintain risk property insurance, including windstorm and flood, related to the operation of the Miami Facility and builders risk insurance at the Montego Bay Terminal. We also maintain pollution liability insurance in the U.S. and other policies in the U.S. and outside of the U.S. customary for our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the ordinary course of business, various legal and regulatory claims and proceedings are pending or threatened against us. While the amounts may be substantial, we are unable to predict with certainty the ultimate outcome of such claims and proceedings. We believe that the ultimate outcome of any matter currently pending will not materially affect our business, financial condition, liquidity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129 full-time employees as of June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NFE Financial Holdings LLC</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Upon consummation of this offering our operating agreement will provide that our board of directors shall consist of not less than three and not more than nine directors as the board of directors may from time to time determine. Our board of directors currently consists of two directors. Our board of directors will be divided into three classes that are, as nearly as possible, of equal size. Each class of directors will be elected for a three-year term of office, but the terms are staggered so that the term of only one class of directors expires at each annual general meeting. The initial terms of the Class I, Class II and Class III directors will expire in 2020, 2021 and 2022, respectively. All officers serve at the discretion of the board of directors.</w:t>
      </w:r>
    </w:p>
    <w:p>
      <w:pPr>
        <w:spacing w:after="0" w:line="57" w:lineRule="exact"/>
        <w:rPr>
          <w:sz w:val="20"/>
          <w:szCs w:val="20"/>
          <w:color w:val="auto"/>
        </w:rPr>
      </w:pPr>
    </w:p>
    <w:p>
      <w:pPr>
        <w:ind w:left="360"/>
        <w:spacing w:after="0"/>
        <w:tabs>
          <w:tab w:leader="none" w:pos="4200" w:val="left"/>
        </w:tabs>
        <w:rPr>
          <w:sz w:val="20"/>
          <w:szCs w:val="20"/>
          <w:color w:val="auto"/>
        </w:rPr>
      </w:pPr>
      <w:r>
        <w:rPr>
          <w:rFonts w:ascii="Arial" w:cs="Arial" w:eastAsia="Arial" w:hAnsi="Arial"/>
          <w:sz w:val="18"/>
          <w:szCs w:val="18"/>
          <w:color w:val="auto"/>
        </w:rPr>
        <w:t>Upon consummation of this offering, we will have</w:t>
      </w:r>
      <w:r>
        <w:rPr>
          <w:sz w:val="20"/>
          <w:szCs w:val="20"/>
          <w:color w:val="auto"/>
        </w:rPr>
        <w:tab/>
      </w:r>
      <w:r>
        <w:rPr>
          <w:rFonts w:ascii="Arial" w:cs="Arial" w:eastAsia="Arial" w:hAnsi="Arial"/>
          <w:sz w:val="16"/>
          <w:szCs w:val="16"/>
          <w:color w:val="auto"/>
        </w:rPr>
        <w:t>directors. We expect our board of directors to determine that Messrs.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qualify as independent directors under the corporate governance standards of the NYSE.</w:t>
      </w:r>
    </w:p>
    <w:p>
      <w:pPr>
        <w:spacing w:after="0" w:line="10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voting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80" w:lineRule="exact"/>
        <w:rPr>
          <w:sz w:val="20"/>
          <w:szCs w:val="20"/>
          <w:color w:val="auto"/>
        </w:rPr>
      </w:pPr>
    </w:p>
    <w:p>
      <w:pPr>
        <w:ind w:right="440" w:firstLine="360"/>
        <w:spacing w:after="0" w:line="312" w:lineRule="auto"/>
        <w:rPr>
          <w:sz w:val="20"/>
          <w:szCs w:val="20"/>
          <w:color w:val="auto"/>
        </w:rPr>
      </w:pPr>
      <w:r>
        <w:rPr>
          <w:rFonts w:ascii="Arial" w:cs="Arial" w:eastAsia="Arial" w:hAnsi="Arial"/>
          <w:sz w:val="16"/>
          <w:szCs w:val="16"/>
          <w:color w:val="auto"/>
        </w:rPr>
        <w:t>In evaluating director candidates, our board of directors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following table shows information for our executive officers and directors upon the consummation of this offering.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 Some of our directors and our executive officers also serve as executive officers of New Fortress Energy Holdings.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5"/>
                <w:szCs w:val="15"/>
                <w:color w:val="auto"/>
              </w:rPr>
            </w:pPr>
          </w:p>
        </w:tc>
        <w:tc>
          <w:tcPr>
            <w:tcW w:w="5180" w:type="dxa"/>
            <w:vAlign w:val="bottom"/>
            <w:gridSpan w:val="2"/>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20" w:type="dxa"/>
            <w:vAlign w:val="bottom"/>
          </w:tcPr>
          <w:p>
            <w:pPr>
              <w:spacing w:after="0"/>
              <w:rPr>
                <w:sz w:val="21"/>
                <w:szCs w:val="21"/>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180" w:type="dxa"/>
            <w:vAlign w:val="bottom"/>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60" w:type="dxa"/>
            <w:vAlign w:val="bottom"/>
            <w:shd w:val="clear" w:color="auto" w:fill="CCEEFF"/>
          </w:tcPr>
          <w:p>
            <w:pPr>
              <w:spacing w:after="0"/>
              <w:rPr>
                <w:sz w:val="21"/>
                <w:szCs w:val="21"/>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Christopher S. Guinta</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35</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Jay Leitstein</w:t>
            </w:r>
          </w:p>
        </w:tc>
        <w:tc>
          <w:tcPr>
            <w:tcW w:w="8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43</w:t>
            </w: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Accounting Officer</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Randal A. Nardone</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63</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i w:val="1"/>
          <w:iCs w:val="1"/>
          <w:color w:val="auto"/>
        </w:rPr>
        <w:t>Wesley R. Edens</w:t>
      </w:r>
      <w:r>
        <w:rPr>
          <w:rFonts w:ascii="Arial" w:cs="Arial" w:eastAsia="Arial" w:hAnsi="Arial"/>
          <w:sz w:val="17"/>
          <w:szCs w:val="17"/>
          <w:color w:val="auto"/>
        </w:rPr>
        <w:t>— Mr. Edens has been our Chief Executive Officer and a member of our board of directors since August</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2018. He is the Co-Chief Executive Officer of Fortress and has been a member of the board of directors of Fortress since November</w:t>
      </w:r>
    </w:p>
    <w:p>
      <w:pPr>
        <w:spacing w:after="0" w:line="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2006. Mr. Edens has been a member of the Management Committee of Fortress since co-founding Fortress in May 1998. Fortress Equity Partners (A) LP, a private equity fund managed by an affiliate of Fortress, currently owns a substantial majority of the equity of New Fortress Energy Holdings. Mr. Edens is responsible for oversight of Fortress’ private equity and publicly traded alternative investment businesses. He is the Chairman of the board of directors of each of New Media Investment Group Inc. (a publisher of print and online media), New Senior Investment Group Inc. (a real estate investment trust with a diversified portfolio of senior housing properties located across the United States), and Drive Shack Inc. (an owner and operator of golf-related leisure and entertainment business). He is a director of Mapeley Limited (a large full service real estate outsourcing and investment company in the United Kingdom).</w:t>
      </w:r>
    </w:p>
    <w:p>
      <w:pPr>
        <w:spacing w:after="0" w:line="84"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Mr. Edens previously served on the board of the following publicly traded companies and registered investment companies: OneMain Holdings, Inc. (a leading consumer finance company) from November 2010 to June 2018, Fortress Transportation and Infrastructure Investors LLC (which owns and acquires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October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2013 to October 2016; Nationstar Mortgage Holdings Inc. (a residential mortgage loan originator and servicer) from 2012 to July 2016; New Residential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GateHouse Media Inc. from June 2005 to November 2013; Aircastle Limited from August 2006 to August 2012; RailAmerica Inc. from November 2006 to October 2012; Eurocastle Investment Limited, from August 2003 to November 2011; Whistler Blackcomb Holdings Inc., from October 2010 to November 2012; Fortress Registered Investment Trust, from December 1999 until deregistered with the SEC in September 2011; and FRIT PINN LLC, from November 2001 until deregistered with the SEC in September 2011.</w:t>
      </w:r>
    </w:p>
    <w:p>
      <w:pPr>
        <w:spacing w:after="0" w:line="58"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w:t>
      </w:r>
    </w:p>
    <w:p>
      <w:pPr>
        <w:spacing w:after="0" w:line="73"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pacing w:after="0" w:line="16"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 xml:space="preserve">Christopher S. Guinta </w:t>
      </w:r>
      <w:r>
        <w:rPr>
          <w:rFonts w:ascii="Arial" w:cs="Arial" w:eastAsia="Arial" w:hAnsi="Arial"/>
          <w:sz w:val="18"/>
          <w:szCs w:val="18"/>
          <w:color w:val="auto"/>
        </w:rPr>
        <w:t>— Mr. Guinta has been our Chief Financial Officer since August 2018, and the Chief Financial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 Mr. Guinta graduated from The University of Texas at Austin with a Bachelor of Business Administration and a Masters in Professional Accounting.</w:t>
      </w:r>
    </w:p>
    <w:p>
      <w:pPr>
        <w:spacing w:after="0" w:line="85"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b w:val="1"/>
          <w:bCs w:val="1"/>
          <w:i w:val="1"/>
          <w:iCs w:val="1"/>
          <w:color w:val="auto"/>
        </w:rPr>
        <w:t>Jay Leitstein</w:t>
      </w:r>
      <w:r>
        <w:rPr>
          <w:rFonts w:ascii="Arial" w:cs="Arial" w:eastAsia="Arial" w:hAnsi="Arial"/>
          <w:sz w:val="17"/>
          <w:szCs w:val="17"/>
          <w:color w:val="auto"/>
        </w:rPr>
        <w:t>— Mr. Leitstein has been our Chief Accounting Officer since August 2018, and the Chief Accounting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Fortress Energy Holdings since October 25, 2017. He is responsible for financial and operational accounting and financial reporting. Mr. Leitstein has over 15 years of experience in the energy industry. Prior to joining NFE, Mr. Leitstein served as Controller for Kindle Energy, a portfolio company of Blackstone, from November 2015 to October 2017 and various accounting roles with PSEG Corporation from April 2011 to November 2015 and Exelon Corporation from March 2004 to April 2011 as well as several years in public accounting with Arthur Andersen. Mr. Leitstein graduated from Kean University with a Bachelor’s of Science in Accounting and is a Certified Public Accountant in the state of New Jersey.</w:t>
      </w:r>
    </w:p>
    <w:p>
      <w:pPr>
        <w:spacing w:after="0" w:line="7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Randal A. Nardone</w:t>
      </w:r>
      <w:r>
        <w:rPr>
          <w:rFonts w:ascii="Arial" w:cs="Arial" w:eastAsia="Arial" w:hAnsi="Arial"/>
          <w:sz w:val="17"/>
          <w:szCs w:val="17"/>
          <w:color w:val="auto"/>
        </w:rPr>
        <w:t>— Mr. Nardone has been a member of our board of directors since August 2018. He has also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Prior to joining BlackRock, Mr. Nardone was a partner and a member of the executive committee at the law firm of Thacher Proffitt &amp; Wood. Mr. Nardone received a Bachelor of Arts in English and Biology from the University of Connecticut and a Juris Doctorate from Boston University School of Law. We believe that Mr. Nardone’s leadership, management experience and experience with corporate and securities law bring valuable experience to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Because New Fortress Energy Holdings will initially hold approximately % of the voting power of our shares following the completion of this offering, we expect to be a controlled company as of the completion of the offering under the Sarbanes-Oxley Act and NYSE corporate governance standards. A controlled company does not need its board of directors to have a majority of independent directors or to form independent compensation and nominating and governance committees. As a controlled company, we will remain subject to rules of the Sarbanes-Oxley Act and the NYSE that require us to have an audit committee composed entirely of independent directors. Under these rules, we must have at least one independent director on our audit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by the date our Class A shares are listed on the NYSE, at least two independent directors on our audit committee within 90 days of the listing date, and at least three independent directors on our audit committee within one year of the listing date.</w:t>
      </w:r>
    </w:p>
    <w:p>
      <w:pPr>
        <w:spacing w:after="0" w:line="3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NYSE corporate governance standards, including by appointing a majority of independent directors to our board of directors and ensuring we have a compensation committee and a nominating and corporate governance committee, each composed entirely of independent directors, subject to a permitted “phase-in”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Board is in the process of reviewing the independence of our directors using the independence standards of the NYSE and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consummation of this offering, we will establish the following committees of our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We are required to have an audit committee of at least three members, and all of its members are required to meet the independence and experience standards established by the NYSE and the Securities Exchange Act of 1934, as amended, subject to certain transitional relief during the one-year period following consummation of this offering as described above. We will establish an audit committee compliant with NYSE and SEC rules prior to the completion of this offering and expect will serve as members of such committee. SEC rules also require that a public company disclose whether or not its audit committee has an “audit</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committee financial expert” as a member. will satisfy the definition of “audit committee financial expert.” We expect to adopt an audit committee charter defining the committee’s primary duties in a manner consistent with the rules of the SEC and NYSE standards.</w:t>
      </w:r>
    </w:p>
    <w:p>
      <w:pPr>
        <w:spacing w:after="0" w:line="82"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audit committee will assist the board of directors in its oversight of the integrity of our financial statements and our compliance with legal and regulatory requirements and company policies and controls. The audit committee will have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will also be responsible for confirming the independence and objectivity of our independent registered public accounting firm. Our independent registered public accounting firm will be given unrestricted access to the audit committee and our management.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Because we will be a “controlled company” as of the closing of this offering within the meaning of NYSE corporate governance standards, we will not be required to, and do not currently expect to, have a compensation committee as of the closing of this offering.</w:t>
      </w:r>
    </w:p>
    <w:p>
      <w:pPr>
        <w:spacing w:after="0" w:line="7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and when we are no longer a “controlled company” within the meaning of NYSE corporate governance standards, we will be required to establish a compensation committee. We anticipate that such a compensation committee would consist of three directors who will be “independent” under the rules of the SEC and the NYSE. This committee would establish salaries, incentives and other forms of compensation for officers and other employees. Any compensation committee would also administer our incentive compensation and benefit plans. Upon formation of a compensation committee, we would expect to adopt a compensation committee charter defining the committee’s primary duties in a manner consistent with the rules of the SEC and the NYSE or market standards.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Because we will be a “controlled company” as of the closing of this offering within the meaning of NYSE corporate governance standards, we will not be required to, and do not currently expect to, have a nominating and corporate governance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If and when we are no longer a “controlled company” within the meaning of NYSE corporate governance standards, we will be required to establish a nominating and corporate governance committee. We anticipate that such a nominating and corporate governance committee would consist of three directors who will be “independent” under the rules of the SEC and the NYSE.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the NYSE or market standards.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9" w:name="page90"/>
    <w:bookmarkEnd w:id="8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As an “emerging growth company,” we are required to provide a Summary Compensation Table and an Outstanding Equity Awards at Fiscal Year End Table, as well as limited narrative disclosures regarding executive compensation for our last completed fiscal year.</w:t>
      </w:r>
    </w:p>
    <w:p>
      <w:pPr>
        <w:spacing w:after="0" w:line="73" w:lineRule="exact"/>
        <w:rPr>
          <w:sz w:val="20"/>
          <w:szCs w:val="20"/>
          <w:color w:val="auto"/>
        </w:rPr>
      </w:pPr>
    </w:p>
    <w:p>
      <w:pPr>
        <w:ind w:left="7" w:right="20" w:firstLine="360"/>
        <w:spacing w:after="0" w:line="291" w:lineRule="auto"/>
        <w:rPr>
          <w:sz w:val="20"/>
          <w:szCs w:val="20"/>
          <w:color w:val="auto"/>
        </w:rPr>
      </w:pPr>
      <w:r>
        <w:rPr>
          <w:rFonts w:ascii="Arial" w:cs="Arial" w:eastAsia="Arial" w:hAnsi="Arial"/>
          <w:sz w:val="16"/>
          <w:szCs w:val="16"/>
          <w:color w:val="auto"/>
        </w:rPr>
        <w:t>We were formed on August 6, 2018 and, as a result, did not have executive officers during 2017. However, because (1) all of the assets and operations of New Fortress Energy Holdings (our predecessor for financial reporting purposes) will be contributed to NFI (which will be our subsidiary) in connection with this offering and such assets and operations will constitute our only assets and operations and (2) one of our executive officers was also an executive officer of New Fortress Energy Holdings and provided the same type of services to New Fortress Energy Holdings in 2017 as they provide to us, we have included disclosure regarding compensation paid to the executive officers of New Fortress Energy Holdings for the 2017 fiscal year. The only individuals serving as officers of New Fortress Energy Holdings during 2017 were Christopher Guinta and Christopher Carey.</w:t>
      </w:r>
    </w:p>
    <w:p>
      <w:pPr>
        <w:spacing w:after="0" w:line="24"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46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Principal Position (New Fortress Energy Holdings)</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Christopher Guinta</w:t>
            </w:r>
          </w:p>
        </w:tc>
        <w:tc>
          <w:tcPr>
            <w:tcW w:w="1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Christopher Carey</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Former Chief Financial Officer</w:t>
            </w:r>
          </w:p>
        </w:tc>
      </w:tr>
    </w:tbl>
    <w:p>
      <w:pPr>
        <w:spacing w:after="0" w:line="107" w:lineRule="exact"/>
        <w:rPr>
          <w:sz w:val="20"/>
          <w:szCs w:val="20"/>
          <w:color w:val="auto"/>
        </w:rPr>
      </w:pPr>
    </w:p>
    <w:p>
      <w:pPr>
        <w:jc w:val="both"/>
        <w:ind w:left="7" w:right="200" w:firstLine="360"/>
        <w:spacing w:after="0" w:line="264" w:lineRule="auto"/>
        <w:rPr>
          <w:sz w:val="20"/>
          <w:szCs w:val="20"/>
          <w:color w:val="auto"/>
        </w:rPr>
      </w:pPr>
      <w:r>
        <w:rPr>
          <w:rFonts w:ascii="Arial" w:cs="Arial" w:eastAsia="Arial" w:hAnsi="Arial"/>
          <w:sz w:val="18"/>
          <w:szCs w:val="18"/>
          <w:color w:val="auto"/>
        </w:rPr>
        <w:t>Christopher Carey resigned from his position as Chief Financial Officer of New Fortress Energy Holdings effective February 10, 2017. Christopher Guinta was appointed as Chief Financial Officer of New Fortress Energy Holdings effective as of April 10, 2017 and he serves as our Chief Financial Officer as well.</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7" w:right="100"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the named executive officers during the fiscal year ended December 31, 2017.</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5"/>
                <w:szCs w:val="15"/>
                <w:color w:val="auto"/>
              </w:rPr>
            </w:pP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980" w:type="dxa"/>
            <w:vAlign w:val="bottom"/>
          </w:tcPr>
          <w:p>
            <w:pPr>
              <w:jc w:val="right"/>
              <w:ind w:right="99"/>
              <w:spacing w:after="0"/>
              <w:rPr>
                <w:sz w:val="20"/>
                <w:szCs w:val="20"/>
                <w:color w:val="auto"/>
              </w:rPr>
            </w:pPr>
            <w:r>
              <w:rPr>
                <w:rFonts w:ascii="Arial" w:cs="Arial" w:eastAsia="Arial" w:hAnsi="Arial"/>
                <w:sz w:val="14"/>
                <w:szCs w:val="14"/>
                <w:b w:val="1"/>
                <w:bCs w:val="1"/>
                <w:color w:val="auto"/>
              </w:rPr>
              <w:t>Salary ($)</w:t>
            </w:r>
          </w:p>
        </w:tc>
        <w:tc>
          <w:tcPr>
            <w:tcW w:w="1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rPr>
              <w:t>Bonus ($)</w:t>
            </w:r>
          </w:p>
        </w:tc>
        <w:tc>
          <w:tcPr>
            <w:tcW w:w="14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 ($)</w:t>
            </w:r>
          </w:p>
        </w:tc>
      </w:tr>
      <w:tr>
        <w:trPr>
          <w:trHeight w:val="243"/>
        </w:trPr>
        <w:tc>
          <w:tcPr>
            <w:tcW w:w="20" w:type="dxa"/>
            <w:vAlign w:val="bottom"/>
          </w:tcPr>
          <w:p>
            <w:pPr>
              <w:spacing w:after="0"/>
              <w:rPr>
                <w:sz w:val="21"/>
                <w:szCs w:val="21"/>
                <w:color w:val="auto"/>
              </w:rPr>
            </w:pPr>
          </w:p>
        </w:tc>
        <w:tc>
          <w:tcPr>
            <w:tcW w:w="3820" w:type="dxa"/>
            <w:vAlign w:val="bottom"/>
            <w:tcBorders>
              <w:top w:val="single" w:sz="8" w:color="auto"/>
            </w:tcBorders>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 xml:space="preserve">Chris Guinta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Chief Financial Officer</w:t>
            </w:r>
            <w:r>
              <w:rPr>
                <w:rFonts w:ascii="Arial" w:cs="Arial" w:eastAsia="Arial" w:hAnsi="Arial"/>
                <w:sz w:val="28"/>
                <w:szCs w:val="28"/>
                <w:color w:val="auto"/>
                <w:vertAlign w:val="superscript"/>
              </w:rPr>
              <w:t>1</w:t>
            </w:r>
          </w:p>
        </w:tc>
        <w:tc>
          <w:tcPr>
            <w:tcW w:w="180" w:type="dxa"/>
            <w:vAlign w:val="bottom"/>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255,208</w:t>
            </w:r>
          </w:p>
        </w:tc>
        <w:tc>
          <w:tcPr>
            <w:tcW w:w="18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17"/>
                <w:szCs w:val="17"/>
                <w:color w:val="auto"/>
              </w:rPr>
              <w:t>475,000</w:t>
            </w:r>
            <w:r>
              <w:rPr>
                <w:rFonts w:ascii="Arial" w:cs="Arial" w:eastAsia="Arial" w:hAnsi="Arial"/>
                <w:sz w:val="28"/>
                <w:szCs w:val="28"/>
                <w:color w:val="auto"/>
                <w:vertAlign w:val="superscript"/>
              </w:rPr>
              <w:t>2</w:t>
            </w:r>
          </w:p>
        </w:tc>
        <w:tc>
          <w:tcPr>
            <w:tcW w:w="180" w:type="dxa"/>
            <w:vAlign w:val="bottom"/>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17"/>
                <w:szCs w:val="17"/>
                <w:color w:val="auto"/>
              </w:rPr>
              <w:t>35,422</w:t>
            </w:r>
            <w:r>
              <w:rPr>
                <w:rFonts w:ascii="Arial" w:cs="Arial" w:eastAsia="Arial" w:hAnsi="Arial"/>
                <w:sz w:val="28"/>
                <w:szCs w:val="28"/>
                <w:color w:val="auto"/>
                <w:vertAlign w:val="superscript"/>
              </w:rPr>
              <w:t>3</w:t>
            </w:r>
          </w:p>
        </w:tc>
        <w:tc>
          <w:tcPr>
            <w:tcW w:w="18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765,630</w:t>
            </w:r>
          </w:p>
        </w:tc>
        <w:tc>
          <w:tcPr>
            <w:tcW w:w="100" w:type="dxa"/>
            <w:vAlign w:val="bottom"/>
            <w:shd w:val="clear" w:color="auto" w:fill="CCEEFF"/>
          </w:tcPr>
          <w:p>
            <w:pPr>
              <w:spacing w:after="0"/>
              <w:rPr>
                <w:sz w:val="21"/>
                <w:szCs w:val="21"/>
                <w:color w:val="auto"/>
              </w:rPr>
            </w:pPr>
          </w:p>
        </w:tc>
      </w:tr>
      <w:tr>
        <w:trPr>
          <w:trHeight w:val="390"/>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Chris Carey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Chief Financial Officer</w:t>
            </w:r>
            <w:r>
              <w:rPr>
                <w:rFonts w:ascii="Arial" w:cs="Arial" w:eastAsia="Arial" w:hAnsi="Arial"/>
                <w:sz w:val="29"/>
                <w:szCs w:val="29"/>
                <w:color w:val="auto"/>
                <w:vertAlign w:val="superscript"/>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36,891</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50,073</w:t>
            </w:r>
            <w:r>
              <w:rPr>
                <w:rFonts w:ascii="Arial" w:cs="Arial" w:eastAsia="Arial" w:hAnsi="Arial"/>
                <w:sz w:val="29"/>
                <w:szCs w:val="29"/>
                <w:color w:val="auto"/>
                <w:vertAlign w:val="superscript"/>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86,964</w:t>
            </w:r>
          </w:p>
        </w:tc>
        <w:tc>
          <w:tcPr>
            <w:tcW w:w="100" w:type="dxa"/>
            <w:vAlign w:val="bottom"/>
          </w:tcPr>
          <w:p>
            <w:pPr>
              <w:spacing w:after="0"/>
              <w:rPr>
                <w:sz w:val="24"/>
                <w:szCs w:val="24"/>
                <w:color w:val="auto"/>
              </w:rPr>
            </w:pPr>
          </w:p>
        </w:tc>
      </w:tr>
      <w:tr>
        <w:trPr>
          <w:trHeight w:val="56"/>
        </w:trPr>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7" w:hanging="347"/>
        <w:spacing w:after="0"/>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Guinta was appointed as the Chief Financial Officer of New Fortress Energy Holdings effective as of April 10, 2017.</w:t>
      </w:r>
    </w:p>
    <w:p>
      <w:pPr>
        <w:spacing w:after="0" w:line="109" w:lineRule="exact"/>
        <w:rPr>
          <w:rFonts w:ascii="Arial" w:cs="Arial" w:eastAsia="Arial" w:hAnsi="Arial"/>
          <w:sz w:val="14"/>
          <w:szCs w:val="14"/>
          <w:color w:val="auto"/>
        </w:rPr>
      </w:pPr>
    </w:p>
    <w:p>
      <w:pPr>
        <w:ind w:left="347" w:right="140" w:hanging="347"/>
        <w:spacing w:after="0" w:line="273" w:lineRule="auto"/>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(i) a $75,000 sign-on bonus paid to Mr. Guinta in 2017 in connection with his appointment and (ii) an annual bonus for services rendered in 2017, but paid in 2018.</w:t>
      </w:r>
    </w:p>
    <w:p>
      <w:pPr>
        <w:spacing w:after="0" w:line="65"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(i) reimbursement for relocation expenses incurred as a result of Mr. Guinta’s appointment and relocation to New York, New York in the amount of $26,012 and (ii) a tax gross-up payment in the amount of $9,410.</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Carey served as the Chief Financial Officer of New Fortress Energy Holdings until his resignation on February 10, 2017.</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amounts paid to Mr. Carey in connection with his resignation.</w:t>
      </w:r>
    </w:p>
    <w:p>
      <w:pPr>
        <w:spacing w:after="0" w:line="208"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7" w:right="40" w:firstLine="360"/>
        <w:spacing w:after="0" w:line="297" w:lineRule="auto"/>
        <w:rPr>
          <w:sz w:val="20"/>
          <w:szCs w:val="20"/>
          <w:color w:val="auto"/>
        </w:rPr>
      </w:pPr>
      <w:r>
        <w:rPr>
          <w:rFonts w:ascii="Arial" w:cs="Arial" w:eastAsia="Arial" w:hAnsi="Arial"/>
          <w:sz w:val="16"/>
          <w:szCs w:val="16"/>
          <w:color w:val="auto"/>
        </w:rPr>
        <w:t>Base salary is a fixed component of compensation for each year, which may be increased from time to time based on the individual’s performance and other factors as determined by the sole member of New Fortress Energy Holdings. Base salaries were originally set pursuant to negotiations with the named executive officer at the time of hire. Mr. Carey’s annualized base salary prior to his resignation was $275,000. Mr. Guinta’s annualized base salary during 2017 was $350,000. For additional information on the elements of Mr. Guinta’s compensation, see “Narrative Disclosure to Summary Compensation Table — Guinta Offer Letter,” below.</w:t>
      </w:r>
    </w:p>
    <w:p>
      <w:pPr>
        <w:spacing w:after="0" w:line="15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Cash Bonus</w:t>
      </w:r>
    </w:p>
    <w:p>
      <w:pPr>
        <w:spacing w:after="0" w:line="117" w:lineRule="exact"/>
        <w:rPr>
          <w:sz w:val="20"/>
          <w:szCs w:val="20"/>
          <w:color w:val="auto"/>
        </w:rPr>
      </w:pPr>
    </w:p>
    <w:p>
      <w:pPr>
        <w:ind w:left="7" w:right="140" w:firstLine="360"/>
        <w:spacing w:after="0" w:line="264" w:lineRule="auto"/>
        <w:rPr>
          <w:sz w:val="20"/>
          <w:szCs w:val="20"/>
          <w:color w:val="auto"/>
        </w:rPr>
      </w:pPr>
      <w:r>
        <w:rPr>
          <w:rFonts w:ascii="Arial" w:cs="Arial" w:eastAsia="Arial" w:hAnsi="Arial"/>
          <w:sz w:val="18"/>
          <w:szCs w:val="18"/>
          <w:color w:val="auto"/>
        </w:rPr>
        <w:t>For 2017, Mr. Guinta’s target bonus opportunity was 125% of his annualized base salary, with a guaranteed annual bonus for 2017 in an amount equal to $250,000. Following a review of performance by New Fortress Energy Holdings and its subsidiaries as well as Mr. Guinta’s contribution to that performance, New Fortress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Energy Holdings elected to pay Mr. Guinta an annual bonus for 2017 in an amount equal to $400,000. For additional information regarding the elements of Mr. Guinta’s compensation, see “Narrative Disclosure to Summary Compensation Table — Guinta Offer Letter,”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Incentive Awards</w:t>
      </w:r>
    </w:p>
    <w:p>
      <w:pPr>
        <w:spacing w:after="0" w:line="11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The named executive officers were not granted long-term incentive awards during 2017. However, in connection with this offering, we intend to adopt a long-term incentive plan. For more details on the terms of the long-term incentive plan, see “Long Term Incentive Plan,”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Guinta Offer Letter</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On March 14, 2017, NFE Management LLC entered into an offer letter (the “Offer Letter”) with Mr. Guinta. The Offer Letter provides Mr. Guinta with (a) an annualized base salary of $350,000, (b) a discretionary target bonus opportunity equal to 125% of annual base salary (with a guaranteed $250,000 bonus for calendar year 2017), (c) a sign-on bonus of $75,000, which is required to be repaid by Mr. Guinta in the event of his resignation or termination of employment for Cause (as defined below) prior to the first anniversary of his start date, (d) subject to the adoption of a definitive equity compensation plan, an equity award grant with a grant date value of $2,500,000, which will be governed by the terms of such equity compensation plan and the applicable documents underlying the grant, and (e) eligibility to participate in the broad-based employee benefit plans, as may be adopted from time to time, subject to the eligibility requirements of such employee benefit plans.</w:t>
      </w:r>
    </w:p>
    <w:p>
      <w:pPr>
        <w:spacing w:after="0" w:line="7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Offer Letter also contains certain restrictive covenants, including (a) non-competition and non-solicitation covenants that are applicable during Mr. Guinta’s term of employment, and for twelve months following his resignation or termination of his employment for Cause and (b) restrictions on disclosure of confidential information.</w:t>
      </w:r>
    </w:p>
    <w:p>
      <w:pPr>
        <w:spacing w:after="0" w:line="73" w:lineRule="exact"/>
        <w:rPr>
          <w:sz w:val="20"/>
          <w:szCs w:val="20"/>
          <w:color w:val="auto"/>
        </w:rPr>
      </w:pPr>
    </w:p>
    <w:p>
      <w:pPr>
        <w:ind w:right="300" w:firstLine="360"/>
        <w:spacing w:after="0" w:line="290" w:lineRule="auto"/>
        <w:rPr>
          <w:sz w:val="20"/>
          <w:szCs w:val="20"/>
          <w:color w:val="auto"/>
        </w:rPr>
      </w:pPr>
      <w:r>
        <w:rPr>
          <w:rFonts w:ascii="Arial" w:cs="Arial" w:eastAsia="Arial" w:hAnsi="Arial"/>
          <w:sz w:val="16"/>
          <w:szCs w:val="16"/>
          <w:color w:val="auto"/>
        </w:rPr>
        <w:t>As used in the Offer Letter, “Cause” generally means Mr. Guinta’s (i) willful misconduct or gross negligence in the performance of his duties; (ii) failure to perform his duties or to follow the lawful directives of the board of directors;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Offer Letter or any other agreement with a member of the Company Group, including (without limitation), a violation of the code of conduct or other written policy of any such entity.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Carey Separation Letter</w:t>
      </w:r>
    </w:p>
    <w:p>
      <w:pPr>
        <w:spacing w:after="0" w:line="117" w:lineRule="exact"/>
        <w:rPr>
          <w:sz w:val="20"/>
          <w:szCs w:val="20"/>
          <w:color w:val="auto"/>
        </w:rPr>
      </w:pPr>
    </w:p>
    <w:p>
      <w:pPr>
        <w:ind w:right="180" w:firstLine="360"/>
        <w:spacing w:after="0" w:line="293" w:lineRule="auto"/>
        <w:rPr>
          <w:sz w:val="20"/>
          <w:szCs w:val="20"/>
          <w:color w:val="auto"/>
        </w:rPr>
      </w:pPr>
      <w:r>
        <w:rPr>
          <w:rFonts w:ascii="Arial" w:cs="Arial" w:eastAsia="Arial" w:hAnsi="Arial"/>
          <w:sz w:val="16"/>
          <w:szCs w:val="16"/>
          <w:color w:val="auto"/>
        </w:rPr>
        <w:t>On February 26, 2017, NFE Management LLC entered into a separation letter (the “Separation Letter”) that confirmed the agreement that was reached between Mr. Carey and NFE Management LLC in connection with his resignation as Chief Financial Officer effective as of February 10, 2017. Pursuant to the terms of the Separation Letter, Mr. Carey received a lump sum cash payment of $50,000 and a benefit reimbursement equal to $73. In connection with the payment, Mr. Carey (i) affirmed that he remained bound by all non-solicitation, non-interference, non-competition and confidentiality restrictions set forth in his prior agreements with NFE Management LLC and its affiliates and (ii) agreed to release certain potential employment-based claims.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named executive officers had not been granted equity awards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2018 Omnibus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Prior to the completion of this offering, we will adopt the NFE 2018 Omnibus Incentive Plan (the “Plan”). The purposes of the Plan will be to provide additional incentives to selected employees, directors, independent contractors and consultants of NFE or its affiliates, to strengthen their commitment, motivate them to faithfully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options, share appreciation rights (“SARs”), restricted shares, restricted share units, share bonuses, other share-based awards and cash awards.</w:t>
      </w:r>
    </w:p>
    <w:p>
      <w:pPr>
        <w:spacing w:after="0" w:line="79"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While we intend to issue share-based awards in the future to employees as a recruiting and retention tool, we have not established specific parameters regarding future grants to our employees. Our board of directors (or the compensation committee of the board of directors, after it has been appointed) will determine the specific criteria surrounding other equity issuances under the Plan. The following description summarizes the expected features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Expected Plan Terms</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 total number of our Class A shares equal to % of our outstanding Class A shares as of the completion of this offering will be reserved and available for issuance under the Plan, as increased on the first day of each fiscal year beginning in calendar year by a number of our Class A shares equal to the excess of % of the number of outstanding Class A shares on the last day of the immediately preceding fiscal year, over the number of shares reserved and available for issuance under the Plan as of the last day of the immediately preceding fiscal year.</w:t>
      </w:r>
    </w:p>
    <w:p>
      <w:pPr>
        <w:spacing w:after="0" w:line="80"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Our Class A shares subject to an award under the Plan that remain unissued upon the cancellation, termination or expiration of the award will again become available for grant under the Plan. However, our Class A shares that are exchanged by a participant or withheld by NFE as full or partial payment in connection with any award under the Plan, as well as any of our Class A shares exchanged by a participant or withheld by NFE to satisfy the tax withholding obligations related to any award, will not be available for subsequent awards under the Plan. To the extent an award is paid or settled in cash, the number of Class A shares previously subject to the award will again be available for grants pursuant to the Plan. To the extent that an award can only be settled in cash, such award will not be counted against the total number of our Class A shares available for grant under the Plan.</w:t>
      </w:r>
    </w:p>
    <w:p>
      <w:pPr>
        <w:spacing w:after="0" w:line="59"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The Plan will initially be administered by our board of directors, although it may be administered by either our board of directors or any committee of our board of directors. The plan administrator may interpret the Plan and may prescribe, amend and rescind rules and make all other determinations necessary or desirable for the administration of the Plan.</w:t>
      </w:r>
    </w:p>
    <w:p>
      <w:pPr>
        <w:spacing w:after="0" w:line="5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of NFE or its affiliates who will receive awards, to determine the terms and conditions of those awards, including but not limited to the exercise price or other purchase price of an award, the number of our Class A shares or cash or other property subject to an award, the term of an award and the vesting schedule applicable to an award, and to amend the terms and conditions of outstanding awards.</w:t>
      </w:r>
    </w:p>
    <w:p>
      <w:pPr>
        <w:spacing w:after="0" w:line="80"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Restricted Share Units (“RSUs”) and restricted shares may be granted under the Plan. The plan administrator will determine the purchase price, vesting schedule and performance objectives, if any, applicable to the grant of RSUs and restricted shares. If the restrictions, performance objectives or other conditions determined by the plan administrator are not satisfied, the RSUs and restricted shares will be forfeited. Subject to the provisions of the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shareholders upon a termination of employment or service will be set forth in individual award agreements.</w:t>
      </w:r>
    </w:p>
    <w:p>
      <w:pPr>
        <w:spacing w:after="0" w:line="5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Unless the applicable award agreement provides otherwise, participants with restricted shares will generally have all of the rights of a Class A shareholder during the restricted period, including the right to vote and receive dividends declared with respect to such restricted shares, provided that any dividends declared during the restricted period with respect to such restricted shares will generally only become payable if the underlying restricted shares vest. During the restricted period, participants with RSUs will generally not have any rights of a Class A shareholder, but, if the applicable individual award agreement so provides, may be credited with dividend equivalent rights that will be paid at the time that our Class A shares in respect of the related RSUs are delivered to the participant.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We may issue share options under the Plan. Options granted under the Plan may be in the form of non-qualified options or “incentive share options” within the meaning of Section 422 of the Internal Revenue Code, as set forth in the applicable individual option award agreement. The exercise price of all options granted under the Plan will be determined by the plan administrator, but in no event may the exercise price be less than 100% of the fair market value of the related Class A shares on the date of grant. The maximum term of all share options granted under the Plan will be determined by the plan administrator, but may not exceed ten years. Each share option will vest and become exercisable (including in the event of the optionee’s termination of employment or service) at such time and subject to such terms and conditions as determined by the plan administrator in the applicable individual option agreement.</w:t>
      </w:r>
    </w:p>
    <w:p>
      <w:pPr>
        <w:spacing w:after="0" w:line="84"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 exercise) of a Class A share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Class A share over the exercise price of the related option. Each SAR will be granted with a base price that is not less than 100% of the fair market value of the related Class A shares on the date of grant. The maximum term of all SARs granted under the Plan will be determined by the plan administrator, but may not exceed ten years. The plan administrator may determine to settle the exercise of a SAR in Class A shares, cash, or any combination thereof.</w:t>
      </w:r>
    </w:p>
    <w:p>
      <w:pPr>
        <w:spacing w:after="0" w:line="74"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63"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Other share-based awards, valued in whole or in part by reference to, or otherwise based on, our Class A shares (including dividend equivalents) may be granted under the Plan. Any dividend or dividend equivalent awarded under the Plan will be subject to the same restrictions, conditions and risks of forfeiture as the underlying awards and will only become payable if the underlying awards vest. The plan administrator will determine the terms and conditions of such other share-based awards, including the number of Class A shares to be granted pursuant to such other share-based awards, the manner in which such other share-based awards will be settled (e.g., in Class A shares, cash or other property), and the conditions to the vesting and payment of such other share-based awards (including the achievement of performance objectives).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Bonuses payable in fully vested Class A shares and awards that are payable solely in cash may also be granted under the Plan.</w:t>
      </w:r>
    </w:p>
    <w:p>
      <w:pPr>
        <w:spacing w:after="0" w:line="14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w:t>
      </w:r>
    </w:p>
    <w:p>
      <w:pPr>
        <w:spacing w:after="0" w:line="6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the event of a merger, consolidation, reclassification, recapitalization, spin-off, spin-out, repurchase, reorganization, corporate transaction or event, special or extraordinary dividend or other extraordinary distribution (whether in the form of Class A shares, cash or other property), share split, reverse share split, subdivision or consolidation, combination, exchange of shares, or other change in corporate structure affecting our Class A shares, an equitable substitution or proportionate adjustment shall be made, at the sole discretion of the plan administrator, in (i) the aggregate number of our Class A shares reserved for issuance under the Plan, (ii) the kind and number of securities subject to, and the exercise price or base price of, any outstanding options and SARs granted under the Plan, (iii) the kind, number and purchase price of our Class A shares, or the amount of cash or amount or type of property, subject to outstanding restricted shares, RSUs, share bonuses and other share-based awards granted under the Plan, or (iv) the performance goals and periods applicable to award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Class A shares, cash or other property covered by such awards over the aggregate exercise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price or base price, if any, of such awards, but if the exercise price or base price of any outstanding award is equal to or greater than the fair market value of our Class A shares, cash or other property covered by such award, the board of directors may cancel the award without the payment of any consideration to the participant.</w:t>
      </w:r>
    </w:p>
    <w:p>
      <w:pPr>
        <w:spacing w:after="0" w:line="73"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Each participant will be required to make arrangements satisfactory to the plan administrator regarding payment of an amount up to the maximum statutory tax rates in the participant’s applicable jurisdictions with respect to any award granted under the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delivery of our Class A shares, cash or other property, as applicable, or by delivering already owned unrestricted Class A shares, in each case, having a value not exceeding the applicable taxes to be withheld and applied to the tax obligations. We may also use any other method of obtaining the necessary payment or proceeds, as permitted by law, to satisfy our withholding obligation with respect to any award.</w:t>
      </w:r>
    </w:p>
    <w:p>
      <w:pPr>
        <w:spacing w:after="0" w:line="71"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The Plan provides the board of directors with authority to amend, alter or terminate the Plan, but generally such action may not impair the rights of any participant with respect to outstanding awards without the participant’s consent. The plan administrator may amend an award, prospectively or retroactively, but generally such amendment may not impair the rights of any participant without the participant’s consent. Shareholder approval of any such action will be obtained if required to comply with applicable law.</w:t>
      </w:r>
    </w:p>
    <w:p>
      <w:pPr>
        <w:spacing w:after="0" w:line="4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intend to file with the SEC a registration statement on Form S-8 covering the Class A shares issuable under the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We were formed on August 6, 2018 and, as a result, did not have any directors during 2017. New Fortress Energy Holdings (our predecessor for financial reporting purposes) did not award any compensation to members of its board of directors during 2017.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4" w:name="page95"/>
    <w:bookmarkEnd w:id="9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7" w:right="20" w:firstLine="360"/>
        <w:spacing w:after="0" w:line="264" w:lineRule="auto"/>
        <w:rPr>
          <w:sz w:val="20"/>
          <w:szCs w:val="20"/>
          <w:color w:val="auto"/>
        </w:rPr>
      </w:pPr>
      <w:r>
        <w:rPr>
          <w:rFonts w:ascii="Arial" w:cs="Arial" w:eastAsia="Arial" w:hAnsi="Arial"/>
          <w:sz w:val="18"/>
          <w:szCs w:val="18"/>
          <w:color w:val="auto"/>
        </w:rPr>
        <w:t>The following table sets forth the beneficial ownership of our Class A shares and Class B shares that will be issued and outstanding upon the consummation of this offering and the related transactions, and assuming the underwriters do not exercise their option to purchase additional Class A shares and held by:</w:t>
      </w:r>
    </w:p>
    <w:p>
      <w:pPr>
        <w:spacing w:after="0" w:line="73" w:lineRule="exact"/>
        <w:rPr>
          <w:sz w:val="20"/>
          <w:szCs w:val="20"/>
          <w:color w:val="auto"/>
        </w:rPr>
      </w:pPr>
    </w:p>
    <w:p>
      <w:pPr>
        <w:ind w:left="707" w:hanging="356"/>
        <w:spacing w:after="0"/>
        <w:tabs>
          <w:tab w:leader="none" w:pos="7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beneficial owners of 5% or more of any class of our shares;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7" w:lineRule="exact"/>
        <w:rPr>
          <w:sz w:val="20"/>
          <w:szCs w:val="20"/>
          <w:color w:val="auto"/>
        </w:rPr>
      </w:pPr>
    </w:p>
    <w:p>
      <w:pPr>
        <w:ind w:left="7" w:right="360" w:firstLine="360"/>
        <w:spacing w:after="0" w:line="211" w:lineRule="auto"/>
        <w:rPr>
          <w:sz w:val="20"/>
          <w:szCs w:val="20"/>
          <w:color w:val="auto"/>
        </w:rPr>
      </w:pPr>
      <w:r>
        <w:rPr>
          <w:rFonts w:ascii="Arial" w:cs="Arial" w:eastAsia="Arial" w:hAnsi="Arial"/>
          <w:sz w:val="18"/>
          <w:szCs w:val="18"/>
          <w:color w:val="auto"/>
        </w:rPr>
        <w:t>Unless otherwise noted, the address for each beneficial owner listed below is 111 W. 19</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Street, 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New York 10011.</w:t>
      </w:r>
    </w:p>
    <w:p>
      <w:pPr>
        <w:spacing w:after="0" w:line="6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Percentage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Class A Shares</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Class A 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Class B Shares</w:t>
            </w: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Class B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Class B 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Beneficially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Beneficially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Owned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Wesley R. Edens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Guinta</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Jay Leitstein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 A. Nardone</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All executive officers and directors as a</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group (  persons)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20" w:hanging="347"/>
        <w:spacing w:after="0" w:line="252" w:lineRule="auto"/>
        <w:tabs>
          <w:tab w:leader="none" w:pos="347" w:val="left"/>
        </w:tabs>
        <w:numPr>
          <w:ilvl w:val="0"/>
          <w:numId w:val="57"/>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shares of the Company, is majority-owned and controlled by the Fortress Shareholder. Fortress Shareholder is controlled by Wesley R. Edens, our Chief Executive Officer. Mr. Edens exercises voting and dispositive power over the shares held by New Fortress Energy Holdings and may be deemed to be the beneficial owner thereof. Mr. Edens disclaims beneficial ownership of shares in excess of his pecuniary interest therein.</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Affiliates in Connection with the Transactions</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In connection with this offering, we will enter into certain agreements with New Fortress Energy Holdings, as described in more detail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connection with the closing of this offering, we will enter into a contribution agreement that will effect the Transactions, including the transfer of the ownership interests in NFI to us, and the use of the net proceeds of this offering. While we believe this agreement is on terms no less favorable to any party than those that could have been negotiated with an unaffiliated third party, it will not be the result of arm’s-length negotiations. All of the transaction expenses incurred in connection with these transactions will be paid from the proceeds of this offering.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connection with this offering, we will enter into a registration rights agreement with New Fortress Energy Holdings pursuant to which we may be required to register the sale of the Class A shares held by or issued (or issuable upon exercise of the Redemption Right) to New Fortress Energy Holdings pursuant to the contribution agreement (the “Registrable Securities”). Under the registration rights agreement, New Fortress Energy Holdings will have the right to request that we register the sale of Registrable Securities held by it, and New Fortress Energy Holdings will have the right to require us to make available shelf registration statements permitting sales of Registrable Securities into the market from time to time over an extended period, subject to certain limitations. In addition, the registration rights agreement gives New Fortress Energy Holdings piggyback registration rights under certain circumstances. The registration rights agreement also includes provisions dealing with indemnification and contribution and allocation of expenses. All of the Registrable Securities held by New Fortress Energy Holdings and any permitted transferee will be entitled to these registration rights.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form of NFI LLC Agreement is filed as an exhibit to the registration statement of which this prospectus forms a part, and the following description of the NFI LLC Agreement is qualified in its entirety by reference thereto.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Following this offering, under the NFI LLC Agreement, New Fortress Energy Holdings and any permitted transferees of their NFI LLC Units will, subject to certain limitations, have the right, pursuant to the Redemption Right, to cause NFI to acquire all or a portion of its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Alternatively, upon the exercise of the Redemption Right, NFE (instead of NFI) will have the right, pursuant to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Distributions and Allocations</w:t>
      </w:r>
    </w:p>
    <w:p>
      <w:pPr>
        <w:spacing w:after="0" w:line="117"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In accordance with the NFI LLC Agreement, subject to the requirement to make tax distributions described below, we will have the right to determine when distributions will be made to the holders of NFI LLC Units and the amount of any such distributions. Following this offering, if we authorize a distribution, such distribution will be made to the holders of NFI LLC Units generally on a pro rata basis in accordance with their respective percentage ownership of NFI LLC Units.</w:t>
      </w:r>
    </w:p>
    <w:p>
      <w:pPr>
        <w:spacing w:after="0" w:line="63"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NFI will allocate its net income or net loss for each year to the holders of NFI LLC Units pursuant to the terms of the NFI LLC Agreement, and the holders of NFI LLC Units, including NFE, will generally incur U.S. federal, state and local income taxes on their share of any taxable income of NFI. Net income and losses of NFI generally will be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intend to cause NFI to make (i) generally pro rata distributions to its unitholders, including NFE, in an amount sufficient to allow NFE to pay its taxes and (ii) non-pro rata distributions to NFE in an amount at least sufficient to reimburse it for its corporate and other overhead expenses.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Issuance of Equity</w:t>
      </w:r>
    </w:p>
    <w:p>
      <w:pPr>
        <w:spacing w:after="0" w:line="11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The NFI LLC Agreement will provide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unless such net proceeds are used by NFE to acquire a NFI LLC Unit pursuant to NFE’s exercise of the Call Right.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property for our Miami Facility from an affiliate of Fortress.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Lease</w:t>
      </w:r>
      <w:r>
        <w:rPr>
          <w:rFonts w:ascii="Arial" w:cs="Arial" w:eastAsia="Arial" w:hAnsi="Arial"/>
          <w:sz w:val="18"/>
          <w:szCs w:val="18"/>
          <w:color w:val="auto"/>
        </w:rPr>
        <w:t>. Our subsidiary, LNG Holdings (Florida) LLC (“Florida Holdings”), is the owner and operator of the Miami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8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Miami Lease commenced November 20, 2014, and expires November 19, 2019. The term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extend for five additional periods of five years each (unless Miami Tenant notifies Miami Landlord otherwise as set forth in the Miami Lease).</w:t>
      </w:r>
    </w:p>
    <w:p>
      <w:pPr>
        <w:spacing w:after="0" w:line="7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Rent; Security</w:t>
      </w:r>
      <w:r>
        <w:rPr>
          <w:rFonts w:ascii="Arial" w:cs="Arial" w:eastAsia="Arial" w:hAnsi="Arial"/>
          <w:sz w:val="16"/>
          <w:szCs w:val="16"/>
          <w:color w:val="auto"/>
        </w:rPr>
        <w:t>. Miami Tenant pays base rent in the amount of $270,000 per year, which amount shall escalate by 2.5%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commencement date. Miami Tenant has delivered a security deposit in the amount of $135,000, which will be reduced to $70,000 upon commencement of the first renewal term, and further reduced to $0 upon commencement of the second renewal term. Miami Tenant has the right to provide the security deposit in the form of letter of credit.</w:t>
      </w:r>
    </w:p>
    <w:p>
      <w:pPr>
        <w:spacing w:after="0" w:line="46" w:lineRule="exact"/>
        <w:rPr>
          <w:sz w:val="20"/>
          <w:szCs w:val="20"/>
          <w:color w:val="auto"/>
        </w:rPr>
      </w:pPr>
    </w:p>
    <w:p>
      <w:pPr>
        <w:ind w:right="560" w:firstLine="360"/>
        <w:spacing w:after="0" w:line="308" w:lineRule="auto"/>
        <w:rPr>
          <w:sz w:val="20"/>
          <w:szCs w:val="20"/>
          <w:color w:val="auto"/>
        </w:rPr>
      </w:pPr>
      <w:r>
        <w:rPr>
          <w:rFonts w:ascii="Arial" w:cs="Arial" w:eastAsia="Arial" w:hAnsi="Arial"/>
          <w:sz w:val="17"/>
          <w:szCs w:val="17"/>
          <w:i w:val="1"/>
          <w:iCs w:val="1"/>
          <w:color w:val="auto"/>
        </w:rPr>
        <w:t>Net Lease</w:t>
      </w:r>
      <w:r>
        <w:rPr>
          <w:rFonts w:ascii="Arial" w:cs="Arial" w:eastAsia="Arial" w:hAnsi="Arial"/>
          <w:sz w:val="17"/>
          <w:szCs w:val="17"/>
          <w:color w:val="auto"/>
        </w:rPr>
        <w:t>. Miami Tenant is responsible for all other costs attributable to the Miami leased premises and Miami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property taxes, insurance, and utilities, as well as all maintenance, repair, and replacement costs.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Mr. Edens owns or leases an aircraft that we charter from a third-party aircraft operator for business purposes in the ordinary course of operations. We incurred $2.9 million and $1.6 million for the year ended December 31, 2017 and 2016, respectively, and such amounts are included within Selling, general and administrative charges reimbursed to FIG LLC pursuant to the management services agreement described below. We paid the aircraft operator market rates for the charters. The operator remits a portion of these amounts to Mr. Edens.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are party to an administrative services agreement with FIG LLC, an affiliate of Fortress, pursuant to which FIG LLC provides us with certain back-office services and charges us for selling, general and administrative expenses incurred to provide these services. For the years ended December 31, 2017 and 2016, we paid FIG LLC $3.9 million and $2.2 million, respectively, for services provided under the administrative services agreement.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Procedures for Review, Approval and Ratification of Transactions with Related Persons</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We expect that our Board will adopt a written policy that outlines procedures for approving transactions with related persons, and that any such transactions will be reviewed and approved or ratified by a majority of our disinterested and independent directors pursuant to the procedures outlined in any such policy. In determining whether to approve or ratify a transaction with a related person, we expect that the independent and disinterested directors will consider a variety of factors they deem relevant, such as: the terms of the transaction; the terms available to unrelated third parties; the benefits to the Company; and the availability of other sources for comparable assets, products or services.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Class A shares are entitled to one vote per share held of record on all matters to be voted upon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A shares do not have cumulative voting rights in the election of directors.</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our Class A shares are entitled to ratably receive dividends when and if declared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out of funds legally available for that purpose, subject to any statutory or contractual restrictions on the payment of dividends and to any prior rights and preferences that may be applicable to any outstanding preferred shares.</w:t>
      </w:r>
    </w:p>
    <w:p>
      <w:pPr>
        <w:spacing w:after="0" w:line="57"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distribution of assets or other winding up, the holders of Class A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receive ratably the assets available for distribution to the shareholders after payment of liabilities and the liquidation preference of any of our outstanding preferred shares.</w:t>
      </w:r>
    </w:p>
    <w:p>
      <w:pPr>
        <w:spacing w:after="0" w:line="73"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 or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by us. There are no redemption or sinking fund provisions applicable to the Class A shares. All outstanding Class A shares, including the Class A shares offered in this offering, are fully paid and non-assessable.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In connection with the reorganization and this offering, the NFI unitholders will receive one Class B share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NFI LLC Unit that they hold. Accordingly, the NFI unitholders will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 be voted upon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 It is not possible to state the actual effect of the issuance of 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preferred shares on the rights of holders of our Class A shares until our board of directors determines the specific rights attached to such preference share. The effect of issuing preferred shares may include, among other things, one or more of the following:</w:t>
      </w:r>
    </w:p>
    <w:p>
      <w:pPr>
        <w:spacing w:after="0" w:line="16" w:lineRule="exact"/>
        <w:rPr>
          <w:sz w:val="20"/>
          <w:szCs w:val="20"/>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restricting any dividends in respect of our Class A shares;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diluting the voting power of our Class A shares or providing that holders of preferred shares have the right to vote on matters as a class;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impairing the liquidation rights of our Class A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delaying or preventing a change of control of us; or</w:t>
      </w:r>
    </w:p>
    <w:p>
      <w:pPr>
        <w:spacing w:after="0" w:line="117" w:lineRule="exact"/>
        <w:rPr>
          <w:rFonts w:ascii="Arial" w:cs="Arial" w:eastAsia="Arial" w:hAnsi="Arial"/>
          <w:sz w:val="18"/>
          <w:szCs w:val="18"/>
          <w:color w:val="auto"/>
        </w:rPr>
      </w:pPr>
    </w:p>
    <w:p>
      <w:pPr>
        <w:ind w:left="700" w:right="60" w:hanging="356"/>
        <w:spacing w:after="0" w:line="264"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NFE issues preferred shares, NFI will concurrently issue to NFE an equal number of preferred units, corresponding to the preferred shares issued by NFE. Such preferred units will have substantially the same rights to distributions and other economic rights as those of the preferred shares of NFE.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Duties</w:t>
      </w:r>
    </w:p>
    <w:p>
      <w:pPr>
        <w:spacing w:after="0" w:line="117" w:lineRule="exact"/>
        <w:rPr>
          <w:sz w:val="20"/>
          <w:szCs w:val="20"/>
          <w:color w:val="auto"/>
        </w:rPr>
      </w:pPr>
    </w:p>
    <w:p>
      <w:pPr>
        <w:ind w:right="180" w:firstLine="900"/>
        <w:spacing w:after="0" w:line="277" w:lineRule="auto"/>
        <w:rPr>
          <w:sz w:val="20"/>
          <w:szCs w:val="20"/>
          <w:color w:val="auto"/>
        </w:rPr>
      </w:pPr>
      <w:r>
        <w:rPr>
          <w:rFonts w:ascii="Arial" w:cs="Arial" w:eastAsia="Arial" w:hAnsi="Arial"/>
          <w:sz w:val="18"/>
          <w:szCs w:val="18"/>
          <w:color w:val="auto"/>
        </w:rPr>
        <w:t>will serve as the registrar and transfer agent for the Class A shares. We will pay all fees charged by the transfer agent for transfers of Class A shares except the following, which must be paid by our Class A shareholders:</w:t>
      </w:r>
    </w:p>
    <w:p>
      <w:pPr>
        <w:spacing w:after="0" w:line="62" w:lineRule="exact"/>
        <w:rPr>
          <w:sz w:val="20"/>
          <w:szCs w:val="20"/>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There will be no charge to our Class A shareholders for disbursements of any dividends.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73" w:lineRule="exact"/>
        <w:rPr>
          <w:sz w:val="20"/>
          <w:szCs w:val="20"/>
          <w:color w:val="auto"/>
        </w:rPr>
      </w:pPr>
    </w:p>
    <w:p>
      <w:pPr>
        <w:ind w:left="700" w:hanging="35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that the transferee has the capacity, power and authority to enter into our operating agreement; and</w:t>
      </w:r>
    </w:p>
    <w:p>
      <w:pPr>
        <w:spacing w:after="0" w:line="128" w:lineRule="exact"/>
        <w:rPr>
          <w:rFonts w:ascii="Arial" w:cs="Arial" w:eastAsia="Arial" w:hAnsi="Arial"/>
          <w:sz w:val="17"/>
          <w:szCs w:val="17"/>
          <w:color w:val="auto"/>
        </w:rPr>
      </w:pPr>
    </w:p>
    <w:p>
      <w:pPr>
        <w:ind w:left="700" w:right="300" w:hanging="356"/>
        <w:spacing w:after="0" w:line="342"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makes the consents, acknowledgements and waivers contained in our operating agreement, such as the approval of all transactions and agreements that we are entering into in connection with our formation and this offering.</w:t>
      </w:r>
    </w:p>
    <w:p>
      <w:pPr>
        <w:spacing w:after="0" w:line="1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62"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shares and Class B shares are securities and any transfers are subject to the laws governing the transfer of securities.</w:t>
      </w:r>
    </w:p>
    <w:p>
      <w:pPr>
        <w:spacing w:after="0" w:line="14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700" w:right="20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6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shareholder or assignee to reflect:</w:t>
      </w:r>
    </w:p>
    <w:p>
      <w:pPr>
        <w:spacing w:after="0" w:line="62" w:lineRule="exact"/>
        <w:rPr>
          <w:sz w:val="20"/>
          <w:szCs w:val="20"/>
          <w:color w:val="auto"/>
        </w:rPr>
      </w:pPr>
    </w:p>
    <w:p>
      <w:pPr>
        <w:ind w:left="700" w:hanging="356"/>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change in our name, the location of our principal place of our business, our registered agent or our registered office;</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shareholders in accordance with our operating agreement;</w:t>
      </w:r>
    </w:p>
    <w:p>
      <w:pPr>
        <w:spacing w:after="0" w:line="128" w:lineRule="exact"/>
        <w:rPr>
          <w:rFonts w:ascii="Arial" w:cs="Arial" w:eastAsia="Arial" w:hAnsi="Arial"/>
          <w:sz w:val="17"/>
          <w:szCs w:val="17"/>
          <w:color w:val="auto"/>
        </w:rPr>
      </w:pPr>
    </w:p>
    <w:p>
      <w:pPr>
        <w:jc w:val="both"/>
        <w:ind w:left="700" w:right="80" w:hanging="356"/>
        <w:spacing w:after="0" w:line="26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3" w:lineRule="exact"/>
        <w:rPr>
          <w:rFonts w:ascii="Arial" w:cs="Arial" w:eastAsia="Arial" w:hAnsi="Arial"/>
          <w:sz w:val="18"/>
          <w:szCs w:val="18"/>
          <w:color w:val="auto"/>
        </w:rPr>
      </w:pPr>
    </w:p>
    <w:p>
      <w:pPr>
        <w:ind w:left="700" w:right="860" w:hanging="356"/>
        <w:spacing w:after="0" w:line="342"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ind w:left="700" w:right="40" w:hanging="356"/>
        <w:spacing w:after="0" w:line="25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80"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amendment expressly permitted in our operating agreement to be made by our board of directors acting alone;</w:t>
      </w:r>
    </w:p>
    <w:p>
      <w:pPr>
        <w:spacing w:after="0" w:line="128" w:lineRule="exact"/>
        <w:rPr>
          <w:rFonts w:ascii="Arial" w:cs="Arial" w:eastAsia="Arial" w:hAnsi="Arial"/>
          <w:sz w:val="17"/>
          <w:szCs w:val="17"/>
          <w:color w:val="auto"/>
        </w:rPr>
      </w:pPr>
    </w:p>
    <w:p>
      <w:pPr>
        <w:ind w:left="700" w:right="200" w:hanging="356"/>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ind w:left="700" w:right="280" w:hanging="356"/>
        <w:spacing w:after="0" w:line="342"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700" w:hanging="3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ind w:left="700" w:right="180" w:hanging="356"/>
        <w:spacing w:after="0" w:line="342"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5" w:lineRule="exact"/>
        <w:rPr>
          <w:rFonts w:ascii="Arial" w:cs="Arial" w:eastAsia="Arial" w:hAnsi="Arial"/>
          <w:sz w:val="16"/>
          <w:szCs w:val="16"/>
          <w:color w:val="auto"/>
        </w:rPr>
      </w:pPr>
    </w:p>
    <w:p>
      <w:pPr>
        <w:ind w:left="700" w:hanging="356"/>
        <w:spacing w:after="0" w:line="26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3"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Limited Liability Company Act (the “Delaware LLC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required to keep appropriate books of our business at our principal offices. The books will be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provided, however, that we will only be required to provide access to our books and records to shareholders who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have held over 1% of our total outstanding shares for a period of at least one year from the date of such request. We will use reasonable efforts to furnish to you an annual report containing audited consolidated financial statements and a report on those consolidated financial statements by our independent public accountants. We will be deemed to have made any such report available if we file such report with the SEC on EDGAR or make the report available on a publicly available website that we maintain.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the NYSE.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operating agreement provides that our board shall consist of not fewer than three and not more than nine directors as the board of directors may from time to time determine. Our board of directors will consist of directors and will be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2019, 2020, and 2021, respectively.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5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73"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In addition, our operating agreement provides that any director or the entire board of directors may be removed, with or without cause, at any time, by holders of at least 80% of the total combined voting power of all of our outstanding Class A shares and Class B shares then entitled to vote at an election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 Preferred Shares.” Our operating agreement does not provide our shareholders with the ability to call a special meeting of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date of the immediately preceding annual meeting of shareholders; provided, however, that in the event that the annual meeting is called for a date that is not within 25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Officers and Directors</w:t>
      </w:r>
    </w:p>
    <w:p>
      <w:pPr>
        <w:spacing w:after="0" w:line="121"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Our operating agreement provides that our business and affairs shall be managed under the direction of our board of directors, which shall have the power to appoint our officers. Our operating agreement further provides that the authority and function of our board of directors and officers shall be identical to the authority and functions of a board of directors and officers of a corporation organized under the Delaware General Corporation Law, or DGCL, except as expressly modified by the terms of the operating agreement. Finally, our operating agreement provides that except as specifically provided therein, the fiduciary duties and obligations owed to our limited liability company and to our members shall be the same as the respective duties and obligations owed by officers and directors of a corporation organized under the DGCL to their corporation and stockholders, respectively.</w:t>
      </w:r>
    </w:p>
    <w:p>
      <w:pPr>
        <w:spacing w:after="0" w:line="5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However, there are certain provisions in our operating agreement regarding exculpation and indemnification of our officers and directors that differ from the DGCL. First, 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stock or declaration of a dividend, or (iv) a transaction from which the director derived an improper personal benefit.</w:t>
      </w:r>
    </w:p>
    <w:p>
      <w:pPr>
        <w:spacing w:after="0" w:line="85"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Second, our operating agreement provides that we indemnify our directors and officers for acts or omissions to the fullest extent permitted by law. Under the DGCL, a corporation can only indemnify directors and officers for acts or omissions if the director or officer acted in good faith, in a manner the person reasonably believed to be in or not opposed to the best interests of the corporation, and, in a criminal action, if the officer or director had no reasonable cause to believe the person's conduct was unlawful.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Third, our operating agreement provides that in the event a potential conflict of interest exists or arises between any of our principals, our directors or their respective affiliates, on the one hand, and us, any of our subsidiaries or any of our shareholders, on the other hand, a resolution or course of action by our board of directors shall be deemed approved by all of our shareholders, and shall not constitute a breach of the fiduciary duties of members of the board to us or our shareholders, if such resolution or course of action is (i) approved by our nominating, corporate governance and conflicts committee, which is composed of independent directors, (ii) approved by shareholders holding a majority of our shares that are disinterested parties, (iii) on terms no less favorable than those generally provided to or available from unrelated third parties, or (iv) fair and reasonable to us. Under the DGCL, a corporation is not permitted to automatically exempt board members from claims of breach of fiduciary duty under such circumstances.</w:t>
      </w:r>
    </w:p>
    <w:p>
      <w:pPr>
        <w:spacing w:after="0" w:line="8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our operating agreement provides that all conflicts of interest described in this prospectus are deemed to have been specifically approved by all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Members of Our Board of Directors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Beginning with our first annual meeting of shareholders following this offering, certain members of our board of directors will</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 elected by our shareholders on a staggered basis. Our board of directors will initially consist of directors. Our board is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2019, 2020, and 2021, respectively. Any vacancy on the board of directors may be filled by a majority of the directors then in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at least 80%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Our operating agreement provides that our directors will not be personally liable to us or our shareholders for monetary damages for breach of a fiduciary duty as a director, except to the extent such exemption is not permitted under the Delaware LLC Act.</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8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Prior to the completion of this offering, we intend to enter into separate indemnification agreements with each of our directors and executive officers. Each indemnification agreement will provide, among other things, for indemnification to the fullest extent permitted by law and our operating agreement against (i) any and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will provide for the advancement or payment of all expenses to the indemnitee and for reimbursement to us if it is found that such indemnitee is not entitled to such indemnification under applicable law and our operating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ind w:left="700" w:right="140" w:hanging="356"/>
        <w:spacing w:after="0" w:line="286" w:lineRule="auto"/>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New Fortress Energy Holdings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700" w:right="520" w:hanging="356"/>
        <w:spacing w:after="0" w:line="264"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New Fortress Energy Holdings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3"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any of our directors and officers who is also a director, officer or employee of New Fortress Energy Holdings and their respective affiliates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New Fortress Energy Holdings and their respective affiliates pursues or acquires the corporate opportunity or if such person did not present the corporate opportunity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180" w:right="280" w:firstLine="180"/>
        <w:spacing w:after="0" w:line="291" w:lineRule="auto"/>
        <w:rPr>
          <w:sz w:val="20"/>
          <w:szCs w:val="20"/>
          <w:color w:val="auto"/>
        </w:rPr>
      </w:pPr>
      <w:r>
        <w:rPr>
          <w:rFonts w:ascii="Arial" w:cs="Arial" w:eastAsia="Arial" w:hAnsi="Arial"/>
          <w:sz w:val="16"/>
          <w:szCs w:val="16"/>
          <w:color w:val="auto"/>
        </w:rPr>
        <w:t>After the sale of the Class A shares offered by this prospectus, New Fortress Energy Holdings will hold an aggregate of Class B shares and no Class A shares. The sale of the Class A shares issuable upon exercise of the Redemption Right by New</w:t>
      </w:r>
    </w:p>
    <w:p>
      <w:pPr>
        <w:ind w:right="540"/>
        <w:spacing w:after="0" w:line="261" w:lineRule="auto"/>
        <w:rPr>
          <w:sz w:val="20"/>
          <w:szCs w:val="20"/>
          <w:color w:val="auto"/>
        </w:rPr>
      </w:pPr>
      <w:r>
        <w:rPr>
          <w:rFonts w:ascii="Arial" w:cs="Arial" w:eastAsia="Arial" w:hAnsi="Arial"/>
          <w:sz w:val="18"/>
          <w:szCs w:val="18"/>
          <w:color w:val="auto"/>
        </w:rPr>
        <w:t>Fortress Energy Holdings could have an adverse impact on the price of the Class A shares or on any trading market that may develop.</w:t>
      </w:r>
    </w:p>
    <w:p>
      <w:pPr>
        <w:spacing w:after="0" w:line="7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Class A shares sold in this offering will generally be freely transferable without restriction or further registration under the Securities Act, except that any Class A shares held by an “affiliate” of ours may not be resold publicly except in compliance with the registration requirements of the Securities Act or under an exemption under Rule 144 or otherwise. Rule 144 permits securities acquired by an affiliate of the issuer to be sold into the market in an amount that does not exceed, during any three-month period, the greater of:</w:t>
      </w:r>
    </w:p>
    <w:p>
      <w:pPr>
        <w:spacing w:after="0" w:line="80" w:lineRule="exact"/>
        <w:rPr>
          <w:sz w:val="20"/>
          <w:szCs w:val="20"/>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 of the total number of the securities outstanding;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shares for the four weeks prior to the sale.</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our Class A shares for at least six months (provided we are in compliance with the current public information requirement), or one year (regardless of whether we are in compliance with the current public information requirement), would be entitled to sell those Class A shares under Rule 144, subject only to the current public information requirement. After beneficially owning Rule 144 restricted shares for at least one year, a person who is not deemed to have been an affiliate of ours at any time during the 90 days preceding a sale would be entitled to freely sell those Class A shares without regard to the public information requirements, volume limitations, manner of sale provisions and notice requirements of Rule 144.</w:t>
      </w:r>
    </w:p>
    <w:p>
      <w:pPr>
        <w:spacing w:after="0" w:line="74"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Our operating agreement provides that we may issue an unlimited number of limited liability company interests of any type at any time without a vote of the shareholders, subject to the requirements of the NYSE. Any issuance of additional Class A shares or other limited liability company interests would result in a corresponding decrease in the proportionate ownership interest in us represented by, and could adversely affect the market price of, Class A shares then outstanding. Please read “Our Operating Agreement—Anti-Takeover Effects of Delaware Law and Our Operating Agreement—Issuance of Additional Interests.”</w:t>
      </w:r>
    </w:p>
    <w:p>
      <w:pPr>
        <w:spacing w:after="0" w:line="5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Under the registration rights agreement that we expect to enter into, New Fortress Energy Holdings and its affiliates will have the right to cause us to register under the Securities Act and applicable state securities laws the offer and sale of any shares that they hold. Subject to the terms and conditions of the registration rights agreement, these registration rights allow New Fortress Energy Holdings and its affiliates or their assignees holding any shares to require registration of any of these shares and to include any of these shares in a registration by us of other shares, including shares offered by us or by any shareholder. In connection with any registration of this kind, we will indemnify each shareholder participating in the registration and its officers, directors, and controlling persons from and against any liabilities under the Securities Act or any applicable state securities laws arising from the registration statement or prospectus. We will bear all costs and expenses incidental to any registration, excluding any underwriting discount. Except as described below, New Fortress Energy Holdings and its affiliates may sell their shares in private transactions at any time, subject to compliance with applicable laws.</w:t>
      </w:r>
    </w:p>
    <w:p>
      <w:pPr>
        <w:spacing w:after="0" w:line="70"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Our executive officers and directors and New Fortress Energy Holdings have agreed not to sell any Class A shares they beneficially own for a period of 180 days from the date of this prospectus. Please read “Underwriting” for a description of these lock-up provisions.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tax considerations related to the purchase, ownership and disposition of our Class A shares by a non-U.S. holder (as defined below),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71"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46" w:lineRule="exact"/>
        <w:rPr>
          <w:sz w:val="20"/>
          <w:szCs w:val="20"/>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qualified foreign pension funds (or any entities all of the interests of which are held by a qualified foreign pension fund);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58" w:lineRule="exact"/>
        <w:rPr>
          <w:sz w:val="20"/>
          <w:szCs w:val="20"/>
          <w:color w:val="auto"/>
        </w:rPr>
      </w:pPr>
    </w:p>
    <w:p>
      <w:pPr>
        <w:ind w:firstLine="360"/>
        <w:spacing w:after="0" w:line="277" w:lineRule="auto"/>
        <w:rPr>
          <w:sz w:val="20"/>
          <w:szCs w:val="20"/>
          <w:color w:val="auto"/>
        </w:rPr>
      </w:pPr>
      <w:r>
        <w:rPr>
          <w:rFonts w:ascii="Arial" w:cs="Arial" w:eastAsia="Arial" w:hAnsi="Arial"/>
          <w:sz w:val="17"/>
          <w:szCs w:val="17"/>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shares that is not for U.S. federal income tax purposes a partnership or any of the following:</w:t>
      </w:r>
    </w:p>
    <w:p>
      <w:pPr>
        <w:spacing w:after="0" w:line="62" w:lineRule="exact"/>
        <w:rPr>
          <w:sz w:val="20"/>
          <w:szCs w:val="20"/>
          <w:color w:val="auto"/>
        </w:rPr>
      </w:pPr>
    </w:p>
    <w:p>
      <w:pPr>
        <w:ind w:left="700" w:hanging="3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shares to consult their tax advisors regarding the U.S. federal income tax considerations of the purchase, ownership and disposition of our Class A shares by such partnership.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U.S. Federal Income Taxation</w:t>
      </w:r>
    </w:p>
    <w:p>
      <w:pPr>
        <w:spacing w:after="0" w:line="121"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Although NFE was formed as a limited liability company, we have elected to be taxed as a corporation for U.S. federal income tax purposes. Thus, NFE is generally obligated to pay U.S. federal income tax on our worldwide net taxable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As described in the section entitled “Dividend Policy,” we do not plan to make any distributions on our Class A shares for the foreseeable future. However, in the event we do make distributions of cash or other property on our Class A shares,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shares (and will reduce such tax basis) and thereafter as capital gain from the sale or exchange of such Class A shares. See “—Gain on Disposition of Class A Shares.”</w:t>
      </w:r>
    </w:p>
    <w:p>
      <w:pPr>
        <w:spacing w:after="0" w:line="70"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5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(including backup withholding described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“—Additional Withholding Requirements under FATCA,” a non-U.S. holder generally will not be subject to U.S. federal income tax or withholding on any gain realized upon the sale or other disposition of our Class A shares unless:</w:t>
      </w:r>
    </w:p>
    <w:p>
      <w:pPr>
        <w:spacing w:after="0" w:line="73" w:lineRule="exact"/>
        <w:rPr>
          <w:sz w:val="20"/>
          <w:szCs w:val="20"/>
          <w:color w:val="auto"/>
        </w:rPr>
      </w:pPr>
    </w:p>
    <w:p>
      <w:pPr>
        <w:ind w:left="700" w:right="300" w:hanging="356"/>
        <w:spacing w:after="0" w:line="342"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5" w:lineRule="exact"/>
        <w:rPr>
          <w:rFonts w:ascii="Arial" w:cs="Arial" w:eastAsia="Arial" w:hAnsi="Arial"/>
          <w:sz w:val="16"/>
          <w:szCs w:val="16"/>
          <w:color w:val="auto"/>
        </w:rPr>
      </w:pPr>
    </w:p>
    <w:p>
      <w:pPr>
        <w:ind w:left="700" w:right="280" w:hanging="356"/>
        <w:spacing w:after="0" w:line="26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3" w:lineRule="exact"/>
        <w:rPr>
          <w:rFonts w:ascii="Arial" w:cs="Arial" w:eastAsia="Arial" w:hAnsi="Arial"/>
          <w:sz w:val="18"/>
          <w:szCs w:val="18"/>
          <w:color w:val="auto"/>
        </w:rPr>
      </w:pPr>
    </w:p>
    <w:p>
      <w:pPr>
        <w:ind w:left="700" w:right="100" w:hanging="356"/>
        <w:spacing w:after="0" w:line="286"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Class A shares constitute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5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3"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5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With respect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this determination is not free from doubt, and we may become a USRPHC in the future depending on the manner in which we expand our business. In the event that we are or become a USRPHC, as long as our Class A shares are or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U.S. real property interest and will be taxable on gain realized on the disposition of our Class A shares as a result of our status as a USRPHC. If we are or become a USRPHC and our Class A shares were not considered to be regularly traded on an established securities market, such holder (regardless of the percentage of stock owned) would be treated as disposing of a U.S. real property interest and would be subject to U.S. federal income tax on a taxable disposition of our Class A shares (as described in the preceding paragraph), and a 15% withholding tax would apply to the gross proceeds from such disposition.</w:t>
      </w:r>
    </w:p>
    <w:p>
      <w:pPr>
        <w:spacing w:after="0" w:line="63" w:lineRule="exact"/>
        <w:rPr>
          <w:sz w:val="20"/>
          <w:szCs w:val="20"/>
          <w:color w:val="auto"/>
        </w:rPr>
      </w:pPr>
    </w:p>
    <w:p>
      <w:pPr>
        <w:ind w:right="20" w:firstLine="360"/>
        <w:spacing w:after="0" w:line="282" w:lineRule="auto"/>
        <w:rPr>
          <w:sz w:val="20"/>
          <w:szCs w:val="20"/>
          <w:color w:val="auto"/>
        </w:rPr>
      </w:pPr>
      <w:r>
        <w:rPr>
          <w:rFonts w:ascii="Arial" w:cs="Arial" w:eastAsia="Arial" w:hAnsi="Arial"/>
          <w:sz w:val="18"/>
          <w:szCs w:val="18"/>
          <w:b w:val="1"/>
          <w:bCs w:val="1"/>
          <w:color w:val="auto"/>
        </w:rPr>
        <w:t>NON-U.S. HOLDERS SHOULD CONSULT THEIR TAX ADVISORS WITH RESPECT TO THE APPLICATION OF THE FOREGOING RULES TO THEIR OWNERSHIP AND DISPOSITION OF OUR CLASS A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59"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2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69" w:lineRule="exact"/>
        <w:rPr>
          <w:sz w:val="20"/>
          <w:szCs w:val="20"/>
          <w:color w:val="auto"/>
        </w:rPr>
      </w:pPr>
    </w:p>
    <w:p>
      <w:pPr>
        <w:jc w:val="both"/>
        <w:ind w:right="80" w:firstLine="360"/>
        <w:spacing w:after="0" w:line="261"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ERISA CONSIDERATIONS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following is a summary of certain considerations associated with the acquisition and holding of our Class A shares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5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50"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In considering an investment in our Class A shares with a portion of the assets of any Plan, a fiduciary should consider the Plan’s particular circumstances and all of the facts and circumstances of the investment and determine whether the acquisition and holding of such Class A shares is in accordance with the documents and instruments governing the Plan and the applicable provisions of ERISA, the Code, or any Similar Law relating to the fiduciary’s duties to the Plan, including, without limitation:</w:t>
      </w:r>
    </w:p>
    <w:p>
      <w:pPr>
        <w:spacing w:after="0" w:line="46" w:lineRule="exact"/>
        <w:rPr>
          <w:sz w:val="20"/>
          <w:szCs w:val="20"/>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Class A shares;</w:t>
      </w:r>
    </w:p>
    <w:p>
      <w:pPr>
        <w:spacing w:after="0" w:line="117" w:lineRule="exact"/>
        <w:rPr>
          <w:rFonts w:ascii="Arial" w:cs="Arial" w:eastAsia="Arial" w:hAnsi="Arial"/>
          <w:sz w:val="18"/>
          <w:szCs w:val="18"/>
          <w:color w:val="auto"/>
        </w:rPr>
      </w:pPr>
    </w:p>
    <w:p>
      <w:pPr>
        <w:ind w:left="700" w:right="180" w:hanging="356"/>
        <w:spacing w:after="0" w:line="342"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whether the acquisition or holding of such Class A shares will constitute a “prohibited transaction” under Section 406 of ERISA or Section 4975 of the Code (please see discussion under “—Prohibited Transaction Issues” below); and</w:t>
      </w:r>
    </w:p>
    <w:p>
      <w:pPr>
        <w:spacing w:after="0" w:line="15" w:lineRule="exact"/>
        <w:rPr>
          <w:rFonts w:ascii="Arial" w:cs="Arial" w:eastAsia="Arial" w:hAnsi="Arial"/>
          <w:sz w:val="16"/>
          <w:szCs w:val="16"/>
          <w:color w:val="auto"/>
        </w:rPr>
      </w:pPr>
    </w:p>
    <w:p>
      <w:pPr>
        <w:ind w:left="700" w:right="80" w:hanging="356"/>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Class A shares or (ii) an undivided interest in our underlying assets (please see the discussion under “—Plan Asset Issues”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liabilities under ERISA and the Code. The acquisition and/or holding of our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46"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Additionally, a fiduciary of a Plan should consider whether the Plan will, by investing in our Class A shares,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73" w:lineRule="exact"/>
        <w:rPr>
          <w:sz w:val="20"/>
          <w:szCs w:val="20"/>
          <w:color w:val="auto"/>
        </w:rPr>
      </w:pPr>
    </w:p>
    <w:p>
      <w:pPr>
        <w:ind w:left="700" w:right="200" w:hanging="356"/>
        <w:spacing w:after="0" w:line="302" w:lineRule="auto"/>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46" w:lineRule="exact"/>
        <w:rPr>
          <w:rFonts w:ascii="Arial" w:cs="Arial" w:eastAsia="Arial" w:hAnsi="Arial"/>
          <w:sz w:val="16"/>
          <w:szCs w:val="16"/>
          <w:color w:val="auto"/>
        </w:rPr>
      </w:pPr>
    </w:p>
    <w:p>
      <w:pPr>
        <w:ind w:left="700" w:hanging="356"/>
        <w:spacing w:after="0" w:line="264"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3" w:lineRule="exact"/>
        <w:rPr>
          <w:rFonts w:ascii="Arial" w:cs="Arial" w:eastAsia="Arial" w:hAnsi="Arial"/>
          <w:sz w:val="18"/>
          <w:szCs w:val="18"/>
          <w:color w:val="auto"/>
        </w:rPr>
      </w:pPr>
    </w:p>
    <w:p>
      <w:pPr>
        <w:ind w:left="700" w:right="20" w:hanging="356"/>
        <w:spacing w:after="0" w:line="255"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81"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such Class A shares. Purchasers of our Class A shares have the exclusive responsibility for ensuring that their acquisition and holding of such Class A shares complies with the fiduciary responsibility rules of ERISA and does not violate the prohibited transaction rules of ERISA, the Code or applicable Similar Laws. The sale of our Class A shares to a Plan is in no respect a representation by us or any of our respective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3" w:name="page114"/>
    <w:bookmarkEnd w:id="11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We are offering the Class A shares described in this prospectus through a number of underwriters. and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Class A shares listed next to its name in the following table:</w:t>
      </w:r>
    </w:p>
    <w:p>
      <w:pPr>
        <w:spacing w:after="0" w:line="5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78"/>
        </w:trPr>
        <w:tc>
          <w:tcPr>
            <w:tcW w:w="798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Class A shares</w:t>
            </w:r>
          </w:p>
        </w:tc>
      </w:tr>
      <w:tr>
        <w:trPr>
          <w:trHeight w:val="243"/>
        </w:trPr>
        <w:tc>
          <w:tcPr>
            <w:tcW w:w="79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7"/>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6350</wp:posOffset>
            </wp:positionV>
            <wp:extent cx="8661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31750</wp:posOffset>
            </wp:positionV>
            <wp:extent cx="8661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1" w:lineRule="exact"/>
        <w:rPr>
          <w:sz w:val="20"/>
          <w:szCs w:val="20"/>
          <w:color w:val="auto"/>
        </w:rPr>
      </w:pPr>
    </w:p>
    <w:p>
      <w:pPr>
        <w:ind w:left="7" w:firstLine="360"/>
        <w:spacing w:after="0" w:line="285" w:lineRule="auto"/>
        <w:rPr>
          <w:sz w:val="20"/>
          <w:szCs w:val="20"/>
          <w:color w:val="auto"/>
        </w:rPr>
      </w:pPr>
      <w:r>
        <w:rPr>
          <w:rFonts w:ascii="Arial" w:cs="Arial" w:eastAsia="Arial" w:hAnsi="Arial"/>
          <w:sz w:val="16"/>
          <w:szCs w:val="16"/>
          <w:color w:val="auto"/>
        </w:rPr>
        <w:t>The underwriters are committed to purchase all the Class A shares offered by us if they purchase any Class A shares. The underwriting agreement also provides that if an underwriter defaults, the purchase commitments of non-defaulting underwriters may also be increased or the offering may be terminated. The underwriters propose to offer the Class A shares directly to the public at the initial public offering price set forth on the cover page of this prospectus and to certain dealers at that price less a concession not in excess of $ per Class A share. Any such dealers may resell Class A shares to certain other brokers or dealers at a discount of up to</w:t>
      </w:r>
    </w:p>
    <w:p>
      <w:pPr>
        <w:spacing w:after="0" w:line="2" w:lineRule="exact"/>
        <w:rPr>
          <w:sz w:val="20"/>
          <w:szCs w:val="20"/>
          <w:color w:val="auto"/>
        </w:rPr>
      </w:pPr>
    </w:p>
    <w:p>
      <w:pPr>
        <w:ind w:left="7" w:right="80" w:hanging="7"/>
        <w:spacing w:after="0" w:line="253" w:lineRule="auto"/>
        <w:tabs>
          <w:tab w:leader="none" w:pos="3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 Class A share from the initial public offering price. After the initial offering of the Class A shares to the public, if all of the Class A shares are not sold at the initial public offering price, the underwriters may change the offering price and the other selling terms. Sales of Class A shares made outside of the United States may be made by affiliates of the underwriters. The offering of the Class A shares by the underwriters is subject to receipt and acceptance and subject to the underwriters’ right to reject any order in whole or in part.</w:t>
      </w:r>
    </w:p>
    <w:p>
      <w:pPr>
        <w:spacing w:after="0" w:line="83" w:lineRule="exact"/>
        <w:rPr>
          <w:sz w:val="20"/>
          <w:szCs w:val="20"/>
          <w:color w:val="auto"/>
        </w:rPr>
      </w:pPr>
    </w:p>
    <w:p>
      <w:pPr>
        <w:ind w:left="7" w:right="20" w:firstLine="360"/>
        <w:spacing w:after="0" w:line="273" w:lineRule="auto"/>
        <w:rPr>
          <w:sz w:val="20"/>
          <w:szCs w:val="20"/>
          <w:color w:val="auto"/>
        </w:rPr>
      </w:pPr>
      <w:r>
        <w:rPr>
          <w:rFonts w:ascii="Arial" w:cs="Arial" w:eastAsia="Arial" w:hAnsi="Arial"/>
          <w:sz w:val="17"/>
          <w:szCs w:val="17"/>
          <w:color w:val="auto"/>
        </w:rPr>
        <w:t>The underwriters have an option to buy up to additional Class A shares from us to cover sales of Class A shares by the underwriters which exceed the number of Class A shares specified in the table above. The underwriters have 30 days from the date of this prospectus to exercise this option to purchase additional Class A shares. If any Class A shares are purchased with this option to purchase additional Class A shares, the underwriters will purchase Class A shares in approximately the same proportion as shown in the table above. If any additional Class A shares are purchased, the underwriters will offer the additional Class A shares on the same terms as those on which the Class A shares are being offered.</w:t>
      </w:r>
    </w:p>
    <w:p>
      <w:pPr>
        <w:spacing w:after="0" w:line="70" w:lineRule="exact"/>
        <w:rPr>
          <w:sz w:val="20"/>
          <w:szCs w:val="20"/>
          <w:color w:val="auto"/>
        </w:rPr>
      </w:pPr>
    </w:p>
    <w:p>
      <w:pPr>
        <w:ind w:left="7" w:right="180" w:firstLine="360"/>
        <w:spacing w:after="0" w:line="259" w:lineRule="auto"/>
        <w:rPr>
          <w:sz w:val="20"/>
          <w:szCs w:val="20"/>
          <w:color w:val="auto"/>
        </w:rPr>
      </w:pPr>
      <w:r>
        <w:rPr>
          <w:rFonts w:ascii="Arial" w:cs="Arial" w:eastAsia="Arial" w:hAnsi="Arial"/>
          <w:sz w:val="18"/>
          <w:szCs w:val="18"/>
          <w:color w:val="auto"/>
        </w:rPr>
        <w:t>The underwriting fee is equal to the public offering price per Class A share less the amount paid by the underwriters to us per Class A share. The underwriting fee is $ per Class A share. The following table shows the per Class A share and total underwriting discounts and commissions to be paid to the underwriters assuming both no exercise and full exercise of the underwriters’ option to purchase additional Class A shares.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Without option</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With full option</w:t>
            </w: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to purchase</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to purchase</w:t>
            </w: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Class A shares</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Class A shares</w:t>
            </w:r>
          </w:p>
        </w:tc>
      </w:tr>
      <w:tr>
        <w:trPr>
          <w:trHeight w:val="178"/>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w:t>
            </w:r>
          </w:p>
        </w:tc>
        <w:tc>
          <w:tcPr>
            <w:tcW w:w="180" w:type="dxa"/>
            <w:vAlign w:val="bottom"/>
          </w:tcPr>
          <w:p>
            <w:pPr>
              <w:spacing w:after="0"/>
              <w:rPr>
                <w:sz w:val="15"/>
                <w:szCs w:val="15"/>
                <w:color w:val="auto"/>
              </w:rPr>
            </w:pP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ind w:right="1163"/>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left="7" w:right="320" w:firstLine="360"/>
        <w:spacing w:after="0" w:line="25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of up to $ related to clearance of this offering with the Financial Industry Regulatory Authority, Inc., or FINRA.</w:t>
      </w:r>
    </w:p>
    <w:p>
      <w:pPr>
        <w:spacing w:after="0" w:line="79" w:lineRule="exact"/>
        <w:rPr>
          <w:sz w:val="20"/>
          <w:szCs w:val="20"/>
          <w:color w:val="auto"/>
        </w:rPr>
      </w:pPr>
    </w:p>
    <w:p>
      <w:pPr>
        <w:ind w:left="7" w:right="20" w:firstLine="360"/>
        <w:spacing w:after="0" w:line="25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this offering. The underwriters may agree to allocate a number of Class A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0"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We, all of our directors and executive officers and New Fortress Energy Holdings have agreed with the underwriters that, subject to certain exceptions, for 180 days after the date of this prospectus, without the prior written consent of , we and they will not directly or indirectly, (1) offer for sale, sell, pledge, or otherwise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dispose of (or enter into any transaction or device that is designed to, or could be expected to, result in the disposition by any person at any time in the future of) any Class A shares (including, without limitation, Class A shares that may be deemed to be beneficially owned by us or them in accordance with the rules and regulations of the SEC and Class A shares that may be issued upon exercise of any options or warrants) or securities convertible into or exercisable or exchangeable for our Class A shares, (2) enter into any swap or other derivatives transaction that transfers to another, in whole or in part, any of the economic consequences of ownership of our Class A shares, or (3) make any demand for or exercise any right or file or cause to be filed a registration statement, including any amendments thereto, with respect to the registration of any of our Class A shares or securities convertible, exercisable or exchangeable into our Class A shares or any of our other securities.</w:t>
      </w:r>
    </w:p>
    <w:p>
      <w:pPr>
        <w:spacing w:after="0" w:line="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We intend to apply to list our Class A shares on the NYSE under the symbol “NFE.”</w:t>
      </w:r>
    </w:p>
    <w:p>
      <w:pPr>
        <w:spacing w:after="0" w:line="62"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Class A shares in the open market for the purpose of preventing or retarding a decline in the market price of the Class A shares while this offering is in progress. These stabilizing transactions may include making short sales of the Class A shares, which involves the sale by the underwriters of a greater number of Class A shares than they are required to purchase in this offering.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Class A shares, in whole or in part, or by purchasing Class A shares in the open market. In making this determination, the underwriters will consider, among other things, the price of Class A shares available for purchase in the open market compared to the price at which the underwriters may purchase Class A shares through the option to purchase additional Class A shares. A naked short position is more likely to be created if the underwriters are concerned that there may be downward pressure on the price of the Class A shares in the open market that could adversely affect investors who purchase in this offering. To the extent that the underwriters create a naked short position, they will purchase Class A shares in the open market to cover the position. The underwriters have advised us that, pursuant to Regulation M of the Securities Act of 1933, they may also engage in other activities that stabilize, maintain or otherwise affect the price of the Class A shares, including the imposition of penalty bids. This means that if the representatives of the underwriters purchase Class A shares in the open market in stabilizing transactions or to cover short sales, the representatives can require the underwriters that sold those shares as part of this offering to repay the underwriting discount received by them. These activities may have the effect of raising or maintaining the market price of the Class A shares or preventing or retarding a decline in the market price of the Class A shares, and, as a result, the price of the Class A shares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7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Prior to this offering, there has been no public market for our Class A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3" w:lineRule="exact"/>
        <w:rPr>
          <w:sz w:val="20"/>
          <w:szCs w:val="20"/>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securities of generally comparable companies; and</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shares, or that the Class A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affiliates have provided in the past to us and our affiliates, and may provide from time to time in the future, certain commercial banking, financial advisory or investment banking advice or other services in the ordinary course of their business, for which they have received and may continue to receive customary fees and commissions. In addition, from time to time, certain of the underwriters and their respective affiliates, officers, directors and employees may effect transactions for their own account or the account of customers, and hold on behalf of themselves or their customers, long or short positions in our debt or equity securities or loans, and may do so in the future. The underwriters and their respective affiliates may also communicate independent investment recommendations, market color or trading ideas and/or publish or express independent research views in respect of the company’s securities and may at any time hold, or recommend to clients that they should acquire, long and/or short positions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 xml:space="preserve">The Class A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Any resale of the Class A shares must be made in accordance with an exemption from, or in a transaction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Member State</w:t>
      </w:r>
      <w:r>
        <w:rPr>
          <w:rFonts w:ascii="Arial" w:cs="Arial" w:eastAsia="Arial" w:hAnsi="Arial"/>
          <w:sz w:val="16"/>
          <w:szCs w:val="16"/>
          <w:color w:val="auto"/>
        </w:rPr>
        <w:t>”), an offer to the public of our Class A shares may not be made in that Relevant Member State, except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offer to the public in that Relevant Member State of our Class A shares may be made at any time under the following exemptions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Prospectus Directive:</w:t>
      </w:r>
    </w:p>
    <w:p>
      <w:pPr>
        <w:spacing w:after="0" w:line="103" w:lineRule="exact"/>
        <w:rPr>
          <w:sz w:val="20"/>
          <w:szCs w:val="20"/>
          <w:color w:val="auto"/>
        </w:rPr>
      </w:pPr>
    </w:p>
    <w:p>
      <w:pPr>
        <w:ind w:left="4640" w:right="2840" w:hanging="4296"/>
        <w:spacing w:after="0" w:line="528" w:lineRule="auto"/>
        <w:tabs>
          <w:tab w:leader="none" w:pos="6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0" w:hanging="3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jc w:val="both"/>
        <w:ind w:left="700" w:right="80" w:hanging="356"/>
        <w:spacing w:after="0" w:line="264"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Class A shares shall result in a requirement for the publication by us or any underwriter of a prospectus pursuant to Article 3 of the Prospectus Directive.</w:t>
      </w:r>
    </w:p>
    <w:p>
      <w:pPr>
        <w:spacing w:after="0" w:line="73"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shares in any Relevant Member State means the communication in any form and by any means of sufficient information on the terms of the offer and our Class A shares to be offered so as to enable an investor to decide to purchase our Class A shares, as the same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The Class A shares may not be offered or sold by means of any document other than (i) in circumstances that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Class A shares may not be circulated or distributed, nor may the Class A shares be offered or sold, or be made the subject of an invitation for subscription or purchase, whether directly or indirectly, to persons in Singapore other than (i) to an institutional investor under Section 274 of the Securities and Futures Act (“SFA”),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 Where the Class A shares are subscribed or purchased under Section 275 by a relevant person that is:</w:t>
      </w:r>
    </w:p>
    <w:p>
      <w:pPr>
        <w:spacing w:after="0" w:line="71" w:lineRule="exact"/>
        <w:rPr>
          <w:sz w:val="20"/>
          <w:szCs w:val="20"/>
          <w:color w:val="auto"/>
        </w:rPr>
      </w:pPr>
    </w:p>
    <w:p>
      <w:pPr>
        <w:ind w:left="700" w:right="240" w:hanging="3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259"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w:t>
      </w:r>
    </w:p>
    <w:p>
      <w:pPr>
        <w:spacing w:after="0" w:line="78" w:lineRule="exact"/>
        <w:rPr>
          <w:rFonts w:ascii="Arial" w:cs="Arial" w:eastAsia="Arial" w:hAnsi="Arial"/>
          <w:sz w:val="18"/>
          <w:szCs w:val="18"/>
          <w:color w:val="auto"/>
        </w:rPr>
      </w:pPr>
    </w:p>
    <w:p>
      <w:pPr>
        <w:ind w:left="1060" w:right="240" w:hanging="351"/>
        <w:spacing w:after="0" w:line="308" w:lineRule="auto"/>
        <w:tabs>
          <w:tab w:leader="none" w:pos="10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SFA or to a relevant person, or any person pursuant to Section 275(1A), and in accordance with the conditions, specified in Section 275 of the SFA;</w:t>
      </w:r>
    </w:p>
    <w:p>
      <w:pPr>
        <w:spacing w:after="0" w:line="38" w:lineRule="exact"/>
        <w:rPr>
          <w:rFonts w:ascii="Arial" w:cs="Arial" w:eastAsia="Arial" w:hAnsi="Arial"/>
          <w:sz w:val="17"/>
          <w:szCs w:val="17"/>
          <w:color w:val="auto"/>
        </w:rPr>
      </w:pPr>
    </w:p>
    <w:p>
      <w:pPr>
        <w:ind w:left="1060" w:hanging="351"/>
        <w:spacing w:after="0"/>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Class A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Class A shares has been or will be filed with or approved by any Swiss regulatory authority. In particular, this document will not be filed with, and the offer of Class A shares will not be supervised by, the Swiss Financial Market Supervisory Authority FINMA, and the offer of Class A shares has not been and will not be authorized under the Swiss Federal Act on Collective Investment Schemes, or CISA. The investor protection afforded to acquirers of interests in collective investment schemes under the CISA does not extend to acquirers of Class A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140" w:firstLine="360"/>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Class A shares to which this prospectus relates may be illiquid and/or subject to restrictions on their resale. Prospective purchasers of the Class A shares offered should conduct their own due diligence on the Class A shares. If you do not understand the contents of this prospectus, you should consult an authorized financial advisor.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to investment professionals falling within Article 19(5) of the Financial Services and Markets Act 2000 (Financial Promotion) Order 2005, or the Order, or (iii) high net worth entities, and other persons to whom it may lawfully be communicated, falling with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Certain legal matters in connection with our Class A shares offered hereby will be passed upon for the underwriters by ,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right="100" w:firstLine="360"/>
        <w:spacing w:after="0" w:line="302" w:lineRule="auto"/>
        <w:rPr>
          <w:sz w:val="20"/>
          <w:szCs w:val="20"/>
          <w:color w:val="auto"/>
        </w:rPr>
      </w:pPr>
      <w:r>
        <w:rPr>
          <w:rFonts w:ascii="Arial" w:cs="Arial" w:eastAsia="Arial" w:hAnsi="Arial"/>
          <w:sz w:val="16"/>
          <w:szCs w:val="16"/>
          <w:color w:val="auto"/>
        </w:rPr>
        <w:t>The consolidated financial statements of New Fortress Energy Holdings LLC at December 31, 2017 and 2016,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We have filed with the SEC a registration statement on Form S-1 regarding our Class A shares. This prospectus does not contain all of the information found in the registration statement. For further information regarding us and the Class A shares offered by this prospectus, you may desire to review the full registration statement, including its exhibits and schedules, filed under the Securities Act. The registration statement of which this prospectus forms a part, including its exhibits and schedules, may be inspected and copied at the public reference room maintained by the SEC at 100 F Street, N.E., Room 1580, Washington, D.C. 20549. Copies of the materials may also be obtained from the SEC at prescribed rates by writing to the public reference room maintained by the SEC at 100 F Street, N.E., Room 1580, Washington, D.C. 20549. You may obtain information on the operation of the public reference room by calling the SEC at 1-800-SEC-0330.</w:t>
      </w:r>
    </w:p>
    <w:p>
      <w:pPr>
        <w:spacing w:after="0" w:line="7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 xml:space="preserve">The SEC maintains a website on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 Our registration statement, of which this prospectus constitutes a part, can be downloaded from the SEC’s website and can also be inspected and copied at the offices of the New York Stock Exchange, Inc., 20 Broad Street, New York, New York 10005.</w:t>
      </w:r>
    </w:p>
    <w:p>
      <w:pPr>
        <w:spacing w:after="0" w:line="7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Upon completion of this offering, we will file with or furnish to the SEC periodic reports and other information. These reports and other information may be inspected and copied at the public reference facilities maintained by the SEC or obtained from the SEC’s website as provided above. Our website on the Internet is located at </w:t>
      </w:r>
      <w:r>
        <w:rPr>
          <w:rFonts w:ascii="Arial" w:cs="Arial" w:eastAsia="Arial" w:hAnsi="Arial"/>
          <w:sz w:val="16"/>
          <w:szCs w:val="16"/>
          <w:i w:val="1"/>
          <w:iCs w:val="1"/>
          <w:color w:val="auto"/>
        </w:rPr>
        <w:t>www.newfortresenergy.com</w:t>
      </w:r>
      <w:r>
        <w:rPr>
          <w:rFonts w:ascii="Arial" w:cs="Arial" w:eastAsia="Arial" w:hAnsi="Arial"/>
          <w:sz w:val="16"/>
          <w:szCs w:val="16"/>
          <w:color w:val="auto"/>
        </w:rPr>
        <w:t xml:space="preserve"> and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57"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We intend to furnish or make available to our shareholders annual reports containing our audited financial statements and furnish or make available to our shareholders quarterly reports containing our unaudited interim financial information, including the information required by Form 10-Q, for the first three fiscal quarters of each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This prospectus includes forward-looking statements regarding, among other things, our plans, strategies, prospects and projections, both business and financial. 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74" w:lineRule="exact"/>
        <w:rPr>
          <w:sz w:val="20"/>
          <w:szCs w:val="20"/>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140" w:lineRule="exact"/>
        <w:rPr>
          <w:rFonts w:ascii="Arial" w:cs="Arial" w:eastAsia="Arial" w:hAnsi="Arial"/>
          <w:sz w:val="16"/>
          <w:szCs w:val="16"/>
          <w:color w:val="auto"/>
        </w:rPr>
      </w:pPr>
    </w:p>
    <w:p>
      <w:pPr>
        <w:ind w:left="700" w:right="100" w:hanging="356"/>
        <w:spacing w:after="0" w:line="277"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power plants or Liquefaction Facilities, as well as difficulties in obtaining sufficient financing to pay for such costs and delays;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failure to produce or purchase sufficient amounts of LNG or natural gas at favorable prices to meet customer demand;</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failure of natural gas to be a competitive source of energy in the markets in which we operate, and seek to operate;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Jamaica and the Caribbean.</w:t>
      </w:r>
    </w:p>
    <w:p>
      <w:pPr>
        <w:spacing w:after="0" w:line="140"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When considering forward-looking statements, you should keep in mind the risks set forth under the heading “Risk Factors” and other cautionary statements included in this prospectus.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8160" w:type="dxa"/>
            <w:vAlign w:val="bottom"/>
            <w:gridSpan w:val="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8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rPr>
              <w:t>INDEX TO CONSOLIDATED FINANCIAL STATEMENTS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NEW FORTRESS ENERGY HOLDINGS LLC</w:t>
            </w: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gridSpan w:val="8"/>
          </w:tcPr>
          <w:p>
            <w:pPr>
              <w:spacing w:after="0" w:line="189" w:lineRule="exact"/>
              <w:rPr>
                <w:rFonts w:ascii="Arial" w:cs="Arial" w:eastAsia="Arial" w:hAnsi="Arial"/>
                <w:sz w:val="18"/>
                <w:szCs w:val="18"/>
                <w:color w:val="0000EE"/>
              </w:rPr>
            </w:pPr>
            <w:hyperlink w:anchor="page122">
              <w:r>
                <w:rPr>
                  <w:rFonts w:ascii="Arial" w:cs="Arial" w:eastAsia="Arial" w:hAnsi="Arial"/>
                  <w:sz w:val="18"/>
                  <w:szCs w:val="18"/>
                  <w:color w:val="0000EE"/>
                </w:rPr>
                <w:t>Report of Independent Registered Public Accounting Firm</w:t>
              </w:r>
            </w:hyperlink>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22">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40" w:type="dxa"/>
            <w:vAlign w:val="bottom"/>
            <w:gridSpan w:val="8"/>
            <w:shd w:val="clear" w:color="auto" w:fill="CCEEFF"/>
          </w:tcPr>
          <w:p>
            <w:pPr>
              <w:spacing w:after="0" w:line="189" w:lineRule="exact"/>
              <w:rPr>
                <w:rFonts w:ascii="Arial" w:cs="Arial" w:eastAsia="Arial" w:hAnsi="Arial"/>
                <w:sz w:val="18"/>
                <w:szCs w:val="18"/>
                <w:color w:val="0000EE"/>
              </w:rPr>
            </w:pPr>
            <w:hyperlink w:anchor="page123">
              <w:r>
                <w:rPr>
                  <w:rFonts w:ascii="Arial" w:cs="Arial" w:eastAsia="Arial" w:hAnsi="Arial"/>
                  <w:sz w:val="18"/>
                  <w:szCs w:val="18"/>
                  <w:color w:val="0000EE"/>
                </w:rPr>
                <w:t>Consolidated Balance Sheets</w:t>
              </w:r>
            </w:hyperlink>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23">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40" w:type="dxa"/>
            <w:vAlign w:val="bottom"/>
            <w:gridSpan w:val="8"/>
          </w:tcPr>
          <w:p>
            <w:pPr>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Consolidated Statements of Operations and Comprehensive Loss</w:t>
              </w:r>
            </w:hyperlink>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Consolidated Statements of Changes in Members’ Equity</w:t>
              </w:r>
            </w:hyperlink>
          </w:p>
        </w:tc>
        <w:tc>
          <w:tcPr>
            <w:tcW w:w="4020" w:type="dxa"/>
            <w:vAlign w:val="bottom"/>
            <w:gridSpan w:val="3"/>
            <w:shd w:val="clear" w:color="auto" w:fill="CCEEFF"/>
          </w:tcPr>
          <w:p>
            <w:pPr>
              <w:spacing w:after="0"/>
              <w:rPr>
                <w:sz w:val="16"/>
                <w:szCs w:val="16"/>
                <w:color w:val="auto"/>
              </w:rPr>
            </w:pPr>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25">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5"/>
          </w:tcPr>
          <w:p>
            <w:pPr>
              <w:spacing w:after="0" w:line="189" w:lineRule="exact"/>
              <w:rPr>
                <w:rFonts w:ascii="Arial" w:cs="Arial" w:eastAsia="Arial" w:hAnsi="Arial"/>
                <w:sz w:val="18"/>
                <w:szCs w:val="18"/>
                <w:color w:val="0000EE"/>
              </w:rPr>
            </w:pPr>
            <w:hyperlink w:anchor="page126">
              <w:r>
                <w:rPr>
                  <w:rFonts w:ascii="Arial" w:cs="Arial" w:eastAsia="Arial" w:hAnsi="Arial"/>
                  <w:sz w:val="18"/>
                  <w:szCs w:val="18"/>
                  <w:color w:val="0000EE"/>
                </w:rPr>
                <w:t>Consolidated Statements of Cash Flows</w:t>
              </w:r>
            </w:hyperlink>
          </w:p>
        </w:tc>
        <w:tc>
          <w:tcPr>
            <w:tcW w:w="4020" w:type="dxa"/>
            <w:vAlign w:val="bottom"/>
            <w:gridSpan w:val="3"/>
          </w:tcPr>
          <w:p>
            <w:pPr>
              <w:spacing w:after="0"/>
              <w:rPr>
                <w:sz w:val="16"/>
                <w:szCs w:val="16"/>
                <w:color w:val="auto"/>
              </w:rPr>
            </w:pPr>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26">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8"/>
            <w:shd w:val="clear" w:color="auto" w:fill="CCEEFF"/>
          </w:tcPr>
          <w:p>
            <w:pPr>
              <w:spacing w:after="0" w:line="189" w:lineRule="exact"/>
              <w:rPr>
                <w:rFonts w:ascii="Arial" w:cs="Arial" w:eastAsia="Arial" w:hAnsi="Arial"/>
                <w:sz w:val="18"/>
                <w:szCs w:val="18"/>
                <w:color w:val="0000EE"/>
              </w:rPr>
            </w:pPr>
            <w:hyperlink w:anchor="page127">
              <w:r>
                <w:rPr>
                  <w:rFonts w:ascii="Arial" w:cs="Arial" w:eastAsia="Arial" w:hAnsi="Arial"/>
                  <w:sz w:val="18"/>
                  <w:szCs w:val="18"/>
                  <w:color w:val="0000EE"/>
                </w:rPr>
                <w:t>Notes to Consolidated Financial Statements</w:t>
              </w:r>
            </w:hyperlink>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27">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32"/>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gridSpan w:val="2"/>
          </w:tcPr>
          <w:p>
            <w:pPr>
              <w:jc w:val="center"/>
              <w:ind w:right="2840"/>
              <w:spacing w:after="0"/>
              <w:rPr>
                <w:sz w:val="20"/>
                <w:szCs w:val="20"/>
                <w:color w:val="auto"/>
              </w:rPr>
            </w:pPr>
            <w:r>
              <w:rPr>
                <w:rFonts w:ascii="Arial" w:cs="Arial" w:eastAsia="Arial" w:hAnsi="Arial"/>
                <w:sz w:val="18"/>
                <w:szCs w:val="18"/>
                <w:color w:val="auto"/>
                <w:w w:val="96"/>
              </w:rPr>
              <w:t>F-1</w:t>
            </w: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6"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right="2540" w:firstLine="2528"/>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Members of New Fortress Energy Holdings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New Fortress Energy Holdings LLC (the “Company”) as of December 31, 2017 and 2016, the related consolidated statements of operations and comprehensive loss, changes in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the years then ended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auto"/>
        <w:rPr>
          <w:sz w:val="20"/>
          <w:szCs w:val="20"/>
          <w:color w:val="auto"/>
        </w:rPr>
      </w:pPr>
      <w:r>
        <w:rPr>
          <w:rFonts w:ascii="Arial" w:cs="Arial" w:eastAsia="Arial" w:hAnsi="Arial"/>
          <w:sz w:val="18"/>
          <w:szCs w:val="18"/>
          <w:b w:val="1"/>
          <w:bCs w:val="1"/>
          <w:color w:val="auto"/>
        </w:rPr>
        <w:t>As of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Finance leases, net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1"/>
              </w:rPr>
              <w:t>Members’ capital, no par value, 500,000,000 shares authorized, 65,665,037 shares issued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7"/>
              </w:rPr>
              <w:t>outstanding as of December 31, 2017; 65,000,000 shares issued and outstanding as of</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406,591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(48,676)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00" w:type="dxa"/>
            <w:vAlign w:val="bottom"/>
            <w:gridSpan w:val="5"/>
          </w:tcPr>
          <w:p>
            <w:pPr>
              <w:jc w:val="center"/>
              <w:ind w:left="11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40" w:type="dxa"/>
            <w:vAlign w:val="bottom"/>
          </w:tcPr>
          <w:p>
            <w:pPr>
              <w:jc w:val="center"/>
              <w:ind w:left="2470"/>
              <w:spacing w:after="0"/>
              <w:rPr>
                <w:sz w:val="20"/>
                <w:szCs w:val="20"/>
                <w:color w:val="auto"/>
              </w:rPr>
            </w:pPr>
            <w:r>
              <w:rPr>
                <w:rFonts w:ascii="Arial" w:cs="Arial" w:eastAsia="Arial" w:hAnsi="Arial"/>
                <w:sz w:val="18"/>
                <w:szCs w:val="18"/>
                <w:color w:val="auto"/>
                <w:w w:val="96"/>
              </w:rPr>
              <w:t>F-3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968"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6" w:lineRule="exact"/>
        <w:rPr>
          <w:sz w:val="20"/>
          <w:szCs w:val="20"/>
          <w:color w:val="auto"/>
        </w:rPr>
      </w:pPr>
    </w:p>
    <w:p>
      <w:pPr>
        <w:ind w:right="4580"/>
        <w:spacing w:after="0" w:line="248" w:lineRule="auto"/>
        <w:rPr>
          <w:sz w:val="20"/>
          <w:szCs w:val="20"/>
          <w:color w:val="auto"/>
        </w:rPr>
      </w:pPr>
      <w:r>
        <w:rPr>
          <w:rFonts w:ascii="Arial" w:cs="Arial" w:eastAsia="Arial" w:hAnsi="Arial"/>
          <w:sz w:val="17"/>
          <w:szCs w:val="17"/>
          <w:b w:val="1"/>
          <w:bCs w:val="1"/>
          <w:color w:val="auto"/>
        </w:rPr>
        <w:t>Consolidated Statements of Operations and Comprehensive Loss 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(24,990)</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58,753,425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2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Pro forma income tax (expense) benefit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34"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Members’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subscription</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receivable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deficit</w:t>
            </w:r>
          </w:p>
        </w:tc>
        <w:tc>
          <w:tcPr>
            <w:tcW w:w="18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equity</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36,983</w:t>
            </w:r>
          </w:p>
        </w:tc>
        <w:tc>
          <w:tcPr>
            <w:tcW w:w="1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300,776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300,776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spacing w:after="0"/>
              <w:rPr>
                <w:sz w:val="20"/>
                <w:szCs w:val="20"/>
                <w:color w:val="auto"/>
              </w:rPr>
            </w:pPr>
            <w:r>
              <w:rPr>
                <w:rFonts w:ascii="Arial" w:cs="Arial" w:eastAsia="Arial" w:hAnsi="Arial"/>
                <w:sz w:val="18"/>
                <w:szCs w:val="18"/>
                <w:color w:val="auto"/>
              </w:rPr>
              <w:t>Costs of issuing capital</w:t>
            </w: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336,683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(48,676)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289,370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Capital contributions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Costs of issuing capital</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3520" w:type="dxa"/>
            <w:vAlign w:val="bottom"/>
            <w:gridSpan w:val="2"/>
          </w:tcPr>
          <w:p>
            <w:pPr>
              <w:spacing w:after="0"/>
              <w:rPr>
                <w:sz w:val="20"/>
                <w:szCs w:val="20"/>
                <w:color w:val="auto"/>
              </w:rPr>
            </w:pPr>
            <w:r>
              <w:rPr>
                <w:rFonts w:ascii="Arial" w:cs="Arial" w:eastAsia="Arial" w:hAnsi="Arial"/>
                <w:sz w:val="18"/>
                <w:szCs w:val="18"/>
                <w:color w:val="auto"/>
              </w:rPr>
              <w:t>Stock subscription receivable</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406,591</w:t>
            </w:r>
          </w:p>
        </w:tc>
        <w:tc>
          <w:tcPr>
            <w:tcW w:w="1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2,666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278,910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40" w:type="dxa"/>
            <w:vAlign w:val="bottom"/>
            <w:gridSpan w:val="14"/>
          </w:tcPr>
          <w:p>
            <w:pPr>
              <w:jc w:val="right"/>
              <w:ind w:right="354"/>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Accretion on asset retirement obligations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Abandoned project cost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(3,114)</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(21,738)</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payable/accrued liabilities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(Decrease) increase in property taxes payable</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amounts due to/from affiliates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(Decrease) increase in other liabilities</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available-for-sale investment</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(22,538)</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(28,727)</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borrowings of debt</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(5,828)</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 of deferred financing costs</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and (repayment of) Member’s note</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Capital contributed from Members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 of stock issuance costs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(95,942)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180,650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Changes in accrued costs for assets subject to finance lease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Amortized debt issuance cost capitalized</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4"/>
          </w:tcPr>
          <w:p>
            <w:pPr>
              <w:jc w:val="right"/>
              <w:ind w:righ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940" w:type="dxa"/>
            <w:vAlign w:val="bottom"/>
          </w:tcPr>
          <w:p>
            <w:pPr>
              <w:ind w:left="4620"/>
              <w:spacing w:after="0"/>
              <w:rPr>
                <w:sz w:val="20"/>
                <w:szCs w:val="20"/>
                <w:color w:val="auto"/>
              </w:rPr>
            </w:pPr>
            <w:r>
              <w:rPr>
                <w:rFonts w:ascii="Arial" w:cs="Arial" w:eastAsia="Arial" w:hAnsi="Arial"/>
                <w:sz w:val="18"/>
                <w:szCs w:val="18"/>
                <w:color w:val="auto"/>
              </w:rPr>
              <w:t>F-6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26" w:name="page127"/>
    <w:bookmarkEnd w:id="12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New Fortress Energy Holdings LLC</w:t>
      </w:r>
    </w:p>
    <w:p>
      <w:pPr>
        <w:ind w:left="7"/>
        <w:spacing w:after="0" w:line="221" w:lineRule="auto"/>
        <w:rPr>
          <w:sz w:val="20"/>
          <w:szCs w:val="20"/>
          <w:color w:val="auto"/>
        </w:rPr>
      </w:pPr>
      <w:r>
        <w:rPr>
          <w:rFonts w:ascii="Arial" w:cs="Arial" w:eastAsia="Arial" w:hAnsi="Arial"/>
          <w:sz w:val="18"/>
          <w:szCs w:val="18"/>
          <w:b w:val="1"/>
          <w:bCs w:val="1"/>
          <w:color w:val="auto"/>
        </w:rPr>
        <w:t>Notes to Consolidated Financial Statements</w:t>
      </w:r>
    </w:p>
    <w:p>
      <w:pPr>
        <w:ind w:left="7"/>
        <w:spacing w:after="0" w:line="219" w:lineRule="auto"/>
        <w:rPr>
          <w:sz w:val="20"/>
          <w:szCs w:val="20"/>
          <w:color w:val="auto"/>
        </w:rPr>
      </w:pPr>
      <w:r>
        <w:rPr>
          <w:rFonts w:ascii="Arial" w:cs="Arial" w:eastAsia="Arial" w:hAnsi="Arial"/>
          <w:sz w:val="18"/>
          <w:szCs w:val="18"/>
          <w:b w:val="1"/>
          <w:bCs w:val="1"/>
          <w:color w:val="auto"/>
        </w:rPr>
        <w:t>December 31, 2017</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6071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0" w:lineRule="exact"/>
        <w:rPr>
          <w:sz w:val="20"/>
          <w:szCs w:val="20"/>
          <w:color w:val="auto"/>
        </w:rPr>
      </w:pPr>
    </w:p>
    <w:p>
      <w:pPr>
        <w:ind w:left="347" w:hanging="347"/>
        <w:spacing w:after="0"/>
        <w:tabs>
          <w:tab w:leader="none" w:pos="34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367" w:right="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established and growing energy infrastructure company with contracted current cash flows from existing customers and plans for future growth. The Company is engaged in providing energy, logistical services, and financing capital investment to end users worldwide, seeking to convert their operating assets from diesel or heavy fuel oil to Liquefied Natural Gas (“LNG”).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7"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 on the delivery of an integrated solution to our customers.</w:t>
      </w:r>
    </w:p>
    <w:p>
      <w:pPr>
        <w:spacing w:after="0" w:line="53" w:lineRule="exact"/>
        <w:rPr>
          <w:rFonts w:ascii="Arial" w:cs="Arial" w:eastAsia="Arial" w:hAnsi="Arial"/>
          <w:sz w:val="18"/>
          <w:szCs w:val="18"/>
          <w:b w:val="1"/>
          <w:bCs w:val="1"/>
          <w:color w:val="auto"/>
        </w:rPr>
      </w:pPr>
    </w:p>
    <w:p>
      <w:pPr>
        <w:ind w:left="347" w:hanging="347"/>
        <w:spacing w:after="0"/>
        <w:tabs>
          <w:tab w:leader="none" w:pos="34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principal accounting policies adopted are set out below.</w:t>
      </w:r>
    </w:p>
    <w:p>
      <w:pPr>
        <w:spacing w:after="0" w:line="113" w:lineRule="exact"/>
        <w:rPr>
          <w:rFonts w:ascii="Arial" w:cs="Arial" w:eastAsia="Arial" w:hAnsi="Arial"/>
          <w:sz w:val="18"/>
          <w:szCs w:val="18"/>
          <w:b w:val="1"/>
          <w:bCs w:val="1"/>
          <w:color w:val="auto"/>
        </w:rPr>
      </w:pPr>
    </w:p>
    <w:p>
      <w:pPr>
        <w:ind w:left="707" w:hanging="356"/>
        <w:spacing w:after="0"/>
        <w:tabs>
          <w:tab w:leader="none" w:pos="707"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727" w:right="120"/>
        <w:spacing w:after="0" w:line="259" w:lineRule="auto"/>
        <w:rPr>
          <w:rFonts w:ascii="Arial" w:cs="Arial" w:eastAsia="Arial" w:hAnsi="Arial"/>
          <w:sz w:val="18"/>
          <w:szCs w:val="18"/>
          <w:color w:val="auto"/>
        </w:rPr>
      </w:pPr>
      <w:r>
        <w:rPr>
          <w:rFonts w:ascii="Arial" w:cs="Arial" w:eastAsia="Arial" w:hAnsi="Arial"/>
          <w:sz w:val="18"/>
          <w:szCs w:val="18"/>
          <w:color w:val="auto"/>
        </w:rPr>
        <w:t>The consolidated financial statements were prepared in accordance with US generally accepted accounting principles (“GAAP”). The consolidated financial statements include the accounts of the Company and its consolidated subsidiaries. All consolidated subsidiary entities are wholly-owned. All significant intercompany transactions and balances have been eliminated on consolidation.</w:t>
      </w:r>
    </w:p>
    <w:p>
      <w:pPr>
        <w:spacing w:after="0" w:line="74" w:lineRule="exact"/>
        <w:rPr>
          <w:rFonts w:ascii="Arial" w:cs="Arial" w:eastAsia="Arial" w:hAnsi="Arial"/>
          <w:sz w:val="18"/>
          <w:szCs w:val="18"/>
          <w:color w:val="auto"/>
        </w:rPr>
      </w:pPr>
    </w:p>
    <w:p>
      <w:pPr>
        <w:ind w:left="707" w:hanging="356"/>
        <w:spacing w:after="0"/>
        <w:tabs>
          <w:tab w:leader="none" w:pos="707"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727" w:right="140"/>
        <w:spacing w:after="0" w:line="297" w:lineRule="auto"/>
        <w:rPr>
          <w:rFonts w:ascii="Arial" w:cs="Arial" w:eastAsia="Arial" w:hAnsi="Arial"/>
          <w:sz w:val="18"/>
          <w:szCs w:val="18"/>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46" w:lineRule="exact"/>
        <w:rPr>
          <w:rFonts w:ascii="Arial" w:cs="Arial" w:eastAsia="Arial" w:hAnsi="Arial"/>
          <w:sz w:val="18"/>
          <w:szCs w:val="18"/>
          <w:color w:val="auto"/>
        </w:rPr>
      </w:pPr>
    </w:p>
    <w:p>
      <w:pPr>
        <w:ind w:left="707" w:hanging="356"/>
        <w:spacing w:after="0"/>
        <w:tabs>
          <w:tab w:leader="none" w:pos="707"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21" w:lineRule="exact"/>
        <w:rPr>
          <w:rFonts w:ascii="Arial" w:cs="Arial" w:eastAsia="Arial" w:hAnsi="Arial"/>
          <w:sz w:val="18"/>
          <w:szCs w:val="18"/>
          <w:color w:val="auto"/>
        </w:rPr>
      </w:pPr>
    </w:p>
    <w:p>
      <w:pPr>
        <w:ind w:left="727"/>
        <w:spacing w:after="0" w:line="257"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76" w:lineRule="exact"/>
        <w:rPr>
          <w:rFonts w:ascii="Arial" w:cs="Arial" w:eastAsia="Arial" w:hAnsi="Arial"/>
          <w:sz w:val="18"/>
          <w:szCs w:val="18"/>
          <w:color w:val="auto"/>
        </w:rPr>
      </w:pPr>
    </w:p>
    <w:p>
      <w:pPr>
        <w:ind w:left="707" w:hanging="356"/>
        <w:spacing w:after="0"/>
        <w:tabs>
          <w:tab w:leader="none" w:pos="707"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727" w:right="460"/>
        <w:spacing w:after="0" w:line="277"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58" w:lineRule="exact"/>
        <w:rPr>
          <w:rFonts w:ascii="Arial" w:cs="Arial" w:eastAsia="Arial" w:hAnsi="Arial"/>
          <w:sz w:val="18"/>
          <w:szCs w:val="18"/>
          <w:color w:val="auto"/>
        </w:rPr>
      </w:pPr>
    </w:p>
    <w:p>
      <w:pPr>
        <w:ind w:left="707" w:hanging="356"/>
        <w:spacing w:after="0"/>
        <w:tabs>
          <w:tab w:leader="none" w:pos="707"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727" w:right="500"/>
        <w:spacing w:after="0" w:line="277" w:lineRule="auto"/>
        <w:rPr>
          <w:rFonts w:ascii="Arial" w:cs="Arial" w:eastAsia="Arial" w:hAnsi="Arial"/>
          <w:sz w:val="18"/>
          <w:szCs w:val="18"/>
          <w:color w:val="auto"/>
        </w:rPr>
      </w:pPr>
      <w:r>
        <w:rPr>
          <w:rFonts w:ascii="Arial" w:cs="Arial" w:eastAsia="Arial" w:hAnsi="Arial"/>
          <w:sz w:val="18"/>
          <w:szCs w:val="18"/>
          <w:color w:val="auto"/>
        </w:rPr>
        <w:t>Restricted cash consists of funds that are contractually restricted as to usage or withdrawal and have been presented separately from cash and cash equivalents on the consolidated balance sheets.</w:t>
      </w:r>
    </w:p>
    <w:p>
      <w:pPr>
        <w:spacing w:after="0" w:line="58" w:lineRule="exact"/>
        <w:rPr>
          <w:rFonts w:ascii="Arial" w:cs="Arial" w:eastAsia="Arial" w:hAnsi="Arial"/>
          <w:sz w:val="18"/>
          <w:szCs w:val="18"/>
          <w:color w:val="auto"/>
        </w:rPr>
      </w:pPr>
    </w:p>
    <w:p>
      <w:pPr>
        <w:ind w:left="707" w:hanging="356"/>
        <w:spacing w:after="0"/>
        <w:tabs>
          <w:tab w:leader="none" w:pos="707"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21" w:lineRule="exact"/>
        <w:rPr>
          <w:rFonts w:ascii="Arial" w:cs="Arial" w:eastAsia="Arial" w:hAnsi="Arial"/>
          <w:sz w:val="18"/>
          <w:szCs w:val="18"/>
          <w:color w:val="auto"/>
        </w:rPr>
      </w:pPr>
    </w:p>
    <w:p>
      <w:pPr>
        <w:ind w:left="727" w:right="380"/>
        <w:spacing w:after="0" w:line="277"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59" w:lineRule="auto"/>
        <w:rPr>
          <w:sz w:val="20"/>
          <w:szCs w:val="20"/>
          <w:color w:val="auto"/>
        </w:rPr>
      </w:pPr>
      <w:r>
        <w:rPr>
          <w:rFonts w:ascii="Arial" w:cs="Arial" w:eastAsia="Arial" w:hAnsi="Arial"/>
          <w:sz w:val="18"/>
          <w:szCs w:val="18"/>
          <w:color w:val="auto"/>
        </w:rPr>
        <w:t>determined based on the debtor’s ability to pay and the estimated value of any collateral, and such losses are recorded as Selling, general and administrative within the consolidated statements of operations and comprehensive loss. For the years ended December 31, 2017 and 2016, no bad debt expense was recognized with respect to receivables, and there is no recorded allowance for doubtful accounts.</w:t>
      </w:r>
    </w:p>
    <w:p>
      <w:pPr>
        <w:spacing w:after="0" w:line="75" w:lineRule="exact"/>
        <w:rPr>
          <w:sz w:val="20"/>
          <w:szCs w:val="20"/>
          <w:color w:val="auto"/>
        </w:rPr>
      </w:pPr>
    </w:p>
    <w:p>
      <w:pPr>
        <w:ind w:left="700" w:hanging="35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720" w:right="40"/>
        <w:spacing w:after="0" w:line="264" w:lineRule="auto"/>
        <w:rPr>
          <w:rFonts w:ascii="Arial" w:cs="Arial" w:eastAsia="Arial" w:hAnsi="Arial"/>
          <w:sz w:val="18"/>
          <w:szCs w:val="18"/>
          <w:color w:val="auto"/>
        </w:rPr>
      </w:pPr>
      <w:r>
        <w:rPr>
          <w:rFonts w:ascii="Arial" w:cs="Arial" w:eastAsia="Arial" w:hAnsi="Arial"/>
          <w:sz w:val="18"/>
          <w:szCs w:val="18"/>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consolidated balance sheets.</w:t>
      </w:r>
    </w:p>
    <w:p>
      <w:pPr>
        <w:spacing w:after="0" w:line="73" w:lineRule="exact"/>
        <w:rPr>
          <w:rFonts w:ascii="Arial" w:cs="Arial" w:eastAsia="Arial" w:hAnsi="Arial"/>
          <w:sz w:val="18"/>
          <w:szCs w:val="18"/>
          <w:color w:val="auto"/>
        </w:rPr>
      </w:pPr>
    </w:p>
    <w:p>
      <w:pPr>
        <w:ind w:left="720"/>
        <w:spacing w:after="0" w:line="277" w:lineRule="auto"/>
        <w:rPr>
          <w:rFonts w:ascii="Arial" w:cs="Arial" w:eastAsia="Arial" w:hAnsi="Arial"/>
          <w:sz w:val="18"/>
          <w:szCs w:val="18"/>
          <w:color w:val="auto"/>
        </w:rPr>
      </w:pPr>
      <w:r>
        <w:rPr>
          <w:rFonts w:ascii="Arial" w:cs="Arial" w:eastAsia="Arial" w:hAnsi="Arial"/>
          <w:sz w:val="18"/>
          <w:szCs w:val="18"/>
          <w:color w:val="auto"/>
        </w:rPr>
        <w:t>Inventory is subject to the lower of cost or net realizable value each month. Changes in the value of inventory are recorded within Cost of sales in the consolidated statements of operations and comprehensive loss.</w:t>
      </w:r>
    </w:p>
    <w:p>
      <w:pPr>
        <w:spacing w:after="0" w:line="62" w:lineRule="exact"/>
        <w:rPr>
          <w:rFonts w:ascii="Arial" w:cs="Arial" w:eastAsia="Arial" w:hAnsi="Arial"/>
          <w:sz w:val="18"/>
          <w:szCs w:val="18"/>
          <w:color w:val="auto"/>
        </w:rPr>
      </w:pPr>
    </w:p>
    <w:p>
      <w:pPr>
        <w:ind w:left="720" w:right="260"/>
        <w:spacing w:after="0" w:line="259"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color w:val="auto"/>
        </w:rPr>
      </w:pPr>
    </w:p>
    <w:p>
      <w:pPr>
        <w:jc w:val="both"/>
        <w:ind w:left="720" w:right="120"/>
        <w:spacing w:after="0" w:line="312"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face of the consolidated balance sheets. Depreciation is not recognized during the construction period.</w:t>
      </w:r>
    </w:p>
    <w:p>
      <w:pPr>
        <w:spacing w:after="0" w:line="38" w:lineRule="exact"/>
        <w:rPr>
          <w:rFonts w:ascii="Arial" w:cs="Arial" w:eastAsia="Arial" w:hAnsi="Arial"/>
          <w:sz w:val="18"/>
          <w:szCs w:val="18"/>
          <w:color w:val="auto"/>
        </w:rPr>
      </w:pPr>
    </w:p>
    <w:p>
      <w:pPr>
        <w:ind w:left="720" w:right="40"/>
        <w:spacing w:after="0" w:line="259"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$0 and $3,517 was capitalized during the years ended December 31, 2017 and 2016, respectively, in addition to amortized debt issuance costs disclosed in Note 2(m).</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color w:val="auto"/>
        </w:rPr>
      </w:pPr>
    </w:p>
    <w:p>
      <w:pPr>
        <w:ind w:left="720" w:right="100"/>
        <w:spacing w:after="0" w:line="257"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betterments that extend the useful life of the asset are capitalized, while expenditures for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useful life of the asset.</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3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1"/>
              </w:rPr>
              <w:t>20-30</w:t>
            </w:r>
          </w:p>
        </w:tc>
        <w:tc>
          <w:tcPr>
            <w:tcW w:w="8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ind w:left="34"/>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20"/>
                <w:szCs w:val="20"/>
                <w:color w:val="auto"/>
              </w:rPr>
            </w:pPr>
          </w:p>
        </w:tc>
      </w:tr>
      <w:tr>
        <w:trPr>
          <w:trHeight w:val="24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1"/>
                <w:szCs w:val="2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0"/>
                <w:szCs w:val="20"/>
                <w:color w:val="auto"/>
              </w:rPr>
            </w:pPr>
          </w:p>
        </w:tc>
      </w:tr>
    </w:tbl>
    <w:p>
      <w:pPr>
        <w:spacing w:after="0" w:line="106" w:lineRule="exact"/>
        <w:rPr>
          <w:sz w:val="20"/>
          <w:szCs w:val="20"/>
          <w:color w:val="auto"/>
        </w:rPr>
      </w:pPr>
    </w:p>
    <w:p>
      <w:pPr>
        <w:ind w:left="720" w:right="200"/>
        <w:spacing w:after="0" w:line="277"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2" w:lineRule="exact"/>
        <w:rPr>
          <w:sz w:val="20"/>
          <w:szCs w:val="20"/>
          <w:color w:val="auto"/>
        </w:rPr>
      </w:pPr>
    </w:p>
    <w:p>
      <w:pPr>
        <w:ind w:left="720" w:right="120"/>
        <w:spacing w:after="0" w:line="264"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69" w:lineRule="exact"/>
        <w:rPr>
          <w:sz w:val="20"/>
          <w:szCs w:val="20"/>
          <w:color w:val="auto"/>
        </w:rPr>
      </w:pPr>
    </w:p>
    <w:p>
      <w:pPr>
        <w:ind w:left="700" w:hanging="35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21" w:lineRule="exact"/>
        <w:rPr>
          <w:rFonts w:ascii="Arial" w:cs="Arial" w:eastAsia="Arial" w:hAnsi="Arial"/>
          <w:sz w:val="18"/>
          <w:szCs w:val="18"/>
          <w:color w:val="auto"/>
        </w:rPr>
      </w:pPr>
    </w:p>
    <w:p>
      <w:pPr>
        <w:ind w:left="720" w:right="140"/>
        <w:spacing w:after="0" w:line="259" w:lineRule="auto"/>
        <w:rPr>
          <w:rFonts w:ascii="Arial" w:cs="Arial" w:eastAsia="Arial" w:hAnsi="Arial"/>
          <w:sz w:val="18"/>
          <w:szCs w:val="18"/>
          <w:color w:val="auto"/>
        </w:rPr>
      </w:pPr>
      <w:r>
        <w:rPr>
          <w:rFonts w:ascii="Arial" w:cs="Arial" w:eastAsia="Arial" w:hAnsi="Arial"/>
          <w:sz w:val="18"/>
          <w:szCs w:val="18"/>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64" w:lineRule="auto"/>
        <w:rPr>
          <w:sz w:val="20"/>
          <w:szCs w:val="20"/>
          <w:color w:val="auto"/>
        </w:rPr>
      </w:pPr>
      <w:r>
        <w:rPr>
          <w:rFonts w:ascii="Arial" w:cs="Arial" w:eastAsia="Arial" w:hAnsi="Arial"/>
          <w:sz w:val="18"/>
          <w:szCs w:val="18"/>
          <w:color w:val="auto"/>
        </w:rPr>
        <w:t>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3" w:lineRule="exact"/>
        <w:rPr>
          <w:sz w:val="20"/>
          <w:szCs w:val="20"/>
          <w:color w:val="auto"/>
        </w:rPr>
      </w:pPr>
    </w:p>
    <w:p>
      <w:pPr>
        <w:ind w:left="720" w:right="100"/>
        <w:spacing w:after="0" w:line="264" w:lineRule="auto"/>
        <w:rPr>
          <w:sz w:val="20"/>
          <w:szCs w:val="20"/>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w:t>
      </w:r>
    </w:p>
    <w:p>
      <w:pPr>
        <w:spacing w:after="0" w:line="69" w:lineRule="exact"/>
        <w:rPr>
          <w:sz w:val="20"/>
          <w:szCs w:val="20"/>
          <w:color w:val="auto"/>
        </w:rPr>
      </w:pPr>
    </w:p>
    <w:p>
      <w:pPr>
        <w:ind w:left="700" w:hanging="3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12"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38" w:lineRule="exact"/>
        <w:rPr>
          <w:rFonts w:ascii="Arial" w:cs="Arial" w:eastAsia="Arial" w:hAnsi="Arial"/>
          <w:sz w:val="18"/>
          <w:szCs w:val="18"/>
          <w:color w:val="auto"/>
        </w:rPr>
      </w:pPr>
    </w:p>
    <w:p>
      <w:pPr>
        <w:ind w:left="720" w:right="40"/>
        <w:spacing w:after="0" w:line="312"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record an impairment during the years ended December 31, 2017 and 2016.</w:t>
      </w:r>
    </w:p>
    <w:p>
      <w:pPr>
        <w:spacing w:after="0" w:line="34" w:lineRule="exact"/>
        <w:rPr>
          <w:rFonts w:ascii="Arial" w:cs="Arial" w:eastAsia="Arial" w:hAnsi="Arial"/>
          <w:sz w:val="18"/>
          <w:szCs w:val="18"/>
          <w:color w:val="auto"/>
        </w:rPr>
      </w:pPr>
    </w:p>
    <w:p>
      <w:pPr>
        <w:ind w:left="700" w:hanging="3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color w:val="auto"/>
        </w:rPr>
      </w:pPr>
    </w:p>
    <w:p>
      <w:pPr>
        <w:ind w:left="720" w:right="20"/>
        <w:spacing w:after="0" w:line="273" w:lineRule="auto"/>
        <w:rPr>
          <w:rFonts w:ascii="Arial" w:cs="Arial" w:eastAsia="Arial" w:hAnsi="Arial"/>
          <w:sz w:val="18"/>
          <w:szCs w:val="18"/>
          <w:color w:val="auto"/>
        </w:rPr>
      </w:pPr>
      <w:r>
        <w:rPr>
          <w:rFonts w:ascii="Arial" w:cs="Arial" w:eastAsia="Arial" w:hAnsi="Arial"/>
          <w:sz w:val="17"/>
          <w:szCs w:val="17"/>
          <w:color w:val="auto"/>
        </w:rPr>
        <w:t>The Company considers listed equity securities as available-for-sale securities recorded at fair value with unrealized gains or losses recorded in Other comprehensive (loss) and realized gains or losses recorded in earnings in Other (income), net in the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to determine if an other-than-temporary impairment has occurred (see Note 9).</w:t>
      </w:r>
    </w:p>
    <w:p>
      <w:pPr>
        <w:spacing w:after="0" w:line="66" w:lineRule="exact"/>
        <w:rPr>
          <w:rFonts w:ascii="Arial" w:cs="Arial" w:eastAsia="Arial" w:hAnsi="Arial"/>
          <w:sz w:val="18"/>
          <w:szCs w:val="18"/>
          <w:color w:val="auto"/>
        </w:rPr>
      </w:pPr>
    </w:p>
    <w:p>
      <w:pPr>
        <w:ind w:left="700" w:hanging="3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21" w:lineRule="exact"/>
        <w:rPr>
          <w:rFonts w:ascii="Arial" w:cs="Arial" w:eastAsia="Arial" w:hAnsi="Arial"/>
          <w:sz w:val="18"/>
          <w:szCs w:val="18"/>
          <w:color w:val="auto"/>
        </w:rPr>
      </w:pPr>
    </w:p>
    <w:p>
      <w:pPr>
        <w:ind w:left="720" w:right="100"/>
        <w:spacing w:after="0" w:line="297" w:lineRule="auto"/>
        <w:rPr>
          <w:rFonts w:ascii="Arial" w:cs="Arial" w:eastAsia="Arial" w:hAnsi="Arial"/>
          <w:sz w:val="18"/>
          <w:szCs w:val="18"/>
          <w:color w:val="auto"/>
        </w:rPr>
      </w:pPr>
      <w:r>
        <w:rPr>
          <w:rFonts w:ascii="Arial" w:cs="Arial" w:eastAsia="Arial" w:hAnsi="Arial"/>
          <w:sz w:val="16"/>
          <w:szCs w:val="16"/>
          <w:color w:val="auto"/>
        </w:rPr>
        <w:t>The Company’s debt consists of credit facilities with banks. Costs directly related to the issuance of debt are reported in the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$696 and $1,464 for the years ended December 31, 2017 and 2016, respectively, of which $0 and $689 were capitalized.</w:t>
      </w:r>
    </w:p>
    <w:p>
      <w:pPr>
        <w:spacing w:after="0" w:line="46" w:lineRule="exact"/>
        <w:rPr>
          <w:rFonts w:ascii="Arial" w:cs="Arial" w:eastAsia="Arial" w:hAnsi="Arial"/>
          <w:sz w:val="18"/>
          <w:szCs w:val="18"/>
          <w:color w:val="auto"/>
        </w:rPr>
      </w:pPr>
    </w:p>
    <w:p>
      <w:pPr>
        <w:ind w:left="700" w:hanging="3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Legal and other contingencies</w:t>
      </w:r>
    </w:p>
    <w:p>
      <w:pPr>
        <w:spacing w:after="0" w:line="121" w:lineRule="exact"/>
        <w:rPr>
          <w:rFonts w:ascii="Arial" w:cs="Arial" w:eastAsia="Arial" w:hAnsi="Arial"/>
          <w:sz w:val="18"/>
          <w:szCs w:val="18"/>
          <w:color w:val="auto"/>
        </w:rPr>
      </w:pPr>
    </w:p>
    <w:p>
      <w:pPr>
        <w:ind w:left="720" w:right="60"/>
        <w:spacing w:after="0" w:line="273" w:lineRule="auto"/>
        <w:rPr>
          <w:rFonts w:ascii="Arial" w:cs="Arial" w:eastAsia="Arial" w:hAnsi="Arial"/>
          <w:sz w:val="18"/>
          <w:szCs w:val="18"/>
          <w:color w:val="auto"/>
        </w:rPr>
      </w:pPr>
      <w:r>
        <w:rPr>
          <w:rFonts w:ascii="Arial" w:cs="Arial" w:eastAsia="Arial" w:hAnsi="Arial"/>
          <w:sz w:val="17"/>
          <w:szCs w:val="17"/>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66" w:lineRule="exact"/>
        <w:rPr>
          <w:rFonts w:ascii="Arial" w:cs="Arial" w:eastAsia="Arial" w:hAnsi="Arial"/>
          <w:sz w:val="18"/>
          <w:szCs w:val="18"/>
          <w:color w:val="auto"/>
        </w:rPr>
      </w:pPr>
    </w:p>
    <w:p>
      <w:pPr>
        <w:ind w:left="700" w:hanging="3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720" w:right="40"/>
        <w:spacing w:after="0" w:line="277"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620"/>
        <w:spacing w:after="0" w:line="264" w:lineRule="auto"/>
        <w:rPr>
          <w:sz w:val="20"/>
          <w:szCs w:val="20"/>
          <w:color w:val="auto"/>
        </w:rPr>
      </w:pPr>
      <w:r>
        <w:rPr>
          <w:rFonts w:ascii="Arial" w:cs="Arial" w:eastAsia="Arial" w:hAnsi="Arial"/>
          <w:sz w:val="18"/>
          <w:szCs w:val="18"/>
          <w:color w:val="auto"/>
        </w:rPr>
        <w:t>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73" w:lineRule="exact"/>
        <w:rPr>
          <w:sz w:val="20"/>
          <w:szCs w:val="20"/>
          <w:color w:val="auto"/>
        </w:rPr>
      </w:pPr>
    </w:p>
    <w:p>
      <w:pPr>
        <w:ind w:left="720" w:right="520"/>
        <w:spacing w:after="0" w:line="286" w:lineRule="auto"/>
        <w:rPr>
          <w:sz w:val="20"/>
          <w:szCs w:val="20"/>
          <w:color w:val="auto"/>
        </w:rPr>
      </w:pPr>
      <w:r>
        <w:rPr>
          <w:rFonts w:ascii="Arial" w:cs="Arial" w:eastAsia="Arial" w:hAnsi="Arial"/>
          <w:sz w:val="17"/>
          <w:szCs w:val="17"/>
          <w:color w:val="auto"/>
        </w:rPr>
        <w:t>The Company collects sales taxes from its customers on sales of taxable products and remits such collections to the appropriate taxing authority. Sales tax collections are presented in the consolidated statements of operations and comprehensive loss on a net basis and, accordingly, are excluded from reported revenues.</w:t>
      </w:r>
    </w:p>
    <w:p>
      <w:pPr>
        <w:spacing w:after="0" w:line="57"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statements of operations and comprehensive loss. The principal components of the lease payment are reflected as a reduction to the net investment in the finance lease.</w:t>
      </w:r>
    </w:p>
    <w:p>
      <w:pPr>
        <w:spacing w:after="0" w:line="85" w:lineRule="exact"/>
        <w:rPr>
          <w:sz w:val="20"/>
          <w:szCs w:val="20"/>
          <w:color w:val="auto"/>
        </w:rPr>
      </w:pPr>
    </w:p>
    <w:p>
      <w:pPr>
        <w:ind w:left="720" w:right="200"/>
        <w:spacing w:after="0" w:line="264" w:lineRule="auto"/>
        <w:rPr>
          <w:sz w:val="20"/>
          <w:szCs w:val="20"/>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69" w:lineRule="exact"/>
        <w:rPr>
          <w:sz w:val="20"/>
          <w:szCs w:val="20"/>
          <w:color w:val="auto"/>
        </w:rPr>
      </w:pPr>
    </w:p>
    <w:p>
      <w:pPr>
        <w:ind w:left="700" w:hanging="35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color w:val="auto"/>
        </w:rPr>
      </w:pPr>
    </w:p>
    <w:p>
      <w:pPr>
        <w:ind w:left="720" w:right="60"/>
        <w:spacing w:after="0" w:line="312" w:lineRule="auto"/>
        <w:rPr>
          <w:rFonts w:ascii="Arial" w:cs="Arial" w:eastAsia="Arial" w:hAnsi="Arial"/>
          <w:sz w:val="18"/>
          <w:szCs w:val="18"/>
          <w:color w:val="auto"/>
        </w:rPr>
      </w:pPr>
      <w:r>
        <w:rPr>
          <w:rFonts w:ascii="Arial" w:cs="Arial" w:eastAsia="Arial" w:hAnsi="Arial"/>
          <w:sz w:val="16"/>
          <w:szCs w:val="16"/>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 All other leases are classified as operating leases.</w:t>
      </w:r>
    </w:p>
    <w:p>
      <w:pPr>
        <w:spacing w:after="0" w:line="38" w:lineRule="exact"/>
        <w:rPr>
          <w:rFonts w:ascii="Arial" w:cs="Arial" w:eastAsia="Arial" w:hAnsi="Arial"/>
          <w:sz w:val="18"/>
          <w:szCs w:val="18"/>
          <w:color w:val="auto"/>
        </w:rPr>
      </w:pPr>
    </w:p>
    <w:p>
      <w:pPr>
        <w:ind w:left="720" w:right="100"/>
        <w:spacing w:after="0" w:line="277"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consolidated statements of operations and comprehensive loss on a straight-line basis over the term of the relevant lease.</w:t>
      </w:r>
    </w:p>
    <w:p>
      <w:pPr>
        <w:spacing w:after="0" w:line="58" w:lineRule="exact"/>
        <w:rPr>
          <w:rFonts w:ascii="Arial" w:cs="Arial" w:eastAsia="Arial" w:hAnsi="Arial"/>
          <w:sz w:val="18"/>
          <w:szCs w:val="18"/>
          <w:color w:val="auto"/>
        </w:rPr>
      </w:pPr>
    </w:p>
    <w:p>
      <w:pPr>
        <w:ind w:left="700" w:hanging="35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Federal and state income taxes</w:t>
      </w:r>
    </w:p>
    <w:p>
      <w:pPr>
        <w:spacing w:after="0" w:line="117" w:lineRule="exact"/>
        <w:rPr>
          <w:rFonts w:ascii="Arial" w:cs="Arial" w:eastAsia="Arial" w:hAnsi="Arial"/>
          <w:sz w:val="18"/>
          <w:szCs w:val="18"/>
          <w:color w:val="auto"/>
        </w:rPr>
      </w:pPr>
    </w:p>
    <w:p>
      <w:pPr>
        <w:jc w:val="both"/>
        <w:ind w:left="720" w:right="180"/>
        <w:spacing w:after="0" w:line="288" w:lineRule="auto"/>
        <w:rPr>
          <w:rFonts w:ascii="Arial" w:cs="Arial" w:eastAsia="Arial" w:hAnsi="Arial"/>
          <w:sz w:val="18"/>
          <w:szCs w:val="18"/>
          <w:color w:val="auto"/>
        </w:rPr>
      </w:pPr>
      <w:r>
        <w:rPr>
          <w:rFonts w:ascii="Arial" w:cs="Arial" w:eastAsia="Arial" w:hAnsi="Arial"/>
          <w:sz w:val="16"/>
          <w:szCs w:val="16"/>
          <w:color w:val="auto"/>
        </w:rPr>
        <w:t>New Fortress Energy Holdings LLC is a limited liability company, which is considered a pass-through entity for federal income tax purposes, and thus no provision for federal income taxes has been recognized in these consolidated financial statements. The Company files tax returns in the U.S. federal jurisdiction and various state jurisdictions, as applicable.</w:t>
      </w:r>
    </w:p>
    <w:p>
      <w:pPr>
        <w:ind w:left="720" w:right="20"/>
        <w:spacing w:after="0" w:line="269" w:lineRule="auto"/>
        <w:rPr>
          <w:rFonts w:ascii="Arial" w:cs="Arial" w:eastAsia="Arial" w:hAnsi="Arial"/>
          <w:sz w:val="18"/>
          <w:szCs w:val="18"/>
          <w:color w:val="auto"/>
        </w:rPr>
      </w:pPr>
      <w:r>
        <w:rPr>
          <w:rFonts w:ascii="Arial" w:cs="Arial" w:eastAsia="Arial" w:hAnsi="Arial"/>
          <w:sz w:val="17"/>
          <w:szCs w:val="17"/>
          <w:color w:val="auto"/>
        </w:rPr>
        <w:t>The tax returns filed by the Company since inception are subject to examination by the U.S. federal and state tax authorities. Upon consummation of the anticipated public offering (“Proposed Offering”), the Company will contribute all of its interests in its subsidiaries and its limited assets to a subsidiary of NFE Financial Holdings LLC (the “Registrant”). The Registrant has elected to be taxed as a corporation and will become subject to corporate U.S. federal and state income taxes. Accordingly, a pro forma income tax provision has been disclosed as if the Company was a taxable corporation for the year ended December 31, 2017. Pro forma tax (expense) benefit was computed using an estimated effective rate of %, inclusive of all applicable U.S. federal, state and foreign taxes.</w:t>
      </w:r>
    </w:p>
    <w:p>
      <w:pPr>
        <w:spacing w:after="0" w:line="72"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 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consolidated financial statements.</w:t>
      </w:r>
    </w:p>
    <w:p>
      <w:pPr>
        <w:spacing w:after="0" w:line="18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Foreign taxes</w:t>
      </w:r>
    </w:p>
    <w:p>
      <w:pPr>
        <w:spacing w:after="0" w:line="117" w:lineRule="exact"/>
        <w:rPr>
          <w:rFonts w:ascii="Arial" w:cs="Arial" w:eastAsia="Arial" w:hAnsi="Arial"/>
          <w:sz w:val="18"/>
          <w:szCs w:val="18"/>
          <w:color w:val="auto"/>
        </w:rPr>
      </w:pPr>
    </w:p>
    <w:p>
      <w:pPr>
        <w:ind w:left="720" w:right="380"/>
        <w:spacing w:after="0" w:line="277" w:lineRule="auto"/>
        <w:rPr>
          <w:rFonts w:ascii="Arial" w:cs="Arial" w:eastAsia="Arial" w:hAnsi="Arial"/>
          <w:sz w:val="18"/>
          <w:szCs w:val="18"/>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computed at the local jurisdictional tax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0" w:name="page131"/>
    <w:bookmarkEnd w:id="13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727"/>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727" w:right="160"/>
        <w:spacing w:after="0" w:line="302" w:lineRule="auto"/>
        <w:rPr>
          <w:sz w:val="20"/>
          <w:szCs w:val="20"/>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42" w:lineRule="exact"/>
        <w:rPr>
          <w:sz w:val="20"/>
          <w:szCs w:val="20"/>
          <w:color w:val="auto"/>
        </w:rPr>
      </w:pPr>
    </w:p>
    <w:p>
      <w:pPr>
        <w:ind w:left="707" w:hanging="356"/>
        <w:spacing w:after="0"/>
        <w:tabs>
          <w:tab w:leader="none" w:pos="707"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color w:val="auto"/>
        </w:rPr>
      </w:pPr>
    </w:p>
    <w:p>
      <w:pPr>
        <w:ind w:left="727" w:right="60"/>
        <w:spacing w:after="0" w:line="264" w:lineRule="auto"/>
        <w:rPr>
          <w:rFonts w:ascii="Arial" w:cs="Arial" w:eastAsia="Arial" w:hAnsi="Arial"/>
          <w:sz w:val="18"/>
          <w:szCs w:val="18"/>
          <w:color w:val="auto"/>
        </w:rPr>
      </w:pPr>
      <w:r>
        <w:rPr>
          <w:rFonts w:ascii="Arial" w:cs="Arial" w:eastAsia="Arial" w:hAnsi="Arial"/>
          <w:sz w:val="18"/>
          <w:szCs w:val="18"/>
          <w:color w:val="auto"/>
        </w:rPr>
        <w:t>Pro forma net loss per share has been presented for the most recent period. Pro forma basic and diluted net loss per share was computed by dividing pro forma net loss by the weighted average number of common shares outstanding for the year ended December 31, 2017.</w:t>
      </w:r>
    </w:p>
    <w:p>
      <w:pPr>
        <w:spacing w:after="0" w:line="69" w:lineRule="exact"/>
        <w:rPr>
          <w:rFonts w:ascii="Arial" w:cs="Arial" w:eastAsia="Arial" w:hAnsi="Arial"/>
          <w:sz w:val="18"/>
          <w:szCs w:val="18"/>
          <w:color w:val="auto"/>
        </w:rPr>
      </w:pPr>
    </w:p>
    <w:p>
      <w:pPr>
        <w:ind w:left="347" w:hanging="347"/>
        <w:spacing w:after="0"/>
        <w:tabs>
          <w:tab w:leader="none" w:pos="347"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21" w:lineRule="exact"/>
        <w:rPr>
          <w:rFonts w:ascii="Arial" w:cs="Arial" w:eastAsia="Arial" w:hAnsi="Arial"/>
          <w:sz w:val="18"/>
          <w:szCs w:val="18"/>
          <w:b w:val="1"/>
          <w:bCs w:val="1"/>
          <w:color w:val="auto"/>
        </w:rPr>
      </w:pPr>
    </w:p>
    <w:p>
      <w:pPr>
        <w:ind w:left="367"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9" w:lineRule="exact"/>
        <w:rPr>
          <w:sz w:val="20"/>
          <w:szCs w:val="20"/>
          <w:color w:val="auto"/>
        </w:rPr>
      </w:pPr>
    </w:p>
    <w:p>
      <w:pPr>
        <w:ind w:left="727" w:right="120"/>
        <w:spacing w:after="0" w:line="255" w:lineRule="auto"/>
        <w:rPr>
          <w:sz w:val="20"/>
          <w:szCs w:val="20"/>
          <w:color w:val="auto"/>
        </w:rPr>
      </w:pPr>
      <w:r>
        <w:rPr>
          <w:rFonts w:ascii="Arial" w:cs="Arial" w:eastAsia="Arial" w:hAnsi="Arial"/>
          <w:sz w:val="18"/>
          <w:szCs w:val="18"/>
          <w:color w:val="auto"/>
        </w:rPr>
        <w:t xml:space="preserve">In July 2015, the Financial Accounting Standrards Board (“FASB”) issued Accounting Standard Update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changes the measurement principle for inventory from the lower of cost or market to the lower of cost and net realizable value. ASU 2015-11 is effective for the Company for annual periods in fiscal years beginning after December 15, 2016, and the Company adopted the new standard beginning January 1, 2017. Adoption of this guidance did not have a material effect on the Company’s consolidated financial statements.</w:t>
      </w:r>
    </w:p>
    <w:p>
      <w:pPr>
        <w:spacing w:after="0" w:line="85" w:lineRule="exact"/>
        <w:rPr>
          <w:sz w:val="20"/>
          <w:szCs w:val="20"/>
          <w:color w:val="auto"/>
        </w:rPr>
      </w:pPr>
    </w:p>
    <w:p>
      <w:pPr>
        <w:ind w:left="727" w:right="16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Adoption of this guidance did not have a material impact on the Company’s consolidated financial statements.</w:t>
      </w:r>
    </w:p>
    <w:p>
      <w:pPr>
        <w:spacing w:after="0" w:line="46" w:lineRule="exact"/>
        <w:rPr>
          <w:sz w:val="20"/>
          <w:szCs w:val="20"/>
          <w:color w:val="auto"/>
        </w:rPr>
      </w:pPr>
    </w:p>
    <w:p>
      <w:pPr>
        <w:ind w:left="707" w:right="160" w:hanging="356"/>
        <w:spacing w:after="0" w:line="282" w:lineRule="auto"/>
        <w:tabs>
          <w:tab w:leader="none" w:pos="707"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2017 and not early adopted:</w:t>
      </w:r>
    </w:p>
    <w:p>
      <w:pPr>
        <w:spacing w:after="0" w:line="57" w:lineRule="exact"/>
        <w:rPr>
          <w:rFonts w:ascii="Arial" w:cs="Arial" w:eastAsia="Arial" w:hAnsi="Arial"/>
          <w:sz w:val="18"/>
          <w:szCs w:val="18"/>
          <w:color w:val="auto"/>
        </w:rPr>
      </w:pPr>
    </w:p>
    <w:p>
      <w:pPr>
        <w:ind w:left="727" w:right="1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81" w:lineRule="exact"/>
        <w:rPr>
          <w:rFonts w:ascii="Arial" w:cs="Arial" w:eastAsia="Arial" w:hAnsi="Arial"/>
          <w:sz w:val="18"/>
          <w:szCs w:val="18"/>
          <w:color w:val="auto"/>
        </w:rPr>
      </w:pPr>
    </w:p>
    <w:p>
      <w:pPr>
        <w:ind w:left="727" w:right="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which provides guidance on eight specific cash flow issues with an intention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Company will adopt ASU 2016-15 during the year beginning January 1, 2019 and does not expect a material effect on its consolidated financial statements.</w:t>
      </w:r>
    </w:p>
    <w:p>
      <w:pPr>
        <w:spacing w:after="0" w:line="78" w:lineRule="exact"/>
        <w:rPr>
          <w:rFonts w:ascii="Arial" w:cs="Arial" w:eastAsia="Arial" w:hAnsi="Arial"/>
          <w:sz w:val="18"/>
          <w:szCs w:val="18"/>
          <w:color w:val="auto"/>
        </w:rPr>
      </w:pPr>
    </w:p>
    <w:p>
      <w:pPr>
        <w:ind w:left="727"/>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ASU 2016-02 requires a modified</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1" w:name="page132"/>
    <w:bookmarkEnd w:id="13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7"/>
        <w:spacing w:after="0" w:line="264" w:lineRule="auto"/>
        <w:rPr>
          <w:sz w:val="20"/>
          <w:szCs w:val="20"/>
          <w:color w:val="auto"/>
        </w:rPr>
      </w:pPr>
      <w:r>
        <w:rPr>
          <w:rFonts w:ascii="Arial" w:cs="Arial" w:eastAsia="Arial" w:hAnsi="Arial"/>
          <w:sz w:val="18"/>
          <w:szCs w:val="18"/>
          <w:color w:val="auto"/>
        </w:rPr>
        <w:t>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69" w:lineRule="exact"/>
        <w:rPr>
          <w:sz w:val="20"/>
          <w:szCs w:val="20"/>
          <w:color w:val="auto"/>
        </w:rPr>
      </w:pPr>
    </w:p>
    <w:p>
      <w:pPr>
        <w:ind w:left="707" w:hanging="356"/>
        <w:spacing w:after="0"/>
        <w:tabs>
          <w:tab w:leader="none" w:pos="707"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21" w:lineRule="exact"/>
        <w:rPr>
          <w:rFonts w:ascii="Arial" w:cs="Arial" w:eastAsia="Arial" w:hAnsi="Arial"/>
          <w:sz w:val="18"/>
          <w:szCs w:val="18"/>
          <w:color w:val="auto"/>
        </w:rPr>
      </w:pPr>
    </w:p>
    <w:p>
      <w:pPr>
        <w:ind w:left="727" w:right="140"/>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which makes targeted improvements to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69" w:lineRule="exact"/>
        <w:rPr>
          <w:rFonts w:ascii="Arial" w:cs="Arial" w:eastAsia="Arial" w:hAnsi="Arial"/>
          <w:sz w:val="18"/>
          <w:szCs w:val="18"/>
          <w:color w:val="auto"/>
        </w:rPr>
      </w:pPr>
    </w:p>
    <w:p>
      <w:pPr>
        <w:ind w:left="727"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November 2015, the FASB issued accounting guidance that is designed to improve the way deferred taxes are classified on organizations’ balance sheets. ASU 2015-17, </w:t>
      </w:r>
      <w:r>
        <w:rPr>
          <w:rFonts w:ascii="Arial" w:cs="Arial" w:eastAsia="Arial" w:hAnsi="Arial"/>
          <w:sz w:val="18"/>
          <w:szCs w:val="18"/>
          <w:i w:val="1"/>
          <w:iCs w:val="1"/>
          <w:color w:val="auto"/>
        </w:rPr>
        <w:t>Income Taxes (Topic 740):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is part of the FASB’s simplification initiative designed to reduce complexity in financial reporting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will not have a material impact on the consolidated financial statements.</w:t>
      </w:r>
    </w:p>
    <w:p>
      <w:pPr>
        <w:spacing w:after="0" w:line="81" w:lineRule="exact"/>
        <w:rPr>
          <w:rFonts w:ascii="Arial" w:cs="Arial" w:eastAsia="Arial" w:hAnsi="Arial"/>
          <w:sz w:val="18"/>
          <w:szCs w:val="18"/>
          <w:color w:val="auto"/>
        </w:rPr>
      </w:pPr>
    </w:p>
    <w:p>
      <w:pPr>
        <w:ind w:left="727"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to defer the effective date of ASU 2014-09 by one year, making it 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75" w:lineRule="exact"/>
        <w:rPr>
          <w:rFonts w:ascii="Arial" w:cs="Arial" w:eastAsia="Arial" w:hAnsi="Arial"/>
          <w:sz w:val="18"/>
          <w:szCs w:val="18"/>
          <w:color w:val="auto"/>
        </w:rPr>
      </w:pPr>
    </w:p>
    <w:p>
      <w:pPr>
        <w:ind w:left="347" w:hanging="347"/>
        <w:spacing w:after="0"/>
        <w:tabs>
          <w:tab w:leader="none" w:pos="347"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21" w:lineRule="exact"/>
        <w:rPr>
          <w:rFonts w:ascii="Arial" w:cs="Arial" w:eastAsia="Arial" w:hAnsi="Arial"/>
          <w:sz w:val="18"/>
          <w:szCs w:val="18"/>
          <w:b w:val="1"/>
          <w:bCs w:val="1"/>
          <w:color w:val="auto"/>
        </w:rPr>
      </w:pPr>
    </w:p>
    <w:p>
      <w:pPr>
        <w:ind w:left="367"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the normal course of business, the Company encounters several significant types of economic risks including credit, market and capital market risks. Credit risk arises from cash and cash equivalents and restricted cash held with banks and financial institutions, as well as credit exposures to customers, including outstanding receivables and committed transactions.</w:t>
      </w:r>
    </w:p>
    <w:p>
      <w:pPr>
        <w:spacing w:after="0" w:line="38" w:lineRule="exact"/>
        <w:rPr>
          <w:rFonts w:ascii="Arial" w:cs="Arial" w:eastAsia="Arial" w:hAnsi="Arial"/>
          <w:sz w:val="18"/>
          <w:szCs w:val="18"/>
          <w:b w:val="1"/>
          <w:bCs w:val="1"/>
          <w:color w:val="auto"/>
        </w:rPr>
      </w:pPr>
    </w:p>
    <w:p>
      <w:pPr>
        <w:ind w:left="36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of the Company’s cash and cash equivalents and restricted cash is held with banks and financial institutions with high credit ratings assigned by international credit-rating agencies. For customers and other counterparties, the credit quality is assessed by taking into account its external ratings published by international credit-rating agencies, if any, or its financial position, past experience and other factors. Transactions are entered into with customers and counterparties that are deemed to be of adequate credit quality by management.</w:t>
      </w:r>
    </w:p>
    <w:p>
      <w:pPr>
        <w:spacing w:after="0" w:line="80" w:lineRule="exact"/>
        <w:rPr>
          <w:rFonts w:ascii="Arial" w:cs="Arial" w:eastAsia="Arial" w:hAnsi="Arial"/>
          <w:sz w:val="18"/>
          <w:szCs w:val="18"/>
          <w:b w:val="1"/>
          <w:bCs w:val="1"/>
          <w:color w:val="auto"/>
        </w:rPr>
      </w:pPr>
    </w:p>
    <w:p>
      <w:pPr>
        <w:ind w:left="367"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a concentration of credit with a key customer, a company incorporated in Jamaica, West Indies. See Note 21 for additional details about the Company’s customer concentrations.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2" w:name="page133"/>
    <w:bookmarkEnd w:id="13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100"/>
        <w:spacing w:after="0" w:line="276" w:lineRule="auto"/>
        <w:rPr>
          <w:sz w:val="20"/>
          <w:szCs w:val="20"/>
          <w:color w:val="auto"/>
        </w:rPr>
      </w:pPr>
      <w:r>
        <w:rPr>
          <w:rFonts w:ascii="Arial" w:cs="Arial" w:eastAsia="Arial" w:hAnsi="Arial"/>
          <w:sz w:val="17"/>
          <w:szCs w:val="17"/>
          <w:color w:val="auto"/>
        </w:rPr>
        <w:t>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is also exposed to foreign currency risk attributable to cash flows received or paid in currencies other than the US dollar.</w:t>
      </w:r>
    </w:p>
    <w:p>
      <w:pPr>
        <w:spacing w:after="0" w:line="64" w:lineRule="exact"/>
        <w:rPr>
          <w:sz w:val="20"/>
          <w:szCs w:val="20"/>
          <w:color w:val="auto"/>
        </w:rPr>
      </w:pPr>
    </w:p>
    <w:p>
      <w:pPr>
        <w:ind w:left="367" w:right="20"/>
        <w:spacing w:after="0" w:line="342" w:lineRule="auto"/>
        <w:rPr>
          <w:sz w:val="20"/>
          <w:szCs w:val="20"/>
          <w:color w:val="auto"/>
        </w:rPr>
      </w:pPr>
      <w:r>
        <w:rPr>
          <w:rFonts w:ascii="Arial" w:cs="Arial" w:eastAsia="Arial" w:hAnsi="Arial"/>
          <w:sz w:val="16"/>
          <w:szCs w:val="16"/>
          <w:color w:val="auto"/>
        </w:rPr>
        <w:t>The Company is also exposed to interest rate risk on its variable rate borrowings, primarily the Miami Loan (defined in Note 14). Increases in the market rate of interest could impact the Company’s results of operations and that impact could be material.</w:t>
      </w:r>
    </w:p>
    <w:p>
      <w:pPr>
        <w:spacing w:after="0" w:line="12" w:lineRule="exact"/>
        <w:rPr>
          <w:sz w:val="20"/>
          <w:szCs w:val="20"/>
          <w:color w:val="auto"/>
        </w:rPr>
      </w:pPr>
    </w:p>
    <w:p>
      <w:pPr>
        <w:ind w:left="347" w:hanging="347"/>
        <w:spacing w:after="0"/>
        <w:tabs>
          <w:tab w:leader="none" w:pos="347"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367"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8" w:lineRule="exact"/>
        <w:rPr>
          <w:rFonts w:ascii="Arial" w:cs="Arial" w:eastAsia="Arial" w:hAnsi="Arial"/>
          <w:sz w:val="18"/>
          <w:szCs w:val="18"/>
          <w:b w:val="1"/>
          <w:bCs w:val="1"/>
          <w:color w:val="auto"/>
        </w:rPr>
      </w:pPr>
    </w:p>
    <w:p>
      <w:pPr>
        <w:ind w:left="1067" w:hanging="351"/>
        <w:spacing w:after="0"/>
        <w:tabs>
          <w:tab w:leader="none" w:pos="1067"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67" w:hanging="351"/>
        <w:spacing w:after="0" w:line="277" w:lineRule="auto"/>
        <w:tabs>
          <w:tab w:leader="none" w:pos="1067"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within Level 1 that are observable, either directly or indirectly,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quoted prices for similar assets or liabilities or market corroborated inputs.</w:t>
      </w:r>
    </w:p>
    <w:p>
      <w:pPr>
        <w:spacing w:after="0" w:line="62" w:lineRule="exact"/>
        <w:rPr>
          <w:rFonts w:ascii="Arial" w:cs="Arial" w:eastAsia="Arial" w:hAnsi="Arial"/>
          <w:sz w:val="18"/>
          <w:szCs w:val="18"/>
          <w:color w:val="auto"/>
        </w:rPr>
      </w:pPr>
    </w:p>
    <w:p>
      <w:pPr>
        <w:ind w:left="1067" w:right="20" w:hanging="351"/>
        <w:spacing w:after="0" w:line="277" w:lineRule="auto"/>
        <w:tabs>
          <w:tab w:leader="none" w:pos="1067"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for which there is little or no market data and which require the Company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 about how market participants price the asset or liability.</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067" w:right="40" w:hanging="351"/>
        <w:spacing w:after="0" w:line="277" w:lineRule="auto"/>
        <w:tabs>
          <w:tab w:leader="none" w:pos="1067"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or liabilities.</w:t>
      </w:r>
    </w:p>
    <w:p>
      <w:pPr>
        <w:spacing w:after="0" w:line="62" w:lineRule="exact"/>
        <w:rPr>
          <w:rFonts w:ascii="Arial" w:cs="Arial" w:eastAsia="Arial" w:hAnsi="Arial"/>
          <w:sz w:val="18"/>
          <w:szCs w:val="18"/>
          <w:color w:val="auto"/>
        </w:rPr>
      </w:pPr>
    </w:p>
    <w:p>
      <w:pPr>
        <w:ind w:left="1067" w:right="160" w:hanging="351"/>
        <w:spacing w:after="0" w:line="277" w:lineRule="auto"/>
        <w:tabs>
          <w:tab w:leader="none" w:pos="1067"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expectations about those future amounts.</w:t>
      </w:r>
    </w:p>
    <w:p>
      <w:pPr>
        <w:spacing w:after="0" w:line="62" w:lineRule="exact"/>
        <w:rPr>
          <w:rFonts w:ascii="Arial" w:cs="Arial" w:eastAsia="Arial" w:hAnsi="Arial"/>
          <w:sz w:val="18"/>
          <w:szCs w:val="18"/>
          <w:color w:val="auto"/>
        </w:rPr>
      </w:pPr>
    </w:p>
    <w:p>
      <w:pPr>
        <w:ind w:left="1067" w:right="400" w:hanging="351"/>
        <w:spacing w:after="0" w:line="277" w:lineRule="auto"/>
        <w:tabs>
          <w:tab w:leader="none" w:pos="1067"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cost).</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presents the Company’s financial assets that are measured at fair value at December 31, 2017:</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5"/>
              </w:rPr>
              <w:t>Valuation</w:t>
            </w:r>
          </w:p>
        </w:tc>
      </w:t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technique</w:t>
            </w:r>
          </w:p>
        </w:tc>
      </w:tr>
      <w:tr>
        <w:trPr>
          <w:trHeight w:val="23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84,708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33,623</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21"/>
                <w:szCs w:val="21"/>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7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124,664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presents the Company’s financial assets that are measured at fair value at December 31, 2016:</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0"/>
        </w:trPr>
        <w:tc>
          <w:tcPr>
            <w:tcW w:w="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5"/>
              </w:rPr>
              <w:t>Valuation</w:t>
            </w:r>
          </w:p>
        </w:tc>
        <w:tc>
          <w:tcPr>
            <w:tcW w:w="200" w:type="dxa"/>
            <w:vAlign w:val="bottom"/>
          </w:tcPr>
          <w:p>
            <w:pPr>
              <w:spacing w:after="0"/>
              <w:rPr>
                <w:sz w:val="13"/>
                <w:szCs w:val="13"/>
                <w:color w:val="auto"/>
              </w:rPr>
            </w:pPr>
          </w:p>
        </w:tc>
      </w:tr>
      <w:tr>
        <w:trPr>
          <w:trHeight w:val="185"/>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technique</w:t>
            </w: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180,650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180,650</w:t>
            </w:r>
          </w:p>
        </w:tc>
        <w:tc>
          <w:tcPr>
            <w:tcW w:w="16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8,471</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Market</w:t>
            </w:r>
          </w:p>
        </w:tc>
        <w:tc>
          <w:tcPr>
            <w:tcW w:w="200" w:type="dxa"/>
            <w:vAlign w:val="bottom"/>
          </w:tcPr>
          <w:p>
            <w:pPr>
              <w:spacing w:after="0"/>
              <w:rPr>
                <w:sz w:val="22"/>
                <w:szCs w:val="22"/>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Available-for-sale investment</w:t>
            </w:r>
          </w:p>
        </w:tc>
        <w:tc>
          <w:tcPr>
            <w:tcW w:w="1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21"/>
                <w:szCs w:val="21"/>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c>
          <w:tcPr>
            <w:tcW w:w="200" w:type="dxa"/>
            <w:vAlign w:val="bottom"/>
          </w:tcPr>
          <w:p>
            <w:pPr>
              <w:spacing w:after="0"/>
              <w:rPr>
                <w:sz w:val="21"/>
                <w:szCs w:val="21"/>
                <w:color w:val="auto"/>
              </w:rPr>
            </w:pPr>
          </w:p>
        </w:tc>
      </w:tr>
      <w:tr>
        <w:trPr>
          <w:trHeight w:val="271"/>
        </w:trPr>
        <w:tc>
          <w:tcPr>
            <w:tcW w:w="380" w:type="dxa"/>
            <w:vAlign w:val="bottom"/>
          </w:tcPr>
          <w:p>
            <w:pPr>
              <w:spacing w:after="0"/>
              <w:rPr>
                <w:sz w:val="23"/>
                <w:szCs w:val="23"/>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192,484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192,484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432"/>
        </w:trPr>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F-13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18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33" w:name="page134"/>
    <w:bookmarkEnd w:id="13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80"/>
        <w:spacing w:after="0" w:line="276" w:lineRule="auto"/>
        <w:rPr>
          <w:sz w:val="20"/>
          <w:szCs w:val="20"/>
          <w:color w:val="auto"/>
        </w:rPr>
      </w:pPr>
      <w:r>
        <w:rPr>
          <w:rFonts w:ascii="Arial" w:cs="Arial" w:eastAsia="Arial" w:hAnsi="Arial"/>
          <w:sz w:val="17"/>
          <w:szCs w:val="17"/>
          <w:color w:val="auto"/>
        </w:rPr>
        <w:t>At December 31, 2017 and 2016, the Company had no liabilities that were measured at fair value on a recurring basis. The Company estimates fair value of outstanding debt using a discounted cash flows method based on current market interest rates for debt issuances with similar remaining years to maturity and adjusted for credit risk. The Company has estimated that the carrying value of the outstanding Miami Loan (defined in Note 14) and the outstanding MoBay Loan (defined in Note 14) approximates fair value. The fair value estimate is classified as Level 3 in the fair value hierarchy.</w:t>
      </w:r>
    </w:p>
    <w:p>
      <w:pPr>
        <w:spacing w:after="0" w:line="60" w:lineRule="exact"/>
        <w:rPr>
          <w:sz w:val="20"/>
          <w:szCs w:val="20"/>
          <w:color w:val="auto"/>
        </w:rPr>
      </w:pPr>
    </w:p>
    <w:p>
      <w:pPr>
        <w:ind w:left="347" w:hanging="347"/>
        <w:spacing w:after="0"/>
        <w:tabs>
          <w:tab w:leader="none" w:pos="347"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restricted cash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Collateral for LNG purchases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service reserve accounts (Note 14)</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Customs and performance bonds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color w:val="auto"/>
              </w:rPr>
              <w:t>Total restricted cash</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8,471</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r>
    </w:tbl>
    <w:p>
      <w:pPr>
        <w:spacing w:after="0" w:line="102" w:lineRule="exact"/>
        <w:rPr>
          <w:sz w:val="20"/>
          <w:szCs w:val="20"/>
          <w:color w:val="auto"/>
        </w:rPr>
      </w:pPr>
    </w:p>
    <w:p>
      <w:pPr>
        <w:ind w:left="347" w:hanging="347"/>
        <w:spacing w:after="0"/>
        <w:tabs>
          <w:tab w:leader="none" w:pos="347"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inventory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20"/>
                <w:szCs w:val="20"/>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r>
      <w:tr>
        <w:trPr>
          <w:trHeight w:val="271"/>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prepaid expenses and other current assets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Prepaid charter costs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r>
      <w:tr>
        <w:trPr>
          <w:trHeight w:val="25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2"/>
                <w:szCs w:val="22"/>
                <w:color w:val="auto"/>
              </w:rPr>
            </w:pPr>
          </w:p>
        </w:tc>
      </w:tr>
      <w:tr>
        <w:trPr>
          <w:trHeight w:val="237"/>
        </w:trPr>
        <w:tc>
          <w:tcPr>
            <w:tcW w:w="684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r>
      <w:tr>
        <w:trPr>
          <w:trHeight w:val="249"/>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24,875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line="277"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2" w:lineRule="exact"/>
        <w:rPr>
          <w:sz w:val="20"/>
          <w:szCs w:val="20"/>
          <w:color w:val="auto"/>
        </w:rPr>
      </w:pPr>
    </w:p>
    <w:p>
      <w:pPr>
        <w:ind w:left="367" w:right="20"/>
        <w:spacing w:after="0" w:line="312" w:lineRule="auto"/>
        <w:rPr>
          <w:sz w:val="20"/>
          <w:szCs w:val="20"/>
          <w:color w:val="auto"/>
        </w:rPr>
      </w:pPr>
      <w:r>
        <w:rPr>
          <w:rFonts w:ascii="Arial" w:cs="Arial" w:eastAsia="Arial" w:hAnsi="Arial"/>
          <w:sz w:val="16"/>
          <w:szCs w:val="16"/>
          <w:color w:val="auto"/>
        </w:rPr>
        <w:t>The Company has entered into ship time charter commitments in order to transport LNG from suppliers to the Company’s terminal facility at the Port of Montego Bay, Jamaica. In order to secure the vessel charters, charter hire costs are required to be paid in advance and are recorded within ‘Prepaid expenses and other current assets’ on the consolidated balance sheets.</w:t>
      </w:r>
    </w:p>
    <w:p>
      <w:pPr>
        <w:spacing w:after="0" w:line="39" w:lineRule="exact"/>
        <w:rPr>
          <w:sz w:val="20"/>
          <w:szCs w:val="20"/>
          <w:color w:val="auto"/>
        </w:rPr>
      </w:pPr>
    </w:p>
    <w:p>
      <w:pPr>
        <w:ind w:left="367" w:right="340"/>
        <w:spacing w:after="0" w:line="277" w:lineRule="auto"/>
        <w:rPr>
          <w:sz w:val="20"/>
          <w:szCs w:val="20"/>
          <w:color w:val="auto"/>
        </w:rPr>
      </w:pPr>
      <w:r>
        <w:rPr>
          <w:rFonts w:ascii="Arial" w:cs="Arial" w:eastAsia="Arial" w:hAnsi="Arial"/>
          <w:sz w:val="18"/>
          <w:szCs w:val="18"/>
          <w:color w:val="auto"/>
        </w:rPr>
        <w:t>The balances of deposits as of December 31, 2017 and 2016 primarily consists of $900 attributed to gas supply reservation deposit and $135 attributed to a land lease deposit with a related party (See Note 20).</w:t>
      </w:r>
    </w:p>
    <w:p>
      <w:pPr>
        <w:spacing w:after="0" w:line="170"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4" w:name="page135"/>
    <w:bookmarkEnd w:id="13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b w:val="1"/>
          <w:bCs w:val="1"/>
          <w:color w:val="auto"/>
        </w:rPr>
      </w:pPr>
    </w:p>
    <w:p>
      <w:pPr>
        <w:ind w:left="367"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2016 and 2017, the Company invested in equity securities of an international oil and gas drilling contractor. The following tables present the number of shares, cost and fair value of the investment:</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6"/>
          </w:tcPr>
          <w:p>
            <w:pPr>
              <w:jc w:val="center"/>
              <w:ind w:left="843"/>
              <w:spacing w:after="0"/>
              <w:rPr>
                <w:sz w:val="20"/>
                <w:szCs w:val="20"/>
                <w:color w:val="auto"/>
              </w:rPr>
            </w:pPr>
            <w:r>
              <w:rPr>
                <w:rFonts w:ascii="Arial" w:cs="Arial" w:eastAsia="Arial" w:hAnsi="Arial"/>
                <w:sz w:val="14"/>
                <w:szCs w:val="14"/>
                <w:b w:val="1"/>
                <w:bCs w:val="1"/>
                <w:color w:val="auto"/>
                <w:w w:val="91"/>
              </w:rPr>
              <w:t>December 31, 2017</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1,476,280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Borders>
              <w:bottom w:val="single" w:sz="8" w:color="auto"/>
            </w:tcBorders>
            <w:gridSpan w:val="6"/>
          </w:tcPr>
          <w:p>
            <w:pPr>
              <w:jc w:val="center"/>
              <w:ind w:left="843"/>
              <w:spacing w:after="0"/>
              <w:rPr>
                <w:sz w:val="20"/>
                <w:szCs w:val="20"/>
                <w:color w:val="auto"/>
              </w:rPr>
            </w:pPr>
            <w:r>
              <w:rPr>
                <w:rFonts w:ascii="Arial" w:cs="Arial" w:eastAsia="Arial" w:hAnsi="Arial"/>
                <w:sz w:val="14"/>
                <w:szCs w:val="14"/>
                <w:b w:val="1"/>
                <w:bCs w:val="1"/>
                <w:color w:val="auto"/>
                <w:w w:val="91"/>
              </w:rPr>
              <w:t>December 31, 2016</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74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3"/>
                <w:szCs w:val="13"/>
                <w:color w:val="auto"/>
              </w:rPr>
            </w:pPr>
          </w:p>
        </w:tc>
        <w:tc>
          <w:tcPr>
            <w:tcW w:w="90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5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movement of available-for-sale financial assets is summarized below:</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r>
      <w:tr>
        <w:trPr>
          <w:trHeight w:val="249"/>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At December 31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Company’s construction in progress activity during 2017 and 2016, is detailed below:</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70,792</w:t>
            </w:r>
          </w:p>
        </w:tc>
        <w:tc>
          <w:tcPr>
            <w:tcW w:w="100" w:type="dxa"/>
            <w:vAlign w:val="bottom"/>
            <w:shd w:val="clear" w:color="auto" w:fill="CCEEFF"/>
          </w:tcPr>
          <w:p>
            <w:pPr>
              <w:spacing w:after="0"/>
              <w:rPr>
                <w:sz w:val="20"/>
                <w:szCs w:val="20"/>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36,017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88,825</w:t>
            </w:r>
          </w:p>
        </w:tc>
        <w:tc>
          <w:tcPr>
            <w:tcW w:w="100" w:type="dxa"/>
            <w:vAlign w:val="bottom"/>
          </w:tcPr>
          <w:p>
            <w:pPr>
              <w:spacing w:after="0"/>
              <w:rPr>
                <w:sz w:val="20"/>
                <w:szCs w:val="20"/>
                <w:color w:val="auto"/>
              </w:rPr>
            </w:pPr>
          </w:p>
        </w:tc>
      </w:tr>
      <w:tr>
        <w:trPr>
          <w:trHeight w:val="25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finance leases, net (Note 12)</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(3,033)</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(92,828)</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Transferred to property, plant and equipment, net (Note 11)</w:t>
            </w:r>
          </w:p>
        </w:tc>
        <w:tc>
          <w:tcPr>
            <w:tcW w:w="22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(62,121)</w:t>
            </w: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Abandoned project</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35,413</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top w:val="single" w:sz="8" w:color="CCEEFF"/>
            </w:tcBorders>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rPr>
          <w:sz w:val="20"/>
          <w:szCs w:val="20"/>
          <w:color w:val="auto"/>
        </w:rPr>
      </w:pPr>
      <w:r>
        <w:rPr>
          <w:rFonts w:ascii="Arial" w:cs="Arial" w:eastAsia="Arial" w:hAnsi="Arial"/>
          <w:sz w:val="16"/>
          <w:szCs w:val="16"/>
          <w:color w:val="auto"/>
        </w:rPr>
        <w:t>Management determined it appropriate to expense $1,289 in 2017 as the decision was made to abandon the related project.</w:t>
      </w:r>
    </w:p>
    <w:p>
      <w:pPr>
        <w:spacing w:after="0" w:line="136" w:lineRule="exact"/>
        <w:rPr>
          <w:sz w:val="20"/>
          <w:szCs w:val="20"/>
          <w:color w:val="auto"/>
        </w:rPr>
      </w:pPr>
    </w:p>
    <w:p>
      <w:pPr>
        <w:ind w:left="347" w:hanging="347"/>
        <w:spacing w:after="0"/>
        <w:tabs>
          <w:tab w:leader="none" w:pos="34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At December 31, the Company’s property, plant and equipment, net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65,452</w:t>
            </w:r>
          </w:p>
        </w:tc>
        <w:tc>
          <w:tcPr>
            <w:tcW w:w="100" w:type="dxa"/>
            <w:vAlign w:val="bottom"/>
            <w:shd w:val="clear" w:color="auto" w:fill="CCEEFF"/>
          </w:tcPr>
          <w:p>
            <w:pPr>
              <w:spacing w:after="0"/>
              <w:rPr>
                <w:sz w:val="20"/>
                <w:szCs w:val="20"/>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ISO containers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0"/>
                <w:szCs w:val="20"/>
                <w:color w:val="auto"/>
              </w:rPr>
            </w:pPr>
          </w:p>
        </w:tc>
      </w:tr>
      <w:tr>
        <w:trPr>
          <w:trHeight w:val="25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(5,592)</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r>
      <w:tr>
        <w:trPr>
          <w:trHeight w:val="223"/>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69,350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Borders>
              <w:top w:val="single" w:sz="8" w:color="CCEEFF"/>
            </w:tcBorders>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line="342" w:lineRule="auto"/>
        <w:rPr>
          <w:sz w:val="20"/>
          <w:szCs w:val="20"/>
          <w:color w:val="auto"/>
        </w:rPr>
      </w:pPr>
      <w:r>
        <w:rPr>
          <w:rFonts w:ascii="Arial" w:cs="Arial" w:eastAsia="Arial" w:hAnsi="Arial"/>
          <w:sz w:val="16"/>
          <w:szCs w:val="16"/>
          <w:color w:val="auto"/>
        </w:rPr>
        <w:t>Depreciation for the years ended December 31, 2017 and 2016 totaled $3,214 and $2,389, respectively, of which $453 and $48 is respectively included within Cost of sales in the consolidated statements of operations and comprehensive loss.</w:t>
      </w:r>
    </w:p>
    <w:p>
      <w:pPr>
        <w:spacing w:after="0" w:line="124"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7"/>
          </w:cols>
          <w:pgMar w:left="1173" w:top="279" w:right="1239" w:bottom="1440" w:gutter="0" w:footer="0" w:header="0"/>
        </w:sectPr>
      </w:pPr>
    </w:p>
    <w:bookmarkStart w:id="135" w:name="page136"/>
    <w:bookmarkEnd w:id="13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367"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during the year which are accounted for as direct finance leases. The components of the direct finance leases at December 31, 2017 and 2016 are as follows:</w:t>
      </w:r>
    </w:p>
    <w:p>
      <w:pPr>
        <w:spacing w:after="0" w:line="43"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323,281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335,558</w:t>
            </w:r>
          </w:p>
        </w:tc>
        <w:tc>
          <w:tcPr>
            <w:tcW w:w="100" w:type="dxa"/>
            <w:vAlign w:val="bottom"/>
            <w:shd w:val="clear" w:color="auto" w:fill="CCEEFF"/>
          </w:tcPr>
          <w:p>
            <w:pPr>
              <w:spacing w:after="0"/>
              <w:rPr>
                <w:sz w:val="20"/>
                <w:szCs w:val="20"/>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Unearned income</w:t>
            </w:r>
          </w:p>
        </w:tc>
        <w:tc>
          <w:tcPr>
            <w:tcW w:w="2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(228,026)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(242,730)</w:t>
            </w:r>
          </w:p>
        </w:tc>
      </w:tr>
      <w:tr>
        <w:trPr>
          <w:trHeight w:val="271"/>
        </w:trPr>
        <w:tc>
          <w:tcPr>
            <w:tcW w:w="2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95,255</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portion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94,077</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left="367" w:right="240"/>
        <w:spacing w:after="0" w:line="264"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73" w:lineRule="exact"/>
        <w:rPr>
          <w:sz w:val="20"/>
          <w:szCs w:val="20"/>
          <w:color w:val="auto"/>
        </w:rPr>
      </w:pPr>
    </w:p>
    <w:p>
      <w:pPr>
        <w:ind w:left="367" w:right="400"/>
        <w:spacing w:after="0" w:line="277" w:lineRule="auto"/>
        <w:rPr>
          <w:sz w:val="20"/>
          <w:szCs w:val="20"/>
          <w:color w:val="auto"/>
        </w:rPr>
      </w:pPr>
      <w:r>
        <w:rPr>
          <w:rFonts w:ascii="Arial" w:cs="Arial" w:eastAsia="Arial" w:hAnsi="Arial"/>
          <w:sz w:val="18"/>
          <w:szCs w:val="18"/>
          <w:color w:val="auto"/>
        </w:rPr>
        <w:t>At December 31, 2017, future minimum lease payments to be received under direct finance leases for the remainder of the respective lease terms is as follows:</w:t>
      </w:r>
    </w:p>
    <w:p>
      <w:pPr>
        <w:spacing w:after="0" w:line="23" w:lineRule="exact"/>
        <w:rPr>
          <w:sz w:val="20"/>
          <w:szCs w:val="20"/>
          <w:color w:val="auto"/>
        </w:rPr>
      </w:pPr>
    </w:p>
    <w:tbl>
      <w:tblPr>
        <w:tblLayout w:type="fixed"/>
        <w:tblInd w:w="387" w:type="dxa"/>
        <w:tblCellMar>
          <w:top w:w="0" w:type="dxa"/>
          <w:left w:w="0" w:type="dxa"/>
          <w:bottom w:w="0" w:type="dxa"/>
          <w:right w:w="0" w:type="dxa"/>
        </w:tblCellMar>
      </w:tblPr>
      <w:tr>
        <w:trPr>
          <w:trHeight w:val="24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tcPr>
          <w:p>
            <w:pPr>
              <w:spacing w:after="0"/>
              <w:rPr>
                <w:sz w:val="20"/>
                <w:szCs w:val="20"/>
                <w:color w:val="auto"/>
              </w:rPr>
            </w:pPr>
          </w:p>
        </w:tc>
      </w:tr>
      <w:tr>
        <w:trPr>
          <w:trHeight w:val="25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shd w:val="clear" w:color="auto" w:fill="CCEEFF"/>
          </w:tcPr>
          <w:p>
            <w:pPr>
              <w:spacing w:after="0"/>
              <w:rPr>
                <w:sz w:val="22"/>
                <w:szCs w:val="22"/>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tcPr>
          <w:p>
            <w:pPr>
              <w:spacing w:after="0"/>
              <w:rPr>
                <w:sz w:val="20"/>
                <w:szCs w:val="20"/>
                <w:color w:val="auto"/>
              </w:rPr>
            </w:pPr>
          </w:p>
        </w:tc>
      </w:tr>
      <w:tr>
        <w:trPr>
          <w:trHeight w:val="25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shd w:val="clear" w:color="auto" w:fill="CCEEFF"/>
          </w:tcPr>
          <w:p>
            <w:pPr>
              <w:spacing w:after="0"/>
              <w:rPr>
                <w:sz w:val="22"/>
                <w:szCs w:val="2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323,281</w:t>
            </w:r>
          </w:p>
        </w:tc>
        <w:tc>
          <w:tcPr>
            <w:tcW w:w="100" w:type="dxa"/>
            <w:vAlign w:val="bottom"/>
          </w:tcPr>
          <w:p>
            <w:pPr>
              <w:spacing w:after="0"/>
              <w:rPr>
                <w:sz w:val="19"/>
                <w:szCs w:val="19"/>
                <w:color w:val="auto"/>
              </w:rPr>
            </w:pPr>
          </w:p>
        </w:tc>
      </w:tr>
      <w:tr>
        <w:trPr>
          <w:trHeight w:val="21"/>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accrued liabilities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20"/>
                <w:szCs w:val="20"/>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Accrued bonuses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r>
      <w:tr>
        <w:trPr>
          <w:trHeight w:val="271"/>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long-term debt consisted of the following:</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3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860" w:type="dxa"/>
            <w:vAlign w:val="bottom"/>
            <w:gridSpan w:val="2"/>
          </w:tcPr>
          <w:p>
            <w:pPr>
              <w:ind w:left="380"/>
              <w:spacing w:after="0"/>
              <w:rPr>
                <w:sz w:val="20"/>
                <w:szCs w:val="20"/>
                <w:color w:val="auto"/>
              </w:rPr>
            </w:pPr>
            <w:r>
              <w:rPr>
                <w:rFonts w:ascii="Arial" w:cs="Arial" w:eastAsia="Arial" w:hAnsi="Arial"/>
                <w:sz w:val="18"/>
                <w:szCs w:val="18"/>
                <w:color w:val="auto"/>
              </w:rPr>
              <w:t>Montego Bay Loan, due June 2023</w:t>
            </w:r>
          </w:p>
        </w:tc>
        <w:tc>
          <w:tcPr>
            <w:tcW w:w="2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1"/>
        </w:trPr>
        <w:tc>
          <w:tcPr>
            <w:tcW w:w="38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3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2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432"/>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00" w:type="dxa"/>
            <w:vAlign w:val="bottom"/>
            <w:gridSpan w:val="2"/>
          </w:tcPr>
          <w:p>
            <w:pPr>
              <w:jc w:val="right"/>
              <w:ind w:right="1930"/>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Below is a schedule of future principal payments that the Company is obligated to make on the outstanding long-term debt as of December 31, 2017:</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future principal payments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77,027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w:t>
            </w: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Miami Loan</w:t>
      </w:r>
    </w:p>
    <w:p>
      <w:pPr>
        <w:spacing w:after="0" w:line="117" w:lineRule="exact"/>
        <w:rPr>
          <w:sz w:val="20"/>
          <w:szCs w:val="20"/>
          <w:color w:val="auto"/>
        </w:rPr>
      </w:pPr>
    </w:p>
    <w:p>
      <w:pPr>
        <w:ind w:left="360" w:right="80"/>
        <w:spacing w:after="0" w:line="287"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 Facility. In connection with the Miami Loan, the Company paid origination and other fees of $1,363, of which $158 and $619 are unamortized as of December 31, 2017 and 2016, respectively. These costs are capitalized as deferred financing costs and recorded as a reduction in Long-term debt on the consolidated balance sheets.</w:t>
      </w:r>
    </w:p>
    <w:p>
      <w:pPr>
        <w:spacing w:after="0" w:line="61" w:lineRule="exact"/>
        <w:rPr>
          <w:sz w:val="20"/>
          <w:szCs w:val="20"/>
          <w:color w:val="auto"/>
        </w:rPr>
      </w:pPr>
    </w:p>
    <w:p>
      <w:pPr>
        <w:ind w:left="360" w:right="20"/>
        <w:spacing w:after="0" w:line="271" w:lineRule="auto"/>
        <w:rPr>
          <w:sz w:val="20"/>
          <w:szCs w:val="20"/>
          <w:color w:val="auto"/>
        </w:rPr>
      </w:pPr>
      <w:r>
        <w:rPr>
          <w:rFonts w:ascii="Arial" w:cs="Arial" w:eastAsia="Arial" w:hAnsi="Arial"/>
          <w:sz w:val="17"/>
          <w:szCs w:val="17"/>
          <w:color w:val="auto"/>
        </w:rPr>
        <w:t>The Miami Loan requires periodic payments of interest on either a monthly, quarterly or semi-annual basis, depending upon the interest rate option selected by LHFL. In addition, with respect to LIBOR based borrowings, LHFL, at its option, may elect to defer up to ten interest periods outstanding at any point in 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three-month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71"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Under the terms of the Miami Loan, LHFL is required to maintain a Debt Service Reserve Account (the “DSR Account”) in the amount of $912. Such amount is included as a component of Restricted cash on the Company’s consolidated balance sheets (see Note 6).</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7"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The Company intends to use the net proceeds of the Term Loan Facility entered into in August 2018 to repay the Miami Loan (defined and discussed in more detail in Note 22).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7"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7" w:name="page138"/>
    <w:bookmarkEnd w:id="13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60"/>
        <w:spacing w:after="0" w:line="259" w:lineRule="auto"/>
        <w:rPr>
          <w:sz w:val="20"/>
          <w:szCs w:val="20"/>
          <w:color w:val="auto"/>
        </w:rPr>
      </w:pPr>
      <w:r>
        <w:rPr>
          <w:rFonts w:ascii="Arial" w:cs="Arial" w:eastAsia="Arial" w:hAnsi="Arial"/>
          <w:sz w:val="18"/>
          <w:szCs w:val="18"/>
          <w:color w:val="auto"/>
        </w:rPr>
        <w:t>of $44,000, maturing on June 5, 2023, in connection with the construction of the LNG Terminal in Montego Bay, Jamaica. The MoBay Loan is to be repaid in 77 monthly payments of $452 commencing from December 6, 2016, and a final balloon payment of $9,172 due on the maturity date. Borrowings under the loan bear interest at 8.1%. The MoBay loan is secured by the LNG Terminal in Montego Bay, Jamaica.</w:t>
      </w:r>
    </w:p>
    <w:p>
      <w:pPr>
        <w:spacing w:after="0" w:line="79" w:lineRule="exact"/>
        <w:rPr>
          <w:sz w:val="20"/>
          <w:szCs w:val="20"/>
          <w:color w:val="auto"/>
        </w:rPr>
      </w:pPr>
    </w:p>
    <w:p>
      <w:pPr>
        <w:ind w:left="367" w:right="40"/>
        <w:spacing w:after="0" w:line="259" w:lineRule="auto"/>
        <w:rPr>
          <w:sz w:val="20"/>
          <w:szCs w:val="20"/>
          <w:color w:val="auto"/>
        </w:rPr>
      </w:pPr>
      <w:r>
        <w:rPr>
          <w:rFonts w:ascii="Arial" w:cs="Arial" w:eastAsia="Arial" w:hAnsi="Arial"/>
          <w:sz w:val="18"/>
          <w:szCs w:val="18"/>
          <w:color w:val="auto"/>
        </w:rPr>
        <w:t>Under the terms of the MoBay Loan, NNHL is required to maintain a DSR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sheets (see Note 6).</w:t>
      </w:r>
    </w:p>
    <w:p>
      <w:pPr>
        <w:spacing w:after="0" w:line="79" w:lineRule="exact"/>
        <w:rPr>
          <w:sz w:val="20"/>
          <w:szCs w:val="20"/>
          <w:color w:val="auto"/>
        </w:rPr>
      </w:pPr>
    </w:p>
    <w:p>
      <w:pPr>
        <w:ind w:left="367"/>
        <w:spacing w:after="0" w:line="264" w:lineRule="auto"/>
        <w:rPr>
          <w:sz w:val="20"/>
          <w:szCs w:val="20"/>
          <w:color w:val="auto"/>
        </w:rPr>
      </w:pPr>
      <w:r>
        <w:rPr>
          <w:rFonts w:ascii="Arial" w:cs="Arial" w:eastAsia="Arial" w:hAnsi="Arial"/>
          <w:sz w:val="18"/>
          <w:szCs w:val="18"/>
          <w:color w:val="auto"/>
        </w:rPr>
        <w:t>In connection with the MoBay Loan, the Company paid origination and other fees of $2,031. These costs are capitalized as deferred financing costs and recorded as a reduction in Long-term debt on the consolidated balance sheets, of which $1,616 and $1,851 are unamortized as of December 31, 2017 and 2016, respectively.</w:t>
      </w:r>
    </w:p>
    <w:p>
      <w:pPr>
        <w:spacing w:after="0" w:line="73" w:lineRule="exact"/>
        <w:rPr>
          <w:sz w:val="20"/>
          <w:szCs w:val="20"/>
          <w:color w:val="auto"/>
        </w:rPr>
      </w:pPr>
    </w:p>
    <w:p>
      <w:pPr>
        <w:ind w:left="367" w:right="20"/>
        <w:spacing w:after="0" w:line="257"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as such costs were directly attributed to the construction. The capitalized interest is amortized as part of the capitalized cost of the asset that is subject to a direct finance lease upon its completion. Interest expense, inclusive of amortized debt fees for the years ended December 31, 2017 and 2016, totaled $3,611 and $1,990 respectively, of which $0 and $1,347 was capitalized and accounted for as a finance lease (See Note 12).</w:t>
      </w:r>
    </w:p>
    <w:p>
      <w:pPr>
        <w:spacing w:after="0" w:line="80" w:lineRule="exact"/>
        <w:rPr>
          <w:sz w:val="20"/>
          <w:szCs w:val="20"/>
          <w:color w:val="auto"/>
        </w:rPr>
      </w:pPr>
    </w:p>
    <w:p>
      <w:pPr>
        <w:ind w:left="367" w:right="360"/>
        <w:spacing w:after="0" w:line="277" w:lineRule="auto"/>
        <w:rPr>
          <w:sz w:val="20"/>
          <w:szCs w:val="20"/>
          <w:color w:val="auto"/>
        </w:rPr>
      </w:pPr>
      <w:r>
        <w:rPr>
          <w:rFonts w:ascii="Arial" w:cs="Arial" w:eastAsia="Arial" w:hAnsi="Arial"/>
          <w:sz w:val="18"/>
          <w:szCs w:val="18"/>
          <w:color w:val="auto"/>
        </w:rPr>
        <w:t>Financial covenants stipulated by the Syndicated Loan Agreement did not come into effect until December 31, 2017. As of December 31, 2017, NNHL was in compliance with all covenants under this agreement.</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MoBay Loan.</w:t>
      </w:r>
    </w:p>
    <w:p>
      <w:pPr>
        <w:spacing w:after="0" w:line="46"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Company is subject to a prepayment fee of 1% on the MoBay Loan.</w:t>
      </w:r>
    </w:p>
    <w:p>
      <w:pPr>
        <w:spacing w:after="0" w:line="21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Corporate Loan</w:t>
      </w:r>
    </w:p>
    <w:p>
      <w:pPr>
        <w:spacing w:after="0" w:line="117" w:lineRule="exact"/>
        <w:rPr>
          <w:sz w:val="20"/>
          <w:szCs w:val="20"/>
          <w:color w:val="auto"/>
        </w:rPr>
      </w:pPr>
    </w:p>
    <w:p>
      <w:pPr>
        <w:ind w:left="367" w:right="40"/>
        <w:spacing w:after="0" w:line="312" w:lineRule="auto"/>
        <w:rPr>
          <w:sz w:val="20"/>
          <w:szCs w:val="20"/>
          <w:color w:val="auto"/>
        </w:rPr>
      </w:pPr>
      <w:r>
        <w:rPr>
          <w:rFonts w:ascii="Arial" w:cs="Arial" w:eastAsia="Arial" w:hAnsi="Arial"/>
          <w:sz w:val="16"/>
          <w:szCs w:val="16"/>
          <w:color w:val="auto"/>
        </w:rPr>
        <w:t>On December 21, 2015, NFE Atlantic Holdings LLC (“NAHL”), a subsidiary, entered into a Credit Agreement (the “Corporate Loan”) with a bank for an initial aggregate amount of $65,000, which matured on December 20, 2016. The Corporate Loan was for general corporate purposes, including present and future construction projects under development in various locations.</w:t>
      </w:r>
    </w:p>
    <w:p>
      <w:pPr>
        <w:spacing w:after="0" w:line="39" w:lineRule="exact"/>
        <w:rPr>
          <w:sz w:val="20"/>
          <w:szCs w:val="20"/>
          <w:color w:val="auto"/>
        </w:rPr>
      </w:pPr>
    </w:p>
    <w:p>
      <w:pPr>
        <w:ind w:left="367" w:right="120"/>
        <w:spacing w:after="0" w:line="272" w:lineRule="auto"/>
        <w:rPr>
          <w:sz w:val="20"/>
          <w:szCs w:val="20"/>
          <w:color w:val="auto"/>
        </w:rPr>
      </w:pPr>
      <w:r>
        <w:rPr>
          <w:rFonts w:ascii="Arial" w:cs="Arial" w:eastAsia="Arial" w:hAnsi="Arial"/>
          <w:sz w:val="17"/>
          <w:szCs w:val="17"/>
          <w:color w:val="auto"/>
        </w:rPr>
        <w:t>The Corporate Loan provided for an exit fee of 2% of the aggregate principal amounts repaid, whether by prepayment, scheduled repayment or repayment at maturity. An exit fee of $1,297 was accrued ratably over the term of the Corporate Loan and recorded as a component of Accrued liabilities and Interest expense in the Company’s consolidated balance sheets and consolidated statements of operations and comprehensive loss, respectively. In connection with the Corporate Loan, NAHL paid origination fees of $2,118 which had been recorded as a reduction to debt principal and were amortized over the term of the loan. Total interest expense of $0 and $3,892 was incurred during the years ended December 31, 2017 and 2016, of which $0 and $1,233, respectively, was capitalized.</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Under the terms of the Corporate Loan, NAHL was required to maintain a DSR Account in the amount of $3,576.</w:t>
      </w:r>
    </w:p>
    <w:p>
      <w:pPr>
        <w:spacing w:after="0" w:line="117" w:lineRule="exact"/>
        <w:rPr>
          <w:sz w:val="20"/>
          <w:szCs w:val="20"/>
          <w:color w:val="auto"/>
        </w:rPr>
      </w:pPr>
    </w:p>
    <w:p>
      <w:pPr>
        <w:jc w:val="both"/>
        <w:ind w:left="367" w:right="160"/>
        <w:spacing w:after="0" w:line="264" w:lineRule="auto"/>
        <w:rPr>
          <w:sz w:val="20"/>
          <w:szCs w:val="20"/>
          <w:color w:val="auto"/>
        </w:rPr>
      </w:pPr>
      <w:r>
        <w:rPr>
          <w:rFonts w:ascii="Arial" w:cs="Arial" w:eastAsia="Arial" w:hAnsi="Arial"/>
          <w:sz w:val="18"/>
          <w:szCs w:val="18"/>
          <w:color w:val="auto"/>
        </w:rPr>
        <w:t>The Corporate Loan was fully repaid together with the applicable accrued interest of $119 and exit fee of $1,297 for a total of $1,416 on June 3, 2016. Loss on extinguishment of debt of $1,177 was recognized during the year ended December 31, 2016 within the consolidated statements of operations and comprehensive loss.</w:t>
      </w:r>
    </w:p>
    <w:p>
      <w:pPr>
        <w:spacing w:after="0" w:line="69" w:lineRule="exact"/>
        <w:rPr>
          <w:sz w:val="20"/>
          <w:szCs w:val="20"/>
          <w:color w:val="auto"/>
        </w:rPr>
      </w:pPr>
    </w:p>
    <w:p>
      <w:pPr>
        <w:ind w:left="347" w:hanging="347"/>
        <w:spacing w:after="0"/>
        <w:tabs>
          <w:tab w:leader="none" w:pos="347"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367"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the Caribbean. As a pass-through entity for U.S. federal tax purposes, no income tax provision or benefit for U.S. income taxes has been recorded for the periods presented.</w:t>
      </w:r>
    </w:p>
    <w:p>
      <w:pPr>
        <w:spacing w:after="0" w:line="17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7" w:lineRule="exact"/>
        <w:rPr>
          <w:rFonts w:ascii="Arial" w:cs="Arial" w:eastAsia="Arial" w:hAnsi="Arial"/>
          <w:sz w:val="18"/>
          <w:szCs w:val="18"/>
          <w:b w:val="1"/>
          <w:bCs w:val="1"/>
          <w:color w:val="auto"/>
        </w:rPr>
      </w:pPr>
    </w:p>
    <w:p>
      <w:pPr>
        <w:ind w:left="367"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8" w:name="page139"/>
    <w:bookmarkEnd w:id="13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provision / (benefit) for the taxes on income consists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Deferred income tax</w:t>
            </w:r>
          </w:p>
        </w:tc>
        <w:tc>
          <w:tcPr>
            <w:tcW w:w="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521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0"/>
        </w:trPr>
        <w:tc>
          <w:tcPr>
            <w:tcW w:w="6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526</w:t>
            </w: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left="367" w:right="220"/>
        <w:spacing w:after="0" w:line="264" w:lineRule="auto"/>
        <w:rPr>
          <w:sz w:val="20"/>
          <w:szCs w:val="20"/>
          <w:color w:val="auto"/>
        </w:rPr>
      </w:pPr>
      <w:r>
        <w:rPr>
          <w:rFonts w:ascii="Arial" w:cs="Arial" w:eastAsia="Arial" w:hAnsi="Arial"/>
          <w:sz w:val="18"/>
          <w:szCs w:val="18"/>
          <w:color w:val="auto"/>
        </w:rPr>
        <w:t>The effective tax rate for the year-ended December 31, 2017 and 2016 was 1.7% and (1.1%), respectively. As a pass through entity, the Company’s statutory rate is 0% and the entire difference between the statutory and effective rate is attributable to foreign taxes.</w:t>
      </w:r>
    </w:p>
    <w:p>
      <w:pPr>
        <w:spacing w:after="0" w:line="73" w:lineRule="exact"/>
        <w:rPr>
          <w:sz w:val="20"/>
          <w:szCs w:val="20"/>
          <w:color w:val="auto"/>
        </w:rPr>
      </w:pPr>
    </w:p>
    <w:p>
      <w:pPr>
        <w:ind w:left="367" w:right="200"/>
        <w:spacing w:after="0" w:line="297" w:lineRule="auto"/>
        <w:rPr>
          <w:sz w:val="20"/>
          <w:szCs w:val="20"/>
          <w:color w:val="auto"/>
        </w:rPr>
      </w:pPr>
      <w:r>
        <w:rPr>
          <w:rFonts w:ascii="Arial" w:cs="Arial" w:eastAsia="Arial" w:hAnsi="Arial"/>
          <w:sz w:val="16"/>
          <w:szCs w:val="16"/>
          <w:color w:val="auto"/>
        </w:rPr>
        <w:t>Deferred income tax assets are recognized for tax loss carry-forwards in certain of the Company’s foreign subsidiaries to the extent that it is more likely than not that the Company will realize the related tax benefit through future taxable profits. Management, through tax-planning assessment and consideration of the relevant subsidiaries fixed revenue streams, believes that it is more likely than not that tax loss carry-forwards will be fully utilized by the subsidiary in future reporting periods. These tax loss carry-forwards do not expire, but will become subject to certain limitations in 2020.</w:t>
      </w:r>
    </w:p>
    <w:p>
      <w:pPr>
        <w:spacing w:after="0" w:line="5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deferred taxes were as follows for the period ended December 31, 2017 and 2016:</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Accelerated tax depreciation taken on property, plant and equipment underlying the finance</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receivables, and other temporary differences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Taxable losses available for offsetting against future taxable income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r>
      <w:tr>
        <w:trPr>
          <w:trHeight w:val="24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asset, net at December 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1"/>
                <w:szCs w:val="21"/>
                <w:color w:val="auto"/>
              </w:rPr>
            </w:pP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left="367" w:right="200"/>
        <w:spacing w:after="0" w:line="342" w:lineRule="auto"/>
        <w:rPr>
          <w:sz w:val="20"/>
          <w:szCs w:val="20"/>
          <w:color w:val="auto"/>
        </w:rPr>
      </w:pPr>
      <w:r>
        <w:rPr>
          <w:rFonts w:ascii="Arial" w:cs="Arial" w:eastAsia="Arial" w:hAnsi="Arial"/>
          <w:sz w:val="16"/>
          <w:szCs w:val="16"/>
          <w:color w:val="auto"/>
        </w:rPr>
        <w:t>The Company has not recorded a liability for uncertain tax positions as of December 31, 2017 or 2016. We remain subject to periodic audits and reviews by the taxing authority; our returns since our formation remain open for examination.</w:t>
      </w:r>
    </w:p>
    <w:p>
      <w:pPr>
        <w:spacing w:after="0" w:line="12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left="367"/>
        <w:spacing w:after="0" w:line="312" w:lineRule="auto"/>
        <w:rPr>
          <w:sz w:val="20"/>
          <w:szCs w:val="20"/>
          <w:color w:val="auto"/>
        </w:rPr>
      </w:pPr>
      <w:r>
        <w:rPr>
          <w:rFonts w:ascii="Arial" w:cs="Arial" w:eastAsia="Arial" w:hAnsi="Arial"/>
          <w:sz w:val="16"/>
          <w:szCs w:val="16"/>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the period 2035.</w:t>
      </w:r>
    </w:p>
    <w:p>
      <w:pPr>
        <w:spacing w:after="0" w:line="35" w:lineRule="exact"/>
        <w:rPr>
          <w:sz w:val="20"/>
          <w:szCs w:val="20"/>
          <w:color w:val="auto"/>
        </w:rPr>
      </w:pPr>
    </w:p>
    <w:p>
      <w:pPr>
        <w:ind w:left="347" w:hanging="347"/>
        <w:spacing w:after="0"/>
        <w:tabs>
          <w:tab w:leader="none" w:pos="347"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367"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conjunction with its principal business activities, the Company enters into various firm commitments in the purchase, production and transportation of LNG and natural gas. Such agreements may include options related to the price of quantities of natural gas under gas purchase and sale agreements, LNG purchase agreements, or options related to the duration of time charters for shipping cargoes. The exercise of these options is dependent upon conditions being fulfilled by the option’s holder and future LNG market levels.</w:t>
      </w:r>
    </w:p>
    <w:p>
      <w:pPr>
        <w:spacing w:after="0" w:line="80" w:lineRule="exact"/>
        <w:rPr>
          <w:rFonts w:ascii="Arial" w:cs="Arial" w:eastAsia="Arial" w:hAnsi="Arial"/>
          <w:sz w:val="18"/>
          <w:szCs w:val="18"/>
          <w:b w:val="1"/>
          <w:bCs w:val="1"/>
          <w:color w:val="auto"/>
        </w:rPr>
      </w:pPr>
    </w:p>
    <w:p>
      <w:pPr>
        <w:ind w:left="367"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the balance sheet date, the estimated future cash payments related to outstanding contractual commitments, at market prices as of December 31, 2017, is summarized as follows:</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Natural gas supply purchase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LNG inventory purchases</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50,461</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left="367" w:right="40"/>
        <w:spacing w:after="0" w:line="259" w:lineRule="auto"/>
        <w:rPr>
          <w:sz w:val="20"/>
          <w:szCs w:val="20"/>
          <w:color w:val="auto"/>
        </w:rPr>
      </w:pPr>
      <w:r>
        <w:rPr>
          <w:rFonts w:ascii="Arial" w:cs="Arial" w:eastAsia="Arial" w:hAnsi="Arial"/>
          <w:sz w:val="18"/>
          <w:szCs w:val="18"/>
          <w:color w:val="auto"/>
        </w:rPr>
        <w:t>The future cash payments summarized above represent the Company’s minimum firm purchase commitment as of December 31, 2017. The 2018 commitment for LNG inventory purchases was partially prepaid as of December 31, 2017 in the amount of $16,665. During the years ended December 31, 2017 and 2016, the Company made purchases of $57,613 and $25,800 under unconditional purchase agreements.</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9" w:name="page140"/>
    <w:bookmarkEnd w:id="13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Natural gas supply purchase obligations</w:t>
      </w:r>
    </w:p>
    <w:p>
      <w:pPr>
        <w:spacing w:after="0" w:line="117" w:lineRule="exact"/>
        <w:rPr>
          <w:sz w:val="20"/>
          <w:szCs w:val="20"/>
          <w:color w:val="auto"/>
        </w:rPr>
      </w:pPr>
    </w:p>
    <w:p>
      <w:pPr>
        <w:ind w:left="367"/>
        <w:spacing w:after="0" w:line="302" w:lineRule="auto"/>
        <w:rPr>
          <w:sz w:val="20"/>
          <w:szCs w:val="20"/>
          <w:color w:val="auto"/>
        </w:rPr>
      </w:pPr>
      <w:r>
        <w:rPr>
          <w:rFonts w:ascii="Arial" w:cs="Arial" w:eastAsia="Arial" w:hAnsi="Arial"/>
          <w:sz w:val="16"/>
          <w:szCs w:val="16"/>
          <w:color w:val="auto"/>
        </w:rPr>
        <w:t>The Company is a party to contractual purchase commitments with terms of 38 months and 60 months. These commitments are designed to assure sources of supply and are not expected to be in excess of normal requirements. For agreements for supply where there is an active markets, such agreements qualify for and the Company elected the normal purchase exception under the derivatives guidance; therefore, the purchases under these contracts are included in Inventory and Cost of sales as incurred.</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LNG inventory purchases and other</w:t>
      </w:r>
    </w:p>
    <w:p>
      <w:pPr>
        <w:spacing w:after="0" w:line="117" w:lineRule="exact"/>
        <w:rPr>
          <w:sz w:val="20"/>
          <w:szCs w:val="20"/>
          <w:color w:val="auto"/>
        </w:rPr>
      </w:pPr>
    </w:p>
    <w:p>
      <w:pPr>
        <w:ind w:left="367" w:right="920"/>
        <w:spacing w:after="0" w:line="277" w:lineRule="auto"/>
        <w:rPr>
          <w:sz w:val="20"/>
          <w:szCs w:val="20"/>
          <w:color w:val="auto"/>
        </w:rPr>
      </w:pPr>
      <w:r>
        <w:rPr>
          <w:rFonts w:ascii="Arial" w:cs="Arial" w:eastAsia="Arial" w:hAnsi="Arial"/>
          <w:sz w:val="18"/>
          <w:szCs w:val="18"/>
          <w:color w:val="auto"/>
        </w:rPr>
        <w:t>On December 20, 2016, the Company committed to the purchase of 756,000 cubic meters of LNG, with half of the commitment delivered in 2017 and half in 2018.</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Company’s lease obligations are discussed in Note 19, Leases, as lessee.</w:t>
      </w:r>
    </w:p>
    <w:p>
      <w:pPr>
        <w:spacing w:after="0" w:line="117" w:lineRule="exact"/>
        <w:rPr>
          <w:sz w:val="20"/>
          <w:szCs w:val="20"/>
          <w:color w:val="auto"/>
        </w:rPr>
      </w:pPr>
    </w:p>
    <w:p>
      <w:pPr>
        <w:ind w:left="367" w:right="100"/>
        <w:spacing w:after="0" w:line="257"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18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left="367" w:right="20"/>
        <w:spacing w:after="0" w:line="276" w:lineRule="auto"/>
        <w:rPr>
          <w:sz w:val="20"/>
          <w:szCs w:val="20"/>
          <w:color w:val="auto"/>
        </w:rPr>
      </w:pPr>
      <w:r>
        <w:rPr>
          <w:rFonts w:ascii="Arial" w:cs="Arial" w:eastAsia="Arial" w:hAnsi="Arial"/>
          <w:sz w:val="17"/>
          <w:szCs w:val="17"/>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64" w:lineRule="exact"/>
        <w:rPr>
          <w:sz w:val="20"/>
          <w:szCs w:val="20"/>
          <w:color w:val="auto"/>
        </w:rPr>
      </w:pPr>
    </w:p>
    <w:p>
      <w:pPr>
        <w:jc w:val="both"/>
        <w:ind w:left="367" w:right="120"/>
        <w:spacing w:after="0" w:line="264" w:lineRule="auto"/>
        <w:rPr>
          <w:sz w:val="20"/>
          <w:szCs w:val="20"/>
          <w:color w:val="auto"/>
        </w:rPr>
      </w:pPr>
      <w:r>
        <w:rPr>
          <w:rFonts w:ascii="Arial" w:cs="Arial" w:eastAsia="Arial" w:hAnsi="Arial"/>
          <w:sz w:val="18"/>
          <w:szCs w:val="18"/>
          <w:color w:val="auto"/>
        </w:rPr>
        <w:t>As at the date at which these consolidated financial statements were available to be issued, the appeal has not been concluded. Should the State of Florida lose the appeal the Company expects a full refund which will be recognized as a gain contingency recognized in earnings when the cash is received.</w:t>
      </w:r>
    </w:p>
    <w:p>
      <w:pPr>
        <w:spacing w:after="0" w:line="69" w:lineRule="exact"/>
        <w:rPr>
          <w:sz w:val="20"/>
          <w:szCs w:val="20"/>
          <w:color w:val="auto"/>
        </w:rPr>
      </w:pPr>
    </w:p>
    <w:p>
      <w:pPr>
        <w:ind w:left="347" w:hanging="347"/>
        <w:spacing w:after="0"/>
        <w:tabs>
          <w:tab w:leader="none" w:pos="34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May 2016, the Company received capital contributions of $271 from Fortress Equity Partners (A) LP (“FEP”).</w:t>
      </w:r>
    </w:p>
    <w:p>
      <w:pPr>
        <w:spacing w:after="0" w:line="117" w:lineRule="exact"/>
        <w:rPr>
          <w:rFonts w:ascii="Arial" w:cs="Arial" w:eastAsia="Arial" w:hAnsi="Arial"/>
          <w:sz w:val="18"/>
          <w:szCs w:val="18"/>
          <w:b w:val="1"/>
          <w:bCs w:val="1"/>
          <w:color w:val="auto"/>
        </w:rPr>
      </w:pPr>
    </w:p>
    <w:p>
      <w:pPr>
        <w:ind w:left="36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2, 2016, the Company entered into a Limited Liability Company Agreement with its shareholders. Under the agreement, the Company is authorized to issue up to 500,000,000 common shares. On June 2, 2016, the Company issued 65,000,000 common shares (no par value) to Members in proportion to their respective ownership interests, receiving $300,505 of capital contributions. The Company incurred costs of $1,076 in raising capital which was recorded as a reduction of equity on the consolidated balance sheets.</w:t>
      </w:r>
    </w:p>
    <w:p>
      <w:pPr>
        <w:spacing w:after="0" w:line="8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February 2017, an existing Member purchased 2,500 additional shares for $50.</w:t>
      </w:r>
    </w:p>
    <w:p>
      <w:pPr>
        <w:spacing w:after="0" w:line="117" w:lineRule="exact"/>
        <w:rPr>
          <w:rFonts w:ascii="Arial" w:cs="Arial" w:eastAsia="Arial" w:hAnsi="Arial"/>
          <w:sz w:val="18"/>
          <w:szCs w:val="18"/>
          <w:b w:val="1"/>
          <w:bCs w:val="1"/>
          <w:color w:val="auto"/>
        </w:rPr>
      </w:pPr>
    </w:p>
    <w:p>
      <w:pPr>
        <w:ind w:left="367"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consolidated balance sheets. Of the total amount subscribed, $20,050 was received during the period and $50,000 was received after December 31, 2017 which was recorded as Stock subscriptions receivable offsetting Members’ capital on the consolidated balance sheets. The Company incurred costs in raising capital of $192 which was recorded as a reduction of equity on the consolidated balance sheets.</w:t>
      </w:r>
    </w:p>
    <w:p>
      <w:pPr>
        <w:spacing w:after="0" w:line="60" w:lineRule="exact"/>
        <w:rPr>
          <w:rFonts w:ascii="Arial" w:cs="Arial" w:eastAsia="Arial" w:hAnsi="Arial"/>
          <w:sz w:val="18"/>
          <w:szCs w:val="18"/>
          <w:b w:val="1"/>
          <w:bCs w:val="1"/>
          <w:color w:val="auto"/>
        </w:rPr>
      </w:pPr>
    </w:p>
    <w:p>
      <w:pPr>
        <w:ind w:left="347" w:hanging="347"/>
        <w:spacing w:after="0"/>
        <w:tabs>
          <w:tab w:leader="none" w:pos="34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367"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operates a defined contribution plan through a Jamaican service provider for Jamaican employees. For the year ended December 31, 2017 and 2016, expense for the defined contribution plan totaled $46 and $27, respectively, and is included within Cost of sales in the consolidated statements of operations and comprehensive loss.</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0" w:name="page141"/>
    <w:bookmarkEnd w:id="14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2017 and 2016, the Company recognized rental expense for all operating leases of</w:t>
      </w:r>
    </w:p>
    <w:p>
      <w:pPr>
        <w:spacing w:after="0" w:line="34" w:lineRule="exact"/>
        <w:rPr>
          <w:rFonts w:ascii="Arial" w:cs="Arial" w:eastAsia="Arial" w:hAnsi="Arial"/>
          <w:sz w:val="18"/>
          <w:szCs w:val="18"/>
          <w:b w:val="1"/>
          <w:bCs w:val="1"/>
          <w:color w:val="auto"/>
        </w:rPr>
      </w:pPr>
    </w:p>
    <w:p>
      <w:pPr>
        <w:ind w:left="367" w:right="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$17,369 and $3,539, respectively, related primarily to LNG vessel time charters, office space, a land site lease, and a marine port berth lease. The land site lease is held with an affiliate (see Note 20) of the Company and has an initial term up to 5 years, and the marine port berth lease had an initial term up to 10 years. Both leases contain renewal options.</w:t>
      </w:r>
    </w:p>
    <w:p>
      <w:pPr>
        <w:spacing w:after="0" w:line="65" w:lineRule="exact"/>
        <w:rPr>
          <w:sz w:val="20"/>
          <w:szCs w:val="20"/>
          <w:color w:val="auto"/>
        </w:rPr>
      </w:pPr>
    </w:p>
    <w:tbl>
      <w:tblPr>
        <w:tblLayout w:type="fixed"/>
        <w:tblInd w:w="367"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are as follows: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7" w:right="7120" w:hanging="367"/>
        <w:spacing w:after="0" w:line="425" w:lineRule="auto"/>
        <w:tabs>
          <w:tab w:leader="none" w:pos="358"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7"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$3,866 and $2,214 for the years ended December 31, 2017 and 2016, respectively, and are included within Selling, general and administrative in the consolidated statements of operations and comprehensive loss. As of December 31, 2017 and 2016, $2,054 and $621 were due to Fortress, respectively.</w:t>
      </w:r>
    </w:p>
    <w:p>
      <w:pPr>
        <w:spacing w:after="0" w:line="80" w:lineRule="exact"/>
        <w:rPr>
          <w:rFonts w:ascii="Arial" w:cs="Arial" w:eastAsia="Arial" w:hAnsi="Arial"/>
          <w:sz w:val="16"/>
          <w:szCs w:val="16"/>
          <w:b w:val="1"/>
          <w:bCs w:val="1"/>
          <w:color w:val="auto"/>
        </w:rPr>
      </w:pPr>
    </w:p>
    <w:p>
      <w:pPr>
        <w:ind w:left="367"/>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$2,917 and $1,592 for the years ended December 31, 2017 and 2016,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7" w:lineRule="exact"/>
        <w:rPr>
          <w:rFonts w:ascii="Arial" w:cs="Arial" w:eastAsia="Arial" w:hAnsi="Arial"/>
          <w:sz w:val="16"/>
          <w:szCs w:val="16"/>
          <w:b w:val="1"/>
          <w:bCs w:val="1"/>
          <w:color w:val="auto"/>
        </w:rPr>
      </w:pPr>
    </w:p>
    <w:p>
      <w:pPr>
        <w:ind w:left="367" w:right="1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As disclosed in Note 19, the Company has a land and office lease with Florida East Coast Industries, LLC (“FECI”). The expense for the year ended December 31, 2017 and 2016 totaled $285 and $302, respectively, and is included within Operations and maintenance in the consolidated statements of operations and comprehensive loss. As of December 31, 2017 and 2016, $37 and $554 were due to FECI, respectively.</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Florida East Coast Railway (“FECR”)</w:t>
      </w:r>
    </w:p>
    <w:p>
      <w:pPr>
        <w:spacing w:after="0" w:line="117" w:lineRule="exact"/>
        <w:rPr>
          <w:rFonts w:ascii="Arial" w:cs="Arial" w:eastAsia="Arial" w:hAnsi="Arial"/>
          <w:sz w:val="16"/>
          <w:szCs w:val="16"/>
          <w:b w:val="1"/>
          <w:bCs w:val="1"/>
          <w:color w:val="auto"/>
        </w:rPr>
      </w:pPr>
    </w:p>
    <w:p>
      <w:pPr>
        <w:ind w:left="367" w:right="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w:t>
      </w:r>
    </w:p>
    <w:p>
      <w:pPr>
        <w:spacing w:after="0" w:line="73" w:lineRule="exact"/>
        <w:rPr>
          <w:rFonts w:ascii="Arial" w:cs="Arial" w:eastAsia="Arial" w:hAnsi="Arial"/>
          <w:sz w:val="16"/>
          <w:szCs w:val="16"/>
          <w:b w:val="1"/>
          <w:bCs w:val="1"/>
          <w:color w:val="auto"/>
        </w:rPr>
      </w:pPr>
    </w:p>
    <w:p>
      <w:pPr>
        <w:ind w:left="367" w:right="24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During the years ended December 31, 2017 and 2016, the Company made sales of LNG to FECR totaling $1,618 and $329, respectively, for the periods FECR was affiliated with the Company. As of December 31, 2016, $22 were due to FECR.</w:t>
      </w:r>
    </w:p>
    <w:p>
      <w:pPr>
        <w:spacing w:after="0" w:line="123"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Due to/from Affiliates</w:t>
      </w:r>
    </w:p>
    <w:p>
      <w:pPr>
        <w:spacing w:after="0" w:line="117"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color w:val="auto"/>
        </w:rPr>
        <w:t>The tables below summarizes the balances outstanding with affiliates at December 31, 2017 and 2016:</w:t>
      </w:r>
    </w:p>
    <w:p>
      <w:pPr>
        <w:spacing w:after="0" w:line="82" w:lineRule="exact"/>
        <w:rPr>
          <w:sz w:val="20"/>
          <w:szCs w:val="20"/>
          <w:color w:val="auto"/>
        </w:rPr>
      </w:pPr>
    </w:p>
    <w:p>
      <w:pPr>
        <w:ind w:left="7547"/>
        <w:spacing w:after="0"/>
        <w:tabs>
          <w:tab w:leader="none" w:pos="8706"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15240</wp:posOffset>
            </wp:positionV>
            <wp:extent cx="1294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 w:lineRule="exact"/>
        <w:rPr>
          <w:sz w:val="20"/>
          <w:szCs w:val="20"/>
          <w:color w:val="auto"/>
        </w:rPr>
      </w:pPr>
    </w:p>
    <w:p>
      <w:pPr>
        <w:ind w:left="387"/>
        <w:spacing w:after="0"/>
        <w:tabs>
          <w:tab w:leader="none" w:pos="7206" w:val="left"/>
          <w:tab w:leader="none" w:pos="7726" w:val="left"/>
          <w:tab w:leader="none" w:pos="8306" w:val="left"/>
          <w:tab w:leader="none" w:pos="8846" w:val="left"/>
        </w:tabs>
        <w:rPr>
          <w:sz w:val="20"/>
          <w:szCs w:val="20"/>
          <w:color w:val="auto"/>
        </w:rPr>
      </w:pPr>
      <w:r>
        <w:rPr>
          <w:rFonts w:ascii="Arial" w:cs="Arial" w:eastAsia="Arial" w:hAnsi="Arial"/>
          <w:sz w:val="18"/>
          <w:szCs w:val="18"/>
          <w:color w:val="auto"/>
        </w:rPr>
        <w:t>Amounts due to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2,091</w:t>
        <w:tab/>
        <w:t>$</w:t>
      </w:r>
      <w:r>
        <w:rPr>
          <w:sz w:val="20"/>
          <w:szCs w:val="20"/>
          <w:color w:val="auto"/>
        </w:rPr>
        <w:tab/>
      </w:r>
      <w:r>
        <w:rPr>
          <w:rFonts w:ascii="Arial" w:cs="Arial" w:eastAsia="Arial" w:hAnsi="Arial"/>
          <w:sz w:val="15"/>
          <w:szCs w:val="15"/>
          <w:color w:val="auto"/>
        </w:rPr>
        <w:t>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-130175</wp:posOffset>
            </wp:positionV>
            <wp:extent cx="570293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02935" cy="154305"/>
                    </a:xfrm>
                    <a:prstGeom prst="rect">
                      <a:avLst/>
                    </a:prstGeom>
                    <a:noFill/>
                  </pic:spPr>
                </pic:pic>
              </a:graphicData>
            </a:graphic>
          </wp:anchor>
        </w:drawing>
      </w:r>
    </w:p>
    <w:p>
      <w:pPr>
        <w:spacing w:after="0" w:line="219"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141" w:name="page142"/>
    <w:bookmarkEnd w:id="14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During the year ended December 31, 2016, the Company received a promissory note from FEP for a principal amount of $120.</w:t>
      </w:r>
    </w:p>
    <w:p>
      <w:pPr>
        <w:spacing w:after="0" w:line="46"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note did not require interest and was repaid in full in February 2017.</w:t>
      </w:r>
    </w:p>
    <w:p>
      <w:pPr>
        <w:spacing w:after="0" w:line="99" w:lineRule="exact"/>
        <w:rPr>
          <w:sz w:val="20"/>
          <w:szCs w:val="20"/>
          <w:color w:val="auto"/>
        </w:rPr>
      </w:pPr>
    </w:p>
    <w:p>
      <w:pPr>
        <w:ind w:left="347" w:hanging="347"/>
        <w:spacing w:after="0"/>
        <w:tabs>
          <w:tab w:leader="none" w:pos="34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concentrations</w:t>
      </w:r>
    </w:p>
    <w:p>
      <w:pPr>
        <w:spacing w:after="0" w:line="121" w:lineRule="exact"/>
        <w:rPr>
          <w:rFonts w:ascii="Arial" w:cs="Arial" w:eastAsia="Arial" w:hAnsi="Arial"/>
          <w:sz w:val="18"/>
          <w:szCs w:val="18"/>
          <w:b w:val="1"/>
          <w:bCs w:val="1"/>
          <w:color w:val="auto"/>
        </w:rPr>
      </w:pPr>
    </w:p>
    <w:p>
      <w:pPr>
        <w:ind w:left="367"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years ended and as of December 31, 2017 and 2016, revenue from a significant customer constituted 92% and 61% of total revenues, respectively, and 92% and 96% of total receivables, respectively. In addition to trade receivables, the Company has primarily leased facilities under direct financing leases to this customer. As of December 31, 2017 and 2016, 97% and 100% of the Finance leases, net balance was attributed to this customer.</w:t>
      </w:r>
    </w:p>
    <w:p>
      <w:pPr>
        <w:spacing w:after="0" w:line="78" w:lineRule="exact"/>
        <w:rPr>
          <w:rFonts w:ascii="Arial" w:cs="Arial" w:eastAsia="Arial" w:hAnsi="Arial"/>
          <w:sz w:val="18"/>
          <w:szCs w:val="18"/>
          <w:b w:val="1"/>
          <w:bCs w:val="1"/>
          <w:color w:val="auto"/>
        </w:rPr>
      </w:pPr>
    </w:p>
    <w:p>
      <w:pPr>
        <w:ind w:left="367"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2017 and 2016, revenues from external customers that were derived from customers located in the United States was $4,935 and $319, respectively and from customers outside of the United States was $92,327 and $21,076, respectively, all of which was derived from customers in the Caribbean. The Company attributes revenues from external customers to the country in which the party to the applicable agreement has its principal place of business.</w:t>
      </w:r>
    </w:p>
    <w:p>
      <w:pPr>
        <w:spacing w:after="0" w:line="46" w:lineRule="exact"/>
        <w:rPr>
          <w:rFonts w:ascii="Arial" w:cs="Arial" w:eastAsia="Arial" w:hAnsi="Arial"/>
          <w:sz w:val="18"/>
          <w:szCs w:val="18"/>
          <w:b w:val="1"/>
          <w:bCs w:val="1"/>
          <w:color w:val="auto"/>
        </w:rPr>
      </w:pPr>
    </w:p>
    <w:p>
      <w:pPr>
        <w:ind w:left="367"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2016, long lived assets, which are all non-current assets excluding deferred tax assets and available-for-sale securities, located in the United States were $88,604 and $76,591, respectively and long lived assets located outside of the United States was $131,300 and $96,859, respectively, all of which were located in the Caribbean.</w:t>
      </w:r>
    </w:p>
    <w:p>
      <w:pPr>
        <w:spacing w:after="0" w:line="34" w:lineRule="exact"/>
        <w:rPr>
          <w:rFonts w:ascii="Arial" w:cs="Arial" w:eastAsia="Arial" w:hAnsi="Arial"/>
          <w:sz w:val="18"/>
          <w:szCs w:val="18"/>
          <w:b w:val="1"/>
          <w:bCs w:val="1"/>
          <w:color w:val="auto"/>
        </w:rPr>
      </w:pPr>
    </w:p>
    <w:p>
      <w:pPr>
        <w:ind w:left="347" w:hanging="347"/>
        <w:spacing w:after="0"/>
        <w:tabs>
          <w:tab w:leader="none" w:pos="34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and other commitments</w:t>
      </w:r>
    </w:p>
    <w:p>
      <w:pPr>
        <w:spacing w:after="0" w:line="117" w:lineRule="exact"/>
        <w:rPr>
          <w:rFonts w:ascii="Arial" w:cs="Arial" w:eastAsia="Arial" w:hAnsi="Arial"/>
          <w:sz w:val="18"/>
          <w:szCs w:val="18"/>
          <w:b w:val="1"/>
          <w:bCs w:val="1"/>
          <w:color w:val="auto"/>
        </w:rPr>
      </w:pPr>
    </w:p>
    <w:p>
      <w:pPr>
        <w:ind w:left="367"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18, 2018, the Company signed a timecharter party agreement for a 125,000 cubic meter floating storage and regasification unit commencing from the point at which the vessel is delivered, for an initial term of 15 years, with the option to extend for one additional period of 5 years. Charter costs are charged at a capital rate of $50 per day, and operating expense rate of $22 per day with annual escalation clauses.</w:t>
      </w:r>
    </w:p>
    <w:p>
      <w:pPr>
        <w:spacing w:after="0" w:line="78" w:lineRule="exact"/>
        <w:rPr>
          <w:rFonts w:ascii="Arial" w:cs="Arial" w:eastAsia="Arial" w:hAnsi="Arial"/>
          <w:sz w:val="18"/>
          <w:szCs w:val="18"/>
          <w:b w:val="1"/>
          <w:bCs w:val="1"/>
          <w:color w:val="auto"/>
        </w:rPr>
      </w:pPr>
    </w:p>
    <w:p>
      <w:pPr>
        <w:ind w:left="367"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21, 2018, the Company committed to purchase an LNG terminal support vessel for $498. The vessel was delivered on April 17, 2018.</w:t>
      </w:r>
    </w:p>
    <w:p>
      <w:pPr>
        <w:spacing w:after="0" w:line="62" w:lineRule="exact"/>
        <w:rPr>
          <w:rFonts w:ascii="Arial" w:cs="Arial" w:eastAsia="Arial" w:hAnsi="Arial"/>
          <w:sz w:val="18"/>
          <w:szCs w:val="18"/>
          <w:b w:val="1"/>
          <w:bCs w:val="1"/>
          <w:color w:val="auto"/>
        </w:rPr>
      </w:pPr>
    </w:p>
    <w:p>
      <w:pPr>
        <w:jc w:val="both"/>
        <w:ind w:left="367"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entered into a gas purchase agreement with a major Marcellus Shale producer to supply approximately 160 mcf/d or equivalent of approximately 2,000,000 LNG gallons per day to the Company effective upon fulfillment of certain conditions precedent.</w:t>
      </w:r>
    </w:p>
    <w:p>
      <w:pPr>
        <w:spacing w:after="0" w:line="73" w:lineRule="exact"/>
        <w:rPr>
          <w:rFonts w:ascii="Arial" w:cs="Arial" w:eastAsia="Arial" w:hAnsi="Arial"/>
          <w:sz w:val="18"/>
          <w:szCs w:val="18"/>
          <w:b w:val="1"/>
          <w:bCs w:val="1"/>
          <w:color w:val="auto"/>
        </w:rPr>
      </w:pPr>
    </w:p>
    <w:p>
      <w:pPr>
        <w:ind w:left="367"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14, 2018, the Company extended an existing time charter party agreement expiring May 2018 for continued charter of a 140,500 cubic meter LNG carrier to January 2019. All other conditions to the time charter party agreement remain the same.</w:t>
      </w:r>
    </w:p>
    <w:p>
      <w:pPr>
        <w:spacing w:after="0" w:line="73" w:lineRule="exact"/>
        <w:rPr>
          <w:rFonts w:ascii="Arial" w:cs="Arial" w:eastAsia="Arial" w:hAnsi="Arial"/>
          <w:sz w:val="18"/>
          <w:szCs w:val="18"/>
          <w:b w:val="1"/>
          <w:bCs w:val="1"/>
          <w:color w:val="auto"/>
        </w:rPr>
      </w:pPr>
    </w:p>
    <w:p>
      <w:pPr>
        <w:ind w:left="36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had previously committed to a call option agreement to charter a 15,600 cubic meter LNG carrier for a minimum period of 24 months, and to a maximum period of 27 months. The option is priced at $100 per month and was exercised on March 16, 2018.</w:t>
      </w:r>
    </w:p>
    <w:p>
      <w:pPr>
        <w:spacing w:after="0" w:line="73" w:lineRule="exact"/>
        <w:rPr>
          <w:rFonts w:ascii="Arial" w:cs="Arial" w:eastAsia="Arial" w:hAnsi="Arial"/>
          <w:sz w:val="18"/>
          <w:szCs w:val="18"/>
          <w:b w:val="1"/>
          <w:bCs w:val="1"/>
          <w:color w:val="auto"/>
        </w:rPr>
      </w:pPr>
    </w:p>
    <w:p>
      <w:pPr>
        <w:ind w:left="367"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Subsequent to December 31, 2017, the Company has entered into multiple agreements to acquire land. Total purchases since December 31, 2017 were $9,956.</w:t>
      </w:r>
    </w:p>
    <w:p>
      <w:pPr>
        <w:spacing w:after="0" w:line="17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Leases, as lessee</w:t>
      </w:r>
    </w:p>
    <w:p>
      <w:pPr>
        <w:spacing w:after="0" w:line="117" w:lineRule="exact"/>
        <w:rPr>
          <w:rFonts w:ascii="Arial" w:cs="Arial" w:eastAsia="Arial" w:hAnsi="Arial"/>
          <w:sz w:val="18"/>
          <w:szCs w:val="18"/>
          <w:b w:val="1"/>
          <w:bCs w:val="1"/>
          <w:color w:val="auto"/>
        </w:rPr>
      </w:pPr>
    </w:p>
    <w:p>
      <w:pPr>
        <w:ind w:left="367"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several lease agreements during 2018 in Latin America.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93"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Members’ Equity</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On January 26, 2018, 665,843 common shares (no par value) were issued for consideration of $20,150.</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360"/>
        <w:spacing w:after="0" w:line="274" w:lineRule="auto"/>
        <w:rPr>
          <w:sz w:val="20"/>
          <w:szCs w:val="20"/>
          <w:color w:val="auto"/>
        </w:rPr>
      </w:pPr>
      <w:r>
        <w:rPr>
          <w:rFonts w:ascii="Arial" w:cs="Arial" w:eastAsia="Arial" w:hAnsi="Arial"/>
          <w:sz w:val="16"/>
          <w:szCs w:val="16"/>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71" w:lineRule="exact"/>
        <w:rPr>
          <w:sz w:val="20"/>
          <w:szCs w:val="20"/>
          <w:color w:val="auto"/>
        </w:rPr>
      </w:pPr>
    </w:p>
    <w:p>
      <w:pPr>
        <w:ind w:left="360" w:right="2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ind w:left="360" w:right="300"/>
        <w:spacing w:after="0" w:line="264"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to be funded at the payoff of the Miami Loan and then the remainder to be funded in September 2018 at the payoff of the Mobay Loan.</w:t>
      </w:r>
    </w:p>
    <w:p>
      <w:pPr>
        <w:spacing w:after="0" w:line="73" w:lineRule="exact"/>
        <w:rPr>
          <w:sz w:val="20"/>
          <w:szCs w:val="20"/>
          <w:color w:val="auto"/>
        </w:rPr>
      </w:pPr>
    </w:p>
    <w:p>
      <w:pPr>
        <w:jc w:val="both"/>
        <w:ind w:left="360" w:right="20"/>
        <w:spacing w:after="0" w:line="264" w:lineRule="auto"/>
        <w:rPr>
          <w:sz w:val="20"/>
          <w:szCs w:val="20"/>
          <w:color w:val="auto"/>
        </w:rPr>
      </w:pPr>
      <w:r>
        <w:rPr>
          <w:rFonts w:ascii="Arial" w:cs="Arial" w:eastAsia="Arial" w:hAnsi="Arial"/>
          <w:sz w:val="18"/>
          <w:szCs w:val="18"/>
          <w:color w:val="auto"/>
        </w:rPr>
        <w:t>The Company will use the net proceeds of the Term Loan Facility to repay both the Miami Loan and the MoBay Loan, and the remaining proceeds will be used for general corporate purposes, including capital expenditures and future construction projects under development.</w:t>
      </w:r>
    </w:p>
    <w:p>
      <w:pPr>
        <w:spacing w:after="0" w:line="73" w:lineRule="exact"/>
        <w:rPr>
          <w:sz w:val="20"/>
          <w:szCs w:val="20"/>
          <w:color w:val="auto"/>
        </w:rPr>
      </w:pPr>
    </w:p>
    <w:p>
      <w:pPr>
        <w:ind w:left="360" w:right="500"/>
        <w:spacing w:after="0" w:line="277" w:lineRule="auto"/>
        <w:rPr>
          <w:sz w:val="20"/>
          <w:szCs w:val="20"/>
          <w:color w:val="auto"/>
        </w:rPr>
      </w:pPr>
      <w:r>
        <w:rPr>
          <w:rFonts w:ascii="Arial" w:cs="Arial" w:eastAsia="Arial" w:hAnsi="Arial"/>
          <w:sz w:val="18"/>
          <w:szCs w:val="18"/>
          <w:color w:val="auto"/>
        </w:rPr>
        <w:t>Management performed an evaluation of subsequent events through August 16, 2018, the date the consolidated financial statements were available to be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36"/>
          <w:szCs w:val="36"/>
          <w:b w:val="1"/>
          <w:bCs w:val="1"/>
          <w:color w:val="auto"/>
        </w:rPr>
        <w:t>NFE Financial Holdings LLC</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Class A shares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503555</wp:posOffset>
            </wp:positionV>
            <wp:extent cx="11576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Prospectus</w:t>
      </w:r>
    </w:p>
    <w:p>
      <w:pPr>
        <w:spacing w:after="0" w:line="117" w:lineRule="exact"/>
        <w:rPr>
          <w:sz w:val="20"/>
          <w:szCs w:val="20"/>
          <w:color w:val="auto"/>
        </w:rPr>
      </w:pPr>
    </w:p>
    <w:p>
      <w:pPr>
        <w:jc w:val="right"/>
        <w:ind w:right="426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126365</wp:posOffset>
            </wp:positionV>
            <wp:extent cx="11576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2081530</wp:posOffset>
            </wp:positionV>
            <wp:extent cx="11576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60"/>
        <w:spacing w:after="0" w:line="229" w:lineRule="auto"/>
        <w:rPr>
          <w:sz w:val="20"/>
          <w:szCs w:val="20"/>
          <w:color w:val="auto"/>
        </w:rPr>
      </w:pPr>
      <w:r>
        <w:rPr>
          <w:rFonts w:ascii="Arial" w:cs="Arial" w:eastAsia="Arial" w:hAnsi="Arial"/>
          <w:sz w:val="18"/>
          <w:szCs w:val="18"/>
          <w:b w:val="1"/>
          <w:bCs w:val="1"/>
          <w:color w:val="auto"/>
        </w:rPr>
        <w:t>Through and including , 2018 (the 25</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after the date of this prospectus), federal securities laws may require all dealers that effect transactions in these securities, whether or not participating in this offering, to deliver a prospectus. This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071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0718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607187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4" w:name="page145"/>
    <w:bookmarkEnd w:id="14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987"/>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Set forth below are the expenses (other than underwriting discounts) expected to be incurred in connection with the issuance and distribution of the securities registered hereby. With the exception of the Securities and Exchange Commission registration fee, the FINRA filing fee and the NYSE listing fee the amounts set forth below are estimates.</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Fees and expenses of legal counsel</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666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INDEMNIFICATION OF OFFICERS AND MEMBERS OF OUR BOARD OF DIRECTORS.</w:t>
      </w:r>
    </w:p>
    <w:p>
      <w:pPr>
        <w:spacing w:after="0" w:line="121" w:lineRule="exact"/>
        <w:rPr>
          <w:sz w:val="20"/>
          <w:szCs w:val="20"/>
          <w:color w:val="auto"/>
        </w:rPr>
      </w:pPr>
    </w:p>
    <w:p>
      <w:pPr>
        <w:ind w:left="7" w:firstLine="360"/>
        <w:spacing w:after="0" w:line="270" w:lineRule="auto"/>
        <w:rPr>
          <w:sz w:val="20"/>
          <w:szCs w:val="20"/>
          <w:color w:val="auto"/>
        </w:rPr>
      </w:pPr>
      <w:r>
        <w:rPr>
          <w:rFonts w:ascii="Arial" w:cs="Arial" w:eastAsia="Arial" w:hAnsi="Arial"/>
          <w:sz w:val="17"/>
          <w:szCs w:val="17"/>
          <w:color w:val="auto"/>
        </w:rPr>
        <w:t>Our operating agreement provides that we will indemnify, to the fullest extent permitted by the Delaware LLC Act, each person who was or is made a party or is threatened to be made a party in any legal proceeding by reason of the fact that he or she is or was our or our subsidiary’s director or officer. However, such indemnification is permitted only if such person acted in good faith and lawfully. Indemnification is authorized on a case-by-case basis by (1) our board of directors by a majority vote of disinterested directors, (2) a committee of the disinterested directors, (3) independent legal counsel in a written opinion if (1) and (2) are not available, or if disinterested directors so direct, or (4) the shareholders.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74"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Our operating agreement provides that we may indemnify any person who is or was a director, officer, employee or agent of us to the fullest extent permitted by Delaware law. The indemnification provisions contained in our operating agreement are not exclusive of any other rights to which a person may be entitled by law, agreement, vote of shareholders or disinterested directors or otherwise. In addition, we have entered into separate indemnification agreements with each of our directors and executive officers, which are broader than the specific indemnification provisions contained in the Delaware LLC Act. These indemnification agreements require us, among other things, to indemnify our directors and officers against liabilities that may arise by reason of their status or service as directors or officers, other than liabilities arising from willful misconduct.</w:t>
      </w:r>
    </w:p>
    <w:p>
      <w:pPr>
        <w:spacing w:after="0" w:line="70"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We will purchase insurance covering our officers and directors against liabilities asserted and expenses incurred in connection with their activities as our officers and directors or any of our direct or indirect subsidiaries.</w:t>
      </w:r>
    </w:p>
    <w:p>
      <w:pPr>
        <w:spacing w:after="0" w:line="62" w:lineRule="exact"/>
        <w:rPr>
          <w:sz w:val="20"/>
          <w:szCs w:val="20"/>
          <w:color w:val="auto"/>
        </w:rPr>
      </w:pPr>
    </w:p>
    <w:p>
      <w:pPr>
        <w:ind w:left="7" w:right="120" w:firstLine="360"/>
        <w:spacing w:after="0" w:line="259" w:lineRule="auto"/>
        <w:rPr>
          <w:sz w:val="20"/>
          <w:szCs w:val="20"/>
          <w:color w:val="auto"/>
        </w:rPr>
      </w:pPr>
      <w:r>
        <w:rPr>
          <w:rFonts w:ascii="Arial" w:cs="Arial" w:eastAsia="Arial" w:hAnsi="Arial"/>
          <w:sz w:val="18"/>
          <w:szCs w:val="18"/>
          <w:color w:val="auto"/>
        </w:rPr>
        <w:t>The underwriting agreement to be entered into in connection with the sale of the securities offered pursuant to this registration statement, the form of which will be filed as an exhibit to this registration statement, provides for indemnification of New Fortress Energy Holdings, their officers and directors, and any person who controls New Fortress Energy Holdings, including indemnification for liabilities under the Securities Act.</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5" w:name="page146"/>
    <w:bookmarkEnd w:id="14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7" w:right="140" w:firstLine="360"/>
        <w:spacing w:after="0" w:line="286" w:lineRule="auto"/>
        <w:rPr>
          <w:sz w:val="20"/>
          <w:szCs w:val="20"/>
          <w:color w:val="auto"/>
        </w:rPr>
      </w:pPr>
      <w:r>
        <w:rPr>
          <w:rFonts w:ascii="Arial" w:cs="Arial" w:eastAsia="Arial" w:hAnsi="Arial"/>
          <w:sz w:val="17"/>
          <w:szCs w:val="17"/>
          <w:color w:val="auto"/>
        </w:rPr>
        <w:t>On August 6, 2018, in connection with the formation of NFE Financial Holdings LLC, we issued the 100.0% limited liability company interest in us to New Fortress Energy Holdings LLC. The issuance was exempt from registration under Section 4(a)(2) of the Securities Act. There have been no other sales of unregistered securities within the past three years.</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gridSpan w:val="4"/>
          </w:tcPr>
          <w:p>
            <w:pPr>
              <w:ind w:left="340"/>
              <w:spacing w:after="0"/>
              <w:rPr>
                <w:sz w:val="20"/>
                <w:szCs w:val="20"/>
                <w:color w:val="auto"/>
              </w:rPr>
            </w:pPr>
            <w:r>
              <w:rPr>
                <w:rFonts w:ascii="Arial" w:cs="Arial" w:eastAsia="Arial" w:hAnsi="Arial"/>
                <w:sz w:val="18"/>
                <w:szCs w:val="18"/>
                <w:color w:val="auto"/>
                <w:w w:val="97"/>
              </w:rPr>
              <w:t>In connection with the formation transactions described herein, we will issue</w:t>
            </w:r>
          </w:p>
        </w:tc>
        <w:tc>
          <w:tcPr>
            <w:tcW w:w="3260" w:type="dxa"/>
            <w:vAlign w:val="bottom"/>
            <w:gridSpan w:val="2"/>
          </w:tcPr>
          <w:p>
            <w:pPr>
              <w:ind w:left="80"/>
              <w:spacing w:after="0"/>
              <w:rPr>
                <w:sz w:val="20"/>
                <w:szCs w:val="20"/>
                <w:color w:val="auto"/>
              </w:rPr>
            </w:pPr>
            <w:r>
              <w:rPr>
                <w:rFonts w:ascii="Arial" w:cs="Arial" w:eastAsia="Arial" w:hAnsi="Arial"/>
                <w:sz w:val="18"/>
                <w:szCs w:val="18"/>
                <w:color w:val="auto"/>
                <w:w w:val="92"/>
              </w:rPr>
              <w:t>Class B shares, representing an aggregate</w:t>
            </w:r>
          </w:p>
        </w:tc>
      </w:tr>
      <w:tr>
        <w:trPr>
          <w:trHeight w:val="230"/>
        </w:trPr>
        <w:tc>
          <w:tcPr>
            <w:tcW w:w="20" w:type="dxa"/>
            <w:vAlign w:val="bottom"/>
          </w:tcPr>
          <w:p>
            <w:pPr>
              <w:spacing w:after="0"/>
              <w:rPr>
                <w:sz w:val="20"/>
                <w:szCs w:val="20"/>
                <w:color w:val="auto"/>
              </w:rPr>
            </w:pPr>
          </w:p>
        </w:tc>
        <w:tc>
          <w:tcPr>
            <w:tcW w:w="9540" w:type="dxa"/>
            <w:vAlign w:val="bottom"/>
            <w:gridSpan w:val="6"/>
          </w:tcPr>
          <w:p>
            <w:pPr>
              <w:ind w:left="240"/>
              <w:spacing w:after="0"/>
              <w:rPr>
                <w:sz w:val="20"/>
                <w:szCs w:val="20"/>
                <w:color w:val="auto"/>
              </w:rPr>
            </w:pPr>
            <w:r>
              <w:rPr>
                <w:rFonts w:ascii="Arial" w:cs="Arial" w:eastAsia="Arial" w:hAnsi="Arial"/>
                <w:sz w:val="18"/>
                <w:szCs w:val="18"/>
                <w:color w:val="auto"/>
              </w:rPr>
              <w:t>% non-economic limited liability company interest in us, to New Fortress Energy Holdings.</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54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Description</w:t>
            </w:r>
          </w:p>
        </w:tc>
        <w:tc>
          <w:tcPr>
            <w:tcW w:w="3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Form of Underwriting Agreement</w:t>
            </w: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Certificate of Formation of NFE Financial Holdings LLC</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 Form of Operating Agreement of NFE Financial Holdings LLC</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6"/>
              </w:rPr>
              <w:t>— Form of Amended and Restated Limited Liability Company Agreement of New Fortress Intermediate LLC.</w:t>
            </w: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Form of Contribution Agreement</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 Form of NFE Financial Holdings LLC Long-Term Incentive Plan</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Form of Grant Award Agreement</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Form of Registration Rights Agreement</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5"/>
              </w:rPr>
              <w:t>— Credit Agreement, dated November 21, 2014, by and among LNG Holdings (Florida) LLC, Morgan Stanley</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120" w:type="dxa"/>
            <w:vAlign w:val="bottom"/>
            <w:gridSpan w:val="3"/>
          </w:tcPr>
          <w:p>
            <w:pPr>
              <w:ind w:left="60"/>
              <w:spacing w:after="0"/>
              <w:rPr>
                <w:sz w:val="20"/>
                <w:szCs w:val="20"/>
                <w:color w:val="auto"/>
              </w:rPr>
            </w:pPr>
            <w:r>
              <w:rPr>
                <w:rFonts w:ascii="Arial" w:cs="Arial" w:eastAsia="Arial" w:hAnsi="Arial"/>
                <w:sz w:val="18"/>
                <w:szCs w:val="18"/>
                <w:color w:val="auto"/>
              </w:rPr>
              <w:t>Senior Funding, Inc., as administrative agent and the lenders party thereto.</w:t>
            </w:r>
          </w:p>
        </w:tc>
      </w:tr>
      <w:tr>
        <w:trPr>
          <w:trHeight w:val="229"/>
        </w:trPr>
        <w:tc>
          <w:tcPr>
            <w:tcW w:w="20" w:type="dxa"/>
            <w:vAlign w:val="bottom"/>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 Syndicated Loan Agreement, dated June 3, 2016, by and among NFE North Holdings Limited, National</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0"/>
              </w:rPr>
              <w:t>Commercial Bank Jamaica Limited, as arranger, JCSD Trustee Services Limited, as agent and the lenders party</w:t>
            </w:r>
          </w:p>
        </w:tc>
      </w:tr>
      <w:tr>
        <w:trPr>
          <w:trHeight w:val="244"/>
        </w:trPr>
        <w:tc>
          <w:tcPr>
            <w:tcW w:w="20" w:type="dxa"/>
            <w:vAlign w:val="bottom"/>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thereto.</w:t>
            </w: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List of Subsidiaries of NFE Financial Holdings LLC</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Consent of Ernst &amp; Young L.L.P.</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Consent of Vinson &amp; Elkins L.L.P. (contained in Exhibits 5.1)</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Powers of Attorney (contained on signature page)</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Provided herewith.</w:t>
      </w:r>
    </w:p>
    <w:p>
      <w:pPr>
        <w:spacing w:after="0" w:line="109" w:lineRule="exact"/>
        <w:rPr>
          <w:sz w:val="20"/>
          <w:szCs w:val="20"/>
          <w:color w:val="auto"/>
        </w:rPr>
      </w:pPr>
    </w:p>
    <w:p>
      <w:pPr>
        <w:ind w:left="347" w:hanging="347"/>
        <w:spacing w:after="0"/>
        <w:tabs>
          <w:tab w:leader="none" w:pos="34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700" w:right="260" w:hanging="356"/>
        <w:spacing w:after="0" w:line="259"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700" w:right="120" w:hanging="356"/>
        <w:spacing w:after="0" w:line="286" w:lineRule="auto"/>
        <w:tabs>
          <w:tab w:leader="none" w:pos="7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New York, State of New York, on</w:t>
      </w:r>
    </w:p>
    <w:p>
      <w:pPr>
        <w:ind w:left="400"/>
        <w:spacing w:after="0"/>
        <w:rPr>
          <w:sz w:val="20"/>
          <w:szCs w:val="20"/>
          <w:color w:val="auto"/>
        </w:rPr>
      </w:pPr>
      <w:r>
        <w:rPr>
          <w:rFonts w:ascii="Arial" w:cs="Arial" w:eastAsia="Arial" w:hAnsi="Arial"/>
          <w:sz w:val="18"/>
          <w:szCs w:val="18"/>
          <w:color w:val="auto"/>
        </w:rPr>
        <w:t>, 2018.</w:t>
      </w:r>
    </w:p>
    <w:p>
      <w:pPr>
        <w:spacing w:after="0" w:line="5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NFE Financial Holdings LLC</w:t>
            </w:r>
          </w:p>
        </w:tc>
      </w:tr>
      <w:tr>
        <w:trPr>
          <w:trHeight w:val="486"/>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37"/>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980" w:type="dxa"/>
            <w:vAlign w:val="bottom"/>
          </w:tcPr>
          <w:p>
            <w:pPr>
              <w:ind w:left="40"/>
              <w:spacing w:after="0"/>
              <w:rPr>
                <w:sz w:val="20"/>
                <w:szCs w:val="20"/>
                <w:color w:val="auto"/>
              </w:rPr>
            </w:pPr>
            <w:r>
              <w:rPr>
                <w:rFonts w:ascii="Arial" w:cs="Arial" w:eastAsia="Arial" w:hAnsi="Arial"/>
                <w:sz w:val="18"/>
                <w:szCs w:val="18"/>
                <w:color w:val="auto"/>
              </w:rPr>
              <w:t>Christopher S. Guinta</w:t>
            </w:r>
          </w:p>
        </w:tc>
      </w:tr>
      <w:tr>
        <w:trPr>
          <w:trHeight w:val="243"/>
        </w:trPr>
        <w:tc>
          <w:tcPr>
            <w:tcW w:w="4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9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446"/>
        </w:trPr>
        <w:tc>
          <w:tcPr>
            <w:tcW w:w="9140" w:type="dxa"/>
            <w:vAlign w:val="bottom"/>
            <w:gridSpan w:val="4"/>
          </w:tcPr>
          <w:p>
            <w:pPr>
              <w:ind w:left="3400"/>
              <w:spacing w:after="0"/>
              <w:rPr>
                <w:sz w:val="20"/>
                <w:szCs w:val="20"/>
                <w:color w:val="auto"/>
              </w:rPr>
            </w:pPr>
            <w:r>
              <w:rPr>
                <w:rFonts w:ascii="Arial" w:cs="Arial" w:eastAsia="Arial" w:hAnsi="Arial"/>
                <w:sz w:val="18"/>
                <w:szCs w:val="18"/>
                <w:b w:val="1"/>
                <w:bCs w:val="1"/>
                <w:color w:val="auto"/>
              </w:rPr>
              <w:t>POWER OF ATTORNEY</w:t>
            </w: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w w:val="92"/>
              </w:rPr>
              <w:t>Each person whose signature appears below appoints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rPr>
              <w:t>and</w:t>
            </w:r>
          </w:p>
        </w:tc>
        <w:tc>
          <w:tcPr>
            <w:tcW w:w="3980" w:type="dxa"/>
            <w:vAlign w:val="bottom"/>
          </w:tcPr>
          <w:p>
            <w:pPr>
              <w:ind w:left="280"/>
              <w:spacing w:after="0"/>
              <w:rPr>
                <w:sz w:val="20"/>
                <w:szCs w:val="20"/>
                <w:color w:val="auto"/>
              </w:rPr>
            </w:pPr>
            <w:r>
              <w:rPr>
                <w:rFonts w:ascii="Arial" w:cs="Arial" w:eastAsia="Arial" w:hAnsi="Arial"/>
                <w:sz w:val="18"/>
                <w:szCs w:val="18"/>
                <w:color w:val="auto"/>
                <w:w w:val="94"/>
              </w:rPr>
              <w:t>, and each of them, any of whom may act without</w:t>
            </w:r>
          </w:p>
        </w:tc>
      </w:tr>
    </w:tbl>
    <w:p>
      <w:pPr>
        <w:spacing w:after="0" w:line="268" w:lineRule="auto"/>
        <w:rPr>
          <w:sz w:val="20"/>
          <w:szCs w:val="20"/>
          <w:color w:val="auto"/>
        </w:rPr>
      </w:pPr>
      <w:r>
        <w:rPr>
          <w:rFonts w:ascii="Arial" w:cs="Arial" w:eastAsia="Arial" w:hAnsi="Arial"/>
          <w:sz w:val="17"/>
          <w:szCs w:val="17"/>
          <w:color w:val="auto"/>
        </w:rPr>
        <w:t>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of their or his or her substitute and substitutes, may lawfully do or cause to be done by virtue hereof.</w:t>
      </w:r>
    </w:p>
    <w:p>
      <w:pPr>
        <w:spacing w:after="0" w:line="7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4"/>
                <w:szCs w:val="14"/>
                <w:color w:val="auto"/>
              </w:rPr>
            </w:pPr>
          </w:p>
        </w:tc>
        <w:tc>
          <w:tcPr>
            <w:tcW w:w="22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Date</w:t>
            </w:r>
          </w:p>
        </w:tc>
      </w:tr>
      <w:tr>
        <w:trPr>
          <w:trHeight w:val="480"/>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Wesley R. Edens, Chief Executive Officer and</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tcPr>
          <w:p>
            <w:pPr>
              <w:jc w:val="center"/>
              <w:spacing w:after="0" w:line="182" w:lineRule="exact"/>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Christopher S. Guinta, Chief Financial Officer</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512"/>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Jay Leitstein, Chief Accounting Officer</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512"/>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Randal A. Nardone</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40"/>
      </w:cols>
      <w:pgMar w:left="1180" w:top="279"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2"/>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upperLetter"/>
      <w:start w:val="6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lowerRoman"/>
      <w:start w:val="4"/>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1)"/>
      <w:numFmt w:val="decimal"/>
      <w:start w:val="2"/>
    </w:lvl>
  </w:abstractNum>
  <w:abstractNum w:abstractNumId="41">
    <w:nsid w:val="51D9C564"/>
    <w:multiLevelType w:val="hybridMultilevel"/>
    <w:lvl w:ilvl="0">
      <w:lvlJc w:val="left"/>
      <w:lvlText w:val="(%1)"/>
      <w:numFmt w:val="decimal"/>
      <w:start w:val="1"/>
    </w:lvl>
  </w:abstractNum>
  <w:abstractNum w:abstractNumId="42">
    <w:nsid w:val="613EFDC5"/>
    <w:multiLevelType w:val="hybridMultilevel"/>
    <w:lvl w:ilvl="0">
      <w:lvlJc w:val="left"/>
      <w:lvlText w:val="(%1)"/>
      <w:numFmt w:val="decimal"/>
      <w:start w:val="4"/>
    </w:lvl>
  </w:abstractNum>
  <w:abstractNum w:abstractNumId="43">
    <w:nsid w:val="BF72B14"/>
    <w:multiLevelType w:val="hybridMultilevel"/>
    <w:lvl w:ilvl="0">
      <w:lvlJc w:val="left"/>
      <w:lvlText w:val="(%1)"/>
      <w:numFmt w:val="decimal"/>
      <w:start w:val="2"/>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1)"/>
      <w:numFmt w:val="lowerRoman"/>
      <w:start w:val="2"/>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2"/>
    </w:lvl>
  </w:abstractNum>
  <w:abstractNum w:abstractNumId="75">
    <w:nsid w:val="57FC4FBB"/>
    <w:multiLevelType w:val="hybridMultilevel"/>
    <w:lvl w:ilvl="0">
      <w:lvlJc w:val="left"/>
      <w:lvlText w:val="(%1)"/>
      <w:numFmt w:val="lowerLetter"/>
      <w:start w:val="1"/>
    </w:lvl>
  </w:abstractNum>
  <w:abstractNum w:abstractNumId="76">
    <w:nsid w:val="CC1016F"/>
    <w:multiLevelType w:val="hybridMultilevel"/>
    <w:lvl w:ilvl="0">
      <w:lvlJc w:val="left"/>
      <w:lvlText w:val="(%1)"/>
      <w:numFmt w:val="lowerLetter"/>
      <w:start w:val="2"/>
    </w:lvl>
    <w:lvl w:ilvl="1">
      <w:lvlJc w:val="left"/>
      <w:lvlText w:val="(%2)"/>
      <w:numFmt w:val="decimal"/>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decimal"/>
      <w:start w:val="1"/>
    </w:lvl>
    <w:lvl w:ilvl="1">
      <w:lvlJc w:val="left"/>
      <w:lvlText w:val="(%2)"/>
      <w:numFmt w:val="lowerLetter"/>
      <w:start w:val="1"/>
    </w:lvl>
  </w:abstractNum>
  <w:abstractNum w:abstractNumId="79">
    <w:nsid w:val="26F324BA"/>
    <w:multiLevelType w:val="hybridMultilevel"/>
    <w:lvl w:ilvl="0">
      <w:lvlJc w:val="left"/>
      <w:lvlText w:val="(%1)"/>
      <w:numFmt w:val="lowerLetter"/>
      <w:start w:val="7"/>
    </w:lvl>
  </w:abstractNum>
  <w:abstractNum w:abstractNumId="80">
    <w:nsid w:val="7F01579B"/>
    <w:multiLevelType w:val="hybridMultilevel"/>
    <w:lvl w:ilvl="0">
      <w:lvlJc w:val="left"/>
      <w:lvlText w:val="(%1)"/>
      <w:numFmt w:val="lowerLetter"/>
      <w:start w:val="10"/>
    </w:lvl>
  </w:abstractNum>
  <w:abstractNum w:abstractNumId="81">
    <w:nsid w:val="49DA307D"/>
    <w:multiLevelType w:val="hybridMultilevel"/>
    <w:lvl w:ilvl="0">
      <w:lvlJc w:val="left"/>
      <w:lvlText w:val="(%1)"/>
      <w:numFmt w:val="lowerLetter"/>
      <w:start w:val="11"/>
    </w:lvl>
  </w:abstractNum>
  <w:abstractNum w:abstractNumId="82">
    <w:nsid w:val="7055A5F5"/>
    <w:multiLevelType w:val="hybridMultilevel"/>
    <w:lvl w:ilvl="0">
      <w:lvlJc w:val="left"/>
      <w:lvlText w:val="(%1)"/>
      <w:numFmt w:val="lowerLetter"/>
      <w:start w:val="16"/>
    </w:lvl>
  </w:abstractNum>
  <w:abstractNum w:abstractNumId="83">
    <w:nsid w:val="5FB8370B"/>
    <w:multiLevelType w:val="hybridMultilevel"/>
    <w:lvl w:ilvl="0">
      <w:lvlJc w:val="left"/>
      <w:lvlText w:val="%1"/>
      <w:numFmt w:val="decimal"/>
      <w:start w:val="1"/>
    </w:lvl>
    <w:lvl w:ilvl="1">
      <w:lvlJc w:val="left"/>
      <w:lvlText w:val="(%2)"/>
      <w:numFmt w:val="lowerLetter"/>
      <w:start w:val="18"/>
    </w:lvl>
  </w:abstractNum>
  <w:abstractNum w:abstractNumId="84">
    <w:nsid w:val="50801EE1"/>
    <w:multiLevelType w:val="hybridMultilevel"/>
    <w:lvl w:ilvl="0">
      <w:lvlJc w:val="left"/>
      <w:lvlText w:val="%1."/>
      <w:numFmt w:val="decimal"/>
      <w:start w:val="3"/>
    </w:lvl>
    <w:lvl w:ilvl="1">
      <w:lvlJc w:val="left"/>
      <w:lvlText w:val="%2"/>
      <w:numFmt w:val="lowerLetter"/>
      <w:start w:val="1"/>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decimal"/>
      <w:start w:val="1"/>
    </w:lvl>
    <w:lvl w:ilvl="1">
      <w:lvlJc w:val="left"/>
      <w:lvlText w:val="(%2)"/>
      <w:numFmt w:val="lowerLetter"/>
      <w:start w:val="2"/>
    </w:lvl>
  </w:abstractNum>
  <w:abstractNum w:abstractNumId="87">
    <w:nsid w:val="6AA78F7F"/>
    <w:multiLevelType w:val="hybridMultilevel"/>
    <w:lvl w:ilvl="0">
      <w:lvlJc w:val="left"/>
      <w:lvlText w:val="%1."/>
      <w:numFmt w:val="decimal"/>
      <w:start w:val="4"/>
    </w:lvl>
    <w:lvl w:ilvl="1">
      <w:lvlJc w:val="left"/>
      <w:lvlText w:val="%2"/>
      <w:numFmt w:val="lowerLetter"/>
      <w:start w:val="1"/>
    </w:lvl>
  </w:abstractNum>
  <w:abstractNum w:abstractNumId="88">
    <w:nsid w:val="7672BD23"/>
    <w:multiLevelType w:val="hybridMultilevel"/>
    <w:lvl w:ilvl="0">
      <w:lvlJc w:val="left"/>
      <w:lvlText w:val="%1."/>
      <w:numFmt w:val="decimal"/>
      <w:start w:val="5"/>
    </w:lvl>
    <w:lvl w:ilvl="1">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1."/>
      <w:numFmt w:val="decimal"/>
      <w:start w:val="6"/>
    </w:lvl>
  </w:abstractNum>
  <w:abstractNum w:abstractNumId="91">
    <w:nsid w:val="7D5E18F8"/>
    <w:multiLevelType w:val="hybridMultilevel"/>
    <w:lvl w:ilvl="0">
      <w:lvlJc w:val="left"/>
      <w:lvlText w:val="%1."/>
      <w:numFmt w:val="decimal"/>
      <w:start w:val="7"/>
    </w:lvl>
  </w:abstractNum>
  <w:abstractNum w:abstractNumId="92">
    <w:nsid w:val="5F3534A4"/>
    <w:multiLevelType w:val="hybridMultilevel"/>
    <w:lvl w:ilvl="0">
      <w:lvlJc w:val="left"/>
      <w:lvlText w:val="%1."/>
      <w:numFmt w:val="decimal"/>
      <w:start w:val="8"/>
    </w:lvl>
  </w:abstractNum>
  <w:abstractNum w:abstractNumId="93">
    <w:nsid w:val="73A1821B"/>
    <w:multiLevelType w:val="hybridMultilevel"/>
    <w:lvl w:ilvl="0">
      <w:lvlJc w:val="left"/>
      <w:lvlText w:val="%1."/>
      <w:numFmt w:val="decimal"/>
      <w:start w:val="9"/>
    </w:lvl>
  </w:abstractNum>
  <w:abstractNum w:abstractNumId="94">
    <w:nsid w:val="7DE67713"/>
    <w:multiLevelType w:val="hybridMultilevel"/>
    <w:lvl w:ilvl="0">
      <w:lvlJc w:val="left"/>
      <w:lvlText w:val="%1."/>
      <w:numFmt w:val="decimal"/>
      <w:start w:val="10"/>
    </w:lvl>
  </w:abstractNum>
  <w:abstractNum w:abstractNumId="95">
    <w:nsid w:val="555C55B5"/>
    <w:multiLevelType w:val="hybridMultilevel"/>
    <w:lvl w:ilvl="0">
      <w:lvlJc w:val="left"/>
      <w:lvlText w:val="%1."/>
      <w:numFmt w:val="decimal"/>
      <w:start w:val="11"/>
    </w:lvl>
  </w:abstractNum>
  <w:abstractNum w:abstractNumId="96">
    <w:nsid w:val="3FA62ACA"/>
    <w:multiLevelType w:val="hybridMultilevel"/>
    <w:lvl w:ilvl="0">
      <w:lvlJc w:val="left"/>
      <w:lvlText w:val="%1."/>
      <w:numFmt w:val="decimal"/>
      <w:start w:val="12"/>
    </w:lvl>
  </w:abstractNum>
  <w:abstractNum w:abstractNumId="97">
    <w:nsid w:val="14FCE74E"/>
    <w:multiLevelType w:val="hybridMultilevel"/>
    <w:lvl w:ilvl="0">
      <w:lvlJc w:val="left"/>
      <w:lvlText w:val="%1."/>
      <w:numFmt w:val="decimal"/>
      <w:start w:val="13"/>
    </w:lvl>
  </w:abstractNum>
  <w:abstractNum w:abstractNumId="98">
    <w:nsid w:val="6A3DD3E8"/>
    <w:multiLevelType w:val="hybridMultilevel"/>
    <w:lvl w:ilvl="0">
      <w:lvlJc w:val="left"/>
      <w:lvlText w:val="%1."/>
      <w:numFmt w:val="decimal"/>
      <w:start w:val="14"/>
    </w:lvl>
  </w:abstractNum>
  <w:abstractNum w:abstractNumId="99">
    <w:nsid w:val="71C91298"/>
    <w:multiLevelType w:val="hybridMultilevel"/>
    <w:lvl w:ilvl="0">
      <w:lvlJc w:val="left"/>
      <w:lvlText w:val="%1."/>
      <w:numFmt w:val="decimal"/>
      <w:start w:val="15"/>
    </w:lvl>
  </w:abstractNum>
  <w:abstractNum w:abstractNumId="100">
    <w:nsid w:val="9DAF632"/>
    <w:multiLevelType w:val="hybridMultilevel"/>
    <w:lvl w:ilvl="0">
      <w:lvlJc w:val="left"/>
      <w:lvlText w:val="%1."/>
      <w:numFmt w:val="decimal"/>
      <w:start w:val="16"/>
    </w:lvl>
  </w:abstractNum>
  <w:abstractNum w:abstractNumId="101">
    <w:nsid w:val="53299938"/>
    <w:multiLevelType w:val="hybridMultilevel"/>
    <w:lvl w:ilvl="0">
      <w:lvlJc w:val="left"/>
      <w:lvlText w:val="%1."/>
      <w:numFmt w:val="decimal"/>
      <w:start w:val="17"/>
    </w:lvl>
  </w:abstractNum>
  <w:abstractNum w:abstractNumId="102">
    <w:nsid w:val="1FBFE8E0"/>
    <w:multiLevelType w:val="hybridMultilevel"/>
    <w:lvl w:ilvl="0">
      <w:lvlJc w:val="left"/>
      <w:lvlText w:val="%1."/>
      <w:numFmt w:val="decimal"/>
      <w:start w:val="19"/>
    </w:lvl>
  </w:abstractNum>
  <w:abstractNum w:abstractNumId="103">
    <w:nsid w:val="5092CA79"/>
    <w:multiLevelType w:val="hybridMultilevel"/>
    <w:lvl w:ilvl="0">
      <w:lvlJc w:val="left"/>
      <w:lvlText w:val="%1."/>
      <w:numFmt w:val="decimal"/>
      <w:start w:val="20"/>
    </w:lvl>
  </w:abstractNum>
  <w:abstractNum w:abstractNumId="104">
    <w:nsid w:val="1D545C4D"/>
    <w:multiLevelType w:val="hybridMultilevel"/>
    <w:lvl w:ilvl="0">
      <w:lvlJc w:val="left"/>
      <w:lvlText w:val="%1."/>
      <w:numFmt w:val="decimal"/>
      <w:start w:val="21"/>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2019-12-08T18:30:08Z</dcterms:created>
  <dcterms:modified xsi:type="dcterms:W3CDTF">2019-12-08T18:30:08Z</dcterms:modified>
</cp:coreProperties>
</file>