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EDENS WESLEY 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New Fortress Energy LLC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NFE</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05/05/2020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26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60" w:type="dxa"/>
            <w:vAlign w:val="bottom"/>
          </w:tcPr>
          <w:p>
            <w:pPr>
              <w:ind w:left="4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6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1"/>
        <w:spacing w:after="0"/>
        <w:rPr>
          <w:sz w:val="20"/>
          <w:szCs w:val="20"/>
          <w:color w:val="auto"/>
        </w:rPr>
      </w:pPr>
      <w:r>
        <w:rPr>
          <w:rFonts w:ascii="Arial" w:cs="Arial" w:eastAsia="Arial" w:hAnsi="Arial"/>
          <w:sz w:val="16"/>
          <w:szCs w:val="16"/>
          <w:color w:val="0000FF"/>
        </w:rPr>
        <w:t>Chief Executive Officer</w:t>
      </w:r>
    </w:p>
    <w:p>
      <w:pPr>
        <w:spacing w:after="0" w:line="262"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gridSpan w:val="6"/>
          </w:tcPr>
          <w:p>
            <w:pPr>
              <w:jc w:val="center"/>
              <w:ind w:right="102"/>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NEW YORK</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0000FF"/>
                <w:w w:val="98"/>
              </w:rPr>
              <w:t>NY</w:t>
            </w:r>
          </w:p>
        </w:tc>
        <w:tc>
          <w:tcPr>
            <w:tcW w:w="96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10011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20" w:type="dxa"/>
            <w:vAlign w:val="bottom"/>
            <w:gridSpan w:val="10"/>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3"/>
          </w:tcPr>
          <w:p>
            <w:pPr>
              <w:jc w:val="center"/>
              <w:ind w:left="5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4"/>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5520" w:type="dxa"/>
            <w:vAlign w:val="bottom"/>
            <w:tcBorders>
              <w:bottom w:val="single" w:sz="8" w:color="2C2C2C"/>
            </w:tcBorders>
            <w:gridSpan w:val="10"/>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New</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Fortress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jc w:val="right"/>
              <w:ind w:right="283"/>
              <w:spacing w:after="0"/>
              <w:rPr>
                <w:sz w:val="20"/>
                <w:szCs w:val="20"/>
                <w:color w:val="auto"/>
              </w:rPr>
            </w:pPr>
            <w:r>
              <w:rPr>
                <w:rFonts w:ascii="Arial" w:cs="Arial" w:eastAsia="Arial" w:hAnsi="Arial"/>
                <w:sz w:val="10"/>
                <w:szCs w:val="10"/>
                <w:color w:val="008000"/>
                <w:w w:val="89"/>
              </w:rPr>
              <w:t>(2)(3)</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100"/>
              <w:spacing w:after="0" w:line="138" w:lineRule="exact"/>
              <w:rPr>
                <w:sz w:val="20"/>
                <w:szCs w:val="20"/>
                <w:color w:val="auto"/>
              </w:rPr>
            </w:pPr>
            <w:r>
              <w:rPr>
                <w:rFonts w:ascii="Arial" w:cs="Arial" w:eastAsia="Arial" w:hAnsi="Arial"/>
                <w:sz w:val="13"/>
                <w:szCs w:val="13"/>
                <w:color w:val="0000FF"/>
              </w:rPr>
              <w:t>Class</w:t>
            </w: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2,505,312</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w w:val="94"/>
              </w:rPr>
              <w:t>Intermediate</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260" w:type="dxa"/>
            <w:vAlign w:val="bottom"/>
          </w:tcPr>
          <w:p>
            <w:pPr>
              <w:spacing w:after="0"/>
              <w:rPr>
                <w:sz w:val="5"/>
                <w:szCs w:val="5"/>
                <w:color w:val="auto"/>
              </w:rPr>
            </w:pPr>
          </w:p>
        </w:tc>
        <w:tc>
          <w:tcPr>
            <w:tcW w:w="960" w:type="dxa"/>
            <w:vAlign w:val="bottom"/>
            <w:vMerge w:val="restart"/>
          </w:tcPr>
          <w:p>
            <w:pPr>
              <w:jc w:val="right"/>
              <w:ind w:right="137"/>
              <w:spacing w:after="0" w:line="121" w:lineRule="exact"/>
              <w:rPr>
                <w:sz w:val="20"/>
                <w:szCs w:val="20"/>
                <w:color w:val="auto"/>
              </w:rPr>
            </w:pPr>
            <w:r>
              <w:rPr>
                <w:rFonts w:ascii="Arial" w:cs="Arial" w:eastAsia="Arial" w:hAnsi="Arial"/>
                <w:sz w:val="13"/>
                <w:szCs w:val="13"/>
                <w:color w:val="0000FF"/>
              </w:rPr>
              <w:t>05/05/2020</w:t>
            </w:r>
          </w:p>
        </w:tc>
        <w:tc>
          <w:tcPr>
            <w:tcW w:w="1080" w:type="dxa"/>
            <w:vAlign w:val="bottom"/>
          </w:tcPr>
          <w:p>
            <w:pPr>
              <w:spacing w:after="0"/>
              <w:rPr>
                <w:sz w:val="5"/>
                <w:szCs w:val="5"/>
                <w:color w:val="auto"/>
              </w:rPr>
            </w:pPr>
          </w:p>
        </w:tc>
        <w:tc>
          <w:tcPr>
            <w:tcW w:w="160" w:type="dxa"/>
            <w:vAlign w:val="bottom"/>
            <w:gridSpan w:val="2"/>
            <w:vMerge w:val="restart"/>
          </w:tcPr>
          <w:p>
            <w:pPr>
              <w:ind w:left="80"/>
              <w:spacing w:after="0" w:line="122" w:lineRule="exact"/>
              <w:rPr>
                <w:sz w:val="20"/>
                <w:szCs w:val="20"/>
                <w:color w:val="auto"/>
              </w:rPr>
            </w:pPr>
            <w:r>
              <w:rPr>
                <w:rFonts w:ascii="Arial" w:cs="Arial" w:eastAsia="Arial" w:hAnsi="Arial"/>
                <w:sz w:val="11"/>
                <w:szCs w:val="11"/>
                <w:color w:val="0000FF"/>
                <w:w w:val="81"/>
              </w:rPr>
              <w:t>A</w:t>
            </w:r>
          </w:p>
        </w:tc>
        <w:tc>
          <w:tcPr>
            <w:tcW w:w="580" w:type="dxa"/>
            <w:vAlign w:val="bottom"/>
            <w:vMerge w:val="continue"/>
          </w:tcPr>
          <w:p>
            <w:pPr>
              <w:spacing w:after="0"/>
              <w:rPr>
                <w:sz w:val="5"/>
                <w:szCs w:val="5"/>
                <w:color w:val="auto"/>
              </w:rPr>
            </w:pPr>
          </w:p>
        </w:tc>
        <w:tc>
          <w:tcPr>
            <w:tcW w:w="740" w:type="dxa"/>
            <w:vAlign w:val="bottom"/>
            <w:vMerge w:val="restart"/>
          </w:tcPr>
          <w:p>
            <w:pPr>
              <w:ind w:left="160"/>
              <w:spacing w:after="0" w:line="121" w:lineRule="exact"/>
              <w:rPr>
                <w:sz w:val="20"/>
                <w:szCs w:val="20"/>
                <w:color w:val="auto"/>
              </w:rPr>
            </w:pPr>
            <w:r>
              <w:rPr>
                <w:rFonts w:ascii="Arial" w:cs="Arial" w:eastAsia="Arial" w:hAnsi="Arial"/>
                <w:sz w:val="13"/>
                <w:szCs w:val="13"/>
                <w:color w:val="0000FF"/>
                <w:w w:val="96"/>
              </w:rPr>
              <w:t>2,505,312</w:t>
            </w:r>
          </w:p>
        </w:tc>
        <w:tc>
          <w:tcPr>
            <w:tcW w:w="300" w:type="dxa"/>
            <w:vAlign w:val="bottom"/>
          </w:tcPr>
          <w:p>
            <w:pPr>
              <w:spacing w:after="0"/>
              <w:rPr>
                <w:sz w:val="5"/>
                <w:szCs w:val="5"/>
                <w:color w:val="auto"/>
              </w:rPr>
            </w:pP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540" w:type="dxa"/>
            <w:vAlign w:val="bottom"/>
            <w:vMerge w:val="restart"/>
          </w:tcPr>
          <w:p>
            <w:pPr>
              <w:ind w:left="200"/>
              <w:spacing w:after="0" w:line="121"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ind w:left="120"/>
              <w:spacing w:after="0" w:line="121" w:lineRule="exact"/>
              <w:rPr>
                <w:sz w:val="20"/>
                <w:szCs w:val="20"/>
                <w:color w:val="auto"/>
              </w:rPr>
            </w:pPr>
            <w:r>
              <w:rPr>
                <w:rFonts w:ascii="Arial" w:cs="Arial" w:eastAsia="Arial" w:hAnsi="Arial"/>
                <w:sz w:val="13"/>
                <w:szCs w:val="13"/>
                <w:color w:val="0000FF"/>
              </w:rPr>
              <w:t>69,347,698</w:t>
            </w:r>
          </w:p>
        </w:tc>
        <w:tc>
          <w:tcPr>
            <w:tcW w:w="620" w:type="dxa"/>
            <w:vAlign w:val="bottom"/>
            <w:vMerge w:val="restart"/>
          </w:tcPr>
          <w:p>
            <w:pPr>
              <w:ind w:left="340"/>
              <w:spacing w:after="0" w:line="121"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gridSpan w:val="4"/>
          </w:tcPr>
          <w:p>
            <w:pPr>
              <w:ind w:left="16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LLC</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3"/>
                <w:szCs w:val="13"/>
                <w:color w:val="0000FF"/>
              </w:rPr>
              <w:t>Shares</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(1)</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-2680335</wp:posOffset>
            </wp:positionV>
            <wp:extent cx="7035800" cy="266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266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160" w:hanging="2"/>
        <w:spacing w:after="0" w:line="28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New Fortress Intermediate LLC ("NFI") operating agreement provides certain holders of NFI common units ("NFI LLC Units") with certain rights to cause NFI to acquire all or a portion of the NFI LLC Units (the "Redemption Right") for, at NFI's election, (a) Class A shares ("Class A Shares") of New Fortress Energy LLC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NFI LLC Units and the right to exercise the Redemption Right have no expiration date.</w:t>
      </w:r>
    </w:p>
    <w:p>
      <w:pPr>
        <w:spacing w:after="0" w:line="10" w:lineRule="exact"/>
        <w:rPr>
          <w:rFonts w:ascii="Arial" w:cs="Arial" w:eastAsia="Arial" w:hAnsi="Arial"/>
          <w:sz w:val="11"/>
          <w:szCs w:val="11"/>
          <w:color w:val="008000"/>
        </w:rPr>
      </w:pPr>
    </w:p>
    <w:p>
      <w:pPr>
        <w:ind w:left="40" w:right="30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NFI LLC Units are held directly by New Fortress Energy Holdings LLC ("New Fortress Energy Holdings"). New Fortress Energy Holdings is majority owned and controlled by Fortress Equity Partners (A) LP (the "Fortress Shareholder"), of which the reporting person and WRE 2012 Trust LLC (an entity controlled by the reporting person) are limited partners, and which is indirectly controlled by Fortress Investment Group LLC ("FIG"), the indirect parent of the Issuer through its indirect ownership of Issuer Class B shares.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May 5, 2020, FIG allocated these NFI LLC units held by New Fortress Energy Holdings to the reporting person in a transaction approved in advance by the board of directors of the Issuer.</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 Wesley R. Edens,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-7620</wp:posOffset>
            </wp:positionV>
            <wp:extent cx="977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Cameron D. MacDougall as</w:t>
      </w:r>
      <w:r>
        <w:rPr>
          <w:sz w:val="20"/>
          <w:szCs w:val="20"/>
          <w:color w:val="auto"/>
        </w:rPr>
        <w:tab/>
      </w:r>
      <w:r>
        <w:rPr>
          <w:rFonts w:ascii="Arial" w:cs="Arial" w:eastAsia="Arial" w:hAnsi="Arial"/>
          <w:sz w:val="14"/>
          <w:szCs w:val="14"/>
          <w:color w:val="0000FF"/>
        </w:rPr>
        <w:t>05/07/2020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693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4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4460"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2020-05-07T20:28:51Z</dcterms:created>
  <dcterms:modified xsi:type="dcterms:W3CDTF">2020-05-07T20:28:51Z</dcterms:modified>
</cp:coreProperties>
</file>