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Rubric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Rosen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5.62 %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NY, 10011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This statement is filed by: (i) Rubric Capital Management LP ("Rubric Capital"), the investment adviser to certain investment funds and/or accounts (collectively, the "Rubric Funds") that hold the shares of Class A Common Stock,</w:t>
      </w:r>
    </w:p>
    <w:p>
      <w:pPr>
        <w:spacing w:after="0" w:line="1" w:lineRule="exact"/>
        <w:rPr>
          <w:sz w:val="20"/>
          <w:szCs w:val="20"/>
          <w:color w:val="auto"/>
        </w:rPr>
      </w:pPr>
    </w:p>
    <w:p>
      <w:pPr>
        <w:ind w:left="9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 value $0.01 (the "Class A Common Stock") of New Fortress Energy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p>
      <w:pPr>
        <w:sectPr>
          <w:pgSz w:w="11900" w:h="16838" w:orient="portrait"/>
          <w:cols w:equalWidth="0" w:num="1">
            <w:col w:w="11100"/>
          </w:cols>
          <w:pgMar w:left="360" w:top="111" w:right="43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155 East 44th St, Suite 1630,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Rubric Capital is a Delaware limited partnership. Mr. Rosen is a citizen of the 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644393100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80"/>
          </w:cols>
          <w:pgMar w:left="360" w:top="111" w:right="43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20" w:right="4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Items 4(a) is set forth in Row- 9 of the cover page for each of the Reporting Persons and is incorporated herein by reference. The percentage set forth in Row (11) of the cover page for each of the Reporting</w:t>
      </w:r>
    </w:p>
    <w:p>
      <w:pPr>
        <w:sectPr>
          <w:pgSz w:w="11900" w:h="16838" w:orient="portrait"/>
          <w:cols w:equalWidth="0" w:num="1">
            <w:col w:w="11100"/>
          </w:cols>
          <w:pgMar w:left="360" w:top="111" w:right="439" w:bottom="0" w:gutter="0" w:footer="0" w:header="0"/>
          <w:type w:val="continuous"/>
        </w:sectPr>
      </w:pPr>
    </w:p>
    <w:bookmarkStart w:id="3" w:name="page4"/>
    <w:bookmarkEnd w:id="3"/>
    <w:p>
      <w:pPr>
        <w:ind w:left="920" w:right="120"/>
        <w:spacing w:after="0" w:line="236" w:lineRule="auto"/>
        <w:rPr>
          <w:sz w:val="20"/>
          <w:szCs w:val="20"/>
          <w:color w:val="auto"/>
        </w:rPr>
      </w:pPr>
      <w:r>
        <w:rPr>
          <w:rFonts w:ascii="Times New Roman" w:cs="Times New Roman" w:eastAsia="Times New Roman" w:hAnsi="Times New Roman"/>
          <w:sz w:val="22"/>
          <w:szCs w:val="22"/>
          <w:color w:val="auto"/>
        </w:rPr>
        <w:t>Persons is based on 267,120,300 shares of Class A Common Stock outstanding, which is the sum of (i) the 251,419,302 shares of Class A Common Stock outstanding as of November 8, 2024, as reported in the Issuer's Quarterly Report on Form 10-Q for the quarterly period ended September 30, 2024 filed with the Securities and Exchange Commission on November 12, 2024 and (ii) the 15,700,998 shares of Class A Common Stock issued by the Company on December 6, 2024, as disclosed in the Issuer's Current Report on Form 8-K filed with the Securities and Exchange Commission on December 11, 2024.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See Item 2(a). Rubric Capital Master Fund LP, a Rubric Fund, has the right to receive or the power to direct the receipt of dividends from, or the proceeds from the sale of, more than 5% of the Class A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Rubric Capital Management LP</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Nachmani</w:t>
      </w:r>
    </w:p>
    <w:p>
      <w:pPr>
        <w:spacing w:after="0" w:line="4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color w:val="auto"/>
        </w:rPr>
        <w:t>Name/Title: Michael Nachmani / Chief Operating Officer</w:t>
      </w:r>
    </w:p>
    <w:p>
      <w:pPr>
        <w:spacing w:after="0" w:line="56" w:lineRule="exact"/>
        <w:rPr>
          <w:sz w:val="20"/>
          <w:szCs w:val="20"/>
          <w:color w:val="auto"/>
        </w:rPr>
      </w:pPr>
    </w:p>
    <w:p>
      <w:pPr>
        <w:ind w:left="5180"/>
        <w:spacing w:after="0"/>
        <w:tabs>
          <w:tab w:leader="none" w:pos="6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David Rosen</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Rosen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David Rosen / individually</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70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160"/>
          </w:cols>
          <w:pgMar w:left="360" w:top="112" w:right="1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ACQUISITION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02/13/2025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2025-02-13T15:12:49Z</dcterms:created>
  <dcterms:modified xsi:type="dcterms:W3CDTF">2025-02-13T15:12:49Z</dcterms:modified>
</cp:coreProperties>
</file>