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184150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5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Date of Report (Date of earliest event reported): September 18,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229235</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New Fortress Energy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080"/>
          </w:cols>
          <w:pgMar w:left="320" w:top="522" w:right="49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001-38790</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83-1482060</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2920"/>
          </w:cols>
          <w:pgMar w:left="320" w:top="522" w:right="499" w:bottom="1440" w:gutter="0" w:footer="0" w:header="0"/>
          <w:type w:val="continuous"/>
        </w:sectPr>
      </w:pPr>
    </w:p>
    <w:p>
      <w:pPr>
        <w:spacing w:after="0" w:line="30" w:lineRule="exact"/>
        <w:rPr>
          <w:sz w:val="24"/>
          <w:szCs w:val="24"/>
          <w:color w:val="auto"/>
        </w:rPr>
      </w:pPr>
    </w:p>
    <w:p>
      <w:pPr>
        <w:ind w:left="1660"/>
        <w:spacing w:after="0"/>
        <w:rPr>
          <w:sz w:val="20"/>
          <w:szCs w:val="20"/>
          <w:color w:val="auto"/>
        </w:rPr>
      </w:pPr>
      <w:r>
        <w:rPr>
          <w:rFonts w:ascii="Arial" w:cs="Arial" w:eastAsia="Arial" w:hAnsi="Arial"/>
          <w:sz w:val="18"/>
          <w:szCs w:val="18"/>
          <w:b w:val="1"/>
          <w:bCs w:val="1"/>
          <w:color w:val="auto"/>
        </w:rPr>
        <w:t>111 W. 19th Street, 8th Floor</w:t>
      </w:r>
    </w:p>
    <w:p>
      <w:pPr>
        <w:spacing w:after="0" w:line="27" w:lineRule="exact"/>
        <w:rPr>
          <w:sz w:val="24"/>
          <w:szCs w:val="24"/>
          <w:color w:val="auto"/>
        </w:rPr>
      </w:pPr>
    </w:p>
    <w:p>
      <w:pPr>
        <w:ind w:left="2200"/>
        <w:spacing w:after="0"/>
        <w:tabs>
          <w:tab w:leader="none" w:pos="8240" w:val="left"/>
        </w:tabs>
        <w:rPr>
          <w:sz w:val="20"/>
          <w:szCs w:val="20"/>
          <w:color w:val="auto"/>
        </w:rPr>
      </w:pPr>
      <w:r>
        <w:rPr>
          <w:rFonts w:ascii="Arial" w:cs="Arial" w:eastAsia="Arial" w:hAnsi="Arial"/>
          <w:sz w:val="18"/>
          <w:szCs w:val="18"/>
          <w:b w:val="1"/>
          <w:bCs w:val="1"/>
          <w:color w:val="auto"/>
        </w:rPr>
        <w:t>New York, NY</w:t>
      </w:r>
      <w:r>
        <w:rPr>
          <w:sz w:val="20"/>
          <w:szCs w:val="20"/>
          <w:color w:val="auto"/>
        </w:rPr>
        <w:tab/>
      </w:r>
      <w:r>
        <w:rPr>
          <w:rFonts w:ascii="Arial" w:cs="Arial" w:eastAsia="Arial" w:hAnsi="Arial"/>
          <w:sz w:val="15"/>
          <w:szCs w:val="15"/>
          <w:b w:val="1"/>
          <w:bCs w:val="1"/>
          <w:color w:val="auto"/>
        </w:rPr>
        <w:t>10011</w:t>
      </w:r>
    </w:p>
    <w:p>
      <w:pPr>
        <w:spacing w:after="0" w:line="9" w:lineRule="exact"/>
        <w:rPr>
          <w:sz w:val="24"/>
          <w:szCs w:val="24"/>
          <w:color w:val="auto"/>
        </w:rPr>
      </w:pPr>
    </w:p>
    <w:p>
      <w:pPr>
        <w:ind w:left="1300"/>
        <w:spacing w:after="0"/>
        <w:tabs>
          <w:tab w:leader="none" w:pos="806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ectPr>
          <w:pgSz w:w="11900" w:h="16838" w:orient="portrait"/>
          <w:cols w:equalWidth="0" w:num="1">
            <w:col w:w="11080"/>
          </w:cols>
          <w:pgMar w:left="320" w:top="522" w:right="499" w:bottom="1440" w:gutter="0" w:footer="0" w:header="0"/>
          <w:type w:val="continuous"/>
        </w:sectPr>
      </w:pP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 268-7400</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Former name or former address, if changed since last report</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tbl>
      <w:tblPr>
        <w:tblLayout w:type="fixed"/>
        <w:tblInd w:w="260" w:type="dxa"/>
        <w:tblCellMar>
          <w:top w:w="0" w:type="dxa"/>
          <w:left w:w="0" w:type="dxa"/>
          <w:bottom w:w="0" w:type="dxa"/>
          <w:right w:w="0" w:type="dxa"/>
        </w:tblCellMar>
      </w:tblPr>
      <w:tr>
        <w:trPr>
          <w:trHeight w:val="207"/>
        </w:trPr>
        <w:tc>
          <w:tcPr>
            <w:tcW w:w="1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1520" w:type="dxa"/>
            <w:vAlign w:val="bottom"/>
          </w:tcPr>
          <w:p>
            <w:pPr>
              <w:spacing w:after="0"/>
              <w:rPr>
                <w:sz w:val="18"/>
                <w:szCs w:val="18"/>
                <w:color w:val="auto"/>
              </w:rPr>
            </w:pPr>
          </w:p>
        </w:tc>
        <w:tc>
          <w:tcPr>
            <w:tcW w:w="232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Trading Symbol(s)</w:t>
            </w:r>
          </w:p>
        </w:tc>
        <w:tc>
          <w:tcPr>
            <w:tcW w:w="3860" w:type="dxa"/>
            <w:vAlign w:val="bottom"/>
            <w:gridSpan w:val="2"/>
          </w:tcPr>
          <w:p>
            <w:pPr>
              <w:ind w:left="680"/>
              <w:spacing w:after="0"/>
              <w:rPr>
                <w:sz w:val="20"/>
                <w:szCs w:val="20"/>
                <w:color w:val="auto"/>
              </w:rPr>
            </w:pPr>
            <w:r>
              <w:rPr>
                <w:rFonts w:ascii="Arial" w:cs="Arial" w:eastAsia="Arial" w:hAnsi="Arial"/>
                <w:sz w:val="18"/>
                <w:szCs w:val="18"/>
                <w:color w:val="auto"/>
                <w:w w:val="88"/>
              </w:rPr>
              <w:t>Name of each exchange on which registered</w:t>
            </w:r>
          </w:p>
        </w:tc>
      </w:tr>
      <w:tr>
        <w:trPr>
          <w:trHeight w:val="20"/>
        </w:trPr>
        <w:tc>
          <w:tcPr>
            <w:tcW w:w="1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7"/>
        </w:trPr>
        <w:tc>
          <w:tcPr>
            <w:tcW w:w="40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Class A common stock, par value $0.01 per share</w:t>
            </w:r>
          </w:p>
        </w:tc>
        <w:tc>
          <w:tcPr>
            <w:tcW w:w="300" w:type="dxa"/>
            <w:vAlign w:val="bottom"/>
          </w:tcPr>
          <w:p>
            <w:pPr>
              <w:spacing w:after="0"/>
              <w:rPr>
                <w:sz w:val="20"/>
                <w:szCs w:val="20"/>
                <w:color w:val="auto"/>
              </w:rPr>
            </w:pPr>
          </w:p>
        </w:tc>
        <w:tc>
          <w:tcPr>
            <w:tcW w:w="20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9"/>
              </w:rPr>
              <w:t>“NFE”</w:t>
            </w:r>
          </w:p>
        </w:tc>
        <w:tc>
          <w:tcPr>
            <w:tcW w:w="680" w:type="dxa"/>
            <w:vAlign w:val="bottom"/>
          </w:tcPr>
          <w:p>
            <w:pPr>
              <w:spacing w:after="0"/>
              <w:rPr>
                <w:sz w:val="20"/>
                <w:szCs w:val="20"/>
                <w:color w:val="auto"/>
              </w:rPr>
            </w:pPr>
          </w:p>
        </w:tc>
        <w:tc>
          <w:tcPr>
            <w:tcW w:w="3180" w:type="dxa"/>
            <w:vAlign w:val="bottom"/>
          </w:tcPr>
          <w:p>
            <w:pPr>
              <w:ind w:left="220"/>
              <w:spacing w:after="0"/>
              <w:rPr>
                <w:sz w:val="20"/>
                <w:szCs w:val="20"/>
                <w:color w:val="auto"/>
              </w:rPr>
            </w:pPr>
            <w:r>
              <w:rPr>
                <w:rFonts w:ascii="Arial" w:cs="Arial" w:eastAsia="Arial" w:hAnsi="Arial"/>
                <w:sz w:val="18"/>
                <w:szCs w:val="18"/>
                <w:b w:val="1"/>
                <w:bCs w:val="1"/>
                <w:color w:val="auto"/>
              </w:rPr>
              <w:t>NASDAQ Global Select Market</w:t>
            </w:r>
          </w:p>
        </w:tc>
      </w:tr>
    </w:tbl>
    <w:p>
      <w:pPr>
        <w:ind w:right="360"/>
        <w:spacing w:after="0" w:line="26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5"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5"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22" w:right="49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September 18, 2021, Golar Partners Operating LLC (the “Borrower”), an indirect subsidiary of New Fortress Energy Inc. (“NFE”), closed its senior secured amortising term loan facility (the “Term Loan Facility Agreement”) entered into by the Borrower, Golar LNG Partners LP and certain subsidiaries of the Borrower (as listed below, the “Guarantors”), with (i) Citibank N.A. (“Citi”) and the lenders from time to time party thereto (the “Lenders”); (ii) Citigroup Global Markets Limited, Morgan Stanley Senior Funding, Inc. and HSBC Bank USA, N.A. as mandated lead arrangers; (iii) Goldman Sachs Bank USA as arranger; (iv) Citigroup Global Markets Limited and Morgan Stanley Senior Funding, Inc. as bookrunners; (v) Citigroup Global Markets Limited and Morgan Stanley Senior Funding, Inc. as co-ordinators, (vi) Citibank Europe Plc, UK Branch as agent and (vii) Citibank, N.A., London Branch as security agent. The Term Loan Facility Agreement provides for an amortising term loan to be made available in an initial amount of $430,000,000 as may be increased in an aggregate principal amount of up to $725,000,000, subject to satisfaction of certain conditions including the provision of security in relation to additional vessels.</w:t>
      </w:r>
    </w:p>
    <w:p>
      <w:pPr>
        <w:spacing w:after="0" w:line="19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proceeds of the Term Loan Facility Agreement will be used to fund general corporate purposes of NFE, the Borrower and the Guarantors (the “Loan Parties”).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Loans under the Term Loan Facility Agreement bear interest at a rate equal to LIBOR (or the Alternate Base Rate, as defined in the Term Loan Facility Agreement, if LIBOR is discontinued) plus a margin of 3 per cent.</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Borrower’s obligations under the Term Loan Facility Agreement (the “Guaranteed Obligations”) are guaranteed by Golar LNG Partners LP (the “Parent”), Golar LNG Holding Co., Golar Freeze Holding Co., Golar Hull M2024 Corporation, Golar Grand Corporation, Golar 2226 UK Limited, Golar Hull M2031 Corp., Golar LNG 2234 LLC, Golar Spirit Corporation, Golar Spirit UK Ltd., Golar Winter Corporation, Golar Winter UK Ltd., Golar LNG 2215 Corporation and Golar 2215 UK Ltd. (together with the Parent, the “Guarantors”). The issued and outstanding shares of capital stock of each of the Guarantors, other than Parent, has been pledged as security for the Guaranteed Obligations pursuant to pledge agreements provided by the Borrower or, in the case of capital stock of Golar Freeze Holding Co., pursuant to a pledge agreement provided by Golar LNG Holding Co. The Borrower’s obligations are also secured by security interests, mortgages and ancillaries covering three floating storage and regasification vessels and three liquified natural gas carriers.</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 the extent not already reduced, the Term Loan Facility Agreement shall be repaid in installments at three-month intervals in an amount of approximately $15.4 million per installment, with the final repayment date of the Loan falling 36 months from the date of the Term Loan Facility Agreement. Any upsize of the Term Loan Facility Agreement shall be repaid to reflect a straight-line amortization profile of the Term Loan Facility Agreement (as so increased).</w:t>
      </w:r>
    </w:p>
    <w:p>
      <w:pPr>
        <w:spacing w:after="0" w:line="14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Upon 10 business days’ prior written notice to the Lenders, the Borrower may prepay the outstanding indebtedness in full or in part plus accrued interest. Any amount prepaid under the Term Loan Facility Agreement may not be reborrowed. Additionally, certain events, such as (i) total loss; (ii) minimum security value; (iii) the sale or transfer of certain vessels; or (iv) the termination of the charter over the vessel Hilli Episeyo, will require a mandatory prepayment.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Term Loan Facility Agreement contains customary representations and warranties and customary affirmative and negative covenants applicable to the Loan Parties and their respective subsidiaries, including, among other things, financial covenants, chartering restrictions, restrictions on indebtedness, liens, investments, mergers, dispositions, prepayment of other indebtedness and dividends and other distributions.</w:t>
      </w:r>
    </w:p>
    <w:p>
      <w:pPr>
        <w:spacing w:after="0" w:line="16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Financial covenants include requirements that (i) the Borrower and the Parent maintain a certain amount of Free Liquid Assets (as defined in the Term Loan Facility Agreement), that the EBITDA to Consolidated Debt Service and the Net Debt to EBITDA ratios (each as defined in the Term Loan Facility Agreement) are no less than 1.15:1 and no greater than 6.50:1, respectively, and that Consolidated Net Worth (as defined in the Term Loan Facility Agreement) is greater than $250 million.</w:t>
      </w:r>
    </w:p>
    <w:p>
      <w:pPr>
        <w:spacing w:after="0" w:line="18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Term Loan Facility Agreement also contains usual and customary events of default, including non-payment of principal, interest, fees and other amounts; material breach of a representation or warranty; breach of financial covenants; default on other material debt; bankruptcy or insolvency; material judgments; impairment of loan documentation; termination of time charters; termination of hedging contracts; and change of control.</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ind w:right="480"/>
        <w:spacing w:after="0" w:line="263" w:lineRule="auto"/>
        <w:rPr>
          <w:sz w:val="20"/>
          <w:szCs w:val="20"/>
          <w:color w:val="auto"/>
        </w:rPr>
      </w:pPr>
      <w:r>
        <w:rPr>
          <w:rFonts w:ascii="Arial" w:cs="Arial" w:eastAsia="Arial" w:hAnsi="Arial"/>
          <w:sz w:val="18"/>
          <w:szCs w:val="18"/>
          <w:color w:val="auto"/>
        </w:rPr>
        <w:t>The descriptions of the Term Loan Facility Agreement set forth in this Item 1.01 do not purport to be complete and are qualified in their entirety by reference to the full text of the Term Loan Facility Agreement a copy of which will be filed with the U.S. Securities and Exchange Commission as an exhibit to NFE’s Quarterly Report on Form 10-Q for the three months ending September 30, 2021.</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included in Item 1.01 is incorporated by reference into this Item 2.03 insofar as it relates to the creation of a direct financial obligation of the Company.</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September 21, 2021, NFE issued a press release announcing the transaction described in Item 1.01 of this Current Report on Form 8-K, a copy of which is attached as Exhibit 99.1 to this Current Report on Form 8-K and is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8300" w:type="dxa"/>
            <w:vAlign w:val="bottom"/>
          </w:tcPr>
          <w:p>
            <w:pPr>
              <w:ind w:left="24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112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8300" w:type="dxa"/>
            <w:vAlign w:val="bottom"/>
          </w:tcPr>
          <w:p>
            <w:pPr>
              <w:ind w:left="240"/>
              <w:spacing w:after="0"/>
              <w:rPr>
                <w:sz w:val="20"/>
                <w:szCs w:val="20"/>
                <w:color w:val="auto"/>
              </w:rPr>
            </w:pPr>
            <w:r>
              <w:rPr>
                <w:rFonts w:ascii="Arial" w:cs="Arial" w:eastAsia="Arial" w:hAnsi="Arial"/>
                <w:sz w:val="18"/>
                <w:szCs w:val="18"/>
                <w:color w:val="auto"/>
              </w:rPr>
              <w:t>Press Release, dated September 21, 2021, issued by New Fortress Energy Inc.</w:t>
            </w:r>
          </w:p>
        </w:tc>
      </w:tr>
      <w:tr>
        <w:trPr>
          <w:trHeight w:val="453"/>
        </w:trPr>
        <w:tc>
          <w:tcPr>
            <w:tcW w:w="32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9"/>
              </w:rPr>
              <w:t>104</w:t>
            </w:r>
          </w:p>
        </w:tc>
        <w:tc>
          <w:tcPr>
            <w:tcW w:w="800" w:type="dxa"/>
            <w:vAlign w:val="bottom"/>
          </w:tcPr>
          <w:p>
            <w:pPr>
              <w:spacing w:after="0"/>
              <w:rPr>
                <w:sz w:val="24"/>
                <w:szCs w:val="24"/>
                <w:color w:val="auto"/>
              </w:rPr>
            </w:pPr>
          </w:p>
        </w:tc>
        <w:tc>
          <w:tcPr>
            <w:tcW w:w="8300" w:type="dxa"/>
            <w:vAlign w:val="bottom"/>
          </w:tcPr>
          <w:p>
            <w:pPr>
              <w:ind w:left="240"/>
              <w:spacing w:after="0"/>
              <w:rPr>
                <w:sz w:val="20"/>
                <w:szCs w:val="20"/>
                <w:color w:val="auto"/>
              </w:rPr>
            </w:pPr>
            <w:r>
              <w:rPr>
                <w:rFonts w:ascii="Arial" w:cs="Arial" w:eastAsia="Arial" w:hAnsi="Arial"/>
                <w:sz w:val="18"/>
                <w:szCs w:val="18"/>
                <w:color w:val="auto"/>
                <w:w w:val="91"/>
              </w:rPr>
              <w:t>Cover Page Interactive Data File—the cover page XBRL tags are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Language Regarding Forward-Looking Statements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communication contains forward-looking statements, including but not limited to statements regarding the Company’s anticipated use of the net proceeds from the offering. All statements contained in this communication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forward-looking statements speak only as of the date on which it is made. When considering forward-looking statements, you should keep in mind the risk factors and other cautionary statements included in our annual, quarterly and other reports we file with the SEC. We undertake no duty to update these forward-looking statements, even though our situation may change in the future. Furthermore, we cannot guarantee future results, events, levels of activity, performance, projections or achievements.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NEW FORTRESS ENERGY INC.</w:t>
      </w:r>
    </w:p>
    <w:p>
      <w:pPr>
        <w:spacing w:after="0" w:line="229" w:lineRule="exact"/>
        <w:rPr>
          <w:sz w:val="20"/>
          <w:szCs w:val="20"/>
          <w:color w:val="auto"/>
        </w:rPr>
      </w:pPr>
    </w:p>
    <w:p>
      <w:pPr>
        <w:spacing w:after="0"/>
        <w:tabs>
          <w:tab w:leader="none" w:pos="2800" w:val="left"/>
          <w:tab w:leader="none" w:pos="3360" w:val="left"/>
        </w:tabs>
        <w:rPr>
          <w:sz w:val="20"/>
          <w:szCs w:val="20"/>
          <w:color w:val="auto"/>
        </w:rPr>
      </w:pPr>
      <w:r>
        <w:rPr>
          <w:rFonts w:ascii="Arial" w:cs="Arial" w:eastAsia="Arial" w:hAnsi="Arial"/>
          <w:sz w:val="18"/>
          <w:szCs w:val="18"/>
          <w:color w:val="auto"/>
        </w:rPr>
        <w:t>September 23,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23495</wp:posOffset>
            </wp:positionV>
            <wp:extent cx="498919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30"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2820"/>
        <w:spacing w:after="0"/>
        <w:tabs>
          <w:tab w:leader="none" w:pos="33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Announces $725 Million Shipping Term Loan Facility</w:t>
      </w:r>
    </w:p>
    <w:p>
      <w:pPr>
        <w:spacing w:after="0" w:line="229"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NEW YORK — (BUSINESS WIRE) — New Fortress Energy Inc. (NASDAQ: NFE) (“New Fortress” or the “Company”) announced today that it has executed a term loan facility secured by eight Company vessels (the “Shipping Facility”). The Company made an initial borrowing of $430 million and can borrow up to $725 million under the Shipping Facility.</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Shipping Facility has a three-year term, and loans issued under the facility will bear interest at an annual rate equal to LIBOR plus 3.00%, subject to a 0.0% LIBOR floor. The Shipping Facility is prepayable at par at any time without penalty.</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Net proceeds of the Shipping Facility will be used to fund the development and construction of the Company’s energy infrastructure projects around the world.</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continue to execute the plan we previously laid out to facilitate our growth with asset-level financings. This facility provides additional capital for us to build additional LNG terminals and infrastructure around the world,” said New Fortress Chairman and CEO Wes Edens. “Our investments in LNG terminals and power infrastructure bring significant economic and environmental benefits to our expanding customer base.”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New Fortress Energy</w:t>
      </w:r>
    </w:p>
    <w:p>
      <w:pPr>
        <w:spacing w:after="0" w:line="229"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New Fortress Energy is a global energy infrastructure company founded to help accelerate the world’s transition to clean energy. The company funds, builds and operates natural gas infrastructure and logistics to rapidly deliver fully integrated, turnkey energy solutions that enable economic growth, enhance environmental stewardship and transform local industries and communities.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Certain statements contained in this press release constitute “forward-looking statements” including the Company’s expected use of proceeds of the Shipping Facility to fund the development and construction of energy infrastructure projects around the world. These forward-looking statements represent the Company’s expectations or beliefs concerning future events, and it is possible that the results described in this press release will not be achieved. These forward-looking statements are subject to risks, uncertainties and other factors, many of which are outside of the Company’s control, that could cause actual results to differ materially from the results discussed in the forward-looking statements. Factors that could cause or contribute to such differences include, but are not limited to, the risk that we will be unable to develop and construct energy infrastructure projects around the world and the risk that our construction or commissioning schedules will take longer than we expect or will not be achieved. Accordingly, readers should not place undue reliance on forward-looking statements as a prediction of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 w:name="page6"/>
    <w:bookmarkEnd w:id="5"/>
    <w:p>
      <w:pPr>
        <w:spacing w:after="0" w:line="257" w:lineRule="auto"/>
        <w:rPr>
          <w:sz w:val="20"/>
          <w:szCs w:val="20"/>
          <w:color w:val="auto"/>
        </w:rPr>
      </w:pPr>
      <w:r>
        <w:rPr>
          <w:rFonts w:ascii="Arial" w:cs="Arial" w:eastAsia="Arial" w:hAnsi="Arial"/>
          <w:sz w:val="18"/>
          <w:szCs w:val="18"/>
          <w:color w:val="auto"/>
        </w:rPr>
        <w:t>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 the Company’s annual and quarterly reports filed with the SEC, which could cause its actual results to differ materially from those contained in any forward-looking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Joshua Kane</w:t>
      </w:r>
    </w:p>
    <w:p>
      <w:pPr>
        <w:spacing w:after="0" w:line="23" w:lineRule="exact"/>
        <w:rPr>
          <w:sz w:val="20"/>
          <w:szCs w:val="20"/>
          <w:color w:val="auto"/>
        </w:rPr>
      </w:pPr>
    </w:p>
    <w:p>
      <w:pPr>
        <w:ind w:right="8960" w:firstLine="8"/>
        <w:spacing w:after="0" w:line="323"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268-7455 </w:t>
      </w:r>
      <w:r>
        <w:rPr>
          <w:rFonts w:ascii="Arial" w:cs="Arial" w:eastAsia="Arial" w:hAnsi="Arial"/>
          <w:sz w:val="16"/>
          <w:szCs w:val="16"/>
          <w:u w:val="single" w:color="auto"/>
          <w:color w:val="auto"/>
        </w:rPr>
        <w:t>jkane@newfortressenergy.com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Jake Suski</w:t>
      </w:r>
    </w:p>
    <w:p>
      <w:pPr>
        <w:spacing w:after="0" w:line="23" w:lineRule="exact"/>
        <w:rPr>
          <w:sz w:val="20"/>
          <w:szCs w:val="20"/>
          <w:color w:val="auto"/>
        </w:rPr>
      </w:pPr>
    </w:p>
    <w:p>
      <w:pPr>
        <w:ind w:right="8980" w:firstLine="8"/>
        <w:spacing w:after="0" w:line="323" w:lineRule="auto"/>
        <w:tabs>
          <w:tab w:leader="none" w:pos="435"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268-7403 </w:t>
      </w:r>
      <w:r>
        <w:rPr>
          <w:rFonts w:ascii="Arial" w:cs="Arial" w:eastAsia="Arial" w:hAnsi="Arial"/>
          <w:sz w:val="16"/>
          <w:szCs w:val="16"/>
          <w:u w:val="single" w:color="auto"/>
          <w:color w:val="auto"/>
        </w:rPr>
        <w:t>press@newfortressenergy.com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2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4"/>
    </w:lvl>
  </w:abstractNum>
  <w:abstractNum w:abstractNumId="3">
    <w:nsid w:val="238E1F29"/>
    <w:multiLevelType w:val="hybridMultilevel"/>
    <w:lvl w:ilvl="0">
      <w:lvlJc w:val="left"/>
      <w:lvlText w:val="(%1)"/>
      <w:numFmt w:val="decimal"/>
      <w:start w:val="516"/>
    </w:lvl>
  </w:abstractNum>
  <w:abstractNum w:abstractNumId="4">
    <w:nsid w:val="46E87CCD"/>
    <w:multiLevelType w:val="hybridMultilevel"/>
    <w:lvl w:ilvl="0">
      <w:lvlJc w:val="left"/>
      <w:lvlText w:val="(%1)"/>
      <w:numFmt w:val="decimal"/>
      <w:start w:val="51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2021-09-23T15:44:59Z</dcterms:created>
  <dcterms:modified xsi:type="dcterms:W3CDTF">2021-09-23T15:44:59Z</dcterms:modified>
</cp:coreProperties>
</file>