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Street Capital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69" w:type="dxa"/>
        <w:jc w:val="left"/>
        <w:tblInd w:w="-7" w:type="dxa"/>
        <w:tblLayout w:type="fixed"/>
        <w:tblCellMar>
          <w:top w:w="60" w:type="dxa"/>
          <w:left w:w="60" w:type="dxa"/>
          <w:bottom w:w="60" w:type="dxa"/>
          <w:right w:w="60" w:type="dxa"/>
        </w:tblCellMar>
      </w:tblPr>
      <w:tblGrid>
        <w:gridCol w:w="1175"/>
        <w:gridCol w:w="861"/>
        <w:gridCol w:w="891"/>
        <w:gridCol w:w="771"/>
        <w:gridCol w:w="591"/>
        <w:gridCol w:w="300"/>
        <w:gridCol w:w="711"/>
        <w:gridCol w:w="276"/>
        <w:gridCol w:w="906"/>
        <w:gridCol w:w="801"/>
        <w:gridCol w:w="891"/>
        <w:gridCol w:w="1101"/>
        <w:gridCol w:w="801"/>
        <w:gridCol w:w="936"/>
        <w:gridCol w:w="831"/>
        <w:gridCol w:w="102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232,206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262,884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92,883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264,884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232,206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269,884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r>
        <w:trPr/>
        <w:tc>
          <w:tcPr>
            <w:tcW w:w="1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31,846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1,478,969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301,730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King Street Capital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KING STREET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HIGGINS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Mandatorily Convertible Preferred Stock ("Preferred Stock") will automatically convert on September 11, 2029, the third anniversary of the issue date, into a number of shares of Class A Common Stock equal to 46.441271 shares of Class A Common Stock per share of Preferred Stock, subject to adjustment.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New Fortress Energy Inc. ("Company") securities held in accounts of funds managed and advised by King Street Capital Management, L.P. ("King Street"). King Street Capital Management GP, L.L.C. ("GP") is the general partner of King Street and Brian J. Higgins is the managing member of GP. As used herein, the "Reporting Persons" means Mr. Higgins, King Street and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the basis of the relationships described in footnote 2, each of the Reporting Persons may be deemed a beneficial owner of the Company securities disclosed herein, but each Reporting Person disclaims beneficial ownership of such Company securities except to the extent of such Reporting Person's pecuniary interest therein, if any, and, pursuant to Rule 16a-1(a)(4) under the Securities Exchange Act of 1934 (the "1934 Act"), each of the Reporting Persons states that the inclusion of such Company securities in this statement shall not be deemed an admission of beneficial ownership of all of the reported securities for purposes of Section 16 of the 1934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KING STREET CAPITAL MANAGEMENT, L.P., By King Street Capital Management GP, L.L.C., its general partner, By: /s/ Ricardo Marano, Ricardo Marano,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KING STREET CAPITAL MANAGEMENT GP, L.L.C., By: /s/ Ricardo Marano, Ricardo Marano,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J. Higgins, BRIAN J. HIGGINS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074" TargetMode="External"/><Relationship Id="rId5" Type="http://schemas.openxmlformats.org/officeDocument/2006/relationships/hyperlink" Target="http://www.sec.gov/cgi-bin/browse-edgar?action=getcompany&amp;CIK=000174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55074" TargetMode="External"/><Relationship Id="rId9" Type="http://schemas.openxmlformats.org/officeDocument/2006/relationships/hyperlink" Target="http://www.sec.gov/cgi-bin/browse-edgar?action=getcompany&amp;CIK=0001218199" TargetMode="External"/><Relationship Id="rId10" Type="http://schemas.openxmlformats.org/officeDocument/2006/relationships/hyperlink" Target="http://www.sec.gov/cgi-bin/browse-edgar?action=getcompany&amp;CIK=000121819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999</Words>
  <Characters>5395</Characters>
  <CharactersWithSpaces>6235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