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(Amendment No. )*</w:t>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Common Stock, no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644393100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31,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Rule 13d-1(b)</w:t>
      </w:r>
    </w:p>
    <w:p>
      <w:pPr>
        <w:spacing w:after="0" w:line="38" w:lineRule="exact"/>
        <w:rPr>
          <w:sz w:val="24"/>
          <w:szCs w:val="24"/>
          <w:color w:val="auto"/>
        </w:rPr>
      </w:pPr>
    </w:p>
    <w:p>
      <w:pPr>
        <w:jc w:val="both"/>
        <w:ind w:left="660" w:right="9520" w:hanging="4"/>
        <w:spacing w:after="0" w:line="305"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13d-1(c) </w:t>
      </w:r>
      <w:r>
        <w:rPr>
          <w:rFonts w:ascii="Arial" w:cs="Arial" w:eastAsia="Arial" w:hAnsi="Arial"/>
          <w:sz w:val="19"/>
          <w:szCs w:val="19"/>
          <w:color w:val="auto"/>
        </w:rPr>
        <w:t xml:space="preserve">o </w:t>
      </w:r>
      <w:r>
        <w:rPr>
          <w:rFonts w:ascii="Arial" w:cs="Arial" w:eastAsia="Arial" w:hAnsi="Arial"/>
          <w:sz w:val="16"/>
          <w:szCs w:val="16"/>
          <w:color w:val="auto"/>
        </w:rPr>
        <w:t>Rule 13d-1(d)</w:t>
      </w:r>
    </w:p>
    <w:p>
      <w:pPr>
        <w:spacing w:after="0" w:line="37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2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Advisors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1,700,000</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1,700,000</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1,700,000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8.5%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OO, IA</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3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Partners LLC</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1,158,221</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1,158,221</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1,158,221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4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Encompass Capital Master Fund LP</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Cayman Islands</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1,158,221</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1,158,221</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1,158,221</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5.8%</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PN</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0" w:type="dxa"/>
            <w:vAlign w:val="bottom"/>
            <w:tcBorders>
              <w:right w:val="single" w:sz="8" w:color="808080"/>
            </w:tcBorders>
            <w:shd w:val="clear" w:color="auto" w:fill="808080"/>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300" w:type="dxa"/>
            <w:vAlign w:val="bottom"/>
            <w:tcBorders>
              <w:right w:val="single" w:sz="8" w:color="808080"/>
            </w:tcBorders>
            <w:shd w:val="clear" w:color="auto" w:fill="808080"/>
          </w:tcPr>
          <w:p>
            <w:pPr>
              <w:spacing w:after="0"/>
              <w:rPr>
                <w:sz w:val="6"/>
                <w:szCs w:val="6"/>
                <w:color w:val="auto"/>
              </w:rPr>
            </w:pPr>
          </w:p>
        </w:tc>
        <w:tc>
          <w:tcPr>
            <w:tcW w:w="1420" w:type="dxa"/>
            <w:vAlign w:val="bottom"/>
            <w:tcBorders>
              <w:right w:val="single" w:sz="8" w:color="808080"/>
            </w:tcBorders>
            <w:shd w:val="clear" w:color="auto" w:fill="808080"/>
          </w:tcPr>
          <w:p>
            <w:pPr>
              <w:spacing w:after="0"/>
              <w:rPr>
                <w:sz w:val="6"/>
                <w:szCs w:val="6"/>
                <w:color w:val="auto"/>
              </w:rPr>
            </w:pPr>
          </w:p>
        </w:tc>
        <w:tc>
          <w:tcPr>
            <w:tcW w:w="880" w:type="dxa"/>
            <w:vAlign w:val="bottom"/>
            <w:tcBorders>
              <w:right w:val="single" w:sz="8" w:color="808080"/>
            </w:tcBorders>
            <w:shd w:val="clear" w:color="auto" w:fill="808080"/>
          </w:tcPr>
          <w:p>
            <w:pPr>
              <w:spacing w:after="0"/>
              <w:rPr>
                <w:sz w:val="6"/>
                <w:szCs w:val="6"/>
                <w:color w:val="auto"/>
              </w:rPr>
            </w:pPr>
          </w:p>
        </w:tc>
        <w:tc>
          <w:tcPr>
            <w:tcW w:w="220" w:type="dxa"/>
            <w:vAlign w:val="bottom"/>
            <w:tcBorders>
              <w:right w:val="single" w:sz="8" w:color="808080"/>
            </w:tcBorders>
            <w:shd w:val="clear" w:color="auto" w:fill="808080"/>
          </w:tcPr>
          <w:p>
            <w:pPr>
              <w:spacing w:after="0"/>
              <w:rPr>
                <w:sz w:val="6"/>
                <w:szCs w:val="6"/>
                <w:color w:val="auto"/>
              </w:rPr>
            </w:pPr>
          </w:p>
        </w:tc>
        <w:tc>
          <w:tcPr>
            <w:tcW w:w="4580" w:type="dxa"/>
            <w:vAlign w:val="bottom"/>
            <w:tcBorders>
              <w:right w:val="single" w:sz="8" w:color="808080"/>
            </w:tcBorders>
            <w:shd w:val="clear" w:color="auto" w:fill="808080"/>
          </w:tcPr>
          <w:p>
            <w:pPr>
              <w:spacing w:after="0"/>
              <w:rPr>
                <w:sz w:val="6"/>
                <w:szCs w:val="6"/>
                <w:color w:val="auto"/>
              </w:rPr>
            </w:pPr>
          </w:p>
        </w:tc>
        <w:tc>
          <w:tcPr>
            <w:tcW w:w="3420" w:type="dxa"/>
            <w:vAlign w:val="bottom"/>
            <w:tcBorders>
              <w:right w:val="single" w:sz="8" w:color="808080"/>
            </w:tcBorders>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CUSIP No. 644393100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2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3"/>
              </w:rPr>
              <w:t>Page 5 of 10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5"/>
        </w:trPr>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NAME OF REPORTING PERSONS</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Todd J. Kantor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shd w:val="clear" w:color="auto" w:fill="000000"/>
          </w:tcPr>
          <w:p>
            <w:pPr>
              <w:spacing w:after="0"/>
              <w:rPr>
                <w:sz w:val="21"/>
                <w:szCs w:val="21"/>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2</w:t>
            </w:r>
          </w:p>
        </w:tc>
        <w:tc>
          <w:tcPr>
            <w:tcW w:w="300" w:type="dxa"/>
            <w:vAlign w:val="bottom"/>
            <w:tcBorders>
              <w:right w:val="single" w:sz="8" w:color="auto"/>
            </w:tcBorders>
          </w:tcPr>
          <w:p>
            <w:pPr>
              <w:spacing w:after="0"/>
              <w:rPr>
                <w:sz w:val="21"/>
                <w:szCs w:val="21"/>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34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vMerge w:val="continue"/>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(a) 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(b) x</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3</w:t>
            </w:r>
          </w:p>
        </w:tc>
        <w:tc>
          <w:tcPr>
            <w:tcW w:w="300" w:type="dxa"/>
            <w:vAlign w:val="bottom"/>
            <w:tcBorders>
              <w:right w:val="single" w:sz="8" w:color="auto"/>
            </w:tcBorders>
          </w:tcPr>
          <w:p>
            <w:pPr>
              <w:spacing w:after="0"/>
              <w:rPr>
                <w:sz w:val="22"/>
                <w:szCs w:val="22"/>
                <w:color w:val="auto"/>
              </w:rPr>
            </w:pPr>
          </w:p>
        </w:tc>
        <w:tc>
          <w:tcPr>
            <w:tcW w:w="142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gridSpan w:val="2"/>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4</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7100" w:type="dxa"/>
            <w:vAlign w:val="bottom"/>
            <w:gridSpan w:val="4"/>
            <w:vMerge w:val="restart"/>
          </w:tcPr>
          <w:p>
            <w:pPr>
              <w:ind w:left="40"/>
              <w:spacing w:after="0"/>
              <w:rPr>
                <w:sz w:val="20"/>
                <w:szCs w:val="20"/>
                <w:color w:val="auto"/>
              </w:rPr>
            </w:pPr>
            <w:r>
              <w:rPr>
                <w:rFonts w:ascii="Arial" w:cs="Arial" w:eastAsia="Arial" w:hAnsi="Arial"/>
                <w:sz w:val="18"/>
                <w:szCs w:val="18"/>
                <w:color w:val="auto"/>
              </w:rPr>
              <w:t>United States of America</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7100" w:type="dxa"/>
            <w:vAlign w:val="bottom"/>
            <w:gridSpan w:val="4"/>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1720" w:type="dxa"/>
            <w:vAlign w:val="bottom"/>
            <w:tcBorders>
              <w:right w:val="single" w:sz="8" w:color="auto"/>
            </w:tcBorders>
            <w:gridSpan w:val="2"/>
            <w:vMerge w:val="restart"/>
          </w:tcPr>
          <w:p>
            <w:pPr>
              <w:jc w:val="center"/>
              <w:ind w:right="530"/>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Pr>
          <w:p>
            <w:pPr>
              <w:spacing w:after="0"/>
              <w:rPr>
                <w:sz w:val="4"/>
                <w:szCs w:val="4"/>
                <w:color w:val="auto"/>
              </w:rPr>
            </w:pPr>
          </w:p>
        </w:tc>
        <w:tc>
          <w:tcPr>
            <w:tcW w:w="172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40" w:type="dxa"/>
            <w:vAlign w:val="bottom"/>
            <w:tcBorders>
              <w:right w:val="single" w:sz="8" w:color="auto"/>
            </w:tcBorders>
            <w:shd w:val="clear" w:color="auto" w:fill="000000"/>
          </w:tcPr>
          <w:p>
            <w:pPr>
              <w:spacing w:after="0"/>
              <w:rPr>
                <w:sz w:val="6"/>
                <w:szCs w:val="6"/>
                <w:color w:val="auto"/>
              </w:rPr>
            </w:pPr>
          </w:p>
        </w:tc>
        <w:tc>
          <w:tcPr>
            <w:tcW w:w="580" w:type="dxa"/>
            <w:vAlign w:val="bottom"/>
          </w:tcPr>
          <w:p>
            <w:pPr>
              <w:spacing w:after="0"/>
              <w:rPr>
                <w:sz w:val="6"/>
                <w:szCs w:val="6"/>
                <w:color w:val="auto"/>
              </w:rPr>
            </w:pPr>
          </w:p>
        </w:tc>
        <w:tc>
          <w:tcPr>
            <w:tcW w:w="172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34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4800" w:type="dxa"/>
            <w:vAlign w:val="bottom"/>
            <w:gridSpan w:val="2"/>
            <w:vMerge w:val="continue"/>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1,700,000</w:t>
            </w: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80" w:type="dxa"/>
            <w:vAlign w:val="bottom"/>
          </w:tcPr>
          <w:p>
            <w:pPr>
              <w:spacing w:after="0"/>
              <w:rPr>
                <w:sz w:val="19"/>
                <w:szCs w:val="19"/>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800" w:type="dxa"/>
            <w:vAlign w:val="bottom"/>
            <w:tcBorders>
              <w:bottom w:val="single" w:sz="8" w:color="auto"/>
            </w:tcBorders>
            <w:gridSpan w:val="2"/>
            <w:vMerge w:val="continue"/>
          </w:tcPr>
          <w:p>
            <w:pPr>
              <w:spacing w:after="0"/>
              <w:rPr>
                <w:sz w:val="19"/>
                <w:szCs w:val="19"/>
                <w:color w:val="auto"/>
              </w:rPr>
            </w:pPr>
          </w:p>
        </w:tc>
        <w:tc>
          <w:tcPr>
            <w:tcW w:w="34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Borders>
              <w:right w:val="single" w:sz="8" w:color="auto"/>
            </w:tcBorders>
          </w:tcPr>
          <w:p>
            <w:pPr>
              <w:jc w:val="center"/>
              <w:ind w:right="830"/>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48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3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50"/>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80" w:type="dxa"/>
            <w:vAlign w:val="bottom"/>
          </w:tcPr>
          <w:p>
            <w:pPr>
              <w:spacing w:after="0"/>
              <w:rPr>
                <w:sz w:val="18"/>
                <w:szCs w:val="18"/>
                <w:color w:val="auto"/>
              </w:rPr>
            </w:pPr>
          </w:p>
        </w:tc>
        <w:tc>
          <w:tcPr>
            <w:tcW w:w="1720" w:type="dxa"/>
            <w:vAlign w:val="bottom"/>
            <w:tcBorders>
              <w:right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0</w:t>
            </w:r>
          </w:p>
        </w:tc>
        <w:tc>
          <w:tcPr>
            <w:tcW w:w="4580" w:type="dxa"/>
            <w:vAlign w:val="bottom"/>
          </w:tcPr>
          <w:p>
            <w:pPr>
              <w:spacing w:after="0"/>
              <w:rPr>
                <w:sz w:val="18"/>
                <w:szCs w:val="18"/>
                <w:color w:val="auto"/>
              </w:rPr>
            </w:pPr>
          </w:p>
        </w:tc>
        <w:tc>
          <w:tcPr>
            <w:tcW w:w="3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20" w:type="dxa"/>
            <w:vAlign w:val="bottom"/>
            <w:tcBorders>
              <w:right w:val="single" w:sz="8" w:color="auto"/>
            </w:tcBorders>
            <w:vMerge w:val="restart"/>
          </w:tcPr>
          <w:p>
            <w:pPr>
              <w:jc w:val="center"/>
              <w:ind w:right="830"/>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80" w:type="dxa"/>
            <w:vAlign w:val="bottom"/>
            <w:tcBorders>
              <w:bottom w:val="single" w:sz="8" w:color="auto"/>
            </w:tcBorders>
          </w:tcPr>
          <w:p>
            <w:pPr>
              <w:spacing w:after="0"/>
              <w:rPr>
                <w:sz w:val="8"/>
                <w:szCs w:val="8"/>
                <w:color w:val="auto"/>
              </w:rPr>
            </w:pPr>
          </w:p>
        </w:tc>
        <w:tc>
          <w:tcPr>
            <w:tcW w:w="34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34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auto"/>
            </w:tcBorders>
            <w:shd w:val="clear" w:color="auto" w:fill="000000"/>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800" w:type="dxa"/>
            <w:vAlign w:val="bottom"/>
            <w:gridSpan w:val="2"/>
            <w:vMerge w:val="continue"/>
          </w:tcPr>
          <w:p>
            <w:pPr>
              <w:spacing w:after="0"/>
              <w:rPr>
                <w:sz w:val="12"/>
                <w:szCs w:val="12"/>
                <w:color w:val="auto"/>
              </w:rPr>
            </w:pPr>
          </w:p>
        </w:tc>
        <w:tc>
          <w:tcPr>
            <w:tcW w:w="3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800" w:type="dxa"/>
            <w:vAlign w:val="bottom"/>
            <w:gridSpan w:val="2"/>
            <w:vMerge w:val="restart"/>
          </w:tcPr>
          <w:p>
            <w:pPr>
              <w:ind w:left="40"/>
              <w:spacing w:after="0"/>
              <w:rPr>
                <w:sz w:val="20"/>
                <w:szCs w:val="20"/>
                <w:color w:val="auto"/>
              </w:rPr>
            </w:pPr>
            <w:r>
              <w:rPr>
                <w:rFonts w:ascii="Arial" w:cs="Arial" w:eastAsia="Arial" w:hAnsi="Arial"/>
                <w:sz w:val="18"/>
                <w:szCs w:val="18"/>
                <w:color w:val="auto"/>
              </w:rPr>
              <w:t>1,700,000</w:t>
            </w: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800" w:type="dxa"/>
            <w:vAlign w:val="bottom"/>
            <w:gridSpan w:val="2"/>
            <w:vMerge w:val="continue"/>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800" w:type="dxa"/>
            <w:vAlign w:val="bottom"/>
            <w:tcBorders>
              <w:bottom w:val="single" w:sz="8" w:color="auto"/>
            </w:tcBorders>
            <w:gridSpan w:val="2"/>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rPr>
              <w:t>9</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1,700,000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10</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CHECK IF THE AGGREGATE AMOUNT IN ROW (9) EXCLUDES CERTAIN SHARES</w:t>
            </w:r>
          </w:p>
        </w:tc>
        <w:tc>
          <w:tcPr>
            <w:tcW w:w="3420" w:type="dxa"/>
            <w:vAlign w:val="bottom"/>
            <w:tcBorders>
              <w:right w:val="single" w:sz="8" w:color="auto"/>
            </w:tcBorders>
          </w:tcPr>
          <w:p>
            <w:pPr>
              <w:ind w:left="30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7100" w:type="dxa"/>
            <w:vAlign w:val="bottom"/>
            <w:tcBorders>
              <w:bottom w:val="single" w:sz="8" w:color="auto"/>
            </w:tcBorders>
            <w:gridSpan w:val="4"/>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41"/>
              <w:spacing w:after="0"/>
              <w:rPr>
                <w:sz w:val="20"/>
                <w:szCs w:val="20"/>
                <w:color w:val="auto"/>
              </w:rPr>
            </w:pPr>
            <w:r>
              <w:rPr>
                <w:rFonts w:ascii="Arial" w:cs="Arial" w:eastAsia="Arial" w:hAnsi="Arial"/>
                <w:sz w:val="25"/>
                <w:szCs w:val="25"/>
                <w:color w:val="auto"/>
                <w:w w:val="86"/>
              </w:rPr>
              <w:t>11</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8.5%</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7100" w:type="dxa"/>
            <w:vAlign w:val="bottom"/>
            <w:tcBorders>
              <w:bottom w:val="single" w:sz="8" w:color="auto"/>
            </w:tcBorders>
            <w:gridSpan w:val="4"/>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80" w:type="dxa"/>
            <w:vAlign w:val="bottom"/>
            <w:vMerge w:val="restart"/>
          </w:tcPr>
          <w:p>
            <w:pPr>
              <w:jc w:val="center"/>
              <w:ind w:left="161"/>
              <w:spacing w:after="0"/>
              <w:rPr>
                <w:sz w:val="20"/>
                <w:szCs w:val="20"/>
                <w:color w:val="auto"/>
              </w:rPr>
            </w:pPr>
            <w:r>
              <w:rPr>
                <w:rFonts w:ascii="Arial" w:cs="Arial" w:eastAsia="Arial" w:hAnsi="Arial"/>
                <w:sz w:val="25"/>
                <w:szCs w:val="25"/>
                <w:color w:val="auto"/>
                <w:w w:val="93"/>
              </w:rPr>
              <w:t>12</w:t>
            </w:r>
          </w:p>
        </w:tc>
        <w:tc>
          <w:tcPr>
            <w:tcW w:w="300" w:type="dxa"/>
            <w:vAlign w:val="bottom"/>
            <w:tcBorders>
              <w:right w:val="single" w:sz="8" w:color="auto"/>
            </w:tcBorders>
          </w:tcPr>
          <w:p>
            <w:pPr>
              <w:spacing w:after="0"/>
              <w:rPr>
                <w:sz w:val="22"/>
                <w:szCs w:val="22"/>
                <w:color w:val="auto"/>
              </w:rPr>
            </w:pPr>
          </w:p>
        </w:tc>
        <w:tc>
          <w:tcPr>
            <w:tcW w:w="710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3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80" w:type="dxa"/>
            <w:vAlign w:val="bottom"/>
            <w:vMerge w:val="continue"/>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420" w:type="dxa"/>
            <w:vAlign w:val="bottom"/>
            <w:vMerge w:val="restart"/>
          </w:tcPr>
          <w:p>
            <w:pPr>
              <w:ind w:left="40"/>
              <w:spacing w:after="0"/>
              <w:rPr>
                <w:sz w:val="20"/>
                <w:szCs w:val="20"/>
                <w:color w:val="auto"/>
              </w:rPr>
            </w:pPr>
            <w:r>
              <w:rPr>
                <w:rFonts w:ascii="Arial" w:cs="Arial" w:eastAsia="Arial" w:hAnsi="Arial"/>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4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0" w:right="239" w:bottom="1440" w:gutter="0" w:footer="0" w:header="0"/>
        </w:sectPr>
      </w:pPr>
    </w:p>
    <w:bookmarkStart w:id="5" w:name="page6"/>
    <w:bookmarkEnd w:id="5"/>
    <w:p>
      <w:pPr>
        <w:spacing w:after="0" w:line="1"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1"/>
              </w:rPr>
              <w:t>Page 6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New Fortress Energy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111 W. 19th Street, 8th Floor, New York, NY 10011</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jc w:val="both"/>
        <w:ind w:left="800" w:right="20"/>
        <w:spacing w:after="0" w:line="277" w:lineRule="auto"/>
        <w:rPr>
          <w:sz w:val="20"/>
          <w:szCs w:val="20"/>
          <w:color w:val="auto"/>
        </w:rPr>
      </w:pPr>
      <w:r>
        <w:rPr>
          <w:rFonts w:ascii="Arial" w:cs="Arial" w:eastAsia="Arial" w:hAnsi="Arial"/>
          <w:sz w:val="18"/>
          <w:szCs w:val="18"/>
          <w:color w:val="auto"/>
        </w:rPr>
        <w:t>This statement is being filed by Encompass Capital Advisors LLC, Encompass Capital Partners LLC, Encompass Capital Master Fund LP and Todd J. Kantor.</w:t>
      </w:r>
    </w:p>
    <w:p>
      <w:pPr>
        <w:spacing w:after="0" w:line="58"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jc w:val="both"/>
        <w:ind w:left="800"/>
        <w:spacing w:after="0" w:line="279" w:lineRule="auto"/>
        <w:rPr>
          <w:sz w:val="20"/>
          <w:szCs w:val="20"/>
          <w:color w:val="auto"/>
        </w:rPr>
      </w:pPr>
      <w:r>
        <w:rPr>
          <w:rFonts w:ascii="Arial" w:cs="Arial" w:eastAsia="Arial" w:hAnsi="Arial"/>
          <w:sz w:val="17"/>
          <w:szCs w:val="17"/>
          <w:color w:val="auto"/>
        </w:rPr>
        <w:t>The address of the principal business office of Encompass Capital Advisors LLC and Encompass Capital Partners LLC is 200 Park Avenue, 11th Floor, New York, NY 10166. The address of the principal business office of Encompass Capital Master Fund LP is c/o Intertrust Corporate Services (Cayman) Ltd, 190 Elgin Avenue, George Town, Grand Cayman KY1-9007, Cayman Islands. The address of the principal business office of Todd J. Kantor is c/o Encompass Capital Advisors LLC, 200 Park Avenue, 11th Floor, New York, NY 10166.</w:t>
      </w:r>
    </w:p>
    <w:p>
      <w:pPr>
        <w:spacing w:after="0" w:line="59" w:lineRule="exact"/>
        <w:rPr>
          <w:sz w:val="20"/>
          <w:szCs w:val="20"/>
          <w:color w:val="auto"/>
        </w:rPr>
      </w:pPr>
    </w:p>
    <w:p>
      <w:pPr>
        <w:ind w:left="920" w:hanging="237"/>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1060" w:hanging="260"/>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Advisors LLC is a Delaware Limited Liability Company.</w:t>
      </w:r>
    </w:p>
    <w:p>
      <w:pPr>
        <w:spacing w:after="0" w:line="117" w:lineRule="exact"/>
        <w:rPr>
          <w:rFonts w:ascii="Arial" w:cs="Arial" w:eastAsia="Arial" w:hAnsi="Arial"/>
          <w:sz w:val="18"/>
          <w:szCs w:val="18"/>
          <w:color w:val="auto"/>
        </w:rPr>
      </w:pPr>
    </w:p>
    <w:p>
      <w:pPr>
        <w:ind w:left="1060" w:hanging="260"/>
        <w:spacing w:after="0"/>
        <w:tabs>
          <w:tab w:leader="none" w:pos="10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Partners LLC is a Delaware Limited Liability Company.</w:t>
      </w:r>
    </w:p>
    <w:p>
      <w:pPr>
        <w:spacing w:after="0" w:line="117" w:lineRule="exact"/>
        <w:rPr>
          <w:rFonts w:ascii="Arial" w:cs="Arial" w:eastAsia="Arial" w:hAnsi="Arial"/>
          <w:sz w:val="18"/>
          <w:szCs w:val="18"/>
          <w:color w:val="auto"/>
        </w:rPr>
      </w:pPr>
    </w:p>
    <w:p>
      <w:pPr>
        <w:ind w:left="1120" w:hanging="320"/>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Encompass Capital Master Fund LP is a Cayman Islands exempted limited partnership.</w:t>
      </w:r>
    </w:p>
    <w:p>
      <w:pPr>
        <w:spacing w:after="0" w:line="117" w:lineRule="exact"/>
        <w:rPr>
          <w:rFonts w:ascii="Arial" w:cs="Arial" w:eastAsia="Arial" w:hAnsi="Arial"/>
          <w:sz w:val="18"/>
          <w:szCs w:val="18"/>
          <w:color w:val="auto"/>
        </w:rPr>
      </w:pPr>
    </w:p>
    <w:p>
      <w:pPr>
        <w:ind w:left="1100" w:hanging="300"/>
        <w:spacing w:after="0"/>
        <w:tabs>
          <w:tab w:leader="none" w:pos="1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Todd J. Kantor is a US citizen.</w:t>
      </w:r>
    </w:p>
    <w:p>
      <w:pPr>
        <w:spacing w:after="0" w:line="113" w:lineRule="exact"/>
        <w:rPr>
          <w:rFonts w:ascii="Arial" w:cs="Arial" w:eastAsia="Arial" w:hAnsi="Arial"/>
          <w:sz w:val="18"/>
          <w:szCs w:val="18"/>
          <w:color w:val="auto"/>
        </w:rPr>
      </w:pPr>
    </w:p>
    <w:p>
      <w:pPr>
        <w:ind w:left="940" w:hanging="257"/>
        <w:spacing w:after="0"/>
        <w:tabs>
          <w:tab w:leader="none" w:pos="9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Class A Common Stock, no par value</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644393100</w:t>
      </w:r>
    </w:p>
    <w:p>
      <w:pPr>
        <w:sectPr>
          <w:pgSz w:w="11900" w:h="16838" w:orient="portrait"/>
          <w:cols w:equalWidth="0" w:num="1">
            <w:col w:w="11420"/>
          </w:cols>
          <w:pgMar w:left="240" w:top="690" w:right="2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1"/>
              </w:rPr>
              <w:t>Page 7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7" w:name="page8"/>
    <w:bookmarkEnd w:id="7"/>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w w:val="91"/>
              </w:rPr>
              <w:t>Page 8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34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Advisors LLC</w:t>
      </w:r>
    </w:p>
    <w:p>
      <w:pPr>
        <w:spacing w:after="0" w:line="121"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1,700,000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8.5%</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1,700,000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1,700,000</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Partners LLC</w:t>
      </w:r>
    </w:p>
    <w:p>
      <w:pPr>
        <w:spacing w:after="0" w:line="121" w:lineRule="exact"/>
        <w:rPr>
          <w:sz w:val="20"/>
          <w:szCs w:val="20"/>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1,158,221</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5.8%</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1,158,221</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1,158,221</w:t>
      </w:r>
    </w:p>
    <w:p>
      <w:pPr>
        <w:spacing w:after="0" w:line="31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Encompass Capital Master Fund LP</w:t>
      </w:r>
    </w:p>
    <w:p>
      <w:pPr>
        <w:spacing w:after="0" w:line="121" w:lineRule="exact"/>
        <w:rPr>
          <w:sz w:val="20"/>
          <w:szCs w:val="20"/>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1,158,221</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5.8%</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1,158,221</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1,158,221</w:t>
      </w:r>
    </w:p>
    <w:p>
      <w:pPr>
        <w:spacing w:after="0" w:line="20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Todd J. Kantor</w:t>
      </w:r>
    </w:p>
    <w:p>
      <w:pPr>
        <w:spacing w:after="0" w:line="121" w:lineRule="exact"/>
        <w:rPr>
          <w:sz w:val="20"/>
          <w:szCs w:val="20"/>
          <w:color w:val="auto"/>
        </w:rPr>
      </w:pPr>
    </w:p>
    <w:p>
      <w:pPr>
        <w:ind w:left="1040" w:hanging="240"/>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1,700,000</w:t>
      </w:r>
    </w:p>
    <w:p>
      <w:pPr>
        <w:spacing w:after="0" w:line="23" w:lineRule="exact"/>
        <w:rPr>
          <w:rFonts w:ascii="Arial" w:cs="Arial" w:eastAsia="Arial" w:hAnsi="Arial"/>
          <w:sz w:val="18"/>
          <w:szCs w:val="18"/>
          <w:color w:val="auto"/>
        </w:rPr>
      </w:pPr>
    </w:p>
    <w:p>
      <w:pPr>
        <w:ind w:left="1060" w:hanging="260"/>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8.5%</w:t>
      </w:r>
    </w:p>
    <w:p>
      <w:pPr>
        <w:spacing w:after="0" w:line="9" w:lineRule="exact"/>
        <w:rPr>
          <w:rFonts w:ascii="Arial" w:cs="Arial" w:eastAsia="Arial" w:hAnsi="Arial"/>
          <w:sz w:val="18"/>
          <w:szCs w:val="18"/>
          <w:color w:val="auto"/>
        </w:rPr>
      </w:pPr>
    </w:p>
    <w:p>
      <w:pPr>
        <w:ind w:left="1040" w:hanging="240"/>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1,700,000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9" w:lineRule="exact"/>
        <w:rPr>
          <w:rFonts w:ascii="Arial" w:cs="Arial" w:eastAsia="Arial" w:hAnsi="Arial"/>
          <w:sz w:val="18"/>
          <w:szCs w:val="18"/>
          <w:color w:val="auto"/>
        </w:rPr>
      </w:pPr>
    </w:p>
    <w:p>
      <w:pPr>
        <w:ind w:left="1900" w:hanging="307"/>
        <w:spacing w:after="0"/>
        <w:tabs>
          <w:tab w:leader="none" w:pos="1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1,700,000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jc w:val="both"/>
        <w:ind w:left="800"/>
        <w:spacing w:after="0" w:line="255"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59" w:gutter="0" w:footer="0" w:header="0"/>
        </w:sectPr>
      </w:pPr>
    </w:p>
    <w:bookmarkStart w:id="8" w:name="page9"/>
    <w:bookmarkEnd w:id="8"/>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89"/>
              </w:rPr>
              <w:t>Page 9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2019</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Advisors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Partners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Master Fund LP</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1"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9" w:name="page10"/>
    <w:bookmarkEnd w:id="9"/>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644393100</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820"/>
              <w:spacing w:after="0"/>
              <w:rPr>
                <w:sz w:val="20"/>
                <w:szCs w:val="20"/>
                <w:color w:val="auto"/>
              </w:rPr>
            </w:pPr>
            <w:r>
              <w:rPr>
                <w:rFonts w:ascii="Arial" w:cs="Arial" w:eastAsia="Arial" w:hAnsi="Arial"/>
                <w:sz w:val="18"/>
                <w:szCs w:val="18"/>
                <w:b w:val="1"/>
                <w:bCs w:val="1"/>
                <w:color w:val="auto"/>
                <w:w w:val="88"/>
              </w:rPr>
              <w:t>Page 10 of 10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shares of Class A Common Stock of New Fortress Energy LLC, dated as of February 11, 2019 is, and any amendments thereto signed by each of the undersigned shall be, filed on behalf of each of us pursuant to and in accordance with the provisions of Rule 13d-1(k) under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2019</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Advisors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Partners LLC</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Encompass Capital Master Fund LP</w:t>
      </w:r>
    </w:p>
    <w:p>
      <w:pPr>
        <w:spacing w:after="0" w:line="225"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1" w:lineRule="exact"/>
        <w:rPr>
          <w:sz w:val="20"/>
          <w:szCs w:val="20"/>
          <w:color w:val="auto"/>
        </w:rPr>
      </w:pPr>
    </w:p>
    <w:p>
      <w:pPr>
        <w:ind w:left="5640"/>
        <w:spacing w:after="0"/>
        <w:tabs>
          <w:tab w:leader="none" w:pos="6140" w:val="left"/>
        </w:tabs>
        <w:rPr>
          <w:sz w:val="20"/>
          <w:szCs w:val="20"/>
          <w:color w:val="auto"/>
        </w:rPr>
      </w:pPr>
      <w:r>
        <w:rPr>
          <w:rFonts w:ascii="Arial" w:cs="Arial" w:eastAsia="Arial" w:hAnsi="Arial"/>
          <w:sz w:val="18"/>
          <w:szCs w:val="18"/>
          <w:color w:val="auto"/>
        </w:rPr>
        <w:t>By:</w:t>
        <w:tab/>
        <w:t>Todd J. Kantor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Todd J. Kantor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lvl w:ilvl="1">
      <w:lvlJc w:val="left"/>
      <w:lvlText w:val="(%2)"/>
      <w:numFmt w:val="lowerRoman"/>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lvl w:ilvl="1">
      <w:lvlJc w:val="left"/>
      <w:lvlText w:val="(%2)"/>
      <w:numFmt w:val="lowerRoman"/>
      <w:start w:val="1"/>
    </w:lvl>
  </w:abstractNum>
  <w:abstractNum w:abstractNumId="4">
    <w:nsid w:val="507ED7AB"/>
    <w:multiLevelType w:val="hybridMultilevel"/>
    <w:lvl w:ilvl="0">
      <w:lvlJc w:val="left"/>
      <w:lvlText w:val="(%1)"/>
      <w:numFmt w:val="lowerLetter"/>
      <w:start w:val="1"/>
    </w:lvl>
    <w:lvl w:ilvl="1">
      <w:lvlJc w:val="left"/>
      <w:lvlText w:val="(%2)"/>
      <w:numFmt w:val="lowerRoman"/>
      <w:start w:val="1"/>
    </w:lvl>
  </w:abstractNum>
  <w:abstractNum w:abstractNumId="5">
    <w:nsid w:val="2EB141F2"/>
    <w:multiLevelType w:val="hybridMultilevel"/>
    <w:lvl w:ilvl="0">
      <w:lvlJc w:val="left"/>
      <w:lvlText w:val="(%1)"/>
      <w:numFmt w:val="lowerLetter"/>
      <w:start w:val="1"/>
    </w:lvl>
    <w:lvl w:ilvl="1">
      <w:lvlJc w:val="left"/>
      <w:lvlText w:val="(%2)"/>
      <w:numFmt w:val="lowerRoman"/>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2019-12-20T16:10:56Z</dcterms:created>
  <dcterms:modified xsi:type="dcterms:W3CDTF">2019-12-20T16:10:56Z</dcterms:modified>
</cp:coreProperties>
</file>