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4"/>
          <w:szCs w:val="24"/>
          <w:color w:val="auto"/>
        </w:rPr>
      </w:pPr>
    </w:p>
    <w:p>
      <w:pPr>
        <w:ind w:left="400" w:right="459"/>
        <w:spacing w:after="0" w:line="244" w:lineRule="auto"/>
        <w:rPr>
          <w:sz w:val="20"/>
          <w:szCs w:val="20"/>
          <w:color w:val="auto"/>
        </w:rPr>
      </w:pPr>
      <w:r>
        <w:rPr>
          <w:rFonts w:ascii="Arial" w:cs="Arial" w:eastAsia="Arial" w:hAnsi="Arial"/>
          <w:sz w:val="18"/>
          <w:szCs w:val="18"/>
          <w:b w:val="1"/>
          <w:bCs w:val="1"/>
          <w:color w:val="FC0014"/>
        </w:rPr>
        <w:t>The information in this preliminary prospectus supplement is not complete and may be changed. This preliminary prospectus supplement and the accompanying prospectus are part of an effective registration statement filed with the Securities and Exchange Commission. This preliminary prospectus supplement and the accompanying prospectus are neither offers to sell nor solicitations of offers to buy these securities in any jurisdiction where the offer or sale thereof is not permitted.</w:t>
      </w:r>
    </w:p>
    <w:p>
      <w:pPr>
        <w:spacing w:after="0" w:line="165"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Filed Pursuant to Rule 424(b)(7)</w:t>
      </w:r>
    </w:p>
    <w:p>
      <w:pPr>
        <w:spacing w:after="0" w:line="31"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Registration No. 333-254469</w:t>
      </w:r>
    </w:p>
    <w:p>
      <w:pPr>
        <w:spacing w:after="0" w:line="200" w:lineRule="exact"/>
        <w:rPr>
          <w:sz w:val="24"/>
          <w:szCs w:val="24"/>
          <w:color w:val="auto"/>
        </w:rPr>
      </w:pPr>
    </w:p>
    <w:p>
      <w:pPr>
        <w:spacing w:after="0" w:line="381" w:lineRule="exact"/>
        <w:rPr>
          <w:sz w:val="24"/>
          <w:szCs w:val="24"/>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FC0014"/>
        </w:rPr>
        <w:t>Subject to Completion, Dated December 14, 2022</w:t>
      </w:r>
    </w:p>
    <w:p>
      <w:pPr>
        <w:spacing w:after="0" w:line="131"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31"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(To Prospectus dated March 18,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1565275</wp:posOffset>
            </wp:positionH>
            <wp:positionV relativeFrom="paragraph">
              <wp:posOffset>160020</wp:posOffset>
            </wp:positionV>
            <wp:extent cx="2597150" cy="685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97150"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239"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6,900,000 Shares</w:t>
      </w:r>
    </w:p>
    <w:p>
      <w:pPr>
        <w:spacing w:after="0" w:line="8"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22"/>
          <w:szCs w:val="22"/>
          <w:b w:val="1"/>
          <w:bCs w:val="1"/>
          <w:color w:val="auto"/>
        </w:rPr>
        <w:t> </w:t>
      </w:r>
    </w:p>
    <w:p>
      <w:pPr>
        <w:ind w:left="3420"/>
        <w:spacing w:after="0"/>
        <w:rPr>
          <w:sz w:val="20"/>
          <w:szCs w:val="20"/>
          <w:color w:val="auto"/>
        </w:rPr>
      </w:pPr>
      <w:r>
        <w:rPr>
          <w:rFonts w:ascii="Times New Roman" w:cs="Times New Roman" w:eastAsia="Times New Roman" w:hAnsi="Times New Roman"/>
          <w:sz w:val="22"/>
          <w:szCs w:val="22"/>
          <w:b w:val="1"/>
          <w:bCs w:val="1"/>
          <w:color w:val="auto"/>
        </w:rPr>
        <w:t>Class A Common Stock</w:t>
      </w:r>
    </w:p>
    <w:p>
      <w:pPr>
        <w:spacing w:after="0" w:line="83" w:lineRule="exact"/>
        <w:rPr>
          <w:sz w:val="24"/>
          <w:szCs w:val="24"/>
          <w:color w:val="auto"/>
        </w:rPr>
      </w:pPr>
    </w:p>
    <w:p>
      <w:pPr>
        <w:jc w:val="both"/>
        <w:ind w:left="400" w:right="419" w:firstLine="360"/>
        <w:spacing w:after="0" w:line="256" w:lineRule="auto"/>
        <w:rPr>
          <w:sz w:val="20"/>
          <w:szCs w:val="20"/>
          <w:color w:val="auto"/>
        </w:rPr>
      </w:pPr>
      <w:r>
        <w:rPr>
          <w:rFonts w:ascii="Times New Roman" w:cs="Times New Roman" w:eastAsia="Times New Roman" w:hAnsi="Times New Roman"/>
          <w:sz w:val="18"/>
          <w:szCs w:val="18"/>
          <w:color w:val="auto"/>
        </w:rPr>
        <w:t>The selling securityholder (the “Selling Securityholder”) identified in this prospectus supplement is offering 6,900,000 shares of the Class A common stock, $0.01 par value per share (the “Class A common stock”) of New Fortress Energy Inc. (“NFE,” the “Company,” “we” or “us”) by this prospectus supplement and the accompanying prospectus. We are not selling any shares in this offering and will not receive any proceeds from the sale of shares of our Class A common stock covered by this prospectus supplement. We will pay all expenses of the registration of the Class A common stock and certain other expenses.</w:t>
      </w:r>
    </w:p>
    <w:p>
      <w:pPr>
        <w:spacing w:after="0" w:line="79" w:lineRule="exact"/>
        <w:rPr>
          <w:sz w:val="24"/>
          <w:szCs w:val="24"/>
          <w:color w:val="auto"/>
        </w:rPr>
      </w:pPr>
    </w:p>
    <w:p>
      <w:pPr>
        <w:jc w:val="both"/>
        <w:ind w:left="400" w:right="419" w:firstLine="360"/>
        <w:spacing w:after="0" w:line="255" w:lineRule="auto"/>
        <w:rPr>
          <w:sz w:val="20"/>
          <w:szCs w:val="20"/>
          <w:color w:val="auto"/>
        </w:rPr>
      </w:pPr>
      <w:r>
        <w:rPr>
          <w:rFonts w:ascii="Times New Roman" w:cs="Times New Roman" w:eastAsia="Times New Roman" w:hAnsi="Times New Roman"/>
          <w:sz w:val="18"/>
          <w:szCs w:val="18"/>
          <w:color w:val="auto"/>
        </w:rPr>
        <w:t>The underwriter has agreed to purchase the shares of our Class A common stock from the Selling Securityholder at a price of $     per share, which will, before expenses, result in approximately $     million of aggregate proceeds to the Selling Securityholder. The shares may be offered by the underwriter from time to time to purchasers directly or through agents, or through brokers in brokerage transactions on the NASDAQ Global Select Market (the “Nasdaq”), or to dealers in negotiated transactions or in a combination of such methods of sale, at a fixed price or prices, which may be changed, or at market prices prevailing at the time of sale, at prices related to such prevailing market prices or at negotiated prices.</w:t>
      </w:r>
    </w:p>
    <w:p>
      <w:pPr>
        <w:spacing w:after="0" w:line="81" w:lineRule="exact"/>
        <w:rPr>
          <w:sz w:val="24"/>
          <w:szCs w:val="24"/>
          <w:color w:val="auto"/>
        </w:rPr>
      </w:pPr>
    </w:p>
    <w:p>
      <w:pPr>
        <w:jc w:val="both"/>
        <w:ind w:left="400" w:right="419" w:firstLine="360"/>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under the symbol “NFE.” The last reported sales price of our Class A common stock on the Nasdaq on December 13, 2022 was $48.29 per share.</w:t>
      </w:r>
    </w:p>
    <w:p>
      <w:pPr>
        <w:spacing w:after="0" w:line="50" w:lineRule="exact"/>
        <w:rPr>
          <w:sz w:val="24"/>
          <w:szCs w:val="24"/>
          <w:color w:val="auto"/>
        </w:rPr>
      </w:pPr>
    </w:p>
    <w:p>
      <w:pPr>
        <w:jc w:val="both"/>
        <w:ind w:left="400" w:right="41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Investing in shares of our Class A common stock involves a high degree of risk. Before buying any shares of our Class A common stock, you should carefully consider the risks that we have described in “Risk Factors” beginning on page S-</w:t>
      </w:r>
      <w:r>
        <w:rPr>
          <w:rFonts w:ascii="Times New Roman" w:cs="Times New Roman" w:eastAsia="Times New Roman" w:hAnsi="Times New Roman"/>
          <w:sz w:val="18"/>
          <w:szCs w:val="18"/>
          <w:b w:val="1"/>
          <w:bCs w:val="1"/>
          <w:u w:val="single" w:color="auto"/>
          <w:color w:val="0000EE"/>
        </w:rPr>
        <w:t>4</w:t>
      </w:r>
      <w:r>
        <w:rPr>
          <w:rFonts w:ascii="Times New Roman" w:cs="Times New Roman" w:eastAsia="Times New Roman" w:hAnsi="Times New Roman"/>
          <w:sz w:val="18"/>
          <w:szCs w:val="18"/>
          <w:b w:val="1"/>
          <w:bCs w:val="1"/>
          <w:color w:val="auto"/>
        </w:rPr>
        <w:t xml:space="preserve"> of this prospectus supplement, in the accompanying prospectus and in the documents incorporated or deemed incorporated by reference into this prospectus supplement and accompanying prospectus. 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08" w:lineRule="exact"/>
        <w:rPr>
          <w:sz w:val="24"/>
          <w:szCs w:val="24"/>
          <w:color w:val="auto"/>
        </w:rPr>
      </w:pPr>
    </w:p>
    <w:p>
      <w:pPr>
        <w:jc w:val="both"/>
        <w:ind w:left="400" w:right="419" w:firstLine="360"/>
        <w:spacing w:after="0" w:line="282" w:lineRule="auto"/>
        <w:rPr>
          <w:sz w:val="20"/>
          <w:szCs w:val="20"/>
          <w:color w:val="auto"/>
        </w:rPr>
      </w:pPr>
      <w:r>
        <w:rPr>
          <w:rFonts w:ascii="Times New Roman" w:cs="Times New Roman" w:eastAsia="Times New Roman" w:hAnsi="Times New Roman"/>
          <w:sz w:val="18"/>
          <w:szCs w:val="18"/>
          <w:color w:val="auto"/>
        </w:rPr>
        <w:t>The underwriter expects to deliver the shares of Class A common stock against payment on or about       ,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2311400</wp:posOffset>
            </wp:positionH>
            <wp:positionV relativeFrom="paragraph">
              <wp:posOffset>148590</wp:posOffset>
            </wp:positionV>
            <wp:extent cx="10972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J.P. Morgan</w:t>
      </w:r>
    </w:p>
    <w:p>
      <w:pPr>
        <w:sectPr>
          <w:pgSz w:w="11900" w:h="16838" w:orient="portrait"/>
          <w:cols w:equalWidth="0" w:num="1">
            <w:col w:w="9019"/>
          </w:cols>
          <w:pgMar w:left="1440" w:top="223"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color w:val="auto"/>
        </w:rPr>
        <w:t>The date of this prospectus supplement is December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135890</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173"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50"/>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198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7"/>
        </w:trPr>
        <w:tc>
          <w:tcPr>
            <w:tcW w:w="806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ABOUT THIS PROSPECTUS SUPPLEMENT</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gridSpan w:val="6"/>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S-ii</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0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40" w:type="dxa"/>
            <w:vAlign w:val="bottom"/>
          </w:tcPr>
          <w:p>
            <w:pPr>
              <w:spacing w:after="0"/>
              <w:rPr>
                <w:sz w:val="19"/>
                <w:szCs w:val="19"/>
                <w:color w:val="auto"/>
              </w:rPr>
            </w:pPr>
          </w:p>
        </w:tc>
        <w:tc>
          <w:tcPr>
            <w:tcW w:w="320" w:type="dxa"/>
            <w:vAlign w:val="bottom"/>
            <w:gridSpan w:val="7"/>
          </w:tcPr>
          <w:p>
            <w:pPr>
              <w:jc w:val="center"/>
              <w:ind w:right="20"/>
              <w:spacing w:after="0"/>
              <w:rPr>
                <w:sz w:val="20"/>
                <w:szCs w:val="20"/>
                <w:color w:val="auto"/>
              </w:rPr>
            </w:pPr>
            <w:r>
              <w:rPr>
                <w:rFonts w:ascii="Times New Roman" w:cs="Times New Roman" w:eastAsia="Times New Roman" w:hAnsi="Times New Roman"/>
                <w:sz w:val="18"/>
                <w:szCs w:val="18"/>
                <w:color w:val="0000EE"/>
                <w:w w:val="99"/>
              </w:rPr>
              <w:t>S-iv</w:t>
            </w: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9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PROSPECTUS SUPPLEMENT SUMMARY</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gridSpan w:val="5"/>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0000EE"/>
              </w:rPr>
              <w:t>S-1</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0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THE OFFERING</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0000EE"/>
              </w:rPr>
              <w:t>S-3</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06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gridSpan w:val="5"/>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0000EE"/>
              </w:rPr>
              <w:t>S-4</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0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0000EE"/>
              </w:rPr>
              <w:t>S-5</w:t>
            </w: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SELLING SECURITYHOLDER</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gridSpan w:val="5"/>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0000EE"/>
              </w:rPr>
              <w:t>S-6</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0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UNDERWRITING</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0000EE"/>
              </w:rPr>
              <w:t>S-7</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06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3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S-13</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0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EXPERTS</w:t>
            </w:r>
          </w:p>
        </w:tc>
        <w:tc>
          <w:tcPr>
            <w:tcW w:w="360" w:type="dxa"/>
            <w:vAlign w:val="bottom"/>
            <w:gridSpan w:val="8"/>
          </w:tcPr>
          <w:p>
            <w:pPr>
              <w:spacing w:after="0"/>
              <w:rPr>
                <w:sz w:val="20"/>
                <w:szCs w:val="20"/>
                <w:color w:val="auto"/>
              </w:rPr>
            </w:pPr>
            <w:r>
              <w:rPr>
                <w:rFonts w:ascii="Times New Roman" w:cs="Times New Roman" w:eastAsia="Times New Roman" w:hAnsi="Times New Roman"/>
                <w:sz w:val="18"/>
                <w:szCs w:val="18"/>
                <w:color w:val="0000EE"/>
                <w:w w:val="99"/>
              </w:rPr>
              <w:t>S-13</w:t>
            </w: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3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S-14</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540"/>
        </w:trPr>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4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5"/>
        </w:trPr>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50"/>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198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7"/>
        </w:trPr>
        <w:tc>
          <w:tcPr>
            <w:tcW w:w="806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300" w:type="dxa"/>
            <w:vAlign w:val="bottom"/>
            <w:tcBorders>
              <w:right w:val="single" w:sz="8" w:color="CCEEFF"/>
            </w:tcBorders>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1</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0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30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EE"/>
              </w:rPr>
              <w:t>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300" w:type="dxa"/>
            <w:vAlign w:val="bottom"/>
            <w:tcBorders>
              <w:right w:val="single" w:sz="8" w:color="CCEEFF"/>
            </w:tcBorders>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3</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98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0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THE COMPANY</w:t>
            </w:r>
          </w:p>
        </w:tc>
        <w:tc>
          <w:tcPr>
            <w:tcW w:w="30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EE"/>
              </w:rPr>
              <w:t>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300" w:type="dxa"/>
            <w:vAlign w:val="bottom"/>
            <w:tcBorders>
              <w:right w:val="single" w:sz="8" w:color="CCEEFF"/>
            </w:tcBorders>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6</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0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30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EE"/>
              </w:rPr>
              <w:t>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SECURITIES</w:t>
            </w:r>
          </w:p>
        </w:tc>
        <w:tc>
          <w:tcPr>
            <w:tcW w:w="300" w:type="dxa"/>
            <w:vAlign w:val="bottom"/>
            <w:tcBorders>
              <w:right w:val="single" w:sz="8" w:color="CCEEFF"/>
            </w:tcBorders>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8</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0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30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EE"/>
              </w:rPr>
              <w:t>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DEPOSITARY SHARES</w:t>
            </w:r>
          </w:p>
        </w:tc>
        <w:tc>
          <w:tcPr>
            <w:tcW w:w="340" w:type="dxa"/>
            <w:vAlign w:val="bottom"/>
            <w:gridSpan w:val="7"/>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17</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0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DESCRIPTION OF DEBT SECURITIES</w:t>
            </w:r>
          </w:p>
        </w:tc>
        <w:tc>
          <w:tcPr>
            <w:tcW w:w="34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0000EE"/>
                <w:w w:val="99"/>
              </w:rPr>
              <w:t>19</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WARRANTS</w:t>
            </w:r>
          </w:p>
        </w:tc>
        <w:tc>
          <w:tcPr>
            <w:tcW w:w="340" w:type="dxa"/>
            <w:vAlign w:val="bottom"/>
            <w:gridSpan w:val="7"/>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21</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0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SELLING SECURITYHOLDERS</w:t>
            </w:r>
          </w:p>
        </w:tc>
        <w:tc>
          <w:tcPr>
            <w:tcW w:w="34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0000EE"/>
                <w:w w:val="99"/>
              </w:rPr>
              <w:t>22</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OUR OPERATING AGREEMENT AND PROVISIONS OF DELAWARE LAW</w:t>
            </w:r>
          </w:p>
        </w:tc>
        <w:tc>
          <w:tcPr>
            <w:tcW w:w="340" w:type="dxa"/>
            <w:vAlign w:val="bottom"/>
            <w:gridSpan w:val="7"/>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24</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98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70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0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34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0000EE"/>
                <w:w w:val="99"/>
              </w:rPr>
              <w:t>30</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U.S. FEDERAL INCOME TAX CONSIDERATIONS FOR NON-U.S. HOLDERS OF CLASS A</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860" w:type="dxa"/>
            <w:vAlign w:val="bottom"/>
            <w:tcBorders>
              <w:top w:val="single" w:sz="8" w:color="0000EE"/>
            </w:tcBorders>
            <w:gridSpan w:val="2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COMMON STOCK</w:t>
            </w:r>
          </w:p>
        </w:tc>
        <w:tc>
          <w:tcPr>
            <w:tcW w:w="1020" w:type="dxa"/>
            <w:vAlign w:val="bottom"/>
            <w:tcBorders>
              <w:top w:val="single" w:sz="8" w:color="CCEEFF"/>
            </w:tcBorders>
            <w:gridSpan w:val="2"/>
            <w:shd w:val="clear" w:color="auto" w:fill="CCEEFF"/>
          </w:tcPr>
          <w:p>
            <w:pPr>
              <w:spacing w:after="0"/>
              <w:rPr>
                <w:sz w:val="17"/>
                <w:szCs w:val="17"/>
                <w:color w:val="auto"/>
              </w:rPr>
            </w:pPr>
          </w:p>
        </w:tc>
        <w:tc>
          <w:tcPr>
            <w:tcW w:w="340" w:type="dxa"/>
            <w:vAlign w:val="bottom"/>
            <w:tcBorders>
              <w:top w:val="single" w:sz="8" w:color="CCEEFF"/>
            </w:tcBorders>
            <w:gridSpan w:val="7"/>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32</w:t>
            </w:r>
          </w:p>
        </w:tc>
        <w:tc>
          <w:tcPr>
            <w:tcW w:w="20" w:type="dxa"/>
            <w:vAlign w:val="bottom"/>
            <w:tcBorders>
              <w:top w:val="single" w:sz="8" w:color="CCEEFF"/>
            </w:tcBorders>
            <w:shd w:val="clear" w:color="auto" w:fill="CCEEFF"/>
          </w:tcPr>
          <w:p>
            <w:pPr>
              <w:spacing w:after="0"/>
              <w:rPr>
                <w:sz w:val="17"/>
                <w:szCs w:val="17"/>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0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ERISA CONSIDERATIONS</w:t>
            </w:r>
          </w:p>
        </w:tc>
        <w:tc>
          <w:tcPr>
            <w:tcW w:w="34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0000EE"/>
                <w:w w:val="99"/>
              </w:rPr>
              <w:t>35</w:t>
            </w:r>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06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340" w:type="dxa"/>
            <w:vAlign w:val="bottom"/>
            <w:gridSpan w:val="7"/>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37</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0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EXPERTS</w:t>
            </w:r>
          </w:p>
        </w:tc>
        <w:tc>
          <w:tcPr>
            <w:tcW w:w="34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0000EE"/>
                <w:w w:val="99"/>
              </w:rPr>
              <w:t>37</w:t>
            </w:r>
          </w:p>
        </w:tc>
        <w:tc>
          <w:tcPr>
            <w:tcW w:w="20" w:type="dxa"/>
            <w:vAlign w:val="bottom"/>
          </w:tcPr>
          <w:p>
            <w:pPr>
              <w:spacing w:after="0"/>
              <w:rPr>
                <w:sz w:val="19"/>
                <w:szCs w:val="19"/>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-6685915</wp:posOffset>
            </wp:positionV>
            <wp:extent cx="939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-3805555</wp:posOffset>
            </wp:positionV>
            <wp:extent cx="1111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that we filed on Form S-3 with the Securities and Exchange Commission (the “SEC”) as a “well-known seasoned issuer” as defined in Rule 405 of the Securities Act of 1933, as amended (the “Securities Act”), using a “shelf” registration process. Under the shelf registration process, the Selling Securityholder may offer and sell, from time to time, shares of our Class A common stock in one or more offerings. The accompanying prospectus provides you with general information, including a general description of our Class A common stock, some of which information may not apply to this offering. This prospectus supplement contains specific information about the terms of this offering of shares of Class A common stock by the Selling Securityholder.</w:t>
      </w:r>
    </w:p>
    <w:p>
      <w:pPr>
        <w:spacing w:after="0" w:line="84"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7"/>
          <w:szCs w:val="17"/>
          <w:color w:val="auto"/>
        </w:rPr>
        <w:t>This prospectus supplement, the accompanying prospectus and the documents incorporated by reference include important information about us, our Class A common stock and other information that you should know before investing. This prospectus supplement also adds, updates and changes information contained in the accompanying prospectus and in any documents incorporated by reference. If information in this prospectus supplement is inconsistent with the accompanying prospectus, you should rely on this prospectus supplement. However, if any statement in one of these documents is inconsistent with a statement in another document having a later date—for example, a document incorporated by reference in this prospectus supplement or the accompanying prospectus—the statement in the document having the later date modifies or supersedes the earlier statement as our business, financial condition, results of operations and prospects may have changed since the earlier date. You should carefully read both this prospectus supplement and the accompanying prospectus as well as additional information described under “Where You Can Find More Information” before investing in our Class A common stock. Further, this prospectus supplement and the accompanying prospectus do not contain all of the information included in the registration statement. The registration statement filed with the SEC includes or incorporates by reference exhibits that provide more details about the matters discussed in this prospectus supplement and the accompanying prospectus. You should not consider any information in this prospectus supplement or the accompanying base prospectus to be investment, legal or tax advice. You should consult your own counsel, accountant and other advisors for investments, legal, tax, business, financial and related advice regarding the purchase of shares of our Class A common stock. We are not making any representation to you regarding the legality of an investment in shares of our Class A common stock by you under applicable investment or similar laws.</w:t>
      </w:r>
    </w:p>
    <w:p>
      <w:pPr>
        <w:spacing w:after="0" w:line="293"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None of us, the Selling Securityholder, or the underwriter has authorized any dealer, salesperson or other person to give any information or to make any representation other than those contained in or incorporated by reference into this prospectus supplement, the accompanying prospectus or any applicable free writing prospectus. You must not rely upon any information or representation not contained in or incorporated by reference into this prospectus supplement, the accompanying prospectus or any applicable free writing prospectus as if we had authorized it. This prospectus supplement, the accompanying prospectus and any applicable free writing prospectus do not constitute an offer to sell or the solicitation of an offer to buy any securities other than the registered securities to which they relate, nor does this prospectus supplement, the accompanying prospectus or any applicable free writing prospectus constitute an offer to sell or the solicitation of an offer to buy securities in any jurisdiction to any person to whom it is unlawful to make such offer or solicitation in such jurisdiction. You should not assume that the information contained in this prospectus supplement, the accompanying prospectus, the documents incorporated herein and therein by reference and any applicable free writing prospectus is correct on any date after their respective dates, even though this prospectus supplement, the accompanying prospectus or an applicable free writing prospectus is delivered or securities are sold on a later date. Our business, financial condition, results of operations and cash flows may have changed since those dates.</w:t>
      </w:r>
    </w:p>
    <w:p>
      <w:pPr>
        <w:spacing w:after="0" w:line="9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Generally, when we refer to this “prospectus supplement,” we are referring to both this prospectus supplement and the accompanying prospectus, as well as the documents incorporated by reference herein and therein.</w:t>
      </w:r>
    </w:p>
    <w:p>
      <w:pPr>
        <w:spacing w:after="0" w:line="5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New Fortress Energy Inc. (“NFE Inc.”) was formerly New Fortress Energy LLC, a Delaware limited liability company (“NFE LLC”), prior to its conversion to a Delaware corporation (the “Conversion”) effective at 12:01 a.m. (Eastern Time) on August 7, 2020 (the “Conversion Effective Time”), as described in more detail in the documents incorporated by reference herein. In this prospectus supplement and the accompanying prospectus or any documents incorporated by reference herein or therein, unless otherwise indicated or the context otherwise requires, references to “NFE,” the “Company,” “we,” “us,” “our” and similar terms refer to (i) prior to the Conversion Effective Time, NFE LLC and its subsidiaries and (ii) following the Conversion Effective Time, NFE Inc. and its subsidiaries. In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addition, when used in a historical context that is prior to the completion of our Initial Public Offering on February 4, 2019, references to “Company,” “we,” “our,” “us” or like terms refer to New Fortress Energy Holdings LLC, a Delaware limited liability company (“New Fortress Energy Holdings”), our predecessor for financial reporting purposes.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any documents incorporated by reference contain statements that are “forward-looking” within the meaning of the Private Securities Litigation Reform Act of 1995.</w:t>
      </w:r>
    </w:p>
    <w:p>
      <w:pPr>
        <w:spacing w:after="0" w:line="68"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All statements contained in this prospectus supplement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Forward-looking statements are subject to risks and uncertainties, including but not limited to the risks described in this prospectus supplement, the accompanying prospectus and any documents incorporated by reference, including the “Risk Factors” sections of this prospectus supplement, the accompanying prospectus and our reports and other documents filed with the SEC. When considering forward-looking statements, you should keep in mind the risks, uncertainties and other cautionary statements made in this prospectus supplement, the accompanying prospectus and the documents incorporated by reference. While it is impossible to identify all factors, factors that could cause actual results to differ materially from those estimated by us include:</w:t>
      </w:r>
    </w:p>
    <w:p>
      <w:pPr>
        <w:spacing w:after="0" w:line="89" w:lineRule="exact"/>
        <w:rPr>
          <w:sz w:val="20"/>
          <w:szCs w:val="20"/>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subsidiaries, affiliates, joint ventures and special purpose entities in which we invest and their ability to make dividends or distributions to us;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and operational risks related to our facilities and assets, including cost overruns and delays;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regulatory and legal environments related to our business, assets and operations, including actions by governmental entities or changes to regulation or legislation, in particular related to our permits, approvals and authorizations for the construction and operation of our facilities;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 to obtain and maintain approvals and permits from governmental and regulatory agencies;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sufficient working capital for the development and operation of our business and assets;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 return on our investments for the development of our projects and assets and the implementation of our business strategy;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convert our customer pipeline into actual sales;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asset, geographic or customer diversification, including loss of one or more of our customers;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third parties in our business;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liquified natural gas (“LNG”) or natural gas to be a competitive source of energy in the markets in which we operate, and seek to operate;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cyclical or other changes in the demand for and price of LNG and natural gas;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procure LNG at necessary quantities or at favorable prices to meet customer demand, or otherwise to manage LNG supply and price risks, including hedging arrangements;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develop and implement our technological solutions;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service our debt and comply with our covenant restrictions;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additional financing to effect our strategy;</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complete mergers, sales, divestments or similar transactions related to our businesses or assets or to integrate such businesses or assets and realize the anticipated benefits, including with respect to the mergers with Hygo Energy Transition Ltd. (“Hygo”) and Golar LNG Partners LP (“GMLP”);</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social and other risks related to the jurisdictions in which we do, or seek to do,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events or other natural or manmade disasters or phenomena;</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the global COVID-19 pandemic or any other major health and safety incident;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labor costs, disputes or strikes, and the unavailability of skilled workers or our failure to attract and retain qualified personnel;</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treatment of, or changes in tax laws applicable to, us or our business or of an investment in our Class A common stock;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identified, discussed or incorporated by reference in this prospectus supplement and the accompanying prospectus, including under the section entitled “Risk Factors,” and described in our other reports filed with the SEC.</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All forward-looking statements speak only as of the date of this prospectus supplement or, in the case of the accompanying prospectus or documents incorporated by reference, the date of any such document. You are cautioned not to place undue reliance on any forward-looking statements made by us or on our behalf.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except as may be required by law. Furthermore, we cannot guarantee future results, events, levels of activity, performance, projections or achievements.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90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3405" cy="819086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19" w:lineRule="exact"/>
        <w:rPr>
          <w:sz w:val="20"/>
          <w:szCs w:val="20"/>
          <w:color w:val="auto"/>
        </w:rPr>
      </w:pPr>
    </w:p>
    <w:p>
      <w:pPr>
        <w:jc w:val="both"/>
        <w:ind w:left="320" w:right="27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supplement, the accompanying prospectus and the documents incorporated by reference. This summary does not contain all of the information you should consider before making a decision to invest in our Class A common stock. You should read this entire prospectus supplement and the accompanying prospectus, including the documents incorporated by reference herein and therein, carefully before making an investment decision, especially the sections entitled “Risk Factors” herein and therein and our consolidated financial statements and notes to those consolidated financial statements incorporated by reference herein and therein.</w:t>
      </w:r>
    </w:p>
    <w:p>
      <w:pPr>
        <w:spacing w:after="0" w:line="2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320" w:right="279" w:firstLine="360"/>
        <w:spacing w:after="0" w:line="256" w:lineRule="auto"/>
        <w:rPr>
          <w:sz w:val="20"/>
          <w:szCs w:val="20"/>
          <w:color w:val="auto"/>
        </w:rPr>
      </w:pPr>
      <w:r>
        <w:rPr>
          <w:rFonts w:ascii="Times New Roman" w:cs="Times New Roman" w:eastAsia="Times New Roman" w:hAnsi="Times New Roman"/>
          <w:sz w:val="18"/>
          <w:szCs w:val="18"/>
          <w:color w:val="auto"/>
        </w:rPr>
        <w:t>New Fortress Energy Inc. is a global energy infrastructure company founded to help address energy poverty and accelerate the world’s transition to reliable, affordable, and clean energy. The Company owns and operates natural gas and LNG infrastructure and an integrated fleet of ships and logistics assets to rapidly deliver turnkey energy solutions to global markets. Collectively, the Company’s assets and operations reinforce global energy security, enable economic growth, enhance environmental stewardship and transform local industries and communities around the world.</w:t>
      </w:r>
    </w:p>
    <w:p>
      <w:pPr>
        <w:spacing w:after="0" w:line="2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121" w:lineRule="exact"/>
        <w:rPr>
          <w:sz w:val="20"/>
          <w:szCs w:val="20"/>
          <w:color w:val="auto"/>
        </w:rPr>
      </w:pPr>
    </w:p>
    <w:p>
      <w:pPr>
        <w:jc w:val="both"/>
        <w:ind w:left="320" w:right="279" w:firstLine="360"/>
        <w:spacing w:after="0" w:line="254" w:lineRule="auto"/>
        <w:rPr>
          <w:sz w:val="20"/>
          <w:szCs w:val="20"/>
          <w:color w:val="auto"/>
        </w:rPr>
      </w:pPr>
      <w:r>
        <w:rPr>
          <w:rFonts w:ascii="Times New Roman" w:cs="Times New Roman" w:eastAsia="Times New Roman" w:hAnsi="Times New Roman"/>
          <w:sz w:val="18"/>
          <w:szCs w:val="18"/>
          <w:color w:val="auto"/>
        </w:rPr>
        <w:t>As an integrated gas-to-power energy infrastructure company, our business model spans the entire production and delivery chain from natural gas procurement and liquefaction to shipping, logistics, facilities and conversion or development of natural gas-fired power generation. Historically, natural gas procurement or liquefaction, transportation, regasification and power generation projects have been developed separately and have required multilateral or traditional financing sources, which has inhibited the development of natural gas-fired power in many developing countries. In executing our business model, we have the capability to build or arrange any necessary infrastructure ourselves without reliance on multilateral financing sources or traditional project finance structures, so that we maintain our strategic flexibility and optimize our portfolio.</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currently conduct our operations at the following facilities:</w:t>
      </w:r>
    </w:p>
    <w:p>
      <w:pPr>
        <w:spacing w:after="0" w:line="117" w:lineRule="exact"/>
        <w:rPr>
          <w:sz w:val="20"/>
          <w:szCs w:val="20"/>
          <w:color w:val="auto"/>
        </w:rPr>
      </w:pPr>
    </w:p>
    <w:p>
      <w:pPr>
        <w:ind w:left="1020" w:right="299" w:hanging="350"/>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LNG storage and regasification facility at the Port of Montego Bay, Jamaica (the “Montego Bay Facility”),</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marine LNG storage and regasification facility in Old Harbour, Jamaica (together with the Montego Bay Facility, the “Jamaica Facilities”),</w:t>
      </w:r>
    </w:p>
    <w:p>
      <w:pPr>
        <w:spacing w:after="0" w:line="53"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landed micro-fuel handling facility in San Juan, Puerto Rico,</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marine LNG storage and regasification facility in Sergipe, Brazil (the “Sergipe Facility”),</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LNG receiving facility in La Paz, Mexico, and</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Miami facility.</w:t>
      </w:r>
    </w:p>
    <w:p>
      <w:pPr>
        <w:spacing w:after="0" w:line="117" w:lineRule="exact"/>
        <w:rPr>
          <w:sz w:val="20"/>
          <w:szCs w:val="20"/>
          <w:color w:val="auto"/>
        </w:rPr>
      </w:pPr>
    </w:p>
    <w:p>
      <w:pPr>
        <w:jc w:val="both"/>
        <w:ind w:left="320" w:right="299" w:firstLine="360"/>
        <w:spacing w:after="0" w:line="261" w:lineRule="auto"/>
        <w:rPr>
          <w:sz w:val="20"/>
          <w:szCs w:val="20"/>
          <w:color w:val="auto"/>
        </w:rPr>
      </w:pPr>
      <w:r>
        <w:rPr>
          <w:rFonts w:ascii="Times New Roman" w:cs="Times New Roman" w:eastAsia="Times New Roman" w:hAnsi="Times New Roman"/>
          <w:sz w:val="18"/>
          <w:szCs w:val="18"/>
          <w:color w:val="auto"/>
        </w:rPr>
        <w:t>In addition, we are currently developing facilities in Brazil, Nicaragua, Ireland and other locations. We are in active discussions with additional customers to develop projects in multiple regions around the world who may have significant demand for additional power, LNG and natural gas, although there can be no assurance that these discussions will result in additional contracts or that we will be able to achieve our target pricing or margins.</w:t>
      </w:r>
    </w:p>
    <w:p>
      <w:pPr>
        <w:spacing w:after="0" w:line="2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21" w:lineRule="exact"/>
        <w:rPr>
          <w:sz w:val="20"/>
          <w:szCs w:val="20"/>
          <w:color w:val="auto"/>
        </w:rPr>
      </w:pPr>
    </w:p>
    <w:p>
      <w:pPr>
        <w:jc w:val="both"/>
        <w:ind w:left="320" w:right="299" w:firstLine="360"/>
        <w:spacing w:after="0" w:line="266" w:lineRule="auto"/>
        <w:rPr>
          <w:sz w:val="20"/>
          <w:szCs w:val="20"/>
          <w:color w:val="auto"/>
        </w:rPr>
      </w:pPr>
      <w:r>
        <w:rPr>
          <w:rFonts w:ascii="Times New Roman" w:cs="Times New Roman" w:eastAsia="Times New Roman" w:hAnsi="Times New Roman"/>
          <w:sz w:val="18"/>
          <w:szCs w:val="18"/>
          <w:color w:val="auto"/>
        </w:rPr>
        <w:t>NFE LLC was formed as a Delaware limited liability company by New Fortress Energy Holdings on August 6, 2018. On August 7, 2020, effective as of the Conversion Effective Time, NFE LLC was converted from a Delaware limited liability company to NFE Inc., a Delaware corporation.</w:t>
      </w:r>
    </w:p>
    <w:p>
      <w:pPr>
        <w:spacing w:after="0" w:line="68" w:lineRule="exact"/>
        <w:rPr>
          <w:sz w:val="20"/>
          <w:szCs w:val="20"/>
          <w:color w:val="auto"/>
        </w:rPr>
      </w:pPr>
    </w:p>
    <w:p>
      <w:pPr>
        <w:jc w:val="both"/>
        <w:ind w:left="320" w:right="279" w:firstLine="360"/>
        <w:spacing w:after="0" w:line="258" w:lineRule="auto"/>
        <w:rPr>
          <w:sz w:val="20"/>
          <w:szCs w:val="20"/>
          <w:color w:val="auto"/>
        </w:rPr>
      </w:pPr>
      <w:r>
        <w:rPr>
          <w:rFonts w:ascii="Times New Roman" w:cs="Times New Roman" w:eastAsia="Times New Roman" w:hAnsi="Times New Roman"/>
          <w:sz w:val="18"/>
          <w:szCs w:val="18"/>
          <w:color w:val="auto"/>
        </w:rPr>
        <w:t>Our principal executive office is located at 111 W. 19th Street, 8th Floor, New York, NY 10011 and our telephone number is (516) 268-7400. We maintain a website at www.newfortressenergy.com. We have included our website address in this prospectus supplement solely as an inactive textual reference. The information on or otherwise accessible through our website does not constitute a part of, and is not incorporated by reference into, this prospectus supplement or the accompanying prospectus.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3055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3405" cy="305562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jc w:val="both"/>
        <w:ind w:left="320" w:right="279" w:firstLine="360"/>
        <w:spacing w:after="0" w:line="266" w:lineRule="auto"/>
        <w:rPr>
          <w:sz w:val="20"/>
          <w:szCs w:val="20"/>
          <w:color w:val="auto"/>
        </w:rPr>
      </w:pPr>
      <w:r>
        <w:rPr>
          <w:rFonts w:ascii="Times New Roman" w:cs="Times New Roman" w:eastAsia="Times New Roman" w:hAnsi="Times New Roman"/>
          <w:sz w:val="18"/>
          <w:szCs w:val="18"/>
          <w:color w:val="auto"/>
        </w:rPr>
        <w:t>On December 12, 2022, we announced that our Board of Directors (the “Board”) approved an update to our dividend policy following a comprehensive evaluation. This update is part of our plan to return significant capital to stockholders while continuing to fund substantial growth.</w:t>
      </w:r>
    </w:p>
    <w:p>
      <w:pPr>
        <w:spacing w:after="0" w:line="68" w:lineRule="exact"/>
        <w:rPr>
          <w:sz w:val="20"/>
          <w:szCs w:val="20"/>
          <w:color w:val="auto"/>
        </w:rPr>
      </w:pPr>
    </w:p>
    <w:p>
      <w:pPr>
        <w:jc w:val="both"/>
        <w:ind w:left="320" w:right="279" w:firstLine="360"/>
        <w:spacing w:after="0" w:line="256" w:lineRule="auto"/>
        <w:rPr>
          <w:sz w:val="20"/>
          <w:szCs w:val="20"/>
          <w:color w:val="auto"/>
        </w:rPr>
      </w:pPr>
      <w:r>
        <w:rPr>
          <w:rFonts w:ascii="Times New Roman" w:cs="Times New Roman" w:eastAsia="Times New Roman" w:hAnsi="Times New Roman"/>
          <w:sz w:val="18"/>
          <w:szCs w:val="18"/>
          <w:color w:val="auto"/>
        </w:rPr>
        <w:t>The dividend policy was updated with a goal to provide a clear go-forward framework to our shareholders and has immediate effect. As part of our new dividend policy, we are targeting an annual cash dividend equal to approximately 40% of our annual Adjusted EBITDA. In connection with adopting this dividend policy, the Board also declared a dividend of $3.00 per share, with a record date of January 4, 2023 and a payment date of January 13, 2023. Purchasers in this offering who continue to hold their shares as of such record date for the dividend will receive the dividend on the payment date. The Board will evaluate whether to declare a dividend every six months.</w:t>
      </w:r>
    </w:p>
    <w:p>
      <w:pPr>
        <w:spacing w:after="0" w:line="295" w:lineRule="exact"/>
        <w:rPr>
          <w:sz w:val="20"/>
          <w:szCs w:val="20"/>
          <w:color w:val="auto"/>
        </w:rPr>
      </w:pPr>
    </w:p>
    <w:p>
      <w:pPr>
        <w:jc w:val="both"/>
        <w:ind w:left="320" w:right="279" w:firstLine="360"/>
        <w:spacing w:after="0" w:line="255" w:lineRule="auto"/>
        <w:rPr>
          <w:sz w:val="20"/>
          <w:szCs w:val="20"/>
          <w:color w:val="auto"/>
        </w:rPr>
      </w:pPr>
      <w:r>
        <w:rPr>
          <w:rFonts w:ascii="Times New Roman" w:cs="Times New Roman" w:eastAsia="Times New Roman" w:hAnsi="Times New Roman"/>
          <w:sz w:val="18"/>
          <w:szCs w:val="18"/>
          <w:color w:val="auto"/>
        </w:rPr>
        <w:t>The payment of future dividends under the Company’s updated dividend policy will be made at the discretion of the Board and will be subject to the Board’s final determination based on a number of factors, including, but not limited to, the Company’s financial performance, its available cash resources, the terms of its indebtedness, its cash requirements, credit rating impacts, alternative uses of cash that the Board may conclude would represent an opportunity to generate a greater return on investment for the Company, restrictions and other factors the Board deems relevant at the time it determines to declare such dividends, and applicable law. The dividend policy may be revised, suspended, or cancelled at the discretion of the Board at any time.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50018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3405" cy="500189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9019"/>
          </w:cols>
          <w:pgMar w:left="1440" w:top="263" w:right="1440" w:bottom="1440" w:gutter="0" w:footer="0" w:header="0"/>
        </w:sectPr>
      </w:pPr>
    </w:p>
    <w:p>
      <w:pPr>
        <w:spacing w:after="0" w:line="129" w:lineRule="exact"/>
        <w:rPr>
          <w:sz w:val="20"/>
          <w:szCs w:val="20"/>
          <w:color w:val="auto"/>
        </w:rPr>
      </w:pPr>
    </w:p>
    <w:p>
      <w:pPr>
        <w:ind w:left="480" w:right="56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Class A common stock offered by the Selling Securityholder</w:t>
      </w:r>
    </w:p>
    <w:p>
      <w:pPr>
        <w:spacing w:after="0" w:line="74" w:lineRule="exact"/>
        <w:rPr>
          <w:sz w:val="20"/>
          <w:szCs w:val="20"/>
          <w:color w:val="auto"/>
        </w:rPr>
      </w:pPr>
    </w:p>
    <w:p>
      <w:pPr>
        <w:ind w:left="48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Class A common stock outstanding before and after this offering</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6,900,000 shares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208,770,088 shares</w:t>
      </w:r>
    </w:p>
    <w:p>
      <w:pPr>
        <w:spacing w:after="0" w:line="158" w:lineRule="exact"/>
        <w:rPr>
          <w:sz w:val="20"/>
          <w:szCs w:val="20"/>
          <w:color w:val="auto"/>
        </w:rPr>
      </w:pPr>
    </w:p>
    <w:p>
      <w:pPr>
        <w:jc w:val="both"/>
        <w:ind w:right="279"/>
        <w:spacing w:after="0" w:line="255" w:lineRule="auto"/>
        <w:rPr>
          <w:sz w:val="20"/>
          <w:szCs w:val="20"/>
          <w:color w:val="auto"/>
        </w:rPr>
      </w:pPr>
      <w:r>
        <w:rPr>
          <w:rFonts w:ascii="Times New Roman" w:cs="Times New Roman" w:eastAsia="Times New Roman" w:hAnsi="Times New Roman"/>
          <w:sz w:val="18"/>
          <w:szCs w:val="18"/>
          <w:color w:val="auto"/>
        </w:rPr>
        <w:t>The Selling Securityholder will receive all of the net proceeds from this offering and bear all commissions and discounts, if any, from the sale of the Class A common stock pursuant to this prospectus supplement. We will not receive any proceeds from the sale of shares in this offering.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beginning on page S-</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 xml:space="preserve"> of this prospectus supplement.</w:t>
      </w:r>
    </w:p>
    <w:p>
      <w:pPr>
        <w:spacing w:after="0" w:line="104" w:lineRule="exact"/>
        <w:rPr>
          <w:sz w:val="20"/>
          <w:szCs w:val="20"/>
          <w:color w:val="auto"/>
        </w:rPr>
      </w:pPr>
    </w:p>
    <w:p>
      <w:pPr>
        <w:sectPr>
          <w:pgSz w:w="11900" w:h="16838" w:orient="portrait"/>
          <w:cols w:equalWidth="0" w:num="2">
            <w:col w:w="4280" w:space="360"/>
            <w:col w:w="4379"/>
          </w:cols>
          <w:pgMar w:left="1440" w:top="263" w:right="1440" w:bottom="1440" w:gutter="0" w:footer="0" w:header="0"/>
          <w:type w:val="continuous"/>
        </w:sectPr>
      </w:pPr>
    </w:p>
    <w:tbl>
      <w:tblPr>
        <w:tblLayout w:type="fixed"/>
        <w:tblInd w:w="320" w:type="dxa"/>
        <w:tblCellMar>
          <w:top w:w="0" w:type="dxa"/>
          <w:left w:w="0" w:type="dxa"/>
          <w:bottom w:w="0" w:type="dxa"/>
          <w:right w:w="0" w:type="dxa"/>
        </w:tblCellMar>
      </w:tblPr>
      <w:tr>
        <w:trPr>
          <w:trHeight w:val="220"/>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Selling Securityholder</w:t>
            </w: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sole selling securityholder is Energy Transition</w:t>
            </w:r>
          </w:p>
        </w:tc>
      </w:tr>
      <w:tr>
        <w:trPr>
          <w:trHeight w:val="216"/>
        </w:trPr>
        <w:tc>
          <w:tcPr>
            <w:tcW w:w="4300" w:type="dxa"/>
            <w:vAlign w:val="bottom"/>
          </w:tcPr>
          <w:p>
            <w:pPr>
              <w:spacing w:after="0"/>
              <w:rPr>
                <w:sz w:val="18"/>
                <w:szCs w:val="18"/>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Holdings LLC. After the completion of this offering, the</w:t>
            </w:r>
          </w:p>
        </w:tc>
      </w:tr>
      <w:tr>
        <w:trPr>
          <w:trHeight w:val="216"/>
        </w:trPr>
        <w:tc>
          <w:tcPr>
            <w:tcW w:w="4300" w:type="dxa"/>
            <w:vAlign w:val="bottom"/>
          </w:tcPr>
          <w:p>
            <w:pPr>
              <w:spacing w:after="0"/>
              <w:rPr>
                <w:sz w:val="18"/>
                <w:szCs w:val="18"/>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Securityholder   will   beneficially   own</w:t>
            </w:r>
          </w:p>
        </w:tc>
      </w:tr>
      <w:tr>
        <w:trPr>
          <w:trHeight w:val="216"/>
        </w:trPr>
        <w:tc>
          <w:tcPr>
            <w:tcW w:w="4300" w:type="dxa"/>
            <w:vAlign w:val="bottom"/>
          </w:tcPr>
          <w:p>
            <w:pPr>
              <w:spacing w:after="0"/>
              <w:rPr>
                <w:sz w:val="18"/>
                <w:szCs w:val="18"/>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approximately  12.2%  of  our  outstanding  Class  A</w:t>
            </w:r>
          </w:p>
        </w:tc>
      </w:tr>
      <w:tr>
        <w:trPr>
          <w:trHeight w:val="234"/>
        </w:trPr>
        <w:tc>
          <w:tcPr>
            <w:tcW w:w="4300" w:type="dxa"/>
            <w:vAlign w:val="bottom"/>
          </w:tcPr>
          <w:p>
            <w:pPr>
              <w:spacing w:after="0"/>
              <w:rPr>
                <w:sz w:val="20"/>
                <w:szCs w:val="20"/>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w:t>
            </w:r>
          </w:p>
        </w:tc>
      </w:tr>
      <w:tr>
        <w:trPr>
          <w:trHeight w:val="344"/>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Investing in our Class A common stock involves a high</w:t>
            </w:r>
          </w:p>
        </w:tc>
      </w:tr>
      <w:tr>
        <w:trPr>
          <w:trHeight w:val="218"/>
        </w:trPr>
        <w:tc>
          <w:tcPr>
            <w:tcW w:w="4300" w:type="dxa"/>
            <w:vAlign w:val="bottom"/>
          </w:tcPr>
          <w:p>
            <w:pPr>
              <w:spacing w:after="0"/>
              <w:rPr>
                <w:sz w:val="18"/>
                <w:szCs w:val="18"/>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degree of risk.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S-</w:t>
            </w:r>
          </w:p>
        </w:tc>
      </w:tr>
      <w:tr>
        <w:trPr>
          <w:trHeight w:val="194"/>
        </w:trPr>
        <w:tc>
          <w:tcPr>
            <w:tcW w:w="4300" w:type="dxa"/>
            <w:vAlign w:val="bottom"/>
          </w:tcPr>
          <w:p>
            <w:pPr>
              <w:spacing w:after="0"/>
              <w:rPr>
                <w:sz w:val="16"/>
                <w:szCs w:val="16"/>
                <w:color w:val="auto"/>
              </w:rPr>
            </w:pPr>
          </w:p>
        </w:tc>
        <w:tc>
          <w:tcPr>
            <w:tcW w:w="41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0000EE"/>
              </w:rPr>
              <w:t xml:space="preserve">4  </w:t>
            </w:r>
            <w:r>
              <w:rPr>
                <w:rFonts w:ascii="Times New Roman" w:cs="Times New Roman" w:eastAsia="Times New Roman" w:hAnsi="Times New Roman"/>
                <w:sz w:val="18"/>
                <w:szCs w:val="18"/>
                <w:color w:val="000000"/>
              </w:rPr>
              <w:t>of  this  prospectus  supplement  and  the  other</w:t>
            </w:r>
          </w:p>
        </w:tc>
      </w:tr>
      <w:tr>
        <w:trPr>
          <w:trHeight w:val="20"/>
        </w:trPr>
        <w:tc>
          <w:tcPr>
            <w:tcW w:w="43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218"/>
        </w:trPr>
        <w:tc>
          <w:tcPr>
            <w:tcW w:w="4300" w:type="dxa"/>
            <w:vAlign w:val="bottom"/>
          </w:tcPr>
          <w:p>
            <w:pPr>
              <w:spacing w:after="0"/>
              <w:rPr>
                <w:sz w:val="18"/>
                <w:szCs w:val="18"/>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information contained or incorporated by reference in</w:t>
            </w:r>
          </w:p>
        </w:tc>
      </w:tr>
      <w:tr>
        <w:trPr>
          <w:trHeight w:val="216"/>
        </w:trPr>
        <w:tc>
          <w:tcPr>
            <w:tcW w:w="4300" w:type="dxa"/>
            <w:vAlign w:val="bottom"/>
          </w:tcPr>
          <w:p>
            <w:pPr>
              <w:spacing w:after="0"/>
              <w:rPr>
                <w:sz w:val="18"/>
                <w:szCs w:val="18"/>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this  prospectus  supplement  and  the  accompanying</w:t>
            </w:r>
          </w:p>
        </w:tc>
      </w:tr>
      <w:tr>
        <w:trPr>
          <w:trHeight w:val="216"/>
        </w:trPr>
        <w:tc>
          <w:tcPr>
            <w:tcW w:w="4300" w:type="dxa"/>
            <w:vAlign w:val="bottom"/>
          </w:tcPr>
          <w:p>
            <w:pPr>
              <w:spacing w:after="0"/>
              <w:rPr>
                <w:sz w:val="18"/>
                <w:szCs w:val="18"/>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prospectus  for  a  discussion  of  factors  you  should</w:t>
            </w:r>
          </w:p>
        </w:tc>
      </w:tr>
      <w:tr>
        <w:trPr>
          <w:trHeight w:val="216"/>
        </w:trPr>
        <w:tc>
          <w:tcPr>
            <w:tcW w:w="4300" w:type="dxa"/>
            <w:vAlign w:val="bottom"/>
          </w:tcPr>
          <w:p>
            <w:pPr>
              <w:spacing w:after="0"/>
              <w:rPr>
                <w:sz w:val="18"/>
                <w:szCs w:val="18"/>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carefully consider before deciding to invest in our</w:t>
            </w:r>
          </w:p>
        </w:tc>
      </w:tr>
      <w:tr>
        <w:trPr>
          <w:trHeight w:val="234"/>
        </w:trPr>
        <w:tc>
          <w:tcPr>
            <w:tcW w:w="4300" w:type="dxa"/>
            <w:vAlign w:val="bottom"/>
          </w:tcPr>
          <w:p>
            <w:pPr>
              <w:spacing w:after="0"/>
              <w:rPr>
                <w:sz w:val="20"/>
                <w:szCs w:val="20"/>
                <w:color w:val="auto"/>
              </w:rPr>
            </w:pP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r>
      <w:tr>
        <w:trPr>
          <w:trHeight w:val="392"/>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Nasdaq Global Select Market symbol</w:t>
            </w:r>
          </w:p>
        </w:tc>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“NFE”</w:t>
            </w:r>
          </w:p>
        </w:tc>
      </w:tr>
    </w:tbl>
    <w:p>
      <w:pPr>
        <w:spacing w:after="0" w:line="90" w:lineRule="exact"/>
        <w:rPr>
          <w:sz w:val="20"/>
          <w:szCs w:val="20"/>
          <w:color w:val="auto"/>
        </w:rPr>
      </w:pPr>
    </w:p>
    <w:p>
      <w:pPr>
        <w:jc w:val="both"/>
        <w:ind w:left="320" w:right="279" w:firstLine="360"/>
        <w:spacing w:after="0" w:line="266" w:lineRule="auto"/>
        <w:rPr>
          <w:sz w:val="20"/>
          <w:szCs w:val="20"/>
          <w:color w:val="auto"/>
        </w:rPr>
      </w:pPr>
      <w:r>
        <w:rPr>
          <w:rFonts w:ascii="Times New Roman" w:cs="Times New Roman" w:eastAsia="Times New Roman" w:hAnsi="Times New Roman"/>
          <w:sz w:val="18"/>
          <w:szCs w:val="18"/>
          <w:color w:val="auto"/>
        </w:rPr>
        <w:t>The number of shares of Class A common stock outstanding before and after this offering is based on 208,770,088 shares of our Class A common stock outstanding as of December 13, 2022, which excludes 686,496 unvested performance share units.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Before you invest in our Class A common stock, in addition to the other information in this prospectus supplement, the accompanying prospectus, the documents incorporated by reference herein or therein or other offering materials, you should carefully consider the risk factors in any prospectus supplement as well as under the heading “Risk Factors” contained in Part I, Item 1A. in our Annual Report on Form 10-K for the year ended December 31, 2021 and in our Quarterly Reports on Form 10-Q for the three, six and nine months ended March 31, 2022, June 30, 2022 and September 30, 2022, respectively, which are incorporated by reference into this prospectus supplement and the accompanying prospectus, as the same may be amended, supplemented or superseded from time to time by our filings under Sections 13(a), 13(c), 14 and 15(d) of the Securities Exchange Act of 1934, as amended (the “Exchange Act”). These risks could materially and adversely affect our business, operating results, cash flows and financial condition and could result in a partial or complete loss of your investment. See “</w:t>
      </w:r>
      <w:r>
        <w:rPr>
          <w:rFonts w:ascii="Times New Roman" w:cs="Times New Roman" w:eastAsia="Times New Roman" w:hAnsi="Times New Roman"/>
          <w:sz w:val="18"/>
          <w:szCs w:val="18"/>
          <w:i w:val="1"/>
          <w:iCs w:val="1"/>
          <w:color w:val="auto"/>
        </w:rPr>
        <w:t>Where You Can Find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Selling Securityholder will receive all of the net proceeds from the sale of the shares of Class A common stock offered hereby. We will not receive any proceeds from this offering.</w:t>
      </w:r>
    </w:p>
    <w:p>
      <w:pPr>
        <w:spacing w:after="0" w:line="5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Selling Securityholder is a party to our Shareholders’ Agreement dated as of February 4, 2019, by and among the Company and the respective parties thereto (the “Shareholders’ Agreement”). Pursuant to the Shareholders’ Agreement, we will bear all out-of-pocket costs, fees and expenses in connection with the Selling Securityholder’s resale of the shares of Class A common stock to be sold pursuant to this prospectus supplement, except for any underwriting discounts and commissions and transfer taxes, if any. The Selling Securityholder will pay any applicable underwriting discounts and commissions and transfer taxes.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This prospectus supplement relates to the resale of 6,900,000 shares of our Class A common stock by the Selling Securityholder. The following table sets forth information with respect to the current beneficial ownership of the Selling Securityholder, the number of shares of Class A common stock being offered hereby by the Selling Securityholder and information with respect to shares to be beneficially owned by the Selling Securityholder after completion of this offering.</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number of shares and percentages of beneficial ownership set forth below are based on beneficial ownership as provided by the Selling Securityholder to the Company and are based on the number of shares of our Class A common stock issued and outstanding as of December 13, 2022.</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Selling Securityholder is party to the Shareholders’ Agreement with us pursuant to which it and its permitted transferees have the right, in certain circumstances, to require us to register their shares of our Class A common stock under the Securities Act for sale into the public markets.</w:t>
      </w:r>
    </w:p>
    <w:p>
      <w:pPr>
        <w:spacing w:after="0" w:line="68" w:lineRule="exact"/>
        <w:rPr>
          <w:sz w:val="20"/>
          <w:szCs w:val="20"/>
          <w:color w:val="auto"/>
        </w:rPr>
      </w:pPr>
    </w:p>
    <w:p>
      <w:pPr>
        <w:jc w:val="both"/>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under the rules of the SEC, and such information is not necessarily indicative of beneficial ownership for any other purpose. Under such rules, beneficial ownership includes any shares as to which a person has sole or shared voting power or investment power and any shares which the person has the right to acquire within 60 days through the exercise of any option, warrant or right, through conversion of any security or pursuant to the automatic termination of a power of attorney or revocation of a trust, discretionary account or similar arrangement. Percentages are calculated in accordance with applicable SEC rules and are based on the number of shares issued and outstanding on December 13, 2022.</w:t>
      </w:r>
    </w:p>
    <w:p>
      <w:pPr>
        <w:spacing w:after="0" w:line="14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Offered by this</w:t>
            </w:r>
          </w:p>
        </w:tc>
        <w:tc>
          <w:tcPr>
            <w:tcW w:w="200" w:type="dxa"/>
            <w:vAlign w:val="bottom"/>
          </w:tcPr>
          <w:p>
            <w:pPr>
              <w:spacing w:after="0"/>
              <w:rPr>
                <w:sz w:val="12"/>
                <w:szCs w:val="12"/>
                <w:color w:val="auto"/>
              </w:rPr>
            </w:pPr>
          </w:p>
        </w:tc>
        <w:tc>
          <w:tcPr>
            <w:tcW w:w="18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gridSpan w:val="4"/>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Prospectus</w:t>
            </w:r>
          </w:p>
        </w:tc>
        <w:tc>
          <w:tcPr>
            <w:tcW w:w="200" w:type="dxa"/>
            <w:vAlign w:val="bottom"/>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Before Offering</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Supplement</w:t>
            </w:r>
          </w:p>
        </w:tc>
        <w:tc>
          <w:tcPr>
            <w:tcW w:w="200" w:type="dxa"/>
            <w:vAlign w:val="bottom"/>
          </w:tcPr>
          <w:p>
            <w:pPr>
              <w:spacing w:after="0"/>
              <w:rPr>
                <w:sz w:val="16"/>
                <w:szCs w:val="16"/>
                <w:color w:val="auto"/>
              </w:rPr>
            </w:pPr>
          </w:p>
        </w:tc>
        <w:tc>
          <w:tcPr>
            <w:tcW w:w="18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After Offering</w:t>
            </w:r>
          </w:p>
        </w:tc>
        <w:tc>
          <w:tcPr>
            <w:tcW w:w="0" w:type="dxa"/>
            <w:vAlign w:val="bottom"/>
          </w:tcPr>
          <w:p>
            <w:pPr>
              <w:spacing w:after="0"/>
              <w:rPr>
                <w:sz w:val="1"/>
                <w:szCs w:val="1"/>
                <w:color w:val="auto"/>
              </w:rPr>
            </w:pPr>
          </w:p>
        </w:tc>
      </w:tr>
      <w:tr>
        <w:trPr>
          <w:trHeight w:val="50"/>
        </w:trPr>
        <w:tc>
          <w:tcPr>
            <w:tcW w:w="30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 of Class A</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20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of Class A</w:t>
            </w: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060" w:type="dxa"/>
            <w:vAlign w:val="bottom"/>
            <w:gridSpan w:val="2"/>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Class A</w:t>
            </w:r>
          </w:p>
        </w:tc>
        <w:tc>
          <w:tcPr>
            <w:tcW w:w="20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Selling Securityholder</w:t>
            </w:r>
          </w:p>
        </w:tc>
        <w:tc>
          <w:tcPr>
            <w:tcW w:w="260" w:type="dxa"/>
            <w:vAlign w:val="bottom"/>
          </w:tcPr>
          <w:p>
            <w:pPr>
              <w:spacing w:after="0"/>
              <w:rPr>
                <w:sz w:val="12"/>
                <w:szCs w:val="12"/>
                <w:color w:val="auto"/>
              </w:rPr>
            </w:pPr>
          </w:p>
        </w:tc>
        <w:tc>
          <w:tcPr>
            <w:tcW w:w="106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2"/>
                <w:szCs w:val="12"/>
                <w:color w:val="auto"/>
              </w:rPr>
            </w:pPr>
          </w:p>
        </w:tc>
        <w:tc>
          <w:tcPr>
            <w:tcW w:w="104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243"/>
        </w:trPr>
        <w:tc>
          <w:tcPr>
            <w:tcW w:w="302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3"/>
              </w:rPr>
              <w:t>Stock</w:t>
            </w:r>
            <w:r>
              <w:rPr>
                <w:rFonts w:ascii="Times New Roman" w:cs="Times New Roman" w:eastAsia="Times New Roman" w:hAnsi="Times New Roman"/>
                <w:sz w:val="23"/>
                <w:szCs w:val="23"/>
                <w:b w:val="1"/>
                <w:bCs w:val="1"/>
                <w:color w:val="auto"/>
                <w:w w:val="93"/>
                <w:vertAlign w:val="superscript"/>
              </w:rPr>
              <w:t>(1)</w:t>
            </w:r>
          </w:p>
        </w:tc>
        <w:tc>
          <w:tcPr>
            <w:tcW w:w="22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3"/>
              </w:rPr>
              <w:t>Stock</w:t>
            </w:r>
            <w:r>
              <w:rPr>
                <w:rFonts w:ascii="Times New Roman" w:cs="Times New Roman" w:eastAsia="Times New Roman" w:hAnsi="Times New Roman"/>
                <w:sz w:val="23"/>
                <w:szCs w:val="23"/>
                <w:b w:val="1"/>
                <w:bCs w:val="1"/>
                <w:color w:val="auto"/>
                <w:w w:val="93"/>
                <w:vertAlign w:val="superscript"/>
              </w:rPr>
              <w:t>(1)</w:t>
            </w:r>
          </w:p>
        </w:tc>
        <w:tc>
          <w:tcPr>
            <w:tcW w:w="0" w:type="dxa"/>
            <w:vAlign w:val="bottom"/>
          </w:tcPr>
          <w:p>
            <w:pPr>
              <w:spacing w:after="0"/>
              <w:rPr>
                <w:sz w:val="1"/>
                <w:szCs w:val="1"/>
                <w:color w:val="auto"/>
              </w:rPr>
            </w:pPr>
          </w:p>
        </w:tc>
      </w:tr>
      <w:tr>
        <w:trPr>
          <w:trHeight w:val="331"/>
        </w:trPr>
        <w:tc>
          <w:tcPr>
            <w:tcW w:w="3020" w:type="dxa"/>
            <w:vAlign w:val="bottom"/>
            <w:shd w:val="clear" w:color="auto" w:fill="CCEEFF"/>
          </w:tcPr>
          <w:p>
            <w:pPr>
              <w:spacing w:after="0" w:line="331" w:lineRule="exact"/>
              <w:rPr>
                <w:sz w:val="20"/>
                <w:szCs w:val="20"/>
                <w:color w:val="auto"/>
              </w:rPr>
            </w:pPr>
            <w:r>
              <w:rPr>
                <w:rFonts w:ascii="Times New Roman" w:cs="Times New Roman" w:eastAsia="Times New Roman" w:hAnsi="Times New Roman"/>
                <w:sz w:val="18"/>
                <w:szCs w:val="18"/>
                <w:color w:val="auto"/>
              </w:rPr>
              <w:t>Energy Transition Holdings LLC</w:t>
            </w:r>
            <w:r>
              <w:rPr>
                <w:rFonts w:ascii="Times New Roman" w:cs="Times New Roman" w:eastAsia="Times New Roman" w:hAnsi="Times New Roman"/>
                <w:sz w:val="29"/>
                <w:szCs w:val="29"/>
                <w:color w:val="auto"/>
                <w:vertAlign w:val="superscript"/>
              </w:rPr>
              <w:t>(2)</w:t>
            </w:r>
          </w:p>
        </w:tc>
        <w:tc>
          <w:tcPr>
            <w:tcW w:w="108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32,459,846</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6,900,000</w:t>
            </w:r>
          </w:p>
        </w:tc>
        <w:tc>
          <w:tcPr>
            <w:tcW w:w="102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25,559,846</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-222250</wp:posOffset>
            </wp:positionV>
            <wp:extent cx="137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-222250</wp:posOffset>
            </wp:positionV>
            <wp:extent cx="137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-222250</wp:posOffset>
            </wp:positionV>
            <wp:extent cx="1460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-222250</wp:posOffset>
            </wp:positionV>
            <wp:extent cx="1543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-222250</wp:posOffset>
            </wp:positionV>
            <wp:extent cx="1543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208,770,088 shares of Class A common stock issued and outstanding as of December 13, 2022.</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9" w:lineRule="auto"/>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Energy Transition Holdings LLC is managed by Great Mountain Partners LLC. Jonathan Rotolo and Alexander Thomson are the managers of Great Mountain Partners LLC and, in that capacity, have voting and dispositive power over the shares of Class A common stock held by Energy Transition Holdings LLC. Each of Great Mountain Partners LLC, Mr. Rotolo and Mr. Thomson has disclaimed beneficial ownership of the shares, except to the extent of their pecuniary interest therein. The principal business address of the entities identified herein is 157 Church Street,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Floor, New Haven, CT 06510.</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Subject to the terms and conditions set forth in an underwriting agreement (the “Underwriting Agreement”) dated the date of this prospectus supplement among us, the Selling Securityholder and J.P. Morgan Securities LLC, the Selling Securityholder has agreed to sell to J.P. Morgan Securities LLC, and J.P. Morgan Securities LLC has agreed to purchase from the Selling Securityholder, all of the 6,900,000 shares of Class A common stock offered hereby. We will not receive any of the proceeds from the sale of shares of our Class A common stock covered by this prospectus supplement.</w:t>
      </w:r>
    </w:p>
    <w:p>
      <w:pPr>
        <w:spacing w:after="0" w:line="79" w:lineRule="exact"/>
        <w:rPr>
          <w:sz w:val="20"/>
          <w:szCs w:val="20"/>
          <w:color w:val="auto"/>
        </w:rPr>
      </w:pPr>
    </w:p>
    <w:p>
      <w:pPr>
        <w:jc w:val="both"/>
        <w:ind w:left="300" w:right="299" w:firstLine="360"/>
        <w:spacing w:after="0" w:line="273" w:lineRule="auto"/>
        <w:rPr>
          <w:sz w:val="20"/>
          <w:szCs w:val="20"/>
          <w:color w:val="auto"/>
        </w:rPr>
      </w:pPr>
      <w:r>
        <w:rPr>
          <w:rFonts w:ascii="Times New Roman" w:cs="Times New Roman" w:eastAsia="Times New Roman" w:hAnsi="Times New Roman"/>
          <w:sz w:val="17"/>
          <w:szCs w:val="17"/>
          <w:color w:val="auto"/>
        </w:rPr>
        <w:t>J.P. Morgan Securities LLC is referred to herein as the “underwriter.” The underwriter is offering the shares of Class A common stock subject to its acceptance of the shares from the Selling Securityholder and subject to prior sale. The underwriting agreement provides that the obligations of the underwriter to pay for and accept delivery of the shares of Class A common stock offered by this prospectus supplement are subject to the approval of certain legal matters by its counsel and to certain other conditions. The underwriter is obligated to take and pay for all of the shares of Class A common stock offered by this prospectus supplement if any such shares are taken. The underwriter reserves the right to withdraw, cancel or modify offers to the public and to reject orders in whole or in part.</w:t>
      </w:r>
    </w:p>
    <w:p>
      <w:pPr>
        <w:spacing w:after="0" w:line="63"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underwriter is purchasing the shares of Class A common stock from the Selling Securityholder at a price of $         per share. The underwriter proposes to offer the shares of Class A common stock from time to time to purchasers directly or through agents, or through brokers in brokerage transactions on the Nasdaq, or to dealers in negotiated transactions or in a combination of such methods of sale, at a fixed price or prices, which may be changed, or at market prices prevailing at the time of sale, at prices related to such prevailing market prices or at negotiated prices, subject to receipt and acceptance by it and subject to its right to reject any order in whole or in part. The difference between the price at which the underwriter purchases shares of Class A common stock and the price at which the underwriter resells such shares of Class A common stock may be deemed underwriting compensation. The underwriter may effect these transactions by selling shares of Class A common stock to or through dealers, and such dealers may receive compensation in the form of discounts, concessions or commissions from the underwriter and / or purchasers of shares of Class A common stock for whom they may act as agents or to whom they may sell as principal. The underwriter may make offers and sales to or through any affiliate of the underwriter and any such affiliate may offer and sell shares purchased by it to or through the underwriter.</w:t>
      </w:r>
    </w:p>
    <w:p>
      <w:pPr>
        <w:spacing w:after="0" w:line="79"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We estimate the total expenses of this offering, payable by us, excluding the underwriting discounts and commissions and transfer taxes, if any, payable by the Selling Securityholder, will be approximately $700,000, which includes amounts that we have agreed to reimburse the underwriter for certain expenses incurred by it in connection with this offering.</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and the Selling Securityholder have agreed to indemnify the underwriter against some specified types of liabilities, including liabilities under the Securities Act, and to contribute to payments the underwriter may be required to make in respect of any of these liabilities.</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Selling Stockholder has agreed with the underwriter, subject to certain exceptions, not to dispose of or hedge any of its Class A common stock or securities convertible into or exchangeable for Class A common stock during the period from the date of this prospectus supplement continuing through the date 60 days after the date of this prospectus supplement, except with the prior written consent of the underwriter. None of the Company, its executive officers or directors are entering into such agreements.</w:t>
      </w:r>
    </w:p>
    <w:p>
      <w:pPr>
        <w:spacing w:after="0" w:line="75"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order to facilitate the offering of the shares of Class A common stock, the underwriter may engage in transactions that stabilize, maintain or otherwise affect the price of the shares of Class A common stock, which involves making bids for, purchasing and selling shares of Class A common stock in the open market to stabilize the price of the shares of Class A common stock. These stabilizing transactions may include making short sales of shares of Class A common stock, which involves the sale by the underwriter of a greater number of shares of Class A common stock than it is required to purchase in this offering, and purchasing shares of Class A common stock on the open market to cover positions created by short sales.</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These activities may have the effect of raising or maintaining the market price of Class A common stock or preventing or retarding a decline in the market price of Class A common stock, and, as a result, the price of Class A common stock may be higher than the price that otherwise might exist in the open market. If the underwriter commences these activities, it may discontinue them at any time. The underwriter may carry out these transactions on the Nasdaq, in the over-the-counter market or otherwise.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 prospectus supplement in electronic format may be made available on websites maintained by the underwriter, or selling group members, if any, participating in this offering.</w:t>
      </w:r>
    </w:p>
    <w:p>
      <w:pPr>
        <w:spacing w:after="0" w:line="5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underwriter and its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underwriter and its affiliates have provided, and may in the future provide, a variety of these services to us and to persons and entities with relationships with the Company, for which they received or will receive customary fees and expenses. For example, the underwriter is one of the creditors under Company’s credit facility.</w:t>
      </w:r>
    </w:p>
    <w:p>
      <w:pPr>
        <w:spacing w:after="0" w:line="8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 and its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the Company (directly, as collateral securing other obligations or otherwise) and/or persons and entities with relationships with the Company. The underwriter and its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Selling Securityholder may be deemed an underwriter in connection with this offering.</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Pursuant to the shareholders’ agreement between us and the Selling Securityholder, we have agreed to indemnify and hold harmless, to the full extent permitted by law, the Selling Securityholder and each person who controls the Selling Securityholder (within the meaning of the Securities Act or the Exchange Act) from and against certain liabilities incurred in connection with the registration of such Selling Securityholder’s shares.</w:t>
      </w:r>
    </w:p>
    <w:p>
      <w:pPr>
        <w:spacing w:after="0" w:line="72"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Once sold under the registration statement of which this prospectus supplement forms a part, the shares of Class A common stock will be freely tradable in the hands of persons other than our affiliates.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Canada</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Shares of our Class A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our Class A common stock must be made in accordance with an exemption from, or in a transaction not subject to, the prospectus requirements of applicable securities laws.</w:t>
      </w:r>
    </w:p>
    <w:p>
      <w:pPr>
        <w:spacing w:after="0" w:line="7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and the accompanying base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7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Pursuant to section 3A.3 (or, in the case of securities issued or guaranteed by the government of a non-Canadian jurisdiction, section 3A.4) of National Instrument 33-105 Underwriting Conflicts (NI 33-105), the underwriter is not required to comply with the disclosure requirements of NI 33-105 regarding underwriter conflicts of interest in connection with this offering.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European Economic Area</w:t>
      </w:r>
    </w:p>
    <w:p>
      <w:pPr>
        <w:spacing w:after="0" w:line="11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and the United Kingdom (each, a “Relevant State”), no shares of our Class A common stock shares have been offered or will be offered pursuant to the offering to the public in that Relevant State prior to the publication of a prospectus in relation to the shares of Class A common stock which has been approved by the competent authority in that Relevant State or, where appropriate, approved in another Relevant State and notified to the competent authority in that Relevant State, all in accordance with the Prospectus Regulation (as defined below), except that offers of shares may be made to the public in that Relevant State at any time under the following exemptions under the Prospectus Regulation:</w:t>
      </w:r>
    </w:p>
    <w:p>
      <w:pPr>
        <w:spacing w:after="0" w:line="81" w:lineRule="exact"/>
        <w:rPr>
          <w:sz w:val="20"/>
          <w:szCs w:val="20"/>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representative for any such offer;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provided that no such offer of Shares shall require the company or any representative to publish a prospectus pursuant to Article 3 of the Prospectus Regulation or supplement a prospectus pursuant to Article 23 of the Prospectus Regulation.</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of Class A common stock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72"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Each person in a Relevant State who receives any communication in respect of, or who acquires any shares under, the offering contemplated hereby will be deemed to have represented, warranted and agreed to and with the underwriter and its affiliates and the company that:</w:t>
      </w:r>
    </w:p>
    <w:p>
      <w:pPr>
        <w:spacing w:after="0" w:line="68" w:lineRule="exact"/>
        <w:rPr>
          <w:sz w:val="20"/>
          <w:szCs w:val="20"/>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qualified investor within the meaning of the Prospectus Regulation; and</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shares acquired by it as a financial intermediary, as that term is used in Article 5 of the Prospectus Regulation, (i) the shares acquired by it in the offering have not been acquired on a non-discretionary basis on behalf of, nor have they been acquired with a view to their offer or resale to, persons in any Relevant State other than qualified investors, as that term is defined in the Prospectus Regulation, or have been acquired in other circumstances falling within the points (a) to (d) of Article 1(4) of the Prospectus Regulation and the prior consent of the representative has been given to the offer or resale; or</w:t>
      </w:r>
    </w:p>
    <w:p>
      <w:pPr>
        <w:spacing w:after="0" w:line="5" w:lineRule="exact"/>
        <w:rPr>
          <w:rFonts w:ascii="Times New Roman" w:cs="Times New Roman" w:eastAsia="Times New Roman" w:hAnsi="Times New Roman"/>
          <w:sz w:val="18"/>
          <w:szCs w:val="18"/>
          <w:color w:val="auto"/>
        </w:rPr>
      </w:pPr>
    </w:p>
    <w:p>
      <w:pPr>
        <w:jc w:val="both"/>
        <w:ind w:left="1000" w:right="319" w:firstLine="3"/>
        <w:spacing w:after="0" w:line="255" w:lineRule="auto"/>
        <w:tabs>
          <w:tab w:leader="none" w:pos="129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shares have been acquired by it on behalf of persons in any Relevant State other than qualified investors, the offer of those shares to it is not treated under the Prospectus Regulation as having been made to such persons.</w:t>
      </w:r>
    </w:p>
    <w:p>
      <w:pPr>
        <w:spacing w:after="0" w:line="7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company, the underwriter and its affiliates, and others will rely upon the truth and accuracy of the foregoing representation, acknowledgement and agreement. Notwithstanding the above, a person who is not a qualified investor and who has notified the representative of such fact in writing may, with the prior consent of the representative, be permitted to acquire shares in the offering.</w:t>
      </w:r>
    </w:p>
    <w:p>
      <w:pPr>
        <w:spacing w:after="0" w:line="3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United Kingdom</w:t>
      </w:r>
    </w:p>
    <w:p>
      <w:pPr>
        <w:spacing w:after="0" w:line="11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This prospectus supplement and any other material in relation to the shares described herein is only being distributed to, and is only directed at, and any investment or investment activity to which this prospectus relates is available only to, and will be engaged in only with persons who are (i) persons having professional experience in matters relating to investments who fall within the definition of investment professionals in Article 19(5) of the Financial Services and Markets Act 2000 (Financial Promotion) Order 2005; or (ii) high net worth entities falling within Article 49(2)(a) to (d) of the FPO; (iii) outside the UK; or (iv) persons to whom an invitation or inducement to engage in investment activity (within the meaning of Section 21 of the Financial Services and Markets Act of 2000 (FSMA)) in connection with the issue or sale of any shares may otherwise lawfully be communicated or caused to be communicated, (all such persons together, the “Relevant Persons”). The shares are only available in the UK to, and any invitation, offer or agreement to purchase or otherwise acquire the shares will be engaged in only with, the Relevant Persons. This prospectus and its contents are confidential and should not be distributed, published or reproduced (in whole or in part) or disclosed by recipients to any other person in the UK. Any person in the UK that is not a Relevant Person should not act or rely on this prospectus or any of its contents.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68" w:lineRule="exact"/>
        <w:rPr>
          <w:sz w:val="20"/>
          <w:szCs w:val="20"/>
          <w:color w:val="auto"/>
        </w:rPr>
      </w:pPr>
    </w:p>
    <w:p>
      <w:pPr>
        <w:ind w:left="1000" w:right="3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 for any such offer; or</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FSMA, provided that no such offer of the shares shall require the company and/or the underwriter and its affiliates to publish a prospectus pursuant to Section 85 of the FSMA or supplement a prospectus pursuant to Article 23 of the UK Prospectus Regulation.</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Each person in the UK who acquires any shares in the offering or to whom any offer is made will be deemed to have represented, acknowledged and agreed to and with the company, the underwriter and its affiliates that it meets the criteria outlined in this section.</w:t>
      </w:r>
    </w:p>
    <w:p>
      <w:pPr>
        <w:spacing w:after="0" w:line="2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Australia</w:t>
      </w:r>
    </w:p>
    <w:p>
      <w:pPr>
        <w:spacing w:after="0" w:line="119" w:lineRule="exact"/>
        <w:rPr>
          <w:sz w:val="20"/>
          <w:szCs w:val="20"/>
          <w:color w:val="auto"/>
        </w:rPr>
      </w:pPr>
    </w:p>
    <w:p>
      <w:pPr>
        <w:jc w:val="both"/>
        <w:ind w:left="300" w:right="299" w:firstLine="360"/>
        <w:spacing w:after="0" w:line="281" w:lineRule="auto"/>
        <w:rPr>
          <w:sz w:val="20"/>
          <w:szCs w:val="20"/>
          <w:color w:val="auto"/>
        </w:rPr>
      </w:pPr>
      <w:r>
        <w:rPr>
          <w:rFonts w:ascii="Times New Roman" w:cs="Times New Roman" w:eastAsia="Times New Roman" w:hAnsi="Times New Roman"/>
          <w:sz w:val="17"/>
          <w:szCs w:val="17"/>
          <w:color w:val="auto"/>
        </w:rPr>
        <w:t>No prospectus or other disclosure document (as defined in the Corporations Act 2001 (Cth) of Australia (“Corporations Act”)) in relation to the shares has been or will be lodged with the Australian Securities &amp; Investments Commission (“ASIC”). This prospectus supplement has not been lodged with ASIC and is only directed to certain categories of exempt persons. Accordingly, if you receive this prospectus supplement in Australia:</w:t>
      </w:r>
    </w:p>
    <w:p>
      <w:pPr>
        <w:spacing w:after="0" w:line="56" w:lineRule="exact"/>
        <w:rPr>
          <w:sz w:val="20"/>
          <w:szCs w:val="20"/>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confirm and warrant that you are either: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“sophisticated investor” under section 708(8)(a) or (b) of the Corporations Act;</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“sophisticated investor” under section 708(8)(c) or (d) of the Corporations Act and that you have provided an accountant’s certificate to us which complies with the requirements of section 708(8)(c)(i) or (ii) of the Corporations Act and related regulations before the offer has been made;</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associated with the company under section 708(12) of the Corporations Act; or</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“professional investor” within the meaning of section 708(11)(a) or (b) of the Corporations Act, and to the extent that you are unable to confirm or warrant that you are an exempt sophisticated investor, associated person or professional investor under the Corporations Act any offer made to you under this prospectus supplement is void and incapable of acceptance; and</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warrant and agree that you will not offer any of the common stock for resale in Australia within 12 months of that common stock being issued unless any such resale offer is exempt from the requirement to issue a disclosure document under section 708 of the Corporations Act.</w:t>
      </w: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Hong Kong</w:t>
      </w:r>
    </w:p>
    <w:p>
      <w:pPr>
        <w:spacing w:after="0" w:line="11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shares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outside Hong Kong or only to “professional investors” within the meaning of the Securities and Futures Ordinance (Cap. 571, Laws of Hong Kong) and any rules made thereunder.</w:t>
      </w: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Japan</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shares offered in this prospectus supplement have not been and will not be registered under the Financial Instruments and Exchange Law of Japan. The shares have not been offered or sold and will not be offered or sold, directly or indirectly, in Japan or to or for the account of any resident of Japan (including any corporation or other entity organized under the laws of Japan), except (i) pursuant to an exemption from the registration requirements of the Financial Instruments and Exchange Law and (ii) in compliance with any other applicable requirements of Japanese law.</w:t>
      </w:r>
    </w:p>
    <w:p>
      <w:pPr>
        <w:spacing w:after="0" w:line="3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Singapore</w:t>
      </w:r>
    </w:p>
    <w:p>
      <w:pPr>
        <w:spacing w:after="0" w:line="11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w:t>
      </w:r>
    </w:p>
    <w:p>
      <w:pPr>
        <w:spacing w:after="0" w:line="117" w:lineRule="exact"/>
        <w:rPr>
          <w:sz w:val="20"/>
          <w:szCs w:val="20"/>
          <w:color w:val="auto"/>
        </w:rPr>
      </w:pPr>
    </w:p>
    <w:p>
      <w:pPr>
        <w:jc w:val="both"/>
        <w:ind w:left="1000" w:right="319" w:hanging="348"/>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54"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68" w:lineRule="exact"/>
        <w:rPr>
          <w:sz w:val="20"/>
          <w:szCs w:val="20"/>
          <w:color w:val="auto"/>
        </w:rPr>
      </w:pPr>
    </w:p>
    <w:p>
      <w:pPr>
        <w:ind w:left="1000" w:right="31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7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3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Switzerland</w:t>
      </w:r>
    </w:p>
    <w:p>
      <w:pPr>
        <w:spacing w:after="0" w:line="119" w:lineRule="exact"/>
        <w:rPr>
          <w:sz w:val="20"/>
          <w:szCs w:val="20"/>
          <w:color w:val="auto"/>
        </w:rPr>
      </w:pPr>
    </w:p>
    <w:p>
      <w:pPr>
        <w:jc w:val="both"/>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This prospectus supplement does not constitute an issue prospectus pursuant to Article 652a or Article 1156 of the Swiss Code of Obligations, and the shares will not be listed on the SIX Swiss Exchange. Therefore, this prospectus supplement may not comply with the disclosure standards of the Swiss Code of Obligations and/or the listing rules (including any prospectus schemes) of the SIX Swiss Exchange. Accordingly, the shares may not be offered to the public in or from Switzerland, but only to a selected and limited circle of investors, which do not subscribe to the shares with a view to distribution.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Qatar</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shares described in this prospectus supplement have not been, and will not be, offered, sold or delivered, at any time, directly or indirectly in the State of Qatar in a manner that would constitute a public offering. This prospectus supplement has not been, and will not be, registered with or approved by the Qatar Financial Markets Authority or Qatar Central Bank and may not be publicly distributed. This prospectus supplement is intended for the original recipient only and must not be provided to any other person. It is not for general circulation in the State of Qatar and may not be reproduced or used for any other purpose.</w:t>
      </w: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United Arab Emirates</w:t>
      </w:r>
    </w:p>
    <w:p>
      <w:pPr>
        <w:spacing w:after="0" w:line="11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This offering has not been approved or licensed by the Central Bank of the United Arab Emirates (UAE), Securities and Commodities Authority of the UAE and/or any other relevant licensing authority in the UAE including any licensing authority incorporated under the laws and regulations of any of the free zones established and operating in the territory of the UAE, in particular the Dubai Financial Services Authority (DFSA), a regulatory authority of the Dubai International Financial Centre (DIFC). The offering does not constitute a public offer of securities in the UAE, DIFC and/or any other free zone in accordance with the Commercial Companies Law, Federal Law No 8 of 1984 (as amended), DFSA Offered Securities Rules and Nasdaq Dubai Listing Rules, accordingly, or otherwise. The shares may not be offered to the public in the UAE and/or any of the free zones.</w:t>
      </w:r>
    </w:p>
    <w:p>
      <w:pPr>
        <w:spacing w:after="0" w:line="8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shares may be offered and issued only to a limited number of investors in the UAE or any of its free zones who qualify as sophisticated investors under the relevant laws and regulations of the UAE or the free zone concerned.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Skadden, Arps, Slate, Meagher &amp; Flom LLP, New York, New York, is representing us in connection with this offering. The underwriter is represented by Hogan Lovells US LLP, New York, New York and the Selling Securityholder is represented by Latham &amp; Watkins LLP, San Diego, California.</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2021, and the effectiveness of our internal control over financial reporting as of December 31, 2021 (excluding the internal control over financial reporting of Hygo Energy Transition Ltd (“Hygo”) and Golar LNG Partners LP (“GMLP”), except for the recognition of goodwill and intangible assets that were included in management’s assessment), as set forth in their reports, which as to the report on the effectiveness of New Fortress Energy Inc.’s internal control over financial reporting contains an explanatory paragraph describing the above referenced exclusion of Hygo and GMLP from the scope of such firm's audit of internal control over financial reporting, incorporated by reference in this prospectus supplement and elsewhere in the registration statement. Our financial statements are incorporated by reference in reliance on Ernst &amp; Young LLP’s reports, given on their authority as experts in accounting and auditing.</w:t>
      </w:r>
    </w:p>
    <w:p>
      <w:pPr>
        <w:spacing w:after="0" w:line="86"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the consolidated financial statements of GMLP included in our Current Report on Form 8-K filed with the SEC on March 18, 2021 for the year ended December 31, 2020, as set forth in their report (which contains an explanatory paragraph describing conditions that raise substantial doubt about GMLP’s ability to continue as a going concern as described in Note 1 to GMLP’s consolidated financial statements), which is incorporated by reference in this prospectus supplement and elsewhere in the registration statement. GMLP’s financial statements are incorporated by reference in reliance on Ernst &amp; Young LLP’s report, given on their authority as experts in accounting and auditing.</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the consolidated financial statements of Hygo included in our Current Report on Form 8-K filed with the SEC on March 18, 2021 for the year ended December 31, 2020, as set forth in their report, which is incorporated by reference in this prospectus supplement and elsewhere in the registration statement. Hygo’s financial statements are incorporated by reference in reliance on Ernst &amp; Young LLP’s report, given on their authority as experts in accounting and auditing.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under the Exchange Act. Our SEC filings are available to the public at the SEC’s website at www.sec.gov. We also make available free of charge through our website, www.newfortressenergy.com, our Annual Report on Form 10-K, Quarterly Reports on Form 10-Q, Current Reports on Form 8- K, and, if applicable, amendments to those reports filed or furnished pursuant to Section 13(a) of the Exchange Act as soon as reasonably practicable after we electronically file such material with, or furnish it to, the SEC. The information on or otherwise accessible through our website does not constitute a part of, and is not incorporated by reference into, this prospectus supplement or the accompanying prospectus.</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supplement and any accompanying prospectus,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supplement, any accompanying prospectus, any subsequently filed document deemed incorporated by reference or any free writing prospectus prepared by or on behalf of us. This prospectus supplement and any accompanying prospectus incorporate by reference the documents set forth below that we have previously filed with the SEC (other than information deemed furnished and not filed in accordance with SEC rules, including Items 2.02 and 7.01 of Form 8-K).</w:t>
      </w:r>
    </w:p>
    <w:p>
      <w:pPr>
        <w:spacing w:after="0" w:line="80" w:lineRule="exact"/>
        <w:rPr>
          <w:sz w:val="20"/>
          <w:szCs w:val="20"/>
          <w:color w:val="auto"/>
        </w:rPr>
      </w:pPr>
    </w:p>
    <w:p>
      <w:pPr>
        <w:ind w:left="1000" w:right="319" w:hanging="348"/>
        <w:spacing w:after="0" w:line="282" w:lineRule="auto"/>
        <w:tabs>
          <w:tab w:leader="none" w:pos="1000" w:val="left"/>
        </w:tabs>
        <w:numPr>
          <w:ilvl w:val="0"/>
          <w:numId w:val="1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Annual Report on Form 10-K for the fiscal year ended December 31, 2021, filed with the SEC on </w:t>
      </w:r>
      <w:hyperlink r:id="rId40">
        <w:r>
          <w:rPr>
            <w:rFonts w:ascii="Times New Roman" w:cs="Times New Roman" w:eastAsia="Times New Roman" w:hAnsi="Times New Roman"/>
            <w:sz w:val="18"/>
            <w:szCs w:val="18"/>
            <w:u w:val="single" w:color="auto"/>
            <w:color w:val="0000EE"/>
          </w:rPr>
          <w:t>March 1, 2022</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jc w:val="both"/>
        <w:ind w:left="1000" w:right="319" w:hanging="348"/>
        <w:spacing w:after="0" w:line="275"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March 31, 2022, June 30, 2022 and September 30, 2022 filed with the SEC on </w:t>
      </w:r>
      <w:hyperlink r:id="rId41">
        <w:r>
          <w:rPr>
            <w:rFonts w:ascii="Times New Roman" w:cs="Times New Roman" w:eastAsia="Times New Roman" w:hAnsi="Times New Roman"/>
            <w:sz w:val="18"/>
            <w:szCs w:val="18"/>
            <w:u w:val="single" w:color="auto"/>
            <w:color w:val="0000EE"/>
          </w:rPr>
          <w:t>May 6, 2022</w:t>
        </w:r>
      </w:hyperlink>
      <w:r>
        <w:rPr>
          <w:rFonts w:ascii="Times New Roman" w:cs="Times New Roman" w:eastAsia="Times New Roman" w:hAnsi="Times New Roman"/>
          <w:sz w:val="18"/>
          <w:szCs w:val="18"/>
          <w:color w:val="auto"/>
        </w:rPr>
        <w:t xml:space="preserve">, </w:t>
      </w:r>
      <w:hyperlink r:id="rId42">
        <w:r>
          <w:rPr>
            <w:rFonts w:ascii="Times New Roman" w:cs="Times New Roman" w:eastAsia="Times New Roman" w:hAnsi="Times New Roman"/>
            <w:sz w:val="18"/>
            <w:szCs w:val="18"/>
            <w:u w:val="single" w:color="auto"/>
            <w:color w:val="0000EE"/>
          </w:rPr>
          <w:t>August 5,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3">
        <w:r>
          <w:rPr>
            <w:rFonts w:ascii="Times New Roman" w:cs="Times New Roman" w:eastAsia="Times New Roman" w:hAnsi="Times New Roman"/>
            <w:sz w:val="18"/>
            <w:szCs w:val="18"/>
            <w:u w:val="single" w:color="auto"/>
            <w:color w:val="0000EE"/>
          </w:rPr>
          <w:t>November 8, 2022</w:t>
        </w:r>
      </w:hyperlink>
      <w:r>
        <w:rPr>
          <w:rFonts w:ascii="Times New Roman" w:cs="Times New Roman" w:eastAsia="Times New Roman" w:hAnsi="Times New Roman"/>
          <w:sz w:val="18"/>
          <w:szCs w:val="18"/>
          <w:color w:val="auto"/>
        </w:rPr>
        <w:t>, respectively;</w:t>
      </w:r>
    </w:p>
    <w:p>
      <w:pPr>
        <w:spacing w:after="0" w:line="28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44">
        <w:r>
          <w:rPr>
            <w:rFonts w:ascii="Times New Roman" w:cs="Times New Roman" w:eastAsia="Times New Roman" w:hAnsi="Times New Roman"/>
            <w:sz w:val="18"/>
            <w:szCs w:val="18"/>
            <w:u w:val="single" w:color="auto"/>
            <w:color w:val="0000EE"/>
          </w:rPr>
          <w:t>March 18,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(other than Exhibit 99.3 thereto), </w:t>
      </w:r>
      <w:hyperlink r:id="rId45">
        <w:r>
          <w:rPr>
            <w:rFonts w:ascii="Times New Roman" w:cs="Times New Roman" w:eastAsia="Times New Roman" w:hAnsi="Times New Roman"/>
            <w:sz w:val="18"/>
            <w:szCs w:val="18"/>
            <w:u w:val="single" w:color="auto"/>
            <w:color w:val="0000EE"/>
          </w:rPr>
          <w:t>June 3,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6">
        <w:r>
          <w:rPr>
            <w:rFonts w:ascii="Times New Roman" w:cs="Times New Roman" w:eastAsia="Times New Roman" w:hAnsi="Times New Roman"/>
            <w:sz w:val="18"/>
            <w:szCs w:val="18"/>
            <w:u w:val="single" w:color="auto"/>
            <w:color w:val="0000EE"/>
          </w:rPr>
          <w:t>June 17,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7">
        <w:r>
          <w:rPr>
            <w:rFonts w:ascii="Times New Roman" w:cs="Times New Roman" w:eastAsia="Times New Roman" w:hAnsi="Times New Roman"/>
            <w:sz w:val="18"/>
            <w:szCs w:val="18"/>
            <w:u w:val="single" w:color="auto"/>
            <w:color w:val="0000EE"/>
          </w:rPr>
          <w:t>July 8,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8">
        <w:r>
          <w:rPr>
            <w:rFonts w:ascii="Times New Roman" w:cs="Times New Roman" w:eastAsia="Times New Roman" w:hAnsi="Times New Roman"/>
            <w:sz w:val="18"/>
            <w:szCs w:val="18"/>
            <w:u w:val="single" w:color="auto"/>
            <w:color w:val="0000EE"/>
          </w:rPr>
          <w:t>July 29,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9">
        <w:r>
          <w:rPr>
            <w:rFonts w:ascii="Times New Roman" w:cs="Times New Roman" w:eastAsia="Times New Roman" w:hAnsi="Times New Roman"/>
            <w:sz w:val="18"/>
            <w:szCs w:val="18"/>
            <w:u w:val="single" w:color="auto"/>
            <w:color w:val="0000EE"/>
          </w:rPr>
          <w:t>August 19,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0">
        <w:r>
          <w:rPr>
            <w:rFonts w:ascii="Times New Roman" w:cs="Times New Roman" w:eastAsia="Times New Roman" w:hAnsi="Times New Roman"/>
            <w:sz w:val="18"/>
            <w:szCs w:val="18"/>
            <w:u w:val="single" w:color="auto"/>
            <w:color w:val="0000EE"/>
          </w:rPr>
          <w:t xml:space="preserve">October 7, 2022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51">
        <w:r>
          <w:rPr>
            <w:rFonts w:ascii="Times New Roman" w:cs="Times New Roman" w:eastAsia="Times New Roman" w:hAnsi="Times New Roman"/>
            <w:sz w:val="18"/>
            <w:szCs w:val="18"/>
            <w:u w:val="single" w:color="auto"/>
            <w:color w:val="0000EE"/>
          </w:rPr>
          <w:t>November 22, 2022</w:t>
        </w:r>
      </w:hyperlink>
      <w:r>
        <w:rPr>
          <w:rFonts w:ascii="Times New Roman" w:cs="Times New Roman" w:eastAsia="Times New Roman" w:hAnsi="Times New Roman"/>
          <w:sz w:val="18"/>
          <w:szCs w:val="18"/>
          <w:color w:val="000000"/>
        </w:rPr>
        <w:t>;</w:t>
      </w:r>
    </w:p>
    <w:p>
      <w:pPr>
        <w:spacing w:after="0" w:line="67" w:lineRule="exact"/>
        <w:rPr>
          <w:rFonts w:ascii="Times New Roman" w:cs="Times New Roman" w:eastAsia="Times New Roman" w:hAnsi="Times New Roman"/>
          <w:sz w:val="18"/>
          <w:szCs w:val="18"/>
          <w:color w:val="0000EE"/>
        </w:rPr>
      </w:pPr>
    </w:p>
    <w:p>
      <w:pPr>
        <w:ind w:left="1000" w:right="31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Registration Statement on Form 8-A/A for registration of Class A common stock pursuant to Section 12(b) of the Exchange Act, filed on </w:t>
      </w:r>
      <w:hyperlink r:id="rId52">
        <w:r>
          <w:rPr>
            <w:rFonts w:ascii="Times New Roman" w:cs="Times New Roman" w:eastAsia="Times New Roman" w:hAnsi="Times New Roman"/>
            <w:sz w:val="18"/>
            <w:szCs w:val="18"/>
            <w:u w:val="single" w:color="auto"/>
            <w:color w:val="0000EE"/>
          </w:rPr>
          <w:t>August 7, 2020</w:t>
        </w:r>
      </w:hyperlink>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Definitive Proxy Statement on Schedule 14A for our 2022 Annual Meeting of Shareholders, filed with the SEC on </w:t>
      </w:r>
      <w:hyperlink r:id="rId53">
        <w:r>
          <w:rPr>
            <w:rFonts w:ascii="Times New Roman" w:cs="Times New Roman" w:eastAsia="Times New Roman" w:hAnsi="Times New Roman"/>
            <w:sz w:val="18"/>
            <w:szCs w:val="18"/>
            <w:u w:val="single" w:color="auto"/>
            <w:color w:val="0000EE"/>
          </w:rPr>
          <w:t>April 29, 2022</w:t>
        </w:r>
      </w:hyperlink>
      <w:r>
        <w:rPr>
          <w:rFonts w:ascii="Times New Roman" w:cs="Times New Roman" w:eastAsia="Times New Roman" w:hAnsi="Times New Roman"/>
          <w:sz w:val="18"/>
          <w:szCs w:val="18"/>
          <w:color w:val="auto"/>
        </w:rPr>
        <w:t>, that are incorporated by reference into our Annual Report on Form 10-K for the fiscal year ended December 31, 2021.</w:t>
      </w:r>
    </w:p>
    <w:p>
      <w:pPr>
        <w:spacing w:after="0" w:line="68" w:lineRule="exact"/>
        <w:rPr>
          <w:rFonts w:ascii="Times New Roman" w:cs="Times New Roman" w:eastAsia="Times New Roman" w:hAnsi="Times New Roman"/>
          <w:sz w:val="18"/>
          <w:szCs w:val="18"/>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All documents filed by us pursuant to Sections 13(a), 13(c), 14 or 15(d) of the Exchange Act (i) after the date of the initial filing of the registration statement of which this prospectus supplement is a part and prior to effectiveness of the registration statement and (ii) after the date of this prospectus supplement and before the termination of the offering also shall be deemed to be incorporated herein by reference. We are not, however, incorporating by reference any documents or portions thereof that are not deemed “filed” with the SEC, including any information furnished pursuant to Items 2.02 or 7.01 of Form 8-K.</w:t>
      </w:r>
    </w:p>
    <w:p>
      <w:pPr>
        <w:spacing w:after="0" w:line="79" w:lineRule="exact"/>
        <w:rPr>
          <w:rFonts w:ascii="Times New Roman" w:cs="Times New Roman" w:eastAsia="Times New Roman" w:hAnsi="Times New Roman"/>
          <w:sz w:val="18"/>
          <w:szCs w:val="18"/>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write or telephone us at the following address:</w:t>
      </w:r>
    </w:p>
    <w:p>
      <w:pPr>
        <w:spacing w:after="0" w:line="12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Fortress Energy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111 W. 19th Street, 8th Floor</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10011</w:t>
      </w:r>
    </w:p>
    <w:p>
      <w:pPr>
        <w:spacing w:after="0" w:line="9" w:lineRule="exact"/>
        <w:rPr>
          <w:rFonts w:ascii="Times New Roman" w:cs="Times New Roman" w:eastAsia="Times New Roman" w:hAnsi="Times New Roman"/>
          <w:sz w:val="18"/>
          <w:szCs w:val="18"/>
          <w:color w:val="auto"/>
        </w:rPr>
      </w:pPr>
    </w:p>
    <w:p>
      <w:pPr>
        <w:ind w:left="4340" w:right="3959" w:hanging="398"/>
        <w:spacing w:after="0" w:line="555" w:lineRule="auto"/>
        <w:tabs>
          <w:tab w:leader="none" w:pos="4383"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268-7400 S-14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-50800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New Fortress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236220</wp:posOffset>
            </wp:positionV>
            <wp:extent cx="2597150" cy="685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a:extLst>
                        <a:ext uri="{28A0092B-C50C-407E-A947-70E740481C1C}"/>
                      </a:extLst>
                    </a:blip>
                    <a:srcRect/>
                    <a:stretch>
                      <a:fillRect/>
                    </a:stretch>
                  </pic:blipFill>
                  <pic:spPr bwMode="auto">
                    <a:xfrm>
                      <a:off x="0" y="0"/>
                      <a:ext cx="259715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Class A Common Stock</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Preferred Stock</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Depositary Shares</w:t>
      </w:r>
    </w:p>
    <w:p>
      <w:pPr>
        <w:jc w:val="center"/>
        <w:ind w:right="19"/>
        <w:spacing w:after="0" w:line="231" w:lineRule="auto"/>
        <w:rPr>
          <w:sz w:val="20"/>
          <w:szCs w:val="20"/>
          <w:color w:val="auto"/>
        </w:rPr>
      </w:pPr>
      <w:r>
        <w:rPr>
          <w:rFonts w:ascii="Times New Roman" w:cs="Times New Roman" w:eastAsia="Times New Roman" w:hAnsi="Times New Roman"/>
          <w:sz w:val="22"/>
          <w:szCs w:val="22"/>
          <w:b w:val="1"/>
          <w:bCs w:val="1"/>
          <w:color w:val="auto"/>
        </w:rPr>
        <w:t>Debt Securities</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Warrants</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32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b w:val="1"/>
          <w:bCs w:val="1"/>
          <w:color w:val="auto"/>
        </w:rPr>
        <w:t>149,055,732 Shares of Class A Common Stock Offered by Selling Securityholders</w:t>
      </w:r>
    </w:p>
    <w:p>
      <w:pPr>
        <w:spacing w:after="0" w:line="111" w:lineRule="exact"/>
        <w:rPr>
          <w:sz w:val="20"/>
          <w:szCs w:val="20"/>
          <w:color w:val="auto"/>
        </w:rPr>
      </w:pPr>
    </w:p>
    <w:p>
      <w:pPr>
        <w:jc w:val="both"/>
        <w:ind w:left="400" w:right="419" w:firstLine="360"/>
        <w:spacing w:after="0" w:line="254" w:lineRule="auto"/>
        <w:rPr>
          <w:sz w:val="20"/>
          <w:szCs w:val="20"/>
          <w:color w:val="auto"/>
        </w:rPr>
      </w:pPr>
      <w:r>
        <w:rPr>
          <w:rFonts w:ascii="Times New Roman" w:cs="Times New Roman" w:eastAsia="Times New Roman" w:hAnsi="Times New Roman"/>
          <w:sz w:val="18"/>
          <w:szCs w:val="18"/>
          <w:color w:val="auto"/>
        </w:rPr>
        <w:t>This prospectus relates to shares of our Class A common stock, par value $0.01 per share (“Class A common stock”), shares of our preferred stock, par value $0.01 per share (“preferred stock”), depositary receipts, representing fractional shares of our preferred stock (the “depositary shares”), debt securities, which may be senior debt securities or subordinated debt securities, and warrants to purchase shares of our Class A common stock, preferred stock or our debt securities which we may offer and sell from time to time in one or more offerings. In addition, the selling securityholders named in this prospectus or in any supplement to this prospectus may offer and sell Class A common stock from time to time. We will not receive any of the proceeds from the sale of our Class A common stock by the selling securityholders.</w:t>
      </w:r>
    </w:p>
    <w:p>
      <w:pPr>
        <w:spacing w:after="0" w:line="84" w:lineRule="exact"/>
        <w:rPr>
          <w:sz w:val="20"/>
          <w:szCs w:val="20"/>
          <w:color w:val="auto"/>
        </w:rPr>
      </w:pPr>
    </w:p>
    <w:p>
      <w:pPr>
        <w:jc w:val="both"/>
        <w:ind w:left="400" w:right="419" w:firstLine="360"/>
        <w:spacing w:after="0" w:line="266" w:lineRule="auto"/>
        <w:rPr>
          <w:sz w:val="20"/>
          <w:szCs w:val="20"/>
          <w:color w:val="auto"/>
        </w:rPr>
      </w:pPr>
      <w:r>
        <w:rPr>
          <w:rFonts w:ascii="Times New Roman" w:cs="Times New Roman" w:eastAsia="Times New Roman" w:hAnsi="Times New Roman"/>
          <w:sz w:val="18"/>
          <w:szCs w:val="18"/>
          <w:color w:val="auto"/>
        </w:rPr>
        <w:t>If required, we will provide the specific prices and terms of these securities in one or more supplements to this prospectus at the time of offering. You should read this prospectus and any accompanying prospectus supplement carefully before you make your investment decision.</w:t>
      </w:r>
    </w:p>
    <w:p>
      <w:pPr>
        <w:spacing w:after="0" w:line="64" w:lineRule="exact"/>
        <w:rPr>
          <w:sz w:val="20"/>
          <w:szCs w:val="20"/>
          <w:color w:val="auto"/>
        </w:rPr>
      </w:pPr>
    </w:p>
    <w:p>
      <w:pPr>
        <w:jc w:val="both"/>
        <w:ind w:left="400" w:right="4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a number of risks. See “Risk Factors” on page </w:t>
      </w:r>
      <w:r>
        <w:rPr>
          <w:rFonts w:ascii="Times New Roman" w:cs="Times New Roman" w:eastAsia="Times New Roman" w:hAnsi="Times New Roman"/>
          <w:sz w:val="18"/>
          <w:szCs w:val="18"/>
          <w:b w:val="1"/>
          <w:bCs w:val="1"/>
          <w:u w:val="single" w:color="auto"/>
          <w:color w:val="0000EE"/>
        </w:rPr>
        <w:t>6</w:t>
      </w:r>
      <w:r>
        <w:rPr>
          <w:rFonts w:ascii="Times New Roman" w:cs="Times New Roman" w:eastAsia="Times New Roman" w:hAnsi="Times New Roman"/>
          <w:sz w:val="18"/>
          <w:szCs w:val="18"/>
          <w:b w:val="1"/>
          <w:bCs w:val="1"/>
          <w:color w:val="auto"/>
        </w:rPr>
        <w:t xml:space="preserve"> before you make your investment decision.</w:t>
      </w:r>
    </w:p>
    <w:p>
      <w:pPr>
        <w:spacing w:after="0" w:line="51" w:lineRule="exact"/>
        <w:rPr>
          <w:sz w:val="20"/>
          <w:szCs w:val="20"/>
          <w:color w:val="auto"/>
        </w:rPr>
      </w:pPr>
    </w:p>
    <w:p>
      <w:pPr>
        <w:jc w:val="both"/>
        <w:ind w:left="400" w:right="419" w:firstLine="360"/>
        <w:spacing w:after="0" w:line="258" w:lineRule="auto"/>
        <w:rPr>
          <w:sz w:val="20"/>
          <w:szCs w:val="20"/>
          <w:color w:val="auto"/>
        </w:rPr>
      </w:pPr>
      <w:r>
        <w:rPr>
          <w:rFonts w:ascii="Times New Roman" w:cs="Times New Roman" w:eastAsia="Times New Roman" w:hAnsi="Times New Roman"/>
          <w:sz w:val="18"/>
          <w:szCs w:val="18"/>
          <w:color w:val="auto"/>
        </w:rPr>
        <w:t>We or the selling securityholders may offer securities through underwriting syndicates managed or co-managed by one or more underwriters or dealers, through agents or directly to purchasers. If required, the prospectus supplement for each offering of securities will describe the plan of distribution for that offering. For general information about the distribution of securities offered, please see “Plan of Distribution” in this prospectus.</w:t>
      </w:r>
    </w:p>
    <w:p>
      <w:pPr>
        <w:spacing w:after="0" w:line="75" w:lineRule="exact"/>
        <w:rPr>
          <w:sz w:val="20"/>
          <w:szCs w:val="20"/>
          <w:color w:val="auto"/>
        </w:rPr>
      </w:pPr>
    </w:p>
    <w:p>
      <w:pPr>
        <w:jc w:val="both"/>
        <w:ind w:left="400" w:right="419" w:firstLine="360"/>
        <w:spacing w:after="0" w:line="266" w:lineRule="auto"/>
        <w:rPr>
          <w:sz w:val="20"/>
          <w:szCs w:val="20"/>
          <w:color w:val="auto"/>
        </w:rPr>
      </w:pPr>
      <w:r>
        <w:rPr>
          <w:rFonts w:ascii="Times New Roman" w:cs="Times New Roman" w:eastAsia="Times New Roman" w:hAnsi="Times New Roman"/>
          <w:sz w:val="18"/>
          <w:szCs w:val="18"/>
          <w:color w:val="auto"/>
        </w:rPr>
        <w:t>Our Class A common stock is listed on NASDAQ Global Select Market under the trading symbol “NFE.” Each prospectus supplement will indicate whether the securities offered thereby will be listed on any securities exchange.</w:t>
      </w:r>
    </w:p>
    <w:p>
      <w:pPr>
        <w:spacing w:after="0" w:line="320" w:lineRule="exact"/>
        <w:rPr>
          <w:sz w:val="20"/>
          <w:szCs w:val="20"/>
          <w:color w:val="auto"/>
        </w:rPr>
      </w:pPr>
    </w:p>
    <w:p>
      <w:pPr>
        <w:ind w:left="400" w:right="799"/>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is March 18,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tbl>
      <w:tblPr>
        <w:tblLayout w:type="fixed"/>
        <w:tblInd w:w="300" w:type="dxa"/>
        <w:tblCellMar>
          <w:top w:w="0" w:type="dxa"/>
          <w:left w:w="0" w:type="dxa"/>
          <w:bottom w:w="0" w:type="dxa"/>
          <w:right w:w="0" w:type="dxa"/>
        </w:tblCellMar>
      </w:tblPr>
      <w:tr>
        <w:trPr>
          <w:trHeight w:val="161"/>
        </w:trPr>
        <w:tc>
          <w:tcPr>
            <w:tcW w:w="8220" w:type="dxa"/>
            <w:vAlign w:val="bottom"/>
            <w:gridSpan w:val="21"/>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5"/>
        </w:trPr>
        <w:tc>
          <w:tcPr>
            <w:tcW w:w="1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83"/>
        </w:trPr>
        <w:tc>
          <w:tcPr>
            <w:tcW w:w="82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20" w:type="dxa"/>
            <w:vAlign w:val="bottom"/>
            <w:shd w:val="clear" w:color="auto" w:fill="CCEEFF"/>
          </w:tcPr>
          <w:p>
            <w:pPr>
              <w:spacing w:after="0"/>
              <w:rPr>
                <w:sz w:val="24"/>
                <w:szCs w:val="24"/>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2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2</w:t>
            </w:r>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19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2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1980" w:type="dxa"/>
            <w:vAlign w:val="bottom"/>
            <w:tcBorders>
              <w:top w:val="single" w:sz="8" w:color="0000EE"/>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2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THE COMPANY</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5</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2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6</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2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7</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2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SECURITIES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2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9</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2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DEPOSITARY SHARES</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17</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2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DESCRIPTION OF DEBT SECURITIES</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19</w:t>
            </w: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2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WARRANTS</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21</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2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SELLING SECURITYHOLDERS</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22</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2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OUR OPERATING AGREEMENT AND PROVISIONS OF DELAWARE LAW</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24</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1980" w:type="dxa"/>
            <w:vAlign w:val="bottom"/>
            <w:tcBorders>
              <w:top w:val="single" w:sz="8" w:color="0000EE"/>
            </w:tcBorders>
            <w:shd w:val="clear" w:color="auto" w:fill="CCEEFF"/>
          </w:tcPr>
          <w:p>
            <w:pPr>
              <w:spacing w:after="0"/>
              <w:rPr>
                <w:sz w:val="6"/>
                <w:szCs w:val="6"/>
                <w:color w:val="auto"/>
              </w:rPr>
            </w:pPr>
          </w:p>
        </w:tc>
        <w:tc>
          <w:tcPr>
            <w:tcW w:w="12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2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30</w:t>
            </w: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2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U.S. FEDERAL INCOME TAX CONSIDERATIONS FOR NON-U.S. HOLDERS OF CLASS A</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860" w:type="dxa"/>
            <w:vAlign w:val="bottom"/>
            <w:tcBorders>
              <w:top w:val="single" w:sz="8" w:color="0000EE"/>
            </w:tcBorders>
            <w:gridSpan w:val="1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COMMON STOCK</w:t>
            </w:r>
          </w:p>
        </w:tc>
        <w:tc>
          <w:tcPr>
            <w:tcW w:w="1180" w:type="dxa"/>
            <w:vAlign w:val="bottom"/>
            <w:tcBorders>
              <w:top w:val="single" w:sz="8" w:color="CCEEFF"/>
            </w:tcBorders>
            <w:gridSpan w:val="2"/>
            <w:shd w:val="clear" w:color="auto" w:fill="CCEEFF"/>
          </w:tcPr>
          <w:p>
            <w:pPr>
              <w:spacing w:after="0"/>
              <w:rPr>
                <w:sz w:val="17"/>
                <w:szCs w:val="17"/>
                <w:color w:val="auto"/>
              </w:rPr>
            </w:pPr>
          </w:p>
        </w:tc>
        <w:tc>
          <w:tcPr>
            <w:tcW w:w="200" w:type="dxa"/>
            <w:vAlign w:val="bottom"/>
            <w:tcBorders>
              <w:top w:val="single" w:sz="8" w:color="CCEEFF"/>
            </w:tcBorders>
            <w:gridSpan w:val="3"/>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w w:val="88"/>
              </w:rPr>
              <w:t>32</w:t>
            </w: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2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ERISA CONSIDERATIONS</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35</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2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37</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2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EXPERTS</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37</w:t>
            </w: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on Form S-3 that we filed with the Securities and Exchange Commission (the “SEC”) as a “well-known seasoned issuer” (“WKSI”) as defined in Rule 405 under the Securities Act of 1933, as amended (the “Securities Act”). Under this shelf registration process, we may sell from time to time any combination of the securities described in this prospectus. In addition, certain of our securityholders may sell up to 149,055,732 shares of Class A common stock from time to time in one or more offerings. This prospectus only provides you with a general description of the securities that we and the selling securityholders may offer. Each time we or any securityholders offer, issue or sell securities, we will provide a supplement to this prospectus that contains specific information about the terms of that offering, including the specific amounts, prices and terms of the securities offered. The prospectus supplement may also add, update or change information contained in this prospectus. You should carefully read both this prospectus, any accompanying prospectus supplement and any free writing prospectus prepared by or on behalf of us, together with the additional information described under the heading “Where You Can Find More Information.”</w:t>
      </w:r>
    </w:p>
    <w:p>
      <w:pPr>
        <w:spacing w:after="0" w:line="82"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you with any information other than that contained in or incorporated by reference into this prospectus, any accompanying prospectus supplement and any free writing prospectus prepared by or on behalf of us. Neither we nor the selling securityholders take responsibility for, and can provide no assurance as to the reliability of, any other information that others may give you. Neither we nor the selling securityholders are making offers to sell the securities in any jurisdiction in which an offer or solicitation is not authorized or in which the person making such offer or solicitation is not qualified to do so or to anyone to whom it is unlawful to make an offer or solicitation.</w:t>
      </w:r>
    </w:p>
    <w:p>
      <w:pPr>
        <w:spacing w:after="0" w:line="8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information in this prospectus is accurate as of the date on the front cover. You should not assume that the information contained in this prospectus is accurate as of any other date.</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When used in this prospectus, the terms “NFE,” “we,” “our” and “us” refer to New Fortress Energy Inc. and its consolidated subsidiaries, unless otherwise specified or the context otherwise requires.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under the Securities Exchange Act of 1934, as amended (the “Exchange Act”). Our SEC filings are available to the public at the SEC’s website at www.sec.gov.</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and any accompanying prospectus supplement,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any accompanying prospectus supplement, any subsequently filed document deemed incorporated by reference or any free writing prospectus prepared by or on behalf of us. This prospectus and any accompanying prospectus supplement incorporate by reference the documents set forth below that we have previously filed with the SEC (other than information deemed furnished and not filed in accordance with SEC rules, including Items 2.02 and 7.01 of Form 8-K).</w:t>
      </w:r>
    </w:p>
    <w:p>
      <w:pPr>
        <w:spacing w:after="0" w:line="80" w:lineRule="exact"/>
        <w:rPr>
          <w:sz w:val="20"/>
          <w:szCs w:val="20"/>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Annual Report on Form 10-K for the fiscal year ended December 31, 2020, filed with the SEC on </w:t>
      </w:r>
      <w:hyperlink r:id="rId59">
        <w:r>
          <w:rPr>
            <w:rFonts w:ascii="Times New Roman" w:cs="Times New Roman" w:eastAsia="Times New Roman" w:hAnsi="Times New Roman"/>
            <w:sz w:val="18"/>
            <w:szCs w:val="18"/>
            <w:u w:val="single" w:color="auto"/>
            <w:color w:val="0000EE"/>
          </w:rPr>
          <w:t>March 16, 2021</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60">
        <w:r>
          <w:rPr>
            <w:rFonts w:ascii="Times New Roman" w:cs="Times New Roman" w:eastAsia="Times New Roman" w:hAnsi="Times New Roman"/>
            <w:sz w:val="18"/>
            <w:szCs w:val="18"/>
            <w:u w:val="single" w:color="auto"/>
            <w:color w:val="0000EE"/>
          </w:rPr>
          <w:t>January 20,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1">
        <w:r>
          <w:rPr>
            <w:rFonts w:ascii="Times New Roman" w:cs="Times New Roman" w:eastAsia="Times New Roman" w:hAnsi="Times New Roman"/>
            <w:sz w:val="18"/>
            <w:szCs w:val="18"/>
            <w:u w:val="single" w:color="auto"/>
            <w:color w:val="0000EE"/>
          </w:rPr>
          <w:t>March 18, 2021</w:t>
        </w:r>
      </w:hyperlink>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Registration Statement on Form 8-A/A for registration of Class A common stock pursuant to Section 12(b) of the Exchange Act, filed on </w:t>
      </w:r>
      <w:hyperlink r:id="rId52">
        <w:r>
          <w:rPr>
            <w:rFonts w:ascii="Times New Roman" w:cs="Times New Roman" w:eastAsia="Times New Roman" w:hAnsi="Times New Roman"/>
            <w:sz w:val="18"/>
            <w:szCs w:val="18"/>
            <w:u w:val="single" w:color="auto"/>
            <w:color w:val="0000EE"/>
          </w:rPr>
          <w:t>August 7, 2020</w:t>
        </w:r>
      </w:hyperlink>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Definitive Proxy Statement on Schedule 14A for our 2020 Annual Meeting of Shareholders, filed with the SEC on </w:t>
      </w:r>
      <w:hyperlink r:id="rId62">
        <w:r>
          <w:rPr>
            <w:rFonts w:ascii="Times New Roman" w:cs="Times New Roman" w:eastAsia="Times New Roman" w:hAnsi="Times New Roman"/>
            <w:sz w:val="18"/>
            <w:szCs w:val="18"/>
            <w:u w:val="single" w:color="auto"/>
            <w:color w:val="0000EE"/>
          </w:rPr>
          <w:t>April 28, 2020</w:t>
        </w:r>
      </w:hyperlink>
      <w:r>
        <w:rPr>
          <w:rFonts w:ascii="Times New Roman" w:cs="Times New Roman" w:eastAsia="Times New Roman" w:hAnsi="Times New Roman"/>
          <w:sz w:val="18"/>
          <w:szCs w:val="18"/>
          <w:color w:val="auto"/>
        </w:rPr>
        <w:t>, that are incorporated by reference into our Annual Report on Form 10-K for the fiscal year ended December 31, 2019.</w:t>
      </w:r>
    </w:p>
    <w:p>
      <w:pPr>
        <w:spacing w:after="0" w:line="68" w:lineRule="exact"/>
        <w:rPr>
          <w:rFonts w:ascii="Times New Roman" w:cs="Times New Roman" w:eastAsia="Times New Roman" w:hAnsi="Times New Roman"/>
          <w:sz w:val="18"/>
          <w:szCs w:val="18"/>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All documents filed by us pursuant to Sections 13(a), 13(c), 14 or 15(d) of the Exchange Act (i) after the date of the initial filing of the registration statement of which this prospectus is a part and prior to effectiveness of the registration statement and (ii) after the date of this prospectus and before the termination of the offering also shall be deemed to be incorporated herein by reference. We are not, however, incorporating by reference any documents or portions thereof that are not deemed “filed” with the SEC, including any information furnished pursuant to Items 2.02 or 7.01 of Form 8-K.</w:t>
      </w:r>
    </w:p>
    <w:p>
      <w:pPr>
        <w:spacing w:after="0" w:line="79" w:lineRule="exact"/>
        <w:rPr>
          <w:rFonts w:ascii="Times New Roman" w:cs="Times New Roman" w:eastAsia="Times New Roman" w:hAnsi="Times New Roman"/>
          <w:sz w:val="18"/>
          <w:szCs w:val="18"/>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write or telephone us at the following address:</w:t>
      </w:r>
    </w:p>
    <w:p>
      <w:pPr>
        <w:spacing w:after="0" w:line="12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Fortress Energy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111 W. 19th Street, 8th Floor</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10011</w:t>
      </w:r>
    </w:p>
    <w:p>
      <w:pPr>
        <w:spacing w:after="0" w:line="9" w:lineRule="exact"/>
        <w:rPr>
          <w:rFonts w:ascii="Times New Roman" w:cs="Times New Roman" w:eastAsia="Times New Roman" w:hAnsi="Times New Roman"/>
          <w:sz w:val="18"/>
          <w:szCs w:val="18"/>
          <w:color w:val="auto"/>
        </w:rPr>
      </w:pPr>
    </w:p>
    <w:p>
      <w:pPr>
        <w:ind w:left="4380" w:hanging="438"/>
        <w:spacing w:after="0"/>
        <w:tabs>
          <w:tab w:leader="none" w:pos="4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268-7400</w:t>
      </w:r>
    </w:p>
    <w:p>
      <w:pPr>
        <w:spacing w:after="0" w:line="206" w:lineRule="exact"/>
        <w:rPr>
          <w:rFonts w:ascii="Times New Roman" w:cs="Times New Roman" w:eastAsia="Times New Roman" w:hAnsi="Times New Roman"/>
          <w:sz w:val="18"/>
          <w:szCs w:val="18"/>
          <w:color w:val="auto"/>
        </w:rPr>
      </w:pPr>
    </w:p>
    <w:p>
      <w:pPr>
        <w:ind w:left="4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and any documents incorporated by reference contain statements that are “forward-looking” within the meaning of the Private Securities Litigation Reform Act of 1995.</w:t>
      </w:r>
    </w:p>
    <w:p>
      <w:pPr>
        <w:spacing w:after="0" w:line="68"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All statements contained in this prospectus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Forward-looking statements are subject to risks and uncertainties, including but not limited to the risks described in this prospectus, any accompanying prospectus supplement and any documents incorporated by reference, including the “Risk Factors” sections of this prospectus, any accompanying prospectus supplement and our reports and other documents filed with the SEC. When considering forward-looking statements, you should keep in mind the risks, uncertainties and other cautionary statements made in this prospectus, any accompanying prospectus supplement and the documents incorporated by reference. While it is impossible to identify all factors, factors that could cause actual results to differ materially from those estimated by us include:</w:t>
      </w:r>
    </w:p>
    <w:p>
      <w:pPr>
        <w:spacing w:after="0" w:line="89" w:lineRule="exact"/>
        <w:rPr>
          <w:sz w:val="20"/>
          <w:szCs w:val="20"/>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one or more of our customers;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procure natural gas in its liquid state at or below its boiling point at or near atmospheric pressure (“LNG”) on a fixed-price basis, or otherwise to manage LNG price risks, including hedging arrangements;</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construction on our LNG terminals, facilities, power plants or liquefaction facilities and the terms of our construction contracts for the completion of these assets;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overruns and delays in the completion of one or more of our LNG terminals, facilities, power plants or liquefaction facilities, as well as difficulties in obtaining sufficient financing to pay for such costs and delays;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to effect our strategy;</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Proposed Mergers (as defined below) is subject to conditions, some or all of which may not be satisfied or completed on a timely basis, or at all, and we, Hygo Energy Transition Ltd. (“Hygo”) and Golar LNG Partners LP (Nasdaq: GMLP) (“GMLP”) are each subject to business uncertainties and contractual restrictions while the Proposed Mergers are pending;</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Proposed Mergers, we may be unable to successfully integrate the businesses and realize the anticipated benefits of the Proposed Mergers;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produce or purchase sufficient amounts of LNG or natural gas at favorable prices to meet customer demand;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hurricanes or other natural or manmade disasters;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and maintain approvals and permits from governmental and regulatory agencies;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regulatory, environmental, political, legal and economic risks pertaining to the construction and operation of our facilities;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contract with suppliers and tankers to facilitate the delivery of LNG on their chartered LNG tankers;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cyclical or other changes in the demand for and price of LNG and natural gas;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natural gas to be a competitive source of energy in the markets in which we operate, and seek to operate;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third parties in our 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re-finance our outstanding indebtedness;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environmental and similar laws and governmental regulations that are adverse to our operations;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enter into favorable agreements and obtain necessary regulatory approvals;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treatment of us or of an investment in our Class A shares;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the Exchange Transactions (as defined below);</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 health and safety incident relating to our business;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labor costs, and the unavailability of skilled workers or our failure to attract and retain qualified personnel;</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jurisdictions in which we do, or seek to do, business, particularly Florida, Jamaica, Brazil and the Caribbean;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described in the “Risk Factors” section of our Annual Report on Form 10-K and our other filings with the SEC.</w:t>
      </w:r>
    </w:p>
    <w:p>
      <w:pPr>
        <w:spacing w:after="0" w:line="5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All forward-looking statements speak only as of the date of this prospectus or, in the case of any accompanying prospectus supplement or documents incorporated by reference, the date of any such document. You are cautioned not to place undue reliance on any forward-looking statements made by us or on our behalf.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except as may be required by law. Furthermore, we cannot guarantee future results, events, levels of activity, performance, projections or achievements.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are a global integrated gas-to-power infrastructure company that seeks to use natural gas to satisfy the world’s large and growing power needs. We deliver targeted energy solutions to customers around the world, thereby reducing their energy costs and diversifying their energy resources, while also reducing pollution and generating compelling margins. Our near-term mission is to provide modern infrastructure solutions to create cleaner, reliable energy while generating a positive economic impact worldwide. Our long-term mission is to become one of the world’s leading carbon emission-free independent power providing companies.</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deliver targeted energy solutions by employing an integrated LNG supply and delivery model:</w:t>
      </w:r>
    </w:p>
    <w:p>
      <w:pPr>
        <w:spacing w:after="0" w:line="115" w:lineRule="exact"/>
        <w:rPr>
          <w:sz w:val="20"/>
          <w:szCs w:val="20"/>
          <w:color w:val="auto"/>
        </w:rPr>
      </w:pPr>
    </w:p>
    <w:p>
      <w:pPr>
        <w:jc w:val="both"/>
        <w:ind w:left="300" w:right="3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LNG Supply and Liquefaction </w:t>
      </w:r>
      <w:r>
        <w:rPr>
          <w:rFonts w:ascii="Times New Roman" w:cs="Times New Roman" w:eastAsia="Times New Roman" w:hAnsi="Times New Roman"/>
          <w:sz w:val="18"/>
          <w:szCs w:val="18"/>
          <w:color w:val="auto"/>
        </w:rPr>
        <w:t>- We supply LNG to our customers, typically by entering into long-term LNG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supply contracts, which are generally based on an index such as Henry Hub plus an additional fee. We have successfully capitalized on current market conditions to acquire LNG via long-term contracts, which are also based on Henry Hub plus an additional fee, with attractive terms. In addition, we supply LNG to our customers from open market purchases and LNG from our existing liquefaction and storage facility in Miami, Florida (the “Miami Facility”).</w:t>
      </w:r>
    </w:p>
    <w:p>
      <w:pPr>
        <w:spacing w:after="0" w:line="74"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Shipping </w:t>
      </w:r>
      <w:r>
        <w:rPr>
          <w:rFonts w:ascii="Times New Roman" w:cs="Times New Roman" w:eastAsia="Times New Roman" w:hAnsi="Times New Roman"/>
          <w:sz w:val="18"/>
          <w:szCs w:val="18"/>
          <w:color w:val="auto"/>
        </w:rPr>
        <w:t>- We have long-term charters for liquefied natural gas carriers and floating storage and regasification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units. These assets transport LNG from ports to our downstream facilities and gasify LNG for ultimate delivery to our customers.</w:t>
      </w:r>
    </w:p>
    <w:p>
      <w:pPr>
        <w:spacing w:after="0" w:line="6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Facilities </w:t>
      </w:r>
      <w:r>
        <w:rPr>
          <w:rFonts w:ascii="Times New Roman" w:cs="Times New Roman" w:eastAsia="Times New Roman" w:hAnsi="Times New Roman"/>
          <w:sz w:val="18"/>
          <w:szCs w:val="18"/>
          <w:color w:val="auto"/>
        </w:rPr>
        <w:t>- Through our network of current and planned downstream facilities and logistics assets, 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strategically positioned to deliver gas and power solutions to our customers seeking either to transition from environmentally dirtier distillate fuels such as automotive diesel oil and heavy fuel oil or to purchase natural gas to meet their current fuel needs.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As an integrated gas-to-power energy infrastructure company, our business model spans the entire production and delivery chain from natural gas procurement and liquefaction to shipping, logistics, facilities and conversion or development of natural gas-fired power generation. While historically, natural gas procurement or liquefaction, transportation, regasification and power generation have been financed separately, the segregation of such projects has inhibited the development of natural gas-fired power in many developing countries. In executing our business model, we have the capability to build or arrange any necessary infrastructure ourselves without reliance on multilateral financing sources or traditional project finance structures, so that we maintain our strategic flexibility.</w:t>
      </w:r>
    </w:p>
    <w:p>
      <w:pPr>
        <w:spacing w:after="0" w:line="8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We currently conduct our operations at our LNG storage and regasification facility at the Port of Montego Bay, Jamaica, our marine LNG storage and regasification facility in Old Harbour, Jamaica, our landed micro-fuel handling facility in San Juan, Puerto Rico (the “San Juan Facility”) and at our Miami Facility. In addition, we are currently developing facilities in Mexico, Nicaragua and Ireland. We are in active discussions with additional customers in multiple regions around the world who may have significant demand for additional LNG, although there can be no assurance that these discussions will result in additional contracts or the terms of such contracts or that we will be able to achieve our target pricing or margins.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Proposed Mergers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On January 13, 2021, we entered into definitive agreements to acquire (i) Hygo, a 50-50 joint venture between Golar LNG Limited (Nasdaq: GLNG) and Stonepeak Infrastructure Fund II Cayman (G) Ltd., a fund managed by Stonepeak Infrastructure Partners, and (ii) Golar LNG Partners LP (Nasdaq: GMLP) (the Hygo merger together with the GMLP merger, the “Proposed Mergers”). The closing of the Proposed Mergers are each subject to the satisfaction or waiver of certain conditions, some or all of such terms (as described in the Company’s filings with the SEC that are incorporated herein by reference) may not be satisfied or completed on a timely basis, or at all.</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Our principal executive office is located at 111 W. 19th Street, 8th Floor, New York, NY 10011 and our telephone number is (516) 268-7400. We maintain a website at www.newfortressenergy.com. The information on our website is not incorporated by reference in this prospectus or any accompanying prospectus supplement, and you should not consider it a part of this prospectus or any accompanying prospectus supplement.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Before you invest in any of our securities, in addition to the other information in this prospectus and any prospectus supplement or other offering materials, you should carefully consider the risk factors in any prospectus supplement as well as under the heading “Risk Factors” contained in Part I, Item 1A. in our Annual Report on Form 10-K for the year ended December 31, 2020, which is incorporated by reference into this prospectus and any prospectus supplement, as the same may be amended, supplemented or superseded from time to time by our filings under Sections 13(a), 13(c), 14 and 15(d) of the Exchange Act. These risks could materially and adversely affect our business, operating results, cash flows and financial condition and could result in a partial or complete loss of your investment. See “Where You Can Find More Information” and “Cautionary Note Regarding Forward-Looking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Except as otherwise set forth in any accompanying prospectus supplement, we expect to use the net proceeds from the sale of securities for general corporate purposes, including the financing of our operations, the possible repayment of indebtedness, and possible business acquisitions.</w:t>
      </w:r>
    </w:p>
    <w:p>
      <w:pPr>
        <w:spacing w:after="0" w:line="68"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Unless set forth in an accompanying prospectus supplement, we will not receive any proceeds in the event that securities are sold by a selling securityholder.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21"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This prospectus contains summary descriptions of the Class A common stock, preferred stock, depositary shares, debt securities and warrants that may be offered and sold from time to time. These summary descriptions are not meant to be complete descriptions of each security. However, at the time of an offering and sale, this prospectus together with the accompanying prospectus supplement will contain the material terms of the securities being offered.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following description of shares of New Fortress Energy Inc. (the “Company,” “NFE,” “our” or “we”) is based upon the provisions of the General Corporation Law of the State of Delaware (the “DGCL”), the Certificate of Incorporation of the Company (the “Certificate of Incorporation”) and the Bylaws of the Company (the “Bylaws”). The summary is not complete and is subject to, and is qualified in its entirety by express reference to, the provisions of applicable law and to the Certificate of Incorporation and the Bylaws. See “Where You Can Find More Information.”</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Under our Certificate of Incorporation, we are authorized to issue up to 750 million shares of Class A common stock, each having a par value of one cent ($0.01), 50 million shares of Class B common stock, each having a par value of one cent ($0.01), and 200 million shares of preferred stock, each having a par value of one cent ($0.01). Our Class A common stock are registered pursuant to Section 12 of the Securities Exchange Act of 1934, as amended (the “Exchange Act”), and are listed on the Nasdaq Global Select Market (“Nasdaq”) under the symbol “NFE.” Our Class B common stock are not registered pursuant to Section 12 of the Exchange Act nor listed on any securities exchange. As of March 15, 2021, there were 175,320,414 shares of Class A common stock outstanding. As of the date hereof, there are no shares of Class B common stock or preferred stock outstanding.</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Holders of Class A common stock are entitled to one vote per share held of record on all matters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voted upon by the stockholders. Holders of our Class A common stock vote together as a single class on all matters presented to our stockholders for their vote or approval, except that the amendment of certain provisions of our Certificate of Incorporation or Bylaws that would have a material adverse effect on the rights or preferences of any class or series of shares in relation to other classes or series of shares must be approved by the holders of a majority of the outstanding shares of the class or series affected. The holders of Class A common stock do not have cumulative voting rights in the election of directors.</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Dividend Rights. </w:t>
      </w:r>
      <w:r>
        <w:rPr>
          <w:rFonts w:ascii="Times New Roman" w:cs="Times New Roman" w:eastAsia="Times New Roman" w:hAnsi="Times New Roman"/>
          <w:sz w:val="18"/>
          <w:szCs w:val="18"/>
          <w:color w:val="auto"/>
        </w:rPr>
        <w:t>Holders of our Class A common stock are entitled to ratably receive dividends when and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by our board of directors out of funds legally available for that purpose, subject to any statutory or contractual restrictions on the payment of dividends and to any prior rights and preferences that may be applicable to any outstanding preferred stock.</w:t>
      </w:r>
    </w:p>
    <w:p>
      <w:pPr>
        <w:spacing w:after="0" w:line="72"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Liquidation Rights. </w:t>
      </w:r>
      <w:r>
        <w:rPr>
          <w:rFonts w:ascii="Times New Roman" w:cs="Times New Roman" w:eastAsia="Times New Roman" w:hAnsi="Times New Roman"/>
          <w:sz w:val="18"/>
          <w:szCs w:val="18"/>
          <w:color w:val="auto"/>
        </w:rPr>
        <w:t>Upon our dissolution, liquidation or winding up, after payment in full of all amounts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be paid to creditors and to the holders of preferred stock having liquidation preferences, if any, the holders of our Class A common stock will be entitled to receive our remaining assets available for distribution in accordance with the DGCL.</w:t>
      </w:r>
    </w:p>
    <w:p>
      <w:pPr>
        <w:spacing w:after="0" w:line="72" w:lineRule="exact"/>
        <w:rPr>
          <w:sz w:val="20"/>
          <w:szCs w:val="20"/>
          <w:color w:val="auto"/>
        </w:rPr>
      </w:pPr>
    </w:p>
    <w:p>
      <w:pPr>
        <w:jc w:val="both"/>
        <w:ind w:left="300" w:right="3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Matters. </w:t>
      </w:r>
      <w:r>
        <w:rPr>
          <w:rFonts w:ascii="Times New Roman" w:cs="Times New Roman" w:eastAsia="Times New Roman" w:hAnsi="Times New Roman"/>
          <w:sz w:val="18"/>
          <w:szCs w:val="18"/>
          <w:color w:val="auto"/>
        </w:rPr>
        <w:t>The Class A common stock have no preemptive or conversion rights and are not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calls or assessment by us. There are no redemption or sinking fund provisions applicable to the Class A common stock. All outstanding Class A common stock are fully paid and non-assessable.</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11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Prior to the exchange of all of the units (the “NFI LLC Units”) (other than NFI LLC Units owned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NFE or its subsidiaries) of New Fortress Intermediate LLC (“NFI”) and all of the shares of Class B common stock for shares of Class A common stock (the “Exchange Transactions”), the NFI unitholders held one share of Class B common stock for each NFI LLC Unit that they held. Accordingly, prior to the Exchange Transactions, the NFI unitholders had a number of votes in NFE equal to the aggregate number of NFI LLC Units that they held. Following the Exchange Transactions and as of the date hereof, there are no shares of Class B common stock outstanding and all of the NFI LLC Units are owned by NFE or its subsidiaries. Shares of Class B common stock cannot be transferred without transferring an equal number of NFI LLC Units and vice versa.</w:t>
      </w:r>
    </w:p>
    <w:p>
      <w:pPr>
        <w:spacing w:after="0" w:line="77"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our Class B common stock are entitled to one vote per share held of record on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matters to be voted upon by the shareholders. Holders of our Class A common stock and Class B common stock vote together as a single class on all matters presented to our shareholders for their vote or approval, except that the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amendment of certain provisions of our Certificate of Incorporation or Bylaws that would have a material adverse effect on the rights or preferences of any class or series of stock in relation to other classes or series of shares must be approved by the holders of a majority of the outstanding stock of the class or series affected. The holders of Class B common stock do not have cumulative voting rights in the election of directors.</w:t>
      </w:r>
    </w:p>
    <w:p>
      <w:pPr>
        <w:spacing w:after="0" w:line="70"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Dividend and Liquidation Rights</w:t>
      </w:r>
      <w:r>
        <w:rPr>
          <w:rFonts w:ascii="Times New Roman" w:cs="Times New Roman" w:eastAsia="Times New Roman" w:hAnsi="Times New Roman"/>
          <w:sz w:val="18"/>
          <w:szCs w:val="18"/>
          <w:color w:val="auto"/>
        </w:rPr>
        <w:t>. Holders of our Class B common stock do not have any right to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unless the dividend consists of our Class B common stock or of rights, options, warrants or other securities convertible or exercisable into or exchangeable for Class B common stock paid proportionally with respect to each outstanding Class B common stock and a dividend consisting of Class A common stock or of rights, options, warrants or other securities convertible or exercisable into or exchangeable for Class A common stock on the same terms is simultaneously paid to the holders of Class A common stock. Holders of our Class B common stock do not have any right to receive a distribution upon our liquidation or winding up.</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Redemption Right</w:t>
      </w:r>
      <w:r>
        <w:rPr>
          <w:rFonts w:ascii="Times New Roman" w:cs="Times New Roman" w:eastAsia="Times New Roman" w:hAnsi="Times New Roman"/>
          <w:sz w:val="18"/>
          <w:szCs w:val="18"/>
          <w:color w:val="auto"/>
        </w:rPr>
        <w:t>. Pursuant to the limited liability company agreement of NFI, each holder of NFI LLC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right to redeem his or her NFI LLC Units, together with an equal number of shares of Class B common stock, for shares of Class A common stock (or cash at the Company’s election, subject to customary conversion rate adjustments for stock splits, stock dividends and reclassifications).</w:t>
      </w:r>
    </w:p>
    <w:p>
      <w:pPr>
        <w:spacing w:after="0" w:line="3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and Bylaws authorize us to issue, without the approval of our stockholders, one or more classes or series of preferred stock having such designations, preferences, limitations and relative rights, including preferences over our Class A common stock in respect of dividends and distributions, as our board of directors may determine. The rights with respect to one or more classes or series of preferred stock may be more favorable to the holder(s) thereof than the rights attached to our Class A common stock.</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Duties</w:t>
      </w:r>
    </w:p>
    <w:p>
      <w:pPr>
        <w:spacing w:after="0" w:line="11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American Stock Transfer &amp; Trust Company, LLC is the registrar and transfer agent for the Class A common stock. We pay all fees charged by the transfer agent for transfers of Class A common stock except the following, which must be paid by our Class A stockholders:</w:t>
      </w:r>
    </w:p>
    <w:p>
      <w:pPr>
        <w:spacing w:after="0" w:line="68" w:lineRule="exact"/>
        <w:rPr>
          <w:sz w:val="20"/>
          <w:szCs w:val="20"/>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surety bond premiums to replace lost or stolen certificates, taxes and other governmental charges;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charges for services requested by a holder of a Class A share;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similar fees or charges.</w:t>
      </w:r>
    </w:p>
    <w:p>
      <w:pPr>
        <w:spacing w:after="0" w:line="117"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There are no charges to our Class A shareholders for disbursements of any dividends. We indemnify the transfer agent, its agents and each of their stockholders, directors, officers and employees against all claims and losses that may arise out of acts performed or omitted for its activities in that capacity, except for any liability due to any gross negligence or intentional misconduct of the indemnified person or entity.</w:t>
      </w:r>
    </w:p>
    <w:p>
      <w:pPr>
        <w:spacing w:after="0" w:line="3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Resignation or Removal</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may resign, by notice to us, or be removed by us.</w:t>
      </w:r>
    </w:p>
    <w:p>
      <w:pPr>
        <w:spacing w:after="0" w:line="3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of Class A common stock and Class B common stock</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may, at our discretion, treat the nominee holder of a share of Class A common stock or Class B common stock as the absolute owner. In that case, the beneficial holder’s rights are limited solely to those that it has against the nominee holder as a result of any agreement between the beneficial owner and the nominee holder.</w:t>
      </w:r>
    </w:p>
    <w:p>
      <w:pPr>
        <w:spacing w:after="0" w:line="68"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Class A common stock and Class B common stock are securities and any transfers are subject to the laws governing the transfer of securities.</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Until a share of Class A common stock or Class B common stock has been transferred on our books, we and the transfer agent may treat the record holder of the Class A common stock or Class B common stock as the absolute owner for all purposes, except as otherwise required by law or stock exchange regulations.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Certificate of Incorporation and Bylaws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Organization and Duration</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New Fortress Energy LLC was formed on August 6, 2018. On August 7, 2020, we converted from a Delaware limited liability company named New Fortress Energy LLC to a Delaware corporation named New Fortress Energy Inc. The Company will remain in existence until dissolved in accordance with the DGCL.</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Under our organizational documents, we are permitted to engage in any business activity that lawfully may be conducted by a corporation organized under Delaware law and, in connection therewith, to exercise all of the rights and powers conferred upon us pursuant to the agreements relating to such business activity.</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Amendment of Our Organizational Documents</w:t>
      </w:r>
    </w:p>
    <w:p>
      <w:pPr>
        <w:spacing w:after="0" w:line="121"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Amendments to our Certificate of Incorporation may be proposed only by or with the consent of our board of directors. To adopt a proposed amendment to our Certificate of Incorporation or Bylaws, our board of directors is generally required to seek written approval of the holders of the number of shares required to approve the amendment or call a meeting of our stockholders to consider and vote upon the proposed amendment. Except as set forth below, an amendment must be approved by holders of a majority of the outstanding shares.</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Prohibited Amendments. </w:t>
      </w:r>
      <w:r>
        <w:rPr>
          <w:rFonts w:ascii="Times New Roman" w:cs="Times New Roman" w:eastAsia="Times New Roman" w:hAnsi="Times New Roman"/>
          <w:sz w:val="18"/>
          <w:szCs w:val="18"/>
          <w:color w:val="auto"/>
        </w:rPr>
        <w:t>No amendment may be made that would:</w:t>
      </w:r>
    </w:p>
    <w:p>
      <w:pPr>
        <w:spacing w:after="0" w:line="119" w:lineRule="exact"/>
        <w:rPr>
          <w:sz w:val="20"/>
          <w:szCs w:val="20"/>
          <w:color w:val="auto"/>
        </w:rPr>
      </w:pPr>
    </w:p>
    <w:p>
      <w:pPr>
        <w:ind w:left="1000" w:right="31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enlarge the obligations of any stockholder without such stockholder’s consent, unless approved by at least a majority of the type or class of shares so affected;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term of existence of our company.</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provision of our organizational documents preventing the amendments having the effects described in any of the clauses above can be amended upon the approval of holders of at least two-thirds of the outstanding shares.</w:t>
      </w:r>
    </w:p>
    <w:p>
      <w:pPr>
        <w:spacing w:after="0" w:line="52"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 Stockholder Approval. </w:t>
      </w:r>
      <w:r>
        <w:rPr>
          <w:rFonts w:ascii="Times New Roman" w:cs="Times New Roman" w:eastAsia="Times New Roman" w:hAnsi="Times New Roman"/>
          <w:sz w:val="18"/>
          <w:szCs w:val="18"/>
          <w:color w:val="auto"/>
        </w:rPr>
        <w:t>Our board of directors may generally make amendments to our Bylaws,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circumstances to our Certificate of Incorporation, without the approval of any stockholder or assignee to reflect:</w:t>
      </w:r>
    </w:p>
    <w:p>
      <w:pPr>
        <w:spacing w:after="0" w:line="67" w:lineRule="exact"/>
        <w:rPr>
          <w:sz w:val="20"/>
          <w:szCs w:val="20"/>
          <w:color w:val="auto"/>
        </w:rPr>
      </w:pPr>
    </w:p>
    <w:p>
      <w:pPr>
        <w:ind w:left="1000" w:right="29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our name, the location of our principal place of our business, our registered agent or our registered office;</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that our board of directors determines, based upon the advice of counsel, to be necessary or appropriate to prevent us, members of our board, or our officers, agents or trustees from in any manner being subjected to the provisions of the Investment Company Act of 1940, the Investment Advisers Act of 1940, or “plan asset” regulations adopted under the Employee Retirement Income Security Act of 1974, whether or not substantially similar to plan asset regulations currently applied or proposed;</w:t>
      </w:r>
    </w:p>
    <w:p>
      <w:pPr>
        <w:spacing w:after="0" w:line="75"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that our board of directors determines to be necessary or appropriate for the authorization of additional securities;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expressly permitted in our organizational documents to be made by our board of directors acting alone;</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effected, necessitated or contemplated by a merger agreement that has been approved under the terms of our organizational documents;</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that our board of directors determines to be necessary or appropriate for the formation by us of, or our investment in, any corporation, partnership or other entity, as otherwise permitted by our organizational documents;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our fiscal year or taxable year and related changes;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amendments substantially similar to any of the matters described in the clauses above.</w:t>
      </w:r>
    </w:p>
    <w:p>
      <w:pPr>
        <w:spacing w:after="0" w:line="117"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 addition, our board of directors may make amendments to our Bylaws without the approval of any stockholder or assignee if our board of directors determines that those amendments:</w:t>
      </w:r>
    </w:p>
    <w:p>
      <w:pPr>
        <w:spacing w:after="0" w:line="54" w:lineRule="exact"/>
        <w:rPr>
          <w:sz w:val="20"/>
          <w:szCs w:val="20"/>
          <w:color w:val="auto"/>
        </w:rPr>
      </w:pPr>
    </w:p>
    <w:p>
      <w:pPr>
        <w:ind w:left="4420" w:right="3419" w:hanging="3768"/>
        <w:spacing w:after="0" w:line="532" w:lineRule="auto"/>
        <w:tabs>
          <w:tab w:leader="none" w:pos="100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adversely affect the stockholders in any material respect;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-47625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necessary or appropriate to facilitate the trading of shares or to comply with any rule, regulation, guideline or requirement of any securities exchange on which the shares are or will be listed for trading, compliance with any of which our board of directors deems to be in the best interests of us and our stockholders;</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necessary or appropriate for any action taken by our board of directors relating to splits or combinations of shares under the provisions of our Bylaws; or</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required to effect the intent of the provisions of our organizational documents or are otherwise contemplated by our organizational documents.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Merger, Sale or Other Disposition of Assets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Pursuant to the provisions of the DGCL, our board of directors is generally prohibited, without the prior approval of holders of a majority of the total combined voting power of all of our Class A common stock and Class B common stock, from causing us to, among other things, merge, sell, exchange or otherwise dispose of all or substantially all of our assets in a single transaction or a series of related transactions, or approving on our behalf the sale, exchange or other disposition of all or substantially all of our assets, provided that our board of directors may mortgage, pledge, hypothecate or grant a security interest in all or substantially all of our assets without the approval of any stockholder. Our board of directors may also sell all or substantially all of our assets under a foreclosure or other realization upon the encumbrances above without that approval.</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Books and Reports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are required to keep appropriate books of our business at our principal offices. The books are maintained for both tax and financial reporting purposes on an accrual basis. For financial reporting purposes and for tax purposes, our fiscal year is the calendar year.</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Organizational Documents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following is a summary of certain provisions of our organizational documents that may be deemed to have an anti-takeover effect and may delay, deter or prevent a tender offer or takeover attempt that a stockholder might consider to be in its best interest, including those attempts that might result in a premium over the market price for the Class A common stock held by Class A stockholders.</w:t>
      </w:r>
    </w:p>
    <w:p>
      <w:pPr>
        <w:spacing w:after="0" w:line="70"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Issuance of Additional Interests. </w:t>
      </w:r>
      <w:r>
        <w:rPr>
          <w:rFonts w:ascii="Times New Roman" w:cs="Times New Roman" w:eastAsia="Times New Roman" w:hAnsi="Times New Roman"/>
          <w:sz w:val="18"/>
          <w:szCs w:val="18"/>
          <w:color w:val="auto"/>
        </w:rPr>
        <w:t>Our organizational documents authorize us to issue up to 750 million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common stock, 50 million shares of Class B common stock and 200 million shares of preferred stock for the consideration and on the terms and conditions determined by our board of directors without the approval of the stockholders, subject to the requirements of NASDAQ. These additional shares may be utilized for a variety of corporate purposes, including future offerings to raise additional capital and corporate acquisitions. The existence of authorized but unissued shares could render more difficult or discourage an attempt to obtain control over us by means of a proxy contest, tender offer, merger or otherwise.</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Delaware Business Combination Statute—Section 203. </w:t>
      </w:r>
      <w:r>
        <w:rPr>
          <w:rFonts w:ascii="Times New Roman" w:cs="Times New Roman" w:eastAsia="Times New Roman" w:hAnsi="Times New Roman"/>
          <w:sz w:val="18"/>
          <w:szCs w:val="18"/>
          <w:color w:val="auto"/>
        </w:rPr>
        <w:t>We are a corporation organized under Delaware law.</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Some provisions of Delaware law may delay or prevent a transaction that would cause a change in our control.</w:t>
      </w:r>
    </w:p>
    <w:p>
      <w:pPr>
        <w:spacing w:after="0" w:line="9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Section 203 of the DGCL restricts certain business combinations with interested stockholders in certain situations. In general, this statute prohibits a publicly held Delaware corporation from engaging in a business combination with an interested stockholder for a period of three years after the date of the transaction by which that person became an interested stockholder, unless the business combination is approved in a prescribed manner.</w:t>
      </w:r>
    </w:p>
    <w:p>
      <w:pPr>
        <w:spacing w:after="0" w:line="72"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We have opted out of Section 203 of the DGCL; however, our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68" w:lineRule="exact"/>
        <w:rPr>
          <w:sz w:val="20"/>
          <w:szCs w:val="20"/>
          <w:color w:val="auto"/>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which resulted in the stockholder becoming an interested stockholder;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6"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our voting stock outstanding at the time the transaction commenced, excluding certain shares; or</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of directors and by the affirmative vote of holders of at least two-thirds of our outstanding voting stock that is not owned by the interested stockholder.</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restrictions described above do not apply if (a) the Company does not have a class of voting stock that is:</w:t>
      </w:r>
    </w:p>
    <w:p>
      <w:pPr>
        <w:spacing w:after="0" w:line="27" w:lineRule="exact"/>
        <w:rPr>
          <w:sz w:val="20"/>
          <w:szCs w:val="20"/>
          <w:color w:val="auto"/>
        </w:rPr>
      </w:pPr>
    </w:p>
    <w:p>
      <w:pPr>
        <w:jc w:val="both"/>
        <w:ind w:left="300" w:right="299" w:hanging="8"/>
        <w:spacing w:after="0" w:line="252" w:lineRule="auto"/>
        <w:tabs>
          <w:tab w:leader="none" w:pos="52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listed on a national securities exchange; or (ii) held of record by more than 2,000 stockholders, unless any of the foregoing results from action taken, directly or indirectly, by an interested stockholder or from a transaction in which a person becomes an interested stockholder; or (b) a stockholder becomes an interested stockholder inadvertently and (i) as soon as practicable divests itself of ownership of sufficient shares so that the stockholder ceases to be an interested stockholder; and (ii) would not, at any time within the three year period immediately prior to a business combination between the Company and such stockholder, have been an interested stockholder but for the inadvertent acquisition of ownership.</w:t>
      </w:r>
    </w:p>
    <w:p>
      <w:pPr>
        <w:spacing w:after="0" w:line="80"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resulting in a financial benefit to the interested stockholder. Subject to certain exceptions, an “interested stockholder” means any person who, together with that person’s affiliates and associates, owns 15% or more of our outstanding voting stock or an affiliate or associate of ours who owned 15% or more of our outstanding voting stock at any time within the previous three years. Our Certificate of Incorporation provides that certain entities controlled by Wesley R. Edens and Randal A. Nardone (the “Consenting Entities”) and NFE SMRS Holdings LLC and any of their respective direct or indirect transferees (except in the context of a public offering), and any group as to which such persons are a party, do not constitute “interested stockholders” for purposes of this provision. Additionally, the “interested stockholders” definition does not include any person whose ownership of shares in excess of 15% of our outstanding voting stock is the result of any action taken solely by us. For purposes of this description only, “voting stock” has the meaning given to it in Section 203 of the DGCL.</w:t>
      </w:r>
    </w:p>
    <w:p>
      <w:pPr>
        <w:spacing w:after="0" w:line="8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Under certain circumstances, this provision makes it more difficult for a person who is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approved either the business combination or the transaction which resulted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Other Provisions of Our Organizational Documents. </w:t>
      </w:r>
      <w:r>
        <w:rPr>
          <w:rFonts w:ascii="Times New Roman" w:cs="Times New Roman" w:eastAsia="Times New Roman" w:hAnsi="Times New Roman"/>
          <w:sz w:val="18"/>
          <w:szCs w:val="18"/>
          <w:color w:val="auto"/>
        </w:rPr>
        <w:t>Our Certificate of Incorporation provides that our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consist of not fewer than one and not more than fifteen directors as the board of directors may from time to time determine, subject to the consent rights of the Consenting Entities described under “Description of Capital Stock—Consent Rights” below. Our board of directors is divided into three classes that are, as nearly as possible, of equal size. Each class of directors is elected for a three-year term of office, but the terms are staggered so that the term of only one class of directors expires at each annual general meeting. We believe that classification of our board of directors will help to assure the continuity and stability of our business strategies and policies as determined by our board of directors. Additionally, there is no cumulative voting in the election of directors. This classified board provision could have the effect of making the replacement of incumbent directors more time consuming and difficult. At least two annual meetings of stockholders, instead of one, will generally be required to effect a change in a majority of our board of directors.</w:t>
      </w:r>
    </w:p>
    <w:p>
      <w:pPr>
        <w:spacing w:after="0" w:line="86"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classified board provision could increase the likelihood that incumbent directors will retain their positions. The staggered terms of directors may delay, defer or prevent a tender offer or an attempt to change control of us, even though a tender offer or change in control might be believed by our stockholders to be in their best interest.</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addition, our board of directors shall have the power to appoint a person as a director to fill a vacancy on our board occurring as a result of the death, disability, disqualification, removal or resignation of a director, or as a result of an increase in the size of our board of directors.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Pursuant to our Certificate of Incorporation, preferred stock may be issued from time to time, and the board of directors is authorized to determine and alter all designations, preferences, rights, powers and duties without limitation. See “Description of Capital Stock—Preferred Stock.”</w:t>
      </w:r>
    </w:p>
    <w:p>
      <w:pPr>
        <w:spacing w:after="0" w:line="66"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Ability of Our Stockholders to Act. </w:t>
      </w:r>
      <w:r>
        <w:rPr>
          <w:rFonts w:ascii="Times New Roman" w:cs="Times New Roman" w:eastAsia="Times New Roman" w:hAnsi="Times New Roman"/>
          <w:sz w:val="18"/>
          <w:szCs w:val="18"/>
          <w:color w:val="auto"/>
        </w:rPr>
        <w:t>Our organizational documents do not permit our stockholders to call special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meetings, except that if any Consenting Entities or their affiliates collectively own outstanding voting shares that represent a majority of the total combined voting power of all of our outstanding shares of Class A common stock and Class B common stock then entitled to vote at an election of directors, such Consenting Entities may call a special meeting of the stockholders. Special meetings of stockholders may be called by a majority of the board of directors or a committee of the board of directors that has been duly designated by the board of directors and whose powers include the authority to call such meetings. Written notice of any special meeting so called shall be given to each stockholder of record entitled to vote at such meeting not less than 10 or more than 60 days before the date of such meeting, unless otherwise required by law.</w:t>
      </w:r>
    </w:p>
    <w:p>
      <w:pPr>
        <w:spacing w:after="0" w:line="8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Our organizational documents permit our stockholders to consent in writing to take any action in lieu of taking such action at a duly called annual or special meeting of our stockholders if a consent or consents in writing, setting forth the action so taken, shall be signed by the stockholders having not less than the minimum number of votes that would be necessary to authorize or take such action at a meeting at which all stockholders entitled to vote thereon were present and voted.</w:t>
      </w:r>
    </w:p>
    <w:p>
      <w:pPr>
        <w:spacing w:after="0" w:line="75"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Our organizational documents provide that nominations of persons for election to our board of directors may be made at any annual meeting of our stockholders, or at any special meeting of our stockholders called for the purpose of electing directors, (a) by or at the direction of our board of directors or (b) by certain stockholders. In addition to any other applicable requirements, for business to be properly brought before an annual meeting by a stockholder, such stockholder must have given timely notice thereof in proper written form to our secretary. To be timely, a stockholder’s notice must be delivered to or mailed and received at our principal executive offices (i) in the case of an annual meeting, not less than 90 days nor more than 120 days prior to the anniversary of the date on which we first made publicly available (whether by mailing, by filing with the SEC or by posting on an internet website) our proxy materials for the immediately preceding annual meeting of stockholders; provided, however, that in the event that the annual meeting is called for a date that is not within 30 days before or after such anniversary date, notice by a stockholder in order to be timely must be so received not later than the close of business on the tenth day following the day on which such notice of the date of the annual meeting was mailed or such public disclosure of the date of the annual meeting was made, whichever first occurs and (ii) in the case of a special meeting, not later than the tenth day following the day on which such notice of the date of the special meeting was mailed or such public disclosure of the date of the special meeting was made, whichever first occurs.</w:t>
      </w:r>
    </w:p>
    <w:p>
      <w:pPr>
        <w:spacing w:after="0" w:line="3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Removal of Members of Our Board of Directors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 director or the entire board of directors may be removed, with or without cause, at any time, by holders of a majority of the total combined voting power of all of our outstanding shares of Class A common stock and Class B common stock then entitled to vote at an election of directors. The vacancy in the board of directors caused by any such removal will be filled by a vote of the majority of directors then in office.</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Forum Selection</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Court of Chancery of the State of Delaware will, to the fullest extent permitted by applicable law, be the sole and exclusive forum for:</w:t>
      </w:r>
    </w:p>
    <w:p>
      <w:pPr>
        <w:spacing w:after="0" w:line="68" w:lineRule="exact"/>
        <w:rPr>
          <w:sz w:val="20"/>
          <w:szCs w:val="20"/>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of our directors, officers, employees or agents to us or our stockholders;</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director or officer or other employee of ours arising pursuant to any provision of the DGCL or our organizational documents; or</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director or officer or other employee of ours that is governed by the internal affairs doctrine, in each such case subject to such Court of Chancery having personal jurisdiction over the indispensable parties named as defendants therein.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exclusive forum provision would not apply to suits brought to enforce any liability or duty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w:t>
      </w:r>
    </w:p>
    <w:p>
      <w:pPr>
        <w:spacing w:after="0" w:line="8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Our Bylaws also provide that any person or entity purchasing or otherwise acquiring any interest in our shares will be deemed to have notice of, and to have consented to, this forum selection provision. Although we believe these provisions will benefit us by providing increased consistency in the application of Delaware law for the specified types of actions and proceedings, the provisions may have the effect of discouraging lawsuits against our directors, officers, employees and agents. The enforceability of similar exclusive forum provisions in other companies’ organizational documents has been challenged in legal proceedings, and it is possible that, in connection with one or more actions or proceedings described above, a court could rule that this provision in our Bylaws is inapplicable or unenforceable.</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Consent Rights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So long as the Consenting Entities or their affiliates collectively, directly or indirectly, own at least 30% of the outstanding shares of Class A common stock and Class B common stock, we have agreed not to take, and will take all necessary action to cause our subsidiaries not to take, the following direct or indirect actions (or enter into an agreement to take such actions) without the prior consent of each of the Consenting Entities (so long as such Consenting Entity or its affiliates owns at least one share):</w:t>
      </w:r>
    </w:p>
    <w:p>
      <w:pPr>
        <w:spacing w:after="0" w:line="75" w:lineRule="exact"/>
        <w:rPr>
          <w:sz w:val="20"/>
          <w:szCs w:val="20"/>
          <w:color w:val="auto"/>
        </w:rPr>
      </w:pPr>
    </w:p>
    <w:p>
      <w:pPr>
        <w:ind w:left="1000" w:right="31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through any acquisition, disposition of assets or otherwise, in the nature of our business or operations and our subsidiaries as of February 4, 2019;</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terminating Wesley Edens as our chief executive officer or as Chairman of the Board of Directors and hiring or appointing his successor;</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that, if consummated, would constitute a Change of Control (as defined in our Certificate of Incorporation) or entering into any definitive agreement or series of related agreements that govern any transaction or series of related transactions that, if consummated, would result in a Change of Control;</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or decrease in the size of the board of directors, committees of the board of directors and board and committees of our subsidiaries;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voluntary election by us or any of our subsidiaries to liquidate or dissolve or commence bankruptcy or insolvency proceedings or the adoption of a plan with respect to any of the foregoing;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modification or waiver of our organizational documents or any other of our governing documents following the date of our Certificate of Incorporation that materially and adversely affects any Consenting Entity or any of their affiliates.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Opportunity</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Under our Certificate of Incorporation, we renounce, to the fullest extent permitted by Section 122(17) of the DGCL, any interest or expectancy of the Company in, or in being offered, an opportunity to participate in, any Business Opportunity. A “Business Opportunity” is any matter, transaction or interest that is presented to, or acquired, created or developed by, or which otherwise comes into the possession of, any of our directors who is not an employee of the Company (collectively, “Covered Persons”), unless such matter, transaction or interest is presented to, or acquired, created or developed by, or otherwise comes into the possession of, a Covered Person solely in such Covered Person’s capacity as a director of the Company.</w:t>
      </w:r>
    </w:p>
    <w:p>
      <w:pPr>
        <w:spacing w:after="0" w:line="8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To the fullest extent permitted by law, we waive any claim against a Covered Person, and agree to indemnify all Covered Persons against any claim, that is based on fiduciary duties, the corporate opportunity doctrine or any other legal theory which could limit any Covered Person from pursuing or engaging in any Business Opportunity. Directors have no obligation under the Certificate of Incorporation or as a result of any duty expressed or implied by law to present Business Opportunities to the Company that may become available to affiliates of such director. None of the Company, any stockholder or any other person has any rights by virtue of a director’s duties as a director or our organizational documents in any business ventures of any director.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Shareholders’ Agreement</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 connection with our initial public offering, we entered into a shareholders’ agreement (the “Shareholders’ Agreement”) with New Fortress Energy Holdings LLC, Wesley R. Edens and Randal A. Nardone. In connection with the Exchange Transactions, certain of the former members of New Fortress Energy Holdings LLC signed a joinder and became party to the Shareholders’ Agreement.The Shareholders’ Agreement provides the Consenting Entities or their respective affiliates with the right to designate a certain number of individuals to be nominated for election to our board of directors so long as the Consenting Entities and their respective affiliates collectively beneficially own at least 5% of the outstanding Class A common stock. The Shareholders’ Agreement also provides that the parties to the Shareholders’ Agreement (including certain direct or indirect former members of New Fortress Energy Holdings LLC) (i) shall vote their shares in favor of such nominees and (ii) are entitled to certain registration rights with respect to their Class A common stock. In addition our Certificate of Incorporation provides the Consenting Entities the right to approve certain material transactions so long as the Consenting Entities and their affiliates collectively, directly or indirectly, own at least 30% of the outstanding Class A common stock and Class B common stock.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This section describes the general terms and provisions of the depositary shares. The applicable prospectus supplement will describe the specific terms of the depositary shares offered by that prospectus supplement and any general terms outlined in this section that will not apply to those depositary shares.</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We may issue depositary receipts representing interests in shares of particular series of preferred stock which are called depositary shares. We will deposit the shares of preferred stock of a series which are the subject of depositary shares with a depositary to be named in the applicable prospectus supplement, which will hold the preferred stock for the benefit of the holders of the depositary shares, in accordance with a deposit agreement between the depositary and us. The holders of depositary shares will be entitled to all the rights and preferences of the preferred stock to which the depositary shares relate, including dividend, voting, conversion, redemption and liquidation rights, to the extent of their interests in the preferred stock.</w:t>
      </w:r>
    </w:p>
    <w:p>
      <w:pPr>
        <w:spacing w:after="0" w:line="8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While the deposit agreement relating to a particular series of preferred stock may have provisions applicable solely to that series of preferred stock, all deposit agreements relating to preferred stock we issue will include the following provisions: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Each time we pay a cash dividend or make any other type of cash distribution with regard to preferred stock of a series, the depositary will distribute to the holder of record of each depositary share relating to that series of preferred stock an amount equal to the dividend or other distribution per depositary share the depositary receives. If there is a distribution of property other than cash, the depositary either will distribute the property to the holders of depositary shares in proportion to the depositary shares held by each of them, or the depositary will, if we approve, sell the property and distribute the net proceeds to the holders of the depositary shares in proportion to the depositary shares held by them.</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Withdrawal of Preferred Stock</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 holder of depositary shares will be entitled to receive, upon surrender of depositary receipts representing depositary shares, the number of whole or fractional shares of the applicable series of preferred stock, and any money or other property, to which the depositary shares relate.</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Redemption of Depositary Shares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Whenever we redeem shares of preferred stock held by a depositary, the depositary will be required to redeem, on the same redemption date, depositary shares constituting, in total, the number of shares of preferred stock held by the depositary which we redeem, subject to the depositary’s receiving the redemption price of those shares of preferred stock. If fewer than all the depositary shares relating to a series are to be redeemed, the depositary shares to be redeemed will be selected by lot or by another method we determine to be equitable.</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Any time we send a notice of meeting or other materials relating to a meeting to the holders of a series of preferred stock to which depositary shares relate, we will provide the depositary with sufficient copies of those materials so they can be sent to all holders of record of the applicable depositary shares, and the depositary will send those materials to the holders of record of the depositary shares on the record date for the meeting. The depositary will solicit voting instructions from holders of depositary shares and will vote or not vote the preferred stock to which the depositary shares relate in accordance with those instructions.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Liquidation Preference</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 of each depositary share will be entitled to what the holder of the depositary share would have received if the holder had owned the number of shares (or fraction of a share) of preferred stock which is represented by the depositary share.</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Conversion</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shares of a series of preferred stock are convertible into Class A common stock or other of our securities or property, holders of depositary shares relating to that series of preferred stock will, if they surrender depositary receipts representing depositary shares and appropriate instructions to convert them, receive the Class A common stock or other securities or property into which the number of shares (or fractions of shares) of preferred stock to which the depositary shares relate could at the time be converted.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Amendment and Termination of a Deposit Agreement</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We and the depositary may amend a deposit agreement, except that an amendment which materially and adversely affects the rights of holders of depositary shares, or would be materially and adversely inconsistent with the rights granted to the holders of the preferred stock to which they relate, must be approved by holders of at least two-thirds of the outstanding depositary shares. No amendment will impair the right of a holder of depositary shares to surrender the depositary receipts evidencing those depositary shares and receive the preferred stock to which they relate, except as required to comply with law. We may terminate a deposit agreement with the consent of holders of a majority of the depositary shares to which it relates. Upon termination of a deposit agreement, the depositary will make the whole or fractional shares of preferred stock to which the depositary shares issued under the deposit agreement relate available to the holders of those depositary shares. A deposit agreement will automatically terminate if:</w:t>
      </w:r>
    </w:p>
    <w:p>
      <w:pPr>
        <w:spacing w:after="0" w:line="86" w:lineRule="exact"/>
        <w:rPr>
          <w:sz w:val="20"/>
          <w:szCs w:val="20"/>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depositary shares to which it relates have been redeemed or converted; or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has made a final distribution to the holders of the depositary shares issued under the deposit agreement upon our liquidation, dissolution or winding up.</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There will be provisions: (1) requiring the depositary to forward to holders of record of depositary shares any reports or communications from us which the depositary receives with respect to the preferred stock to which the depositary shares relate; (2) regarding compensation of the depositary; (3) regarding resignation of the depositary;</w:t>
      </w:r>
    </w:p>
    <w:p>
      <w:pPr>
        <w:spacing w:after="0" w:line="1" w:lineRule="exact"/>
        <w:rPr>
          <w:sz w:val="20"/>
          <w:szCs w:val="20"/>
          <w:color w:val="auto"/>
        </w:rPr>
      </w:pPr>
    </w:p>
    <w:p>
      <w:pPr>
        <w:jc w:val="both"/>
        <w:ind w:left="300" w:right="319" w:hanging="8"/>
        <w:spacing w:after="0" w:line="255" w:lineRule="auto"/>
        <w:tabs>
          <w:tab w:leader="none" w:pos="56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liability and the liability of the depositary under the deposit agreement (usually to failure to act in good faith, gross negligence or willful misconduct); and (5) indemnifying the depositary against certain possible liabilities.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We may offer debt securities in one or more series, which may be senior debt securities or subordinated debt securities and which may be convertible into another security.</w:t>
      </w:r>
    </w:p>
    <w:p>
      <w:pPr>
        <w:spacing w:after="0" w:line="5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following description briefly sets forth certain general terms and provisions of the debt securities. The particular terms of the debt securities offered by any prospectus supplement and the extent, if any, to which the following general terms and provisions may apply to the debt securities, will be described in an accompanying prospectus supplement. Unless otherwise specified in an accompanying prospectus supplement, our debt securities will be issued in one or more series under an indenture to be entered into between us and U.S. Bank, National Association, as trustee, or such other trustee named therein. A form of the indenture is attached as an exhibit to the registration statement of which this prospectus forms a part. The terms of the debt securities will include those set forth in the indenture and those made a part of the indenture by the Trust Indenture Act of 1939 (“TIA”). You should read the summary below, any accompanying prospectus supplement and the provisions of the indenture in their entirety before investing in our debt securities.</w:t>
      </w:r>
    </w:p>
    <w:p>
      <w:pPr>
        <w:spacing w:after="0" w:line="86"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aggregate principal amount of debt securities that may be issued under the indenture is unlimited. The prospectus supplement relating to any series of debt securities that we may offer will contain the specific terms of the debt securities. These terms may include, among others, the following:</w:t>
      </w:r>
    </w:p>
    <w:p>
      <w:pPr>
        <w:spacing w:after="0" w:line="68" w:lineRule="exact"/>
        <w:rPr>
          <w:sz w:val="20"/>
          <w:szCs w:val="20"/>
          <w:color w:val="auto"/>
        </w:rPr>
      </w:pPr>
    </w:p>
    <w:p>
      <w:pPr>
        <w:ind w:left="1000" w:right="319" w:hanging="34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aggregate principal amount of the debt securities and any limit on the aggregate principal amount of such series;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subordination provisions for any subordinated debt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date(s) or method for determining same;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rate(s) or the method for determining same;</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interest will accrue or the method for determining dates on which interest will accrue and dates on which interest will be payable and whether interest will be payable in cash, additional securities or some combination thereof;</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convertible or exchangeable into other securities and any related terms and conditions;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early repayment provisions;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denominations;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 principal amount of debt securities payable upon acceleration;</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place(s) where payment of principal and interest may be made, where debt securities may be presented and where notices or demands upon the company may be made;</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or forms of the debt securities of the series including such legends as may be required by applicable law;</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whole or in part in the form of one or more global securities and the date as of which the securities are dated if other than the date of original issuance;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secured and the terms of such security;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discount or premium, if any, with which the debt securities will be issued;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covenants applicable to the particular debt securities being issued;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additions or changes in the defaults and events of default applicable to the particular debt securities being issued;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guarantors of each series, if any, and the extent of the guarantees (including provisions relating to seniority, subordination and release of the guarantees), if any;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in which the purchase price for, the principal of and any premium and any interest on, the debt securities will be payable;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period within which, the manner in which and the terms and conditions upon which we or the holders of the debt securities can select the payment currency;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or right to redeem, purchase or repay debt securities under a sinking fund, amortization or analogous provision;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 or conditions on the transferability of the debt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granting special rights to holders of the debt securities upon occurrence of specified events;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changes relating to compensation or reimbursement of the trustee of the series of debt securities;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the modification of the indenture both with and without the consent of holders of debt securities issued under the indenture and the execution of supplemental indentures for such series; and</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terms shall not be inconsistent with the provisions of the TIA, but may modify, amend, supplement or delete any of the terms of the indenture with respect to such series of debt securities).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may sell the debt securities, including original issue discount securities, at par or at a substantial discount below their stated principal amount.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indenture.</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will describe in an accompanying prospectus supplement any other special considerations for any 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 is linked will be described in an accompanying prospectus supplement.</w:t>
      </w:r>
    </w:p>
    <w:p>
      <w:pPr>
        <w:spacing w:after="0" w:line="80"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United States federal income tax consequences and special considerations, if any, applicable to any such series will be described in an accompanying prospectus supplement.</w:t>
      </w:r>
    </w:p>
    <w:p>
      <w:pPr>
        <w:spacing w:after="0" w:line="5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expect most debt securities to be issued in fully registered form without coupons and in denominations of $2,000 and any integral multiple of $1,000 in excess thereof. Subject to the limitations provided in the indenture and in an accompanying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Unless we inform you otherwise in an accompanying prospectus supplement, the debt securities of a series may be issued in whole or in part in the form of one or more global securities that will be deposited with, or on behalf of, a depositary identified in an accompanying prospectus supplement. 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shall be construed in accordance with and governed by the laws of the State of New York.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may issue warrants for the purchase of shares of our Class A common stock, shares of our preferred stock or our debt securities. We may issue warrants independently or together with other securities, and they may be attached to or separate from the other securities. Each series of warrants will be issued under a separate warrant agreement that we will enter into with a bank or trust company, as warrant agent, as detailed in an accompanying prospectus supplement. The warrant agent will act solely as our agent in connection with the warrants and will not assume any obligation, or agency or trust relationship, with you.</w:t>
      </w:r>
    </w:p>
    <w:p>
      <w:pPr>
        <w:spacing w:after="0" w:line="7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particular issue of warrants will describe the terms of those warrants, including, when applicable:</w:t>
      </w:r>
    </w:p>
    <w:p>
      <w:pPr>
        <w:spacing w:after="0" w:line="54" w:lineRule="exact"/>
        <w:rPr>
          <w:sz w:val="20"/>
          <w:szCs w:val="20"/>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the purchase price and/or exercise price of the warrants may be payable;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warrants offered;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and the amount of securities you will receive upon exercise;</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 for exercise of the warrants and the circumstances, if any, that will cause the warrants to be automatically exercised;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if any, we have to redeem the warrants;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warrants will expire;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warrant agent;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warrants.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issue of warrants will be evidenced by warrant certificates. After warrants expire they will become void.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prospectus supplement may provide for the adjustment of the exercise price of the warrants.</w:t>
      </w:r>
    </w:p>
    <w:p>
      <w:pPr>
        <w:spacing w:after="0" w:line="9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Warrants may be exercised at the appropriate office of the warrant agent or any other office indicated in an accompanying prospectus supplement. Before the exercise of warrants, holders will not have any of the rights of holders of the securities purchasable upon exercise and will not be entitled to payments made to holders of those securities.</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description in an accompanying prospectus supplement of any warrants we offer will not necessarily be complete and will be qualified in its entirety by reference to the applicable warrant agreement, which will be filed with the SEC if we offer warrants. For more information on how you can obtain copies of any warrant agreement if we offer warrants, see “Where You Can Find More Information.” We urge you to read the applicable warrant agreement and any accompanying prospectus supplement in their entirety.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This prospectus also relates to the offer and sale from time to time of up to 149,055,732 shares of Class A common stock by certain of our stockholders identified in the table below, who we refer to in this prospectus as the “selling securityholders.” The selling securityholders identified below may currently hold or acquire at any time Class A common stock in addition to those registered hereby.</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These rules generally attribute beneficial ownership of securities to persons who possess sole or shared voting power or investment power with respect to such securities, and to persons who have a right to acquire such securities, generally within 60 days. Except as otherwise indicated, all persons listed below have sole voting and investment power with respect to the shares beneficially owned by them. Unless otherwise noted, the mailing address of each listed beneficial owner is 111 W. 19th Street, 8th Floor, New York, New York 10011.</w:t>
      </w:r>
    </w:p>
    <w:p>
      <w:pPr>
        <w:spacing w:after="0" w:line="7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information in the below table (other than the percentages of our outstanding Class A common stock beneficially owned) in respect of the selling securityholders was furnished by or on behalf of the selling securityholders and is as of March 15, 2021. Except as may be noted in this section, none of the selling securityholders has, or within the past three years has had, any material relationship with us or any of our affiliates.</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Wesley R. Edens, Randal A. Nardone and all of the entities listed under “Selling Securityholders” in the table below are party to a shareholders’ agreement with us pursuant to which such parties and their respective permitted transferees have the right, in certain circumstances, to require us to register their shares of our Class A common stock under the Securities Act for sale into the public markets.</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No offer or sale under this prospectus may be made by any securityholder unless that holder is listed in the table below, in any supplement to this prospectus or in an amendment to the relevant registration statement that has become effective. We will supplement or amend this prospectus if applicable to include additional selling securityholders upon provision of all required information to us and subject to the terms of any relevant agreement between us and the selling securityholders.</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selling securityholders are not obligated to sell any of the Class A common stock offered by this prospectus. Because the selling securityholders identified in the table may sell some or all of the Class A common stock owned by them that are included in this prospectus, and because there are currently no agreements, arrangements or understandings with respect to the sale of any such Class A common stock, no estimate can be given as to the number of shares covered by this prospectus that will be held by the selling securityholders upon termination of this offering. Therefore, for the purposes of the following table, we have assumed that the selling securityholders will sell all of the Class A common stock beneficially owned by them that are covered by this prospectus, but will not sell any other Class A common stock that they may currently own.</w:t>
      </w:r>
    </w:p>
    <w:p>
      <w:pPr>
        <w:spacing w:after="0" w:line="14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1620" w:type="dxa"/>
            <w:vAlign w:val="bottom"/>
            <w:gridSpan w:val="3"/>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00" w:type="dxa"/>
            <w:vAlign w:val="bottom"/>
          </w:tcPr>
          <w:p>
            <w:pPr>
              <w:spacing w:after="0"/>
              <w:rPr>
                <w:sz w:val="13"/>
                <w:szCs w:val="13"/>
                <w:color w:val="auto"/>
              </w:rPr>
            </w:pPr>
          </w:p>
        </w:tc>
        <w:tc>
          <w:tcPr>
            <w:tcW w:w="16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5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90"/>
        </w:trPr>
        <w:tc>
          <w:tcPr>
            <w:tcW w:w="3400" w:type="dxa"/>
            <w:vAlign w:val="bottom"/>
          </w:tcPr>
          <w:p>
            <w:pPr>
              <w:spacing w:after="0"/>
              <w:rPr>
                <w:sz w:val="16"/>
                <w:szCs w:val="16"/>
                <w:color w:val="auto"/>
              </w:rPr>
            </w:pPr>
          </w:p>
        </w:tc>
        <w:tc>
          <w:tcPr>
            <w:tcW w:w="162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200" w:type="dxa"/>
            <w:vAlign w:val="bottom"/>
          </w:tcPr>
          <w:p>
            <w:pPr>
              <w:spacing w:after="0"/>
              <w:rPr>
                <w:sz w:val="16"/>
                <w:szCs w:val="16"/>
                <w:color w:val="auto"/>
              </w:rPr>
            </w:pP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Offered Hereby</w:t>
            </w: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After the Offering</w:t>
            </w:r>
          </w:p>
        </w:tc>
        <w:tc>
          <w:tcPr>
            <w:tcW w:w="0" w:type="dxa"/>
            <w:vAlign w:val="bottom"/>
          </w:tcPr>
          <w:p>
            <w:pPr>
              <w:spacing w:after="0"/>
              <w:rPr>
                <w:sz w:val="1"/>
                <w:szCs w:val="1"/>
                <w:color w:val="auto"/>
              </w:rPr>
            </w:pPr>
          </w:p>
        </w:tc>
      </w:tr>
      <w:tr>
        <w:trPr>
          <w:trHeight w:val="50"/>
        </w:trPr>
        <w:tc>
          <w:tcPr>
            <w:tcW w:w="3400" w:type="dxa"/>
            <w:vAlign w:val="bottom"/>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3400" w:type="dxa"/>
            <w:vAlign w:val="bottom"/>
          </w:tcPr>
          <w:p>
            <w:pPr>
              <w:spacing w:after="0"/>
              <w:rPr>
                <w:sz w:val="24"/>
                <w:szCs w:val="24"/>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20" w:type="dxa"/>
            <w:vAlign w:val="bottom"/>
          </w:tcPr>
          <w:p>
            <w:pPr>
              <w:jc w:val="right"/>
              <w:ind w:right="33"/>
              <w:spacing w:after="0" w:line="277"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2"/>
                <w:szCs w:val="12"/>
                <w:b w:val="1"/>
                <w:bCs w:val="1"/>
                <w:color w:val="auto"/>
              </w:rPr>
              <w:t>(1)</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60" w:type="dxa"/>
            <w:vAlign w:val="bottom"/>
          </w:tcPr>
          <w:p>
            <w:pPr>
              <w:jc w:val="right"/>
              <w:ind w:right="53"/>
              <w:spacing w:after="0" w:line="277"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98"/>
        </w:trPr>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Selling Securityholders</w:t>
            </w:r>
          </w:p>
        </w:tc>
        <w:tc>
          <w:tcPr>
            <w:tcW w:w="920" w:type="dxa"/>
            <w:vAlign w:val="bottom"/>
            <w:tcBorders>
              <w:top w:val="single" w:sz="8" w:color="auto"/>
              <w:bottom w:val="single" w:sz="8" w:color="CCEEFF"/>
            </w:tcBorders>
            <w:shd w:val="clear" w:color="auto" w:fill="CCEEFF"/>
          </w:tcPr>
          <w:p>
            <w:pPr>
              <w:spacing w:after="0"/>
              <w:rPr>
                <w:sz w:val="24"/>
                <w:szCs w:val="24"/>
                <w:color w:val="auto"/>
              </w:rPr>
            </w:pPr>
          </w:p>
        </w:tc>
        <w:tc>
          <w:tcPr>
            <w:tcW w:w="180" w:type="dxa"/>
            <w:vAlign w:val="bottom"/>
            <w:tcBorders>
              <w:top w:val="single" w:sz="8" w:color="CCEEFF"/>
              <w:bottom w:val="single" w:sz="8" w:color="CCEEFF"/>
            </w:tcBorders>
            <w:shd w:val="clear" w:color="auto" w:fill="CCEEFF"/>
          </w:tcPr>
          <w:p>
            <w:pPr>
              <w:spacing w:after="0"/>
              <w:rPr>
                <w:sz w:val="24"/>
                <w:szCs w:val="24"/>
                <w:color w:val="auto"/>
              </w:rPr>
            </w:pPr>
          </w:p>
        </w:tc>
        <w:tc>
          <w:tcPr>
            <w:tcW w:w="520" w:type="dxa"/>
            <w:vAlign w:val="bottom"/>
            <w:tcBorders>
              <w:top w:val="single" w:sz="8" w:color="auto"/>
              <w:bottom w:val="single" w:sz="8" w:color="CCEEFF"/>
            </w:tcBorders>
            <w:shd w:val="clear" w:color="auto" w:fill="CCEEFF"/>
          </w:tcPr>
          <w:p>
            <w:pPr>
              <w:spacing w:after="0"/>
              <w:rPr>
                <w:sz w:val="24"/>
                <w:szCs w:val="24"/>
                <w:color w:val="auto"/>
              </w:rPr>
            </w:pPr>
          </w:p>
        </w:tc>
        <w:tc>
          <w:tcPr>
            <w:tcW w:w="200" w:type="dxa"/>
            <w:vAlign w:val="bottom"/>
            <w:tcBorders>
              <w:top w:val="single" w:sz="8" w:color="CCEEFF"/>
              <w:bottom w:val="single" w:sz="8" w:color="CCEEFF"/>
            </w:tcBorders>
            <w:shd w:val="clear" w:color="auto" w:fill="CCEEFF"/>
          </w:tcPr>
          <w:p>
            <w:pPr>
              <w:spacing w:after="0"/>
              <w:rPr>
                <w:sz w:val="24"/>
                <w:szCs w:val="24"/>
                <w:color w:val="auto"/>
              </w:rPr>
            </w:pPr>
          </w:p>
        </w:tc>
        <w:tc>
          <w:tcPr>
            <w:tcW w:w="146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CCEEFF"/>
              <w:bottom w:val="single" w:sz="8" w:color="CCEEFF"/>
            </w:tcBorders>
            <w:shd w:val="clear" w:color="auto" w:fill="CCEEFF"/>
          </w:tcPr>
          <w:p>
            <w:pPr>
              <w:spacing w:after="0"/>
              <w:rPr>
                <w:sz w:val="24"/>
                <w:szCs w:val="24"/>
                <w:color w:val="auto"/>
              </w:rPr>
            </w:pPr>
          </w:p>
        </w:tc>
        <w:tc>
          <w:tcPr>
            <w:tcW w:w="800" w:type="dxa"/>
            <w:vAlign w:val="bottom"/>
            <w:tcBorders>
              <w:top w:val="single" w:sz="8" w:color="auto"/>
              <w:bottom w:val="single" w:sz="8" w:color="CCEEFF"/>
            </w:tcBorders>
            <w:shd w:val="clear" w:color="auto" w:fill="CCEEFF"/>
          </w:tcPr>
          <w:p>
            <w:pPr>
              <w:spacing w:after="0"/>
              <w:rPr>
                <w:sz w:val="24"/>
                <w:szCs w:val="24"/>
                <w:color w:val="auto"/>
              </w:rPr>
            </w:pPr>
          </w:p>
        </w:tc>
        <w:tc>
          <w:tcPr>
            <w:tcW w:w="180" w:type="dxa"/>
            <w:vAlign w:val="bottom"/>
            <w:tcBorders>
              <w:top w:val="single" w:sz="8" w:color="CCEEFF"/>
              <w:bottom w:val="single" w:sz="8" w:color="CCEEFF"/>
            </w:tcBorders>
            <w:shd w:val="clear" w:color="auto" w:fill="CCEEFF"/>
          </w:tcPr>
          <w:p>
            <w:pPr>
              <w:spacing w:after="0"/>
              <w:rPr>
                <w:sz w:val="24"/>
                <w:szCs w:val="24"/>
                <w:color w:val="auto"/>
              </w:rPr>
            </w:pPr>
          </w:p>
        </w:tc>
        <w:tc>
          <w:tcPr>
            <w:tcW w:w="560" w:type="dxa"/>
            <w:vAlign w:val="bottom"/>
            <w:tcBorders>
              <w:top w:val="single" w:sz="8" w:color="auto"/>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spacing w:after="0" w:line="296" w:lineRule="exact"/>
              <w:rPr>
                <w:sz w:val="20"/>
                <w:szCs w:val="20"/>
                <w:color w:val="auto"/>
              </w:rPr>
            </w:pPr>
            <w:r>
              <w:rPr>
                <w:rFonts w:ascii="Times New Roman" w:cs="Times New Roman" w:eastAsia="Times New Roman" w:hAnsi="Times New Roman"/>
                <w:sz w:val="18"/>
                <w:szCs w:val="18"/>
                <w:color w:val="auto"/>
              </w:rPr>
              <w:t>Fortress Equity Partners GP LLC</w:t>
            </w:r>
            <w:r>
              <w:rPr>
                <w:rFonts w:ascii="Times New Roman" w:cs="Times New Roman" w:eastAsia="Times New Roman" w:hAnsi="Times New Roman"/>
                <w:sz w:val="29"/>
                <w:szCs w:val="29"/>
                <w:color w:val="auto"/>
                <w:vertAlign w:val="superscript"/>
              </w:rPr>
              <w:t>(2)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13,399,317</w:t>
            </w: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6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13,399,317</w:t>
            </w:r>
          </w:p>
        </w:tc>
        <w:tc>
          <w:tcPr>
            <w:tcW w:w="200" w:type="dxa"/>
            <w:vAlign w:val="bottom"/>
          </w:tcPr>
          <w:p>
            <w:pPr>
              <w:spacing w:after="0"/>
              <w:rPr>
                <w:sz w:val="24"/>
                <w:szCs w:val="24"/>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3400" w:type="dxa"/>
            <w:vAlign w:val="bottom"/>
            <w:shd w:val="clear" w:color="auto" w:fill="CCEEFF"/>
          </w:tcPr>
          <w:p>
            <w:pPr>
              <w:spacing w:after="0" w:line="296" w:lineRule="exact"/>
              <w:rPr>
                <w:sz w:val="20"/>
                <w:szCs w:val="20"/>
                <w:color w:val="auto"/>
              </w:rPr>
            </w:pPr>
            <w:r>
              <w:rPr>
                <w:rFonts w:ascii="Times New Roman" w:cs="Times New Roman" w:eastAsia="Times New Roman" w:hAnsi="Times New Roman"/>
                <w:sz w:val="18"/>
                <w:szCs w:val="18"/>
                <w:color w:val="auto"/>
              </w:rPr>
              <w:t>NFE SMRS Holdings LLC</w:t>
            </w:r>
            <w:r>
              <w:rPr>
                <w:rFonts w:ascii="Times New Roman" w:cs="Times New Roman" w:eastAsia="Times New Roman" w:hAnsi="Times New Roman"/>
                <w:sz w:val="29"/>
                <w:szCs w:val="29"/>
                <w:color w:val="auto"/>
                <w:vertAlign w:val="superscript"/>
              </w:rPr>
              <w:t>(3)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34,701,279</w:t>
            </w: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6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34,701,279</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3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9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spacing w:after="0" w:line="296" w:lineRule="exact"/>
              <w:rPr>
                <w:sz w:val="20"/>
                <w:szCs w:val="20"/>
                <w:color w:val="auto"/>
              </w:rPr>
            </w:pPr>
            <w:r>
              <w:rPr>
                <w:rFonts w:ascii="Times New Roman" w:cs="Times New Roman" w:eastAsia="Times New Roman" w:hAnsi="Times New Roman"/>
                <w:sz w:val="18"/>
                <w:szCs w:val="18"/>
                <w:color w:val="auto"/>
              </w:rPr>
              <w:t>Wesley R. Edens</w:t>
            </w:r>
            <w:r>
              <w:rPr>
                <w:rFonts w:ascii="Times New Roman" w:cs="Times New Roman" w:eastAsia="Times New Roman" w:hAnsi="Times New Roman"/>
                <w:sz w:val="29"/>
                <w:szCs w:val="29"/>
                <w:color w:val="auto"/>
                <w:vertAlign w:val="superscript"/>
              </w:rPr>
              <w:t>(4)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72,627,776</w:t>
            </w: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66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72,627,776</w:t>
            </w:r>
          </w:p>
        </w:tc>
        <w:tc>
          <w:tcPr>
            <w:tcW w:w="200" w:type="dxa"/>
            <w:vAlign w:val="bottom"/>
          </w:tcPr>
          <w:p>
            <w:pPr>
              <w:spacing w:after="0"/>
              <w:rPr>
                <w:sz w:val="24"/>
                <w:szCs w:val="24"/>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3400" w:type="dxa"/>
            <w:vAlign w:val="bottom"/>
            <w:shd w:val="clear" w:color="auto" w:fill="CCEEFF"/>
          </w:tcPr>
          <w:p>
            <w:pPr>
              <w:spacing w:after="0" w:line="296" w:lineRule="exact"/>
              <w:rPr>
                <w:sz w:val="20"/>
                <w:szCs w:val="20"/>
                <w:color w:val="auto"/>
              </w:rPr>
            </w:pPr>
            <w:r>
              <w:rPr>
                <w:rFonts w:ascii="Times New Roman" w:cs="Times New Roman" w:eastAsia="Times New Roman" w:hAnsi="Times New Roman"/>
                <w:sz w:val="18"/>
                <w:szCs w:val="18"/>
                <w:color w:val="auto"/>
              </w:rPr>
              <w:t>Randal A. Nardone</w:t>
            </w:r>
            <w:r>
              <w:rPr>
                <w:rFonts w:ascii="Times New Roman" w:cs="Times New Roman" w:eastAsia="Times New Roman" w:hAnsi="Times New Roman"/>
                <w:sz w:val="29"/>
                <w:szCs w:val="29"/>
                <w:color w:val="auto"/>
                <w:vertAlign w:val="superscript"/>
              </w:rPr>
              <w:t>(5)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26,196,526</w:t>
            </w: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66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26,196,526</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Christopher S. Guinta</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279,518</w:t>
            </w:r>
          </w:p>
        </w:tc>
        <w:tc>
          <w:tcPr>
            <w:tcW w:w="1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279,518</w:t>
            </w:r>
          </w:p>
        </w:tc>
        <w:tc>
          <w:tcPr>
            <w:tcW w:w="200" w:type="dxa"/>
            <w:vAlign w:val="bottom"/>
          </w:tcPr>
          <w:p>
            <w:pPr>
              <w:spacing w:after="0"/>
              <w:rPr>
                <w:sz w:val="22"/>
                <w:szCs w:val="22"/>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3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Desmond Iain Catterall</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69,841</w:t>
            </w:r>
          </w:p>
        </w:tc>
        <w:tc>
          <w:tcPr>
            <w:tcW w:w="1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69,841</w:t>
            </w:r>
          </w:p>
        </w:tc>
        <w:tc>
          <w:tcPr>
            <w:tcW w:w="2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David J. Grain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114,294</w:t>
            </w:r>
          </w:p>
        </w:tc>
        <w:tc>
          <w:tcPr>
            <w:tcW w:w="1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114,294</w:t>
            </w:r>
          </w:p>
        </w:tc>
        <w:tc>
          <w:tcPr>
            <w:tcW w:w="200" w:type="dxa"/>
            <w:vAlign w:val="bottom"/>
          </w:tcPr>
          <w:p>
            <w:pPr>
              <w:spacing w:after="0"/>
              <w:rPr>
                <w:sz w:val="22"/>
                <w:szCs w:val="22"/>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3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 William Griffin</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333,429</w:t>
            </w:r>
          </w:p>
        </w:tc>
        <w:tc>
          <w:tcPr>
            <w:tcW w:w="1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333,429</w:t>
            </w:r>
          </w:p>
        </w:tc>
        <w:tc>
          <w:tcPr>
            <w:tcW w:w="2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John J. Mack</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1,178,013</w:t>
            </w:r>
          </w:p>
        </w:tc>
        <w:tc>
          <w:tcPr>
            <w:tcW w:w="1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1,178,013</w:t>
            </w:r>
          </w:p>
        </w:tc>
        <w:tc>
          <w:tcPr>
            <w:tcW w:w="200" w:type="dxa"/>
            <w:vAlign w:val="bottom"/>
          </w:tcPr>
          <w:p>
            <w:pPr>
              <w:spacing w:after="0"/>
              <w:rPr>
                <w:sz w:val="22"/>
                <w:szCs w:val="22"/>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3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Katherine E. Wanner</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77,129</w:t>
            </w:r>
          </w:p>
        </w:tc>
        <w:tc>
          <w:tcPr>
            <w:tcW w:w="1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77,129</w:t>
            </w:r>
          </w:p>
        </w:tc>
        <w:tc>
          <w:tcPr>
            <w:tcW w:w="2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Matthew Wilkinson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78,610</w:t>
            </w:r>
          </w:p>
        </w:tc>
        <w:tc>
          <w:tcPr>
            <w:tcW w:w="1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78,610</w:t>
            </w:r>
          </w:p>
        </w:tc>
        <w:tc>
          <w:tcPr>
            <w:tcW w:w="200" w:type="dxa"/>
            <w:vAlign w:val="bottom"/>
          </w:tcPr>
          <w:p>
            <w:pPr>
              <w:spacing w:after="0"/>
              <w:rPr>
                <w:sz w:val="22"/>
                <w:szCs w:val="22"/>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-2639695</wp:posOffset>
            </wp:positionV>
            <wp:extent cx="120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-2639695</wp:posOffset>
            </wp:positionV>
            <wp:extent cx="603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-2639695</wp:posOffset>
            </wp:positionV>
            <wp:extent cx="603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-2639695</wp:posOffset>
            </wp:positionV>
            <wp:extent cx="120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-2639695</wp:posOffset>
            </wp:positionV>
            <wp:extent cx="603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137160</wp:posOffset>
            </wp:positionV>
            <wp:extent cx="8229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41" w:lineRule="exact"/>
        <w:rPr>
          <w:sz w:val="20"/>
          <w:szCs w:val="20"/>
          <w:color w:val="auto"/>
        </w:rPr>
      </w:pPr>
    </w:p>
    <w:p>
      <w:pPr>
        <w:ind w:left="640" w:hanging="348"/>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one percent of shares outstanding. See footnote (1).</w:t>
      </w:r>
    </w:p>
    <w:p>
      <w:pPr>
        <w:spacing w:after="0" w:line="42" w:lineRule="exact"/>
        <w:rPr>
          <w:sz w:val="20"/>
          <w:szCs w:val="20"/>
          <w:color w:val="auto"/>
        </w:rPr>
      </w:pPr>
    </w:p>
    <w:p>
      <w:pPr>
        <w:ind w:left="640" w:hanging="348"/>
        <w:spacing w:after="0"/>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15, 2021, we had 175,320,414 shares of Class A common stock outstanding.</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40" w:right="299" w:hanging="348"/>
        <w:spacing w:after="0" w:line="233" w:lineRule="auto"/>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Fortress Equity Partners GP LLC (“Fortress Equity GP”) beneficially owns 13,399,317 shares of our Class A common stock. Fortress Operating Entity I LP (“FOE I” and, together with Fortress Equity GP, the “Fortress Parties”) is the sole member of Fortress Equity GP. The address for the Fortress Parties is c/o Fortress Investment Group LLC, 1345 Avenue of the Americas, 46th Floor, New York, NY 10105, Attention: Michael Cohn. Messers Edens and Nardone are officers of FOE I and each disclaim beneficial ownership of the shares of Class A common stock beneficially owned by Fortress Equity GP.</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Great Mountain Partners LLC is the manager of NFE SMRS Holdings LLC and Mr. Rotolo and Mr. Thomson are the managers of Great Mountain Partners LLC. Mr. Rotolo and Mr. Thomson may be deemed to have shared voting and investment power over the shares of Class A common stock held by NFE SMRS Holdings LLC. The address of NFE SMRS Holdings LLC is 10 Station Place, P.O. Box 233, Norfolk, Connecticut 06058.</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55,015,024 shares of Class A common stock held by Mr. Edens and 17,612,751 shares of Class A common stock held by WRE 2012 Trust LLC (“WRE Trust”), a limited liability company organized under the laws of the State of Delaware. Mr. Edens has the sole right to receive or direct the receipt of dividends on, and the proceeds from, the sale of all such shares. NFE WE LLC and NFE RN LLC, each controlled by Mr. Edens together with Mr. Nardone, have the right to appoint six of the eight members to the Company’s board of directors.</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Nardone has the sole right to receive or direct the receipt of dividends on, and the proceeds from, the sale of all such shares of Class A common stock. NFE WE LLC and NFE RN LLC, each controlled by Mr. Nardone together with Mr. Edens, have the right to appoint six of the eight members to the Company’s board of directors.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OUR OPERATING AGREEMENT AND PROVISIONS OF DELAWARE LAW</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Organization and Duration</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Our limited liability company was formed on August 6, 2018, and will remain in existence until dissolved in accordance with our operating agreement.</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Under our operating agreement, we are permitted to engage in any business activity that lawfully may be conducted by a limited liability company organized under Delaware law and, in connection therewith, to exercise all of the rights and powers conferred upon us pursuant to the agreements relating to such business activity.</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Agreement to be Bound by our Operating Agreement; Power of Attorney</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By purchasing our Class A common stock, you will be admitted as a member of our limited liability company and will be deemed to have agreed to be bound by the terms of our operating agreement. Pursuant to this agreement, each Class A stockholder and each person who acquires Class A common stock from a Class A stockholder grants to certain of our officers (and, if appointed, a liquidator) a power of attorney to, among other things, execute and file documents required for our qualification, continuance or dissolution. The power of attorney also grants certain of our officers the authority to make certain amendments to, and to make consents and waivers under and in accordance with, our operating agreement.</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Amendment of Our Operating Agreement</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Amendments to our operating agreement may be proposed only by or with the consent of our board of directors. To adopt a proposed amendment, our board of directors is required to seek written approval of the holders of the number of shares required to approve the amendment or call a meeting of our shareholders to consider and vote upon the proposed amendment. Except as set forth below, an amendment must be approved by holders of a majority of the outstanding shares.</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Prohibited Amendments</w:t>
      </w:r>
      <w:r>
        <w:rPr>
          <w:rFonts w:ascii="Times New Roman" w:cs="Times New Roman" w:eastAsia="Times New Roman" w:hAnsi="Times New Roman"/>
          <w:sz w:val="18"/>
          <w:szCs w:val="18"/>
          <w:color w:val="auto"/>
        </w:rPr>
        <w:t>. No amendment may be made that would:</w:t>
      </w:r>
    </w:p>
    <w:p>
      <w:pPr>
        <w:spacing w:after="0" w:line="119" w:lineRule="exact"/>
        <w:rPr>
          <w:sz w:val="20"/>
          <w:szCs w:val="20"/>
          <w:color w:val="auto"/>
        </w:rPr>
      </w:pPr>
    </w:p>
    <w:p>
      <w:pPr>
        <w:ind w:left="1000" w:right="31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enlarge the obligations of any shareholder without such shareholder’s consent, unless approved by at least a majority of the type or class of shares so affected;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we are not dissolved upon an election to dissolve our limited liability company by our board of directors that is approved by holders of a majority of the outstanding shares;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term of existence of our company; or</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any person the right to dissolve our limited liability company other than our board of directors’ right to dissolve our limited liability company with the approval of holders of a majority of the total combined voting power of our outstanding shares.</w:t>
      </w:r>
    </w:p>
    <w:p>
      <w:pPr>
        <w:spacing w:after="0" w:line="68"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provision of our operating agreement preventing the amendments having the effects described in any of the clauses above can be amended upon the approval of holders of at least two-thirds of the outstanding shares.</w:t>
      </w:r>
    </w:p>
    <w:p>
      <w:pPr>
        <w:spacing w:after="0" w:line="52" w:lineRule="exact"/>
        <w:rPr>
          <w:sz w:val="20"/>
          <w:szCs w:val="20"/>
          <w:color w:val="auto"/>
        </w:rPr>
      </w:pPr>
    </w:p>
    <w:p>
      <w:pPr>
        <w:ind w:left="300" w:right="3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No Shareholder Approval</w:t>
      </w:r>
      <w:r>
        <w:rPr>
          <w:rFonts w:ascii="Times New Roman" w:cs="Times New Roman" w:eastAsia="Times New Roman" w:hAnsi="Times New Roman"/>
          <w:sz w:val="18"/>
          <w:szCs w:val="18"/>
          <w:color w:val="auto"/>
        </w:rPr>
        <w:t>. Our board of directors may generally make amendments to our operating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the approval of any shareholder or assignee to reflect:</w:t>
      </w:r>
    </w:p>
    <w:p>
      <w:pPr>
        <w:spacing w:after="0" w:line="52" w:lineRule="exact"/>
        <w:rPr>
          <w:sz w:val="20"/>
          <w:szCs w:val="20"/>
          <w:color w:val="auto"/>
        </w:rPr>
      </w:pPr>
    </w:p>
    <w:p>
      <w:pPr>
        <w:ind w:left="1000" w:right="29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our name, the location of our principal place of our business, our registered agent or our registered office;</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admission, substitution, withdrawal or removal of shareholders in accordance with our operating agreement;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of our company or any of its subsidiaries into, or the conveyance of all of our assets to, a newly-formed entity if the sole purpose of that merger or conveyance is to effect a mere change in our legal form into another limited liability entity;</w:t>
      </w:r>
    </w:p>
    <w:p>
      <w:pPr>
        <w:spacing w:after="0" w:line="6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that our board of directors determines to be necessary or appropriate for us to qualify or continue our qualification as a company in which our members have limited liability under the laws of any state;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our legal form from a limited liability company to a corporation;</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that our board of directors determines, based upon the advice of counsel, to be necessary or appropriate to prevent us, members of our board, or our officers, agents or trustees from in any manner being subjected to the provisions of the Investment Company Act of 1940, the Investment Advisers Act of 1940, or “plan asset” regulations adopted under the Employee Retirement Income Security Act of 1974, or ERISA, whether or not substantially similar to plan asset regulations currently applied or proposed;</w:t>
      </w:r>
    </w:p>
    <w:p>
      <w:pPr>
        <w:spacing w:after="0" w:line="75"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that our board of directors determines to be necessary or appropriate for the authorization of additional securities;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expressly permitted in our operating agreement to be made by our board of directors acting alone;</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effected, necessitated or contemplated by a merger agreement that has been approved under the terms of our operating agreement;</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that our board of directors determines to be necessary or appropriate for the formation by us of, or our investment in, any corporation, partnership or other entity, as otherwise permitted by our operating agreement;</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our fiscal year or taxable year and related changes;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amendments substantially similar to any of the matters described in the clauses above.</w:t>
      </w:r>
    </w:p>
    <w:p>
      <w:pPr>
        <w:spacing w:after="0" w:line="117"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In addition, our board of directors may make amendments to our operating agreement without the approval of any shareholder or assignee if our board of directors determines that those amendments:</w:t>
      </w:r>
    </w:p>
    <w:p>
      <w:pPr>
        <w:spacing w:after="0" w:line="54" w:lineRule="exact"/>
        <w:rPr>
          <w:sz w:val="20"/>
          <w:szCs w:val="20"/>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adversely affect the shareholders in any material respect;</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necessary or appropriate to facilitate the trading of shares or to comply with any rule, regulation, guideline or requirement of any securities exchange on which the shares are or will be listed for trading, compliance with any of which our board of directors deems to be in the best interests of us and our shareholders;</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necessary or appropriate for any action taken by our board of directors relating to splits or combinations of shares under the provisions of our operating agreement; or</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required to effect the intent expressed in this prospectus or the intent of the provisions of our operating agreement or are otherwise contemplated by our operating agreement.</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Termination and Dissolution</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will continue as a limited liability company until terminated under our operating agreement. We will dissolve upon: (1) the election of our board of directors to dissolve us, if approved by holders of a majority of our outstanding shares; (2) the sale, exchange or other disposition of all or substantially all of our assets and those of our subsidiaries; (3) the entry of a decree of judicial dissolution of our limited liability company; or (4) at any time that we no longer have any shareholders, unless our business is continued in accordance with the Delaware LLC Act.</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Books and Reports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We are required to keep appropriate books of our business at our principal offices. The books are maintained for both tax and financial reporting purposes on an accrual basis. For financial reporting purposes and for tax purposes, our fiscal year is the calendar year. Our operating agreement provides that our shareholders have the right, subject to certain restrictions stated therein, to obtain access to certain of our books and records upon reasonable demand for any purpose reasonably related to such shareholder’s interest as a shareholder;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we are only be required to provide access to our books and records to shareholders who have held over 1% of our total outstanding shares for a period of at least one year from the date of such request. We use reasonable efforts to furnish to you an annual report containing audited consolidated financial statements and a report on those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consolidated financial statements by our independent public accountants. We are be deemed to have made any such report available if we file such report with the SEC on EDGAR or make the report available on a publicly available website that we maintain.</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Operating Agreement</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following is a summary of certain provisions of our operating agreement that may be deemed to have an anti-takeover effect and may delay, deter or prevent a tender offer or takeover attempt that a shareholder might consider to be in its best interest, including those attempts that might result in a premium over the market price for the Class A common stock held by Class A stockholders.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Issuance of Additional Interests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Our operating agreement authorizes us to issue an unlimited number of additional limited liability company interests for the consideration and on the terms and conditions determined by our board of directors without the approval of the shareholders, subject to the requirements of NASDAQ. These additional limited liability company interests may be utilized for a variety of corporate purposes, including future offerings to raise additional capital and corporate acquisitions. The existence of authorized but unissued limited liability company interests could render more difficult or discourage an attempt to obtain control over us by means of a proxy contest, tender offer, merger or otherwise.</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Delaware Business Combination Statute—Section 203</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We are a limited liability company organized under Delaware law. Some provisions of Delaware law may delay or prevent a transaction that would cause a change in our control.</w:t>
      </w:r>
    </w:p>
    <w:p>
      <w:pPr>
        <w:spacing w:after="0" w:line="5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Section 203 of the DGCL, which restricts certain business combinations with interested shareholders in certain situations, does not apply to limited liability companies unless they elect to utilize it. Our operating agreement does not currently elect to have Section 203 of the DGCL apply to us. In general, this statute prohibits a publicly held Delaware corporation from engaging in a business combination with an interested shareholder for a period of three years after the date of the transaction by which that person became an interested shareholder, unless the business combination is approved in a prescribed manner.</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Provisions of Our Operating Agreement</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Our operating agreement provides that our board shall consist of not fewer than three and not more than nine directors as the board of directors may from time to time determine, subject to the consent rights of the Consenting Entities described under “—Consent Rights” below. Our board of directors is divided into three classes that are, as nearly as possible, of equal size. Each class of directors is elected for a three-year term of office, but the terms are staggered so that the term of only one class of directors expires at each annual general meeting. We believe that classification of our board of directors will help to assure the continuity and stability of our business strategies and policies as determined by our board of directors. Additionally, there is no cumulative voting in the election of directors. This classified board provision could have the effect of making the replacement of incumbent directors more time consuming and difficult. At least two annual meetings of shareholders, instead of one, will generally be required to effect a change in a majority of our board of directors.</w:t>
      </w:r>
    </w:p>
    <w:p>
      <w:pPr>
        <w:spacing w:after="0" w:line="86"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classified board provision could increase the likelihood that incumbent directors will retain their positions. The staggered terms of directors may delay, defer or prevent a tender offer or an attempt to change control of us, even though a tender offer or change in control might be believed by our shareholders to be in their best interest.</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addition, our operating agreement provides that any director or the entire board of directors may be removed, with or without cause, at any time, by holders of a majority of the total combined voting power of all of our outstanding Class A common stock and Class B common stock then entitled to vote at an election of directors.</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addition, our board of directors shall have the power to appoint a person as a director to fill a vacancy on our board occurring as a result of the death, disability, disqualification removal or resignation of a director, or as a result of an increase in the size of our board of directors.</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Pursuant to our operating agreement, preferred shares may be issued from time to time, and the board of directors is authorized to determine and alter all designations, preferences, rights, powers and duties without limitation. See “Description of Shares—Preferred Shares.” Our operating agreement does not provide our shareholders with the ability to call a special meeting of the shareholders.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Ability of Our Shareholders to Act</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Our operating agreement does not permit our shareholders to call special shareholders meetings. Special meetings of shareholders may be called by a majority of the board of directors or a committee of the board of directors that has been duly designated by the board of directors and whose powers include the authority to call such meetings. Written notice of any special meeting so called shall be given to each shareholder of record entitled to vote at such meeting not less than 10 or more than 60 days before the date of such meeting, unless otherwise required by law.</w:t>
      </w:r>
    </w:p>
    <w:p>
      <w:pPr>
        <w:spacing w:after="0" w:line="7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Our operating agreement also prohibits our shareholders from consenting in writing to take any action in lieu of taking such action at a duly called annual or special meeting of our shareholders.</w:t>
      </w:r>
    </w:p>
    <w:p>
      <w:pPr>
        <w:spacing w:after="0" w:line="5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Our operating agreement provides that nominations of persons for election to our board of directors may be made at any annual meeting of our shareholders, or at any special meeting of our shareholders called for the purpose of electing directors, (a) by or at the direction of our board of directors or (b) by certain shareholders. In addition to any other applicable requirements, for business to be properly brought before an annual meeting by a shareholder, such shareholder must have given timely notice thereof in proper written form to our secretary. To be timely, a shareholder’s notice must be delivered to or mailed and received at our principal executive offices (i) in the case of an annual meeting, not less than 90 days nor more than 120 days prior to the anniversary of the date on which we first made publicly available (whether by mailing, by filing with the SEC or by posting on an internet website) our proxy materials for the immediately preceding annual meeting of shareholders;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that the annual meeting is called for a date that is not within 30 days before or after such anniversary date, notice by a shareholder in order to be timely must be so received not later than the close of business on the tenth day following the day on which such notice of the date of the annual meeting was mailed or such public disclosure of the date of the annual meeting was made, whichever first occurs and (ii) in the case of a special meeting, not later than the tenth day following the day on which such notice of the date of the special meeting was mailed or such public disclosure of the date of the special meeting was made, whichever first occurs.</w:t>
      </w:r>
    </w:p>
    <w:p>
      <w:pPr>
        <w:spacing w:after="0" w:line="3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Removal of Members of Our Board of Directors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 director or the entire board of directors may be removed, with or without cause, at any time, by holders of at least 80% of the total combined voting power of all of our outstanding Class A common stock and Class B common stock then entitled to vote at an election of directors. The vacancy in the board of directors caused by any such removal would be filled by a vote of the majority of directors then in office.</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Limited Liability</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Delaware LLC Act provides that a member who receives a distribution from a Delaware limited liability company and knew at the time of the distribution that the distribution was in violation of the Delaware LLC Act shall be liable to the company for the amount of the distribution for three years. Under the Delaware LLC Act, a limited liability company may not make a distribution to a member if, after the distribution, all liabilities of the company, other than liabilities to members on account of their shares and liabilities for which the recourse of creditors is limited to specific property of the company, would exceed the fair value of the assets of the company. For the purpose of determining the fair value of the assets of a company, the Delaware LLC Act provides that the fair value of property subject to liability for which recourse of creditors is limited shall be included in the assets of the company only to the extent that the fair value of that property exceeds the nonrecourse liability.</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Forum Selection</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Our operating agreement provides that unless we consent in writing to the selection of an alternative forum, the Court of Chancery of the State of Delaware will, to the fullest extent permitted by applicable law, be the sole and exclusive forum for:</w:t>
      </w:r>
    </w:p>
    <w:p>
      <w:pPr>
        <w:spacing w:after="0" w:line="68" w:lineRule="exact"/>
        <w:rPr>
          <w:sz w:val="20"/>
          <w:szCs w:val="20"/>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of our directors, officers, employees or agents to us or our shareholders;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299" w:hanging="348"/>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director or officer or other employee of ours arising pursuant to any provision of the Delaware LLC Act or our operating agreement; or</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director or officer or other employee of ours that is governed by the internal affairs doctrine, in each such case subject to such Court of Chancery having personal jurisdiction over the indispensable parties named as defendants therein.</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exclusive forum provision would not apply to suits brought to enforce any liability or duty created by the Securities Act of 1933, as amended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w:t>
      </w:r>
    </w:p>
    <w:p>
      <w:pPr>
        <w:spacing w:after="0" w:line="8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Our operating agreement also provides that any person or entity purchasing or otherwise acquiring any interest in our shares is deemed to have notice of, and to have consented to, this forum selection provision. Although we believe these provisions benefit us by providing increased consistency in the application of Delaware law for the specified types of actions and proceedings, the provisions may have the effect of discouraging lawsuits against our directors, officers, employees and agents. The enforceability of similar exclusive forum provisions in other companies’ operating agreements or certificates of incorporation has been challenged in legal proceedings, and it is possible that, in connection with one or more actions or proceedings described above, a court could rule that this provision in our operating agreement is inapplicable or unenforceable.</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Consent Rights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So long as the Consenting Entities and their affiliates collectively, directly or indirectly, own at least 30% of the outstanding Class A common stock and Class B common stock, we have agreed not to take, and will take all necessary action to cause our subsidiaries not to take, the following direct or indirect actions (or enter into an agreement to take such actions) without the prior consent of each of the Consenting Entities (so long as such Consenting Entity or its Affiliates owns at least one share):</w:t>
      </w:r>
    </w:p>
    <w:p>
      <w:pPr>
        <w:spacing w:after="0" w:line="75" w:lineRule="exact"/>
        <w:rPr>
          <w:sz w:val="20"/>
          <w:szCs w:val="20"/>
          <w:color w:val="auto"/>
        </w:rPr>
      </w:pPr>
    </w:p>
    <w:p>
      <w:pPr>
        <w:ind w:left="1000" w:right="31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through any acquisition, disposition of assets or otherwise, in the nature of our business or operations and our subsidiaries as of the date of our operating agreement;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terminating Wesley Edens as our chief executive officer or as Chairman of the Board of Directors and hiring or appointing his successor;</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that, if consummated, would constitute a Change of Control (as defined in our operating agreement) or entering into any definitive agreement or series of related agreements that govern any transaction or series of related transactions that, if consummated, would result in a Change of Control;</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or decrease in the size of the Board of Directors, committees of the Board of Directors and board and committees of our subsidiaries;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voluntary election by us or any of our subsidiaries to liquidate or dissolve or commence bankruptcy or insolvency proceedings or the adoption of a plan with respect to any of the foregoing; and</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modification or waiver of our operating agreement or any other of our governing documents following the date of our operating agreement that materially and adversely affects any Consenting Entity or any of their affiliates.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Opportunity</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our operating agreement, to the extent permitted by law:</w:t>
      </w:r>
    </w:p>
    <w:p>
      <w:pPr>
        <w:spacing w:after="0" w:line="117" w:lineRule="exact"/>
        <w:rPr>
          <w:sz w:val="20"/>
          <w:szCs w:val="20"/>
          <w:color w:val="auto"/>
        </w:rPr>
      </w:pPr>
    </w:p>
    <w:p>
      <w:pPr>
        <w:jc w:val="both"/>
        <w:ind w:left="1000" w:right="319" w:hanging="348"/>
        <w:spacing w:after="0" w:line="266"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NFEH and its respective affiliates have the right to, and have no duty to abstain from, exercising such right to, engage or invest in the same or similar business as us, do business with any of our clients, customers or vendors or employ or otherwise engage any of our officers, directors or employees;</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NFEH and its respective affiliates or any of their officers, directors or employees acquire knowledge of a potential transaction that could be a corporate opportunity, it has no duty to offer such corporate opportunity to us, our Class A shareholders or affiliates;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renounced any interest or expectancy in, or in being offered an opportunity to participate in, such corporate opportunities;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any of our directors and officers who is also a director, officer or employee of NFEH and their respective affiliates acquire knowledge of a corporate opportunity or is offered a corporate opportunity,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knowledge was not acquired solely in such person’s capacity as our director or officer and such person acted in good faith, then such person is deemed to have fully satisfied such person’s fiduciary duty and is not liable to us if NFEH and their respective affiliates pursues or acquires the corporate opportunity or if such person did not present the corporate opportunity to us.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We or the selling securityholders may sell the securities being offered hereby in one or more of the following ways from time to time:</w:t>
      </w:r>
    </w:p>
    <w:p>
      <w:pPr>
        <w:spacing w:after="0" w:line="54" w:lineRule="exact"/>
        <w:rPr>
          <w:sz w:val="20"/>
          <w:szCs w:val="20"/>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underwriters for resale to purchasers;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or dealers to purchasers;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“at-the market” offerings (as defined in Rule 415 under the Securities Act of 1933);</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by applicable law and described in a prospectus supplement.</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any accompanying prospectus supplement. If so, the third party may use securities borrowed from us or others to settle such sales and may use securities received from us to close out any related short positions. We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identify the specific plan of distribution in a prospectus supplement, including:</w:t>
      </w:r>
    </w:p>
    <w:p>
      <w:pPr>
        <w:spacing w:after="0" w:line="117" w:lineRule="exact"/>
        <w:rPr>
          <w:sz w:val="20"/>
          <w:szCs w:val="20"/>
          <w:color w:val="auto"/>
        </w:rPr>
      </w:pP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underwriters, dealers, agents or direct purchasers and their compensation;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net proceeds we will receive from the sale;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obligations to take the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underwriters’ obligations to take the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selling securityholders, if applicable;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facts material to the transaction.</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Underwriters, dealers and agents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If we use underwriters in an offering, we will execute an underwriting agreement with such underwriters and will specify the name of each underwriter and the terms of the transaction (including any underwriting discounts and other terms constituting compensation of the underwriters and any dealers) in a prospectus supplement. If we use an underwriting syndicate, the managing underwriter(s) will be specified on the cover of the prospectus supplement. If we use underwriters for a sale of securities, the underwriters will acquire the securities for their own accounts. The underwriters may resell the securities from time to time in one or more transactions, including negotiated transactions, at a fixed public offering price or at varying prices determined at the time of sale. Any public offering price and any discounts or concessions allowed or reallowed or paid to dealers may be changed from time to time. Unless otherwise set forth in the prospectus supplement, the obligations of the underwriters to purchase the offered securities will be subject to conditions precedent and the underwriters will be obligated to purchase all of the offered securities if any are purchased.</w:t>
      </w:r>
    </w:p>
    <w:p>
      <w:pPr>
        <w:spacing w:after="0" w:line="8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If dealers are used in an offering, we may sell the securities to the dealers as principals. The dealers then may resell the securities to the public at varying prices which they determine at the time of resale. The names of the dealers and the terms of the transaction will be specified in a prospectus supplement.</w:t>
      </w:r>
    </w:p>
    <w:p>
      <w:pPr>
        <w:spacing w:after="0" w:line="68"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If agents are used in an offering, the names of the agents and the terms of the agency will be specified in a prospectus supplement. Unless otherwise indicated in a prospectus supplement, the agents will act on a best-efforts basis for the period of their appointment.</w:t>
      </w:r>
    </w:p>
    <w:p>
      <w:pPr>
        <w:spacing w:after="0" w:line="68"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Dealers and agents named in a prospectus supplement may be underwriters as defined in the Securities Act of 1933 and any discounts or commissions they receive from us and any profit on their resale of the securities may be treated as underwriting discounts and commissions under the Securities Act of 1933. We will identify in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applicable prospectus supplement any underwriters, dealers or agents and will describe their compensation. We may have agreements with the underwriters, dealers and agents to indemnify them against specified civil liabilities, including liabilities under the Securities Act of 1933.</w:t>
      </w:r>
    </w:p>
    <w:p>
      <w:pPr>
        <w:spacing w:after="0" w:line="68"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Underwriters, dealers or agents and their associates may engage in other transactions with and perform other services for us in the ordinary course of business.</w:t>
      </w:r>
    </w:p>
    <w:p>
      <w:pPr>
        <w:spacing w:after="0" w:line="5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so indicated in a prospectus supplement, we will authorize underwriters or other persons acting as our agents to solicit offers by institutional investors to purchase securities pursuant to contracts providing for payment and delivery on a future date. We may enter contracts with commercial and savings banks, insurance companies, pension funds, investment companies, educational and charitable institutions and other institutional investors. The obligations of any institutional investor will be subject to the condition that its purchase of the offered securities will not be illegal at the time of delivery. The underwriters and other agents will not be responsible for the validity or performance of contracts.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 sales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sell securities directly to one or more purchasers without using underwriters or agents.</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At-the-market offerings</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We may also sell the securities offered by any applicable prospectus supplement in “at-the-market offerings” within the meaning of Rule 415 of the Securities Act of 1933, to or through a market maker or into an existing trading market, on an exchange or otherwise.</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Trading markets and listing of securities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each class or series of securities will be a new issue with no established trading market, other than our Class A common stock, which is listed on NASDAQ Global Select Market. We may elect to list any other class or series of securities on any exchange,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Stabilization activities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 connection with an offering, an underwriter may purchase and sell securities in the open market. These transactions may include short sales, stabilizing transactions and purchases to cover positions created by short sales. Short sales involve the sale by the underwriters of a greater number of securities than they are required to purchase in the offering. “Covered” short sales are sales made in an amount not greater than the underwriters’ option to purchase additional securities, if any, from us in the offering. If the underwriters have an over-allotment option to purchase additional securities from us, the underwriters may close out any covered short position by either exercising their over-allotment option or purchasing securities in the open market. In determining the source of securities to close out the covered short position, the underwriters may consider, among other things, the price of securities available for purchase in the open market as compared to the price at which they may purchase securities through the over-allotment option. “Naked” short sales are any sales in excess of such option or where the underwriters do not have an over-allotment option. The underwriters must close out any naked short position by purchasing securities in the open market. A naked short position is more likely to be created if the underwriters are concerned that there may be downward pressure on the price of the securities in the open market after pricing that could adversely affect investors who purchase in the offering.</w:t>
      </w:r>
    </w:p>
    <w:p>
      <w:pPr>
        <w:spacing w:after="0" w:line="8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Accordingly, to cover these short sales positions or to otherwise stabilize or maintain the price of the securities, the underwriters may bid for or purchase securities in the open market and may impose penalty bids. If penalty bids are imposed, selling concessions allowed to syndicate members or other broker-dealers participating in the offering are reclaimed if securities previously distributed in the offering are repurchased, whether in connection with stabilization transactions or otherwise. The effect of these transactions may be to stabilize or maintain the market price of the securities at a level above that which might otherwise prevail in the open market. The impositions of a penalty bid may also affect the price of the securities to the extent that it discourages resale of the securities. The magnitude or effect of any stabilization or other transactions is uncertain. These transactions may be effected on NASDAQ Global Select Market or otherwise and, if commenced, may be discontinued at any time.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 FOR NON-U.S. HOLDERS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9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following is a summary of U.S. federal income considerations generally applicable to non-U.S. holders (as defined below) of the ownership and disposition of our Class A common stock. The following summary is based on current provisions of the Internal Revenue Code of 1986, as amended, or the Code, Treasury regulations and judicial and administrative authority, all of which are subject to change or differing interpretation, possibly with retroactive effect. State, local, foreign, and estate tax consequences are not summarized, nor are tax consequences to special classes of investors or investors subject to special rules, including, but not limited to, certain former citizens and former long-term residents of the United States, a “controlled foreign corporation,” a “passive foreign investment company,” a corporation that accumulates earnings to avoid U.S. federal income tax, a partnership or other “pass through” entity or an investor in any such entity, a holder who is subject to special exemptions or other special rules under the Foreign Investment in Real Property Tax Act of 1980 (“FIRPTA”), persons who own (actually or constructively) more than 5% of our Class A common stock, a tax-exempt organization, a bank or other financial institution, a broker, dealer or trader in securities, commodities or currencies, a person holding our Class A common stock as part of a hedging, conversion, straddle, constructive sale or other risk reduction transaction or an insurance company. Tax consequences may vary depending upon the particular status of an investor. The summary is limited to non-U.S. holders who purchase our Class A common stock for cash pursuant to an offering under this prospectus and who hold our Class A common stock as a “capital asset“(generally, property held for investment). Each potential investor should consult its tax advisor as to the U.S. federal, state, local, foreign and any other tax consequences of the purchase, ownership and disposition of our Class A common stock.</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For purposes of this summary, the term “non-U.S. holder” means a beneficial owner of our Class A common stock (other than a partnership or other pass-through entity) that is not: a citizen or individual resident of the United States; a corporation (or other entity treated as a corporation for U.S. federal income tax purposes) organized in or under the laws of the United States, any state thereof or the District of Columbia; an estate the income of which is subject to U.S. federal income taxation regardless of its source; or a trust if (i) a court within the United States is able to exercise primary supervision over the administration of the trust and one or more U.S. persons have the authority to control all substantial decisions of the trust, or (ii) the trust has a valid election in effect to be treated as a U.S. person.</w:t>
      </w:r>
    </w:p>
    <w:p>
      <w:pPr>
        <w:spacing w:after="0" w:line="8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a partnership (including any entity or arrangement treated as a partnership for U.S. federal income tax purposes) holds our Class A common stock, the tax treatment of a partner in the partnership will generally depend upon the status of the partner and the activities of the partnership. If you are a partnership or a partner in a partnership holding our Class A common stock, you should consult your tax advisor as to the particular U.S. federal income tax consequences applicable to you.</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Distributions with respect to our Class A common stock will be treated as dividends to the extent paid from our current or accumulated earnings and profits as determined for U.S. federal income tax purposes. If a distribution exceeds our current and accumulated earnings and profits, then subject to the next sentence, the excess will be treated first as a return of capital to the extent of a holder’s adjusted tax basis in our Class A common stock and thereafter as capital gain from the sale or exchange of such Class A common stock, subject to the tax treatment described below in “—Dispositions.” If we are or become a U.S. real property holding corporation (as described below), we may be required to withhold 15% of any distribution to a non-U.S. holder that exceeds our current and accumulated earnings and profits if either our Class A common stock are not then treated as regularly traded on an established securities market or the non-U.S. holder owns in excess of 5% of our Class A common stock.</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Generally, distributions treated as dividends paid to a non-U.S. holder with respect to our Class A common stock will be subject to a 30% U.S. withholding tax, or such lower rate as may be specified by an applicable income tax treaty. Distributions treated as dividends that are effectively connected with such non-U.S. holder’s conduct of a trade or business within the United States (and, if required by an applicable tax treaty, are attributable to a U.S. permanent establishment of such non-U.S. holder) are generally subject to U.S. federal income tax on a net income basis in the same manner as if the non-U.S. holder were a U.S. person and are exempt from the 30% withholding tax (assuming compliance with certain certification requirements). Any such effectively connected distributions received by a non-U.S. holder that is a corporation may also, under certain circumstances, be subject to an additional “branch profits tax” at a rate of 30% (or lower applicable treaty rate).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To claim the benefit of an applicable tax treaty or an exemption from withholding because the income is effectively connected with the non-U.S. holder’s conduct of a trade or business in the United States, a non-U.S. holder generally will be required to provide a properly executed Internal Revenue Service Form W-8BEN or W-8BEN-E (if the holder is claiming the benefits of an income tax treaty) or Form W-8ECI (for income effectively connected with a trade or business in the United States) or other suitable form. Non-U.S. holders should consult their tax advisors regarding their entitlement to benefits under a relevant tax treaty.</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Dispositions</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 with respect to gain realized on the sale, exchange or other disposition of our Class A common stock unless:</w:t>
      </w:r>
    </w:p>
    <w:p>
      <w:pPr>
        <w:spacing w:after="0" w:line="54" w:lineRule="exact"/>
        <w:rPr>
          <w:sz w:val="20"/>
          <w:szCs w:val="20"/>
          <w:color w:val="auto"/>
        </w:rPr>
      </w:pPr>
    </w:p>
    <w:p>
      <w:pPr>
        <w:jc w:val="both"/>
        <w:ind w:left="1000" w:right="319" w:hanging="348"/>
        <w:spacing w:after="0" w:line="266"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such non-U.S. holder’s conduct of a trade or business within the United States (and, if required by an applicable tax treaty, is attributable to a U.S. permanent establishment of such non-U.S. holder);</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non-U.S. holder that is a non-resident alien individual, such non-U.S. holder is present in the United States for 183 or more days in the taxable year of disposition and certain other requirements are met; or</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70" w:lineRule="auto"/>
        <w:tabs>
          <w:tab w:leader="none" w:pos="10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or have been a “United States real property holding corporation” (“USRPHC”) at any time within the shorter of the five-year period ending on the date of such sale, exchange, or other taxable disposition or the period that such non-U.S. holder held our Class A common stock and either (a) our Class A common stock were not treated as regularly traded on an established securities market at the time of the sale, or</w:t>
      </w:r>
    </w:p>
    <w:p>
      <w:pPr>
        <w:spacing w:after="0" w:line="2" w:lineRule="exact"/>
        <w:rPr>
          <w:rFonts w:ascii="Times New Roman" w:cs="Times New Roman" w:eastAsia="Times New Roman" w:hAnsi="Times New Roman"/>
          <w:sz w:val="17"/>
          <w:szCs w:val="17"/>
          <w:color w:val="auto"/>
        </w:rPr>
      </w:pPr>
    </w:p>
    <w:p>
      <w:pPr>
        <w:ind w:left="1000" w:right="319" w:firstLine="3"/>
        <w:spacing w:after="0" w:line="260" w:lineRule="auto"/>
        <w:tabs>
          <w:tab w:leader="none" w:pos="129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holder owns or owned (actually or constructively) more than 5% of our Class A common stock at any time during the shorter of the two periods mentioned above.</w:t>
      </w:r>
    </w:p>
    <w:p>
      <w:pPr>
        <w:spacing w:after="0" w:line="73"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If gain or loss on the disposition of our Class A common stock is effectively connected with a non-U.S. holder’s conduct of a trade or business within the United States (and, if required by an applicable tax treaty, is attributable to a U.S. permanent establishment of such non-U.S. Holder), such gain or loss will be subject to U.S. federal income tax on a net income basis in the same manner as if the non-U.S. holder were a U.S. person, and in the case of a non-U.S. holder that is a foreign corporation, such gain may also be subject to an additional branch profits tax at a rate of 30% (or a lower applicable treaty rate). If a non-U.S. holder is an individual that is present in the United States for 183 or more days in the taxable year of disposition and certain other requirements are met, the non-U.S. holder generally will be subject to a flat income tax at a rate of 30% (or lower applicable treaty rate) on any capital gain recognized on the disposition of our Class A common stock, which may be offset by certain U.S. source capital losses.</w:t>
      </w:r>
    </w:p>
    <w:p>
      <w:pPr>
        <w:spacing w:after="0" w:line="86"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With respect to the third bullet above, a corporation generally is a USRPHC if the fair market value of its U.S. real property interests, as defined in the Code and applicable Treasury regulations, equals or exceeds 50% of the aggregate fair market value of its worldwide real property interests and its other assets used or held for use in a trade or business. Although we believe that we currently are not a USRPHC, this determination is not free from doubt, and we could become a USRPHC in the future depending on the manner in which we expand our business. In addition, although we anticipate that our Class A common stock will be treated as “regularly traded on an established securities market” following this offering, no assurance can be given that our Class A common stock will continue to be so treated in the future. If the third bullet above applies to a non-U.S. holder, gain recognized on the disposition of our common shares generally will be subject to U.S. federal income tax under FIRPTA on a net income basis in the same manner as if the non-U.S. holder were a U.S. person. In addition, if our stock ceased to be “regularly traded,” the transferee in any disposition would generally be required to withhold 15% of the amount realized on the disposition under FIRPTA. Non-U.S. holders should consult their tax advisors regarding the foregoing rules.</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Information returns are required to be filed with the Internal Revenue Service in connection with payments of dividends on our Class A common stock. Unless you comply with certification procedures to establish that you are not a U.S. person, information returns may also be filed with the Internal Revenue Service in connection with the proceeds from a sale or other disposition of our Class A common stock. You may be subject to backup withholding on payments on our Class A common stock or on the proceeds from a sale or other disposition of our Class A common stock unless you comply with certification procedures to establish that you are not a U.S. person or otherwise establish an exemption. Your provision of a properly executed applicable Internal Revenue Service Form W-8</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certifying your non-U.S. status will generally permit you to avoid backup withholding. Amounts withheld under the backup withholding rules are not additional taxes and may be refunded or credited against your U.S. federal income tax liability, provided the required information is timely furnished to the Internal Revenue Service.</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Legislation enacted in 2010 and existing guidance issued thereunder require withholding at a rate of 30% on dividends in respect of our Class A common stock held by or through certain foreign financial institutions (including investment funds), unless such institution enters into an agreement with the United States Department of the Treasury to report, on an annual basis, information with respect to interests in, and accounts maintained by, the institution to the extent such interests or accounts are held by certain U.S. persons and by certain non-U.S. entities that are wholly or partially owned by U.S. persons and to withhold on certain payments. Accordingly, the entity through which our Class A common stock are held will affect the determination of whether such withholding is required. Similarly, dividends in respect of our Class A common stock held by an investor that is a non-financial non-U.S. entity that does not qualify under certain exemptions will be subject to withholding at a rate of 30%, unless such entity either (i) certifies that such entity does not have any “substantial United States owners” or (ii) provides certain information regarding the entity’s “substantial United States owners,” which we or the applicable withholding agent will in turn provide to the Internal Revenue Service. An intergovernmental agreement between the United States and an applicable foreign country, or future Treasury regulations or other guidance, may modify the foregoing requirements. We will not pay any additional amounts to stockholders in respect of any amounts withheld. Stockholders are encouraged to consult their tax advisors regarding the possible implications of the legislation on their investment in our Class A common stock.</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ERISA CONSIDERATIONS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following is a general summary of certain considerations associated with the acquisition and holding of securities offered hereunder by employee benefit plans that are subject to Title I of ERISA, plans, individual retirement accounts and other arrangements that are subject to Section 4975 of the Code or employee benefit plans that are governmental plans (as defined in Section 3(32) of ERISA), certain church plans (as defined in Section 3(33) of ERISA), non-U.S. plans (as described in Section 4(b)(4) of securities) or other plans that are not subject to the foregoing but may be subject to provisions under any other federal, state, local, non-U.S. or other laws or regulations that are similar to such provisions of ERISA or the Code (collectively, “Similar Laws”), and entities whose underlying assets are considered to include “plan assets” of any such plan, account or arrangement (each, a “Plan”).</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This summary is based on the provisions of ERISA and the Code (and related regulations and administrative and judicial interpretations) as of the date of this prospectus. This summary does not purport to be complete, and no assurance can be given that future legislation, court decisions, regulations, rulings or pronouncements will not significantly modify the requirements summarized below. Any of these changes may be retroactive and may thereby apply to transactions entered into prior to the date of their enactment or release. This discussion is general in nature and is not intended to be all inclusive, nor should it be construed as investment or legal advice. Each time we or any securityholders offer, issue or sell securities, we will provide a supplement to this prospectus that may contain supplemental information to this summary.</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 Fiduciary Matters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ERISA and the Code impose certain duties on persons who are fiduciaries of a Plan subject to Title I of ERISA or Section 4975 of the Code (an “ERISA Plan”) and prohibit certain transactions involving the assets of an ERISA Plan and its fiduciaries or other interested parties. Under ERISA and the Code, any person who exercises any discretionary authority or control over the administration of an ERISA Plan or the management or disposition of the assets of an ERISA Plan, or who renders investment advice for a fee or other compensation to an ERISA Plan, is generally considered to be a fiduciary of the ERISA Plan. We and our affiliates will not act in a fiduciary capacity with respect to any Plan’s investment in our securities.</w:t>
      </w:r>
    </w:p>
    <w:p>
      <w:pPr>
        <w:spacing w:after="0" w:line="81"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In considering an investment in a security offered pursuant hereto with a portion of the assets of any Plan, a fiduciary should consider the Plan’s particular circumstances and all of the facts and circumstances of the investment and determine whether the acquisition and holding of such security is in accordance with the documents and instruments governing the Plan and the applicable provisions of ERISA, the Code, or any Similar Law relating to the fiduciary’s duties to the Plan, including, without limitation:</w:t>
      </w:r>
    </w:p>
    <w:p>
      <w:pPr>
        <w:spacing w:after="0" w:line="75" w:lineRule="exact"/>
        <w:rPr>
          <w:sz w:val="20"/>
          <w:szCs w:val="20"/>
          <w:color w:val="auto"/>
        </w:rPr>
      </w:pPr>
    </w:p>
    <w:p>
      <w:pPr>
        <w:ind w:left="1000" w:right="319" w:hanging="348"/>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investment is prudent under Section 404(a)(1)(B) of ERISA and any other applicable Similar Laws;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 making the investment, the ERISA Plan will satisfy the diversification requirements of Section 404(a)(1)(C) of ERISA and any other applicable Similar Laws;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investment is permitted under the terms of the applicable documents governing the Plan;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 the future there may be no market in which to sell or otherwise dispose of the security;</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acquisition or holding of such security will constitute a “prohibited transaction” under Section 406 of ERISA or Section 4975 of the Code (please see discussion under “—Prohibited Transaction Issues” below); and</w:t>
      </w:r>
    </w:p>
    <w:p>
      <w:pPr>
        <w:spacing w:after="0" w:line="6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Plan will be considered to hold, as plan assets, (i) only such security or (ii) an undivided interest in our underlying assets (please see the discussion under “—Plan Asset Issues” below).</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Prohibited Transaction Issues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Section 406 of ERISA and Section 4975 of the Code prohibit ERISA Plans from engaging in specified transactions involving plan assets with persons or entities who are “parties in interest,” within the meaning of ERISA, or “disqualified persons,” within the meaning of Section 4975 of the Code, unless an exemption is available. A party in interest or disqualified person who engages in a non-exempt prohibited transaction may be subject to excise taxes and other penalties and liabilities under ERISA and the Code. In addition, the fiduciary of the ERISA Plan that engages in such a non-exempt prohibited transaction may be subject to penalties and liabilities under ERISA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and the Code. The acquisition and/or holding of our securities by an ERISA Plan with respect to which the issuer or certain other parties is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w:t>
      </w:r>
    </w:p>
    <w:p>
      <w:pPr>
        <w:spacing w:after="0" w:line="75"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Because of the foregoing, our securities (including interests therein) should not be acquired or held by any person investing “plan assets” of any Plan, unless such acquisition and holding will not constitute a non-exempt prohibited transaction under ERISA and the Code or a similar violation of any applicable Similar Laws.</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Plan Asset Issues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Additionally, a fiduciary of a Plan should consider whether the Plan will, by investing in our equity securities, be deemed to own an undivided interest in our assets, with the result that we would become a fiduciary of the Plan and our operations would be subject to the regulatory restrictions of ERISA, including its prohibited transaction rules, as well as the prohibited transaction rules of the Code and any other applicable Similar Laws.</w:t>
      </w:r>
    </w:p>
    <w:p>
      <w:pPr>
        <w:spacing w:after="0" w:line="72"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Department of Labor (the “DOL”) regulations, as modified by Section 3(42) of ERISA (the “Plan Asset Regulation”) provide guidance with respect to whether the assets of an entity in which ERISA Plans acquire equity interests would be deemed “plan assets” under some circumstances. Under the Plan Asset Regulation, an entity’s assets generally would not be considered to be “plan assets” if, among other things:</w:t>
      </w:r>
    </w:p>
    <w:p>
      <w:pPr>
        <w:spacing w:after="0" w:line="72" w:lineRule="exact"/>
        <w:rPr>
          <w:sz w:val="20"/>
          <w:szCs w:val="20"/>
          <w:color w:val="auto"/>
        </w:rPr>
      </w:pPr>
    </w:p>
    <w:p>
      <w:pPr>
        <w:jc w:val="both"/>
        <w:ind w:left="1000" w:right="299" w:hanging="348"/>
        <w:spacing w:after="0" w:line="258"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interests acquired by ERISA Plans are “publicly offered securities” (as defined in the DOL regulations)—i.e., the equity interests are part of a class of securities that is widely held by 100 or more investors independent of the issuer and each other, are “freely transferable” (as defined in the DOL regulations), and are either registered under certain provisions of the federal securities laws or sold to the ERISA Plan as part of a public offering under certain conditions;</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is an “operating company” (as defined in the DOL regulations)—i.e., it is primarily engaged in the production or sale of a product or service, other than the investment of capital, either directly or through a majority-owned subsidiary or subsidiaries; or</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significant investment by benefit plan investors, which is defined to mean that immediately after the most recent acquisition by an ERISA Plan of any equity interest in the entity, less than 25% of the total value of each class of equity interest (disregarding certain interests held by persons (other than benefit plan investors) with discretionary authority or control over the assets of the entity or who provide investment advice for a fee (direct or indirect) with respect to such assets, and any affiliates thereof) is held by ERISA Plans, IRAs and certain other Plans (but not including governmental plans, foreign plans and certain church plans), and entities whose underlying assets are deemed to include plan assets by reason of a Plan’s investment in the entity.</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Due to the complexity of these rules and the excise taxes, penalties and liabilities that may be imposed upon persons involved in non-exempt prohibited transactions, it is particularly important that fiduciaries, or other persons considering acquiring and/or holding our equity securities on behalf of, or with the assets of, any Plan, consult with their counsel regarding the potential applicability of ERISA, Section 4975 of the Code and any Similar Laws to such investment and whether an exemption would be applicable to the investment in such securities. Purchasers of our securities have the exclusive responsibility for ensuring, and will be deemed (and in certain cases may be required) to represent, that their acquisition and holding of such securities complies with the fiduciary responsibility rules of ERISA and does not violate the prohibited transaction rules of ERISA, the Code or applicable Similar Laws. The sale of any security to a Plan is in no respect a representation or recommendation by us or any of our respective affiliates or representatives that such an investment meets all relevant legal requirements with respect to investments by any such Plan or that such investment is appropriate or advisable for any such Plan.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Unless otherwise indicated in any accompanying prospectus supplement, Skadden, Arps, Slate, Meagher &amp; Flom LLP will provide opinions regarding the authorization and validity of the securities. Skadden, Arps, Slate, Meagher &amp; Flom LLP may also provide opinions regarding certain other matters. Any underwriters will be advised about legal matters by their own counsel, which will be named in an accompanying prospectus supplement.</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Ernst &amp; Young LLP (“E&amp;Y”), independent registered public accounting firm, has audited our consolidated financial statements included in our Annual Report on Form 10-K for the year ended December 31, 2020 and the effectiveness of New Fortress Energy Inc.'s internal control over financial reporting as of December 31, 2020, as set forth in their reports (which contains an explanatory paragraph describing the adoption of ASU No. 2016-02 as described in Note 3 to the consolidated financial statements), which are incorporated by reference in this prospectus and elsewhere in the registration statement. Our financial statements are incorporated by reference in reliance on E&amp;Y’s reports, given on their authority as experts in accounting and auditing.</w:t>
      </w:r>
    </w:p>
    <w:p>
      <w:pPr>
        <w:spacing w:after="0" w:line="8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E&amp;Y, independent registered public accounting firm, has audited the consolidated financial statements of GMLP included in our Current Report on Form 8-K filed with the SEC on March 18, 2021 for the year ended December 31, 2020, as set forth in their report (which contains an explanatory paragraph describing conditions that raise substantial doubt about the Company’s ability to continue as a going concern as described in Note 1 to the consolidated financial statements), which is incorporated by reference in this prospectus and elsewhere in the registration statement. GMLP’s financial statements are incorporated by reference in reliance on E&amp;Y’s report, given on their authority as experts in accounting and auditing.</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E&amp;Y, independent registered public accounting firm, has audited the consolidated financial statements of Hygo included in our Current Report on Form 8-K filed with the SEC on March 18, 2021 for the year ended December 31, 2020, as set forth in their report, which is incorporated by reference in this prospectus and elsewhere in the registration statement. Hygo’s financial statements are incorporated by reference in reliance on E&amp;Y’s report, given on their authority as experts in accounting and auditing.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0" w:name="page61"/>
    <w:bookmarkEnd w:id="6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102235</wp:posOffset>
            </wp:positionV>
            <wp:extent cx="521208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5">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170815</wp:posOffset>
            </wp:positionV>
            <wp:extent cx="52120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9"/>
          <w:szCs w:val="29"/>
          <w:b w:val="1"/>
          <w:bCs w:val="1"/>
          <w:color w:val="auto"/>
        </w:rPr>
        <w:t>6,900,000 Shares</w:t>
      </w:r>
    </w:p>
    <w:p>
      <w:pPr>
        <w:spacing w:after="0" w:line="4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9"/>
          <w:szCs w:val="29"/>
          <w:b w:val="1"/>
          <w:bCs w:val="1"/>
          <w:color w:val="auto"/>
        </w:rPr>
        <w:t> </w:t>
      </w:r>
    </w:p>
    <w:p>
      <w:pPr>
        <w:spacing w:after="0" w:line="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9"/>
          <w:szCs w:val="29"/>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628650</wp:posOffset>
            </wp:positionV>
            <wp:extent cx="2597150" cy="6858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7">
                      <a:extLst>
                        <a:ext uri="{28A0092B-C50C-407E-A947-70E740481C1C}"/>
                      </a:extLst>
                    </a:blip>
                    <a:srcRect/>
                    <a:stretch>
                      <a:fillRect/>
                    </a:stretch>
                  </pic:blipFill>
                  <pic:spPr bwMode="auto">
                    <a:xfrm>
                      <a:off x="0" y="0"/>
                      <a:ext cx="259715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5"/>
          <w:szCs w:val="35"/>
          <w:b w:val="1"/>
          <w:bCs w:val="1"/>
          <w:color w:val="auto"/>
        </w:rPr>
        <w:t>New Fortress Energy Inc.</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924560</wp:posOffset>
            </wp:positionV>
            <wp:extent cx="10972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170180</wp:posOffset>
            </wp:positionV>
            <wp:extent cx="10972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9">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J.P. Morgan</w:t>
      </w:r>
    </w:p>
    <w:p>
      <w:pPr>
        <w:sectPr>
          <w:pgSz w:w="11900" w:h="16838" w:orient="portrait"/>
          <w:cols w:equalWidth="0" w:num="1">
            <w:col w:w="9019"/>
          </w:cols>
          <w:pgMar w:left="1440" w:top="263" w:right="1440" w:bottom="1440" w:gutter="0" w:footer="0" w:header="0"/>
          <w:type w:val="continuous"/>
        </w:sect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tabs>
          <w:tab w:leader="none" w:pos="160" w:val="left"/>
        </w:tabs>
        <w:rPr>
          <w:sz w:val="20"/>
          <w:szCs w:val="20"/>
          <w:color w:val="auto"/>
        </w:rPr>
      </w:pPr>
      <w:r>
        <w:rPr>
          <w:rFonts w:ascii="Times New Roman" w:cs="Times New Roman" w:eastAsia="Times New Roman" w:hAnsi="Times New Roman"/>
          <w:sz w:val="18"/>
          <w:szCs w:val="18"/>
          <w:color w:val="auto"/>
        </w:rPr>
        <w:t xml:space="preserve">December     </w:t>
      </w:r>
      <w:r>
        <w:rPr>
          <w:sz w:val="20"/>
          <w:szCs w:val="20"/>
          <w:color w:val="auto"/>
        </w:rPr>
        <w:tab/>
      </w:r>
      <w:r>
        <w:rPr>
          <w:rFonts w:ascii="Times New Roman" w:cs="Times New Roman" w:eastAsia="Times New Roman" w:hAnsi="Times New Roman"/>
          <w:sz w:val="17"/>
          <w:szCs w:val="17"/>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154305</wp:posOffset>
            </wp:positionV>
            <wp:extent cx="52120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0">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214630</wp:posOffset>
            </wp:positionV>
            <wp:extent cx="521208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1">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sectPr>
      <w:pgSz w:w="11900" w:h="16838" w:orient="portrait"/>
      <w:cols w:equalWidth="0" w:num="1">
        <w:col w:w="9019"/>
      </w:cols>
      <w:pgMar w:left="144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lvl w:ilvl="1">
      <w:lvlJc w:val="left"/>
      <w:lvlText w:val="(%2)"/>
      <w:numFmt w:val="lowerRoman"/>
      <w:start w:val="2"/>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1)"/>
      <w:numFmt w:val="decimal"/>
      <w:start w:val="516"/>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1)"/>
      <w:numFmt w:val="decimal"/>
      <w:start w:val="516"/>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1)"/>
      <w:numFmt w:val="lowerRoman"/>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1)"/>
      <w:numFmt w:val="decimal"/>
      <w:start w:val="4"/>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1)"/>
      <w:numFmt w:val="decimal"/>
      <w:start w:val="2"/>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
      <w:numFmt w:val="bullet"/>
      <w:start w:val="1"/>
    </w:lvl>
    <w:lvl w:ilvl="1">
      <w:lvlJc w:val="left"/>
      <w:lvlText w:val="(%2)"/>
      <w:numFmt w:val="lowerLetter"/>
      <w:start w:val="2"/>
    </w:lvl>
  </w:abstractNum>
  <w:abstractNum w:abstractNumId="46">
    <w:nsid w:val="38437FDB"/>
    <w:multiLevelType w:val="hybridMultilevel"/>
    <w:lvl w:ilvl="0">
      <w:lvlJc w:val="left"/>
      <w:lvlText w:val="•"/>
      <w:numFmt w:val="bullet"/>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54" Type="http://schemas.openxmlformats.org/officeDocument/2006/relationships/image" Target="media/image33.png"/><Relationship Id="rId55" Type="http://schemas.openxmlformats.org/officeDocument/2006/relationships/image" Target="media/image34.jpeg"/><Relationship Id="rId56" Type="http://schemas.openxmlformats.org/officeDocument/2006/relationships/image" Target="media/image35.png"/><Relationship Id="rId57" Type="http://schemas.openxmlformats.org/officeDocument/2006/relationships/image" Target="media/image36.png"/><Relationship Id="rId58" Type="http://schemas.openxmlformats.org/officeDocument/2006/relationships/image" Target="media/image37.png"/><Relationship Id="rId63" Type="http://schemas.openxmlformats.org/officeDocument/2006/relationships/image" Target="media/image38.png"/><Relationship Id="rId64" Type="http://schemas.openxmlformats.org/officeDocument/2006/relationships/image" Target="media/image39.png"/><Relationship Id="rId65" Type="http://schemas.openxmlformats.org/officeDocument/2006/relationships/image" Target="media/image40.png"/><Relationship Id="rId66" Type="http://schemas.openxmlformats.org/officeDocument/2006/relationships/image" Target="media/image41.png"/><Relationship Id="rId67" Type="http://schemas.openxmlformats.org/officeDocument/2006/relationships/image" Target="media/image42.png"/><Relationship Id="rId68" Type="http://schemas.openxmlformats.org/officeDocument/2006/relationships/image" Target="media/image43.png"/><Relationship Id="rId69" Type="http://schemas.openxmlformats.org/officeDocument/2006/relationships/image" Target="media/image44.png"/><Relationship Id="rId70" Type="http://schemas.openxmlformats.org/officeDocument/2006/relationships/image" Target="media/image45.png"/><Relationship Id="rId71" Type="http://schemas.openxmlformats.org/officeDocument/2006/relationships/image" Target="media/image46.png"/><Relationship Id="rId72" Type="http://schemas.openxmlformats.org/officeDocument/2006/relationships/image" Target="media/image47.png"/><Relationship Id="rId73" Type="http://schemas.openxmlformats.org/officeDocument/2006/relationships/image" Target="media/image48.png"/><Relationship Id="rId74" Type="http://schemas.openxmlformats.org/officeDocument/2006/relationships/image" Target="media/image49.png"/><Relationship Id="rId75" Type="http://schemas.openxmlformats.org/officeDocument/2006/relationships/image" Target="media/image50.png"/><Relationship Id="rId76" Type="http://schemas.openxmlformats.org/officeDocument/2006/relationships/image" Target="media/image51.png"/><Relationship Id="rId77" Type="http://schemas.openxmlformats.org/officeDocument/2006/relationships/image" Target="media/image52.png"/><Relationship Id="rId78" Type="http://schemas.openxmlformats.org/officeDocument/2006/relationships/image" Target="media/image53.png"/><Relationship Id="rId79" Type="http://schemas.openxmlformats.org/officeDocument/2006/relationships/image" Target="media/image54.png"/><Relationship Id="rId80" Type="http://schemas.openxmlformats.org/officeDocument/2006/relationships/image" Target="media/image55.png"/><Relationship Id="rId81" Type="http://schemas.openxmlformats.org/officeDocument/2006/relationships/image" Target="media/image56.png"/><Relationship Id="rId82" Type="http://schemas.openxmlformats.org/officeDocument/2006/relationships/image" Target="media/image57.png"/><Relationship Id="rId83" Type="http://schemas.openxmlformats.org/officeDocument/2006/relationships/image" Target="media/image58.png"/><Relationship Id="rId84" Type="http://schemas.openxmlformats.org/officeDocument/2006/relationships/image" Target="media/image59.png"/><Relationship Id="rId85" Type="http://schemas.openxmlformats.org/officeDocument/2006/relationships/image" Target="media/image60.png"/><Relationship Id="rId86" Type="http://schemas.openxmlformats.org/officeDocument/2006/relationships/image" Target="media/image61.png"/><Relationship Id="rId87" Type="http://schemas.openxmlformats.org/officeDocument/2006/relationships/image" Target="media/image62.png"/><Relationship Id="rId88" Type="http://schemas.openxmlformats.org/officeDocument/2006/relationships/image" Target="media/image63.png"/><Relationship Id="rId89" Type="http://schemas.openxmlformats.org/officeDocument/2006/relationships/image" Target="media/image64.png"/><Relationship Id="rId90" Type="http://schemas.openxmlformats.org/officeDocument/2006/relationships/image" Target="media/image65.png"/><Relationship Id="rId91" Type="http://schemas.openxmlformats.org/officeDocument/2006/relationships/image" Target="media/image66.png"/><Relationship Id="rId92" Type="http://schemas.openxmlformats.org/officeDocument/2006/relationships/image" Target="media/image67.png"/><Relationship Id="rId93" Type="http://schemas.openxmlformats.org/officeDocument/2006/relationships/image" Target="media/image68.png"/><Relationship Id="rId94" Type="http://schemas.openxmlformats.org/officeDocument/2006/relationships/image" Target="media/image69.png"/><Relationship Id="rId95" Type="http://schemas.openxmlformats.org/officeDocument/2006/relationships/image" Target="media/image70.png"/><Relationship Id="rId96" Type="http://schemas.openxmlformats.org/officeDocument/2006/relationships/image" Target="media/image71.png"/><Relationship Id="rId97" Type="http://schemas.openxmlformats.org/officeDocument/2006/relationships/image" Target="media/image72.png"/><Relationship Id="rId98" Type="http://schemas.openxmlformats.org/officeDocument/2006/relationships/image" Target="media/image73.png"/><Relationship Id="rId99" Type="http://schemas.openxmlformats.org/officeDocument/2006/relationships/image" Target="media/image74.png"/><Relationship Id="rId100" Type="http://schemas.openxmlformats.org/officeDocument/2006/relationships/image" Target="media/image75.png"/><Relationship Id="rId101" Type="http://schemas.openxmlformats.org/officeDocument/2006/relationships/image" Target="media/image76.png"/><Relationship Id="rId102" Type="http://schemas.openxmlformats.org/officeDocument/2006/relationships/image" Target="media/image77.png"/><Relationship Id="rId103" Type="http://schemas.openxmlformats.org/officeDocument/2006/relationships/image" Target="media/image78.png"/><Relationship Id="rId104" Type="http://schemas.openxmlformats.org/officeDocument/2006/relationships/image" Target="media/image79.png"/><Relationship Id="rId105" Type="http://schemas.openxmlformats.org/officeDocument/2006/relationships/image" Target="media/image80.png"/><Relationship Id="rId106" Type="http://schemas.openxmlformats.org/officeDocument/2006/relationships/image" Target="media/image81.png"/><Relationship Id="rId107" Type="http://schemas.openxmlformats.org/officeDocument/2006/relationships/image" Target="media/image82.jpeg"/><Relationship Id="rId108" Type="http://schemas.openxmlformats.org/officeDocument/2006/relationships/image" Target="media/image83.png"/><Relationship Id="rId109" Type="http://schemas.openxmlformats.org/officeDocument/2006/relationships/image" Target="media/image84.png"/><Relationship Id="rId110" Type="http://schemas.openxmlformats.org/officeDocument/2006/relationships/image" Target="media/image85.png"/><Relationship Id="rId111" Type="http://schemas.openxmlformats.org/officeDocument/2006/relationships/image" Target="media/image86.png"/><Relationship Id="rId40" Type="http://schemas.openxmlformats.org/officeDocument/2006/relationships/hyperlink" Target="https://www.sec.gov/ix?doc=/Archives/edgar/data/1749723/000114036122007364/brhc10034476_10k.htm" TargetMode="External"/><Relationship Id="rId41" Type="http://schemas.openxmlformats.org/officeDocument/2006/relationships/hyperlink" Target="https://www.sec.gov/ix?doc=/Archives/edgar/data/1749723/000174972322000010/nfe-20220331.htm" TargetMode="External"/><Relationship Id="rId42" Type="http://schemas.openxmlformats.org/officeDocument/2006/relationships/hyperlink" Target="https://www.sec.gov/ix?doc=/Archives/edgar/data/1749723/000174972322000028/nfe-20220630.htm" TargetMode="External"/><Relationship Id="rId43" Type="http://schemas.openxmlformats.org/officeDocument/2006/relationships/hyperlink" Target="https://www.sec.gov/ix?doc=/Archives/edgar/data/1749723/000174972322000044/nfe-20220930.htm" TargetMode="External"/><Relationship Id="rId44" Type="http://schemas.openxmlformats.org/officeDocument/2006/relationships/hyperlink" Target="https://www.sec.gov/ix?doc=/Archives/edgar/data/1749723/000114036121009140/brhc10019275_8k.htm" TargetMode="External"/><Relationship Id="rId45" Type="http://schemas.openxmlformats.org/officeDocument/2006/relationships/hyperlink" Target="https://www.sec.gov/ix?doc=/Archives/edgar/data/1749723/000174972322000015/nfe-20220531.htm" TargetMode="External"/><Relationship Id="rId46" Type="http://schemas.openxmlformats.org/officeDocument/2006/relationships/hyperlink" Target="https://www.sec.gov/ix?doc=/Archives/edgar/data/1749723/000174972322000017/nfe-20220615.htm" TargetMode="External"/><Relationship Id="rId47" Type="http://schemas.openxmlformats.org/officeDocument/2006/relationships/hyperlink" Target="https://www.sec.gov/ix?doc=/Archives/edgar/data/1749723/000174972322000020/nfe-20220702.htm" TargetMode="External"/><Relationship Id="rId48" Type="http://schemas.openxmlformats.org/officeDocument/2006/relationships/hyperlink" Target="https://www.sec.gov/ix?doc=/Archives/edgar/data/1749723/000174972322000023/nfe-20220727.htm" TargetMode="External"/><Relationship Id="rId49" Type="http://schemas.openxmlformats.org/officeDocument/2006/relationships/hyperlink" Target="https://www.sec.gov/ix?doc=/Archives/edgar/data/1749723/000174972322000031/nfe-20220815.htm" TargetMode="External"/><Relationship Id="rId50" Type="http://schemas.openxmlformats.org/officeDocument/2006/relationships/hyperlink" Target="https://www.sec.gov/ix?doc=/Archives/edgar/data/1749723/000174972322000034/nfe-20221003.htm" TargetMode="External"/><Relationship Id="rId51" Type="http://schemas.openxmlformats.org/officeDocument/2006/relationships/hyperlink" Target="https://www.sec.gov/ix?doc=/Archives/edgar/data/1749723/000174972322000047/nfe-20221121.htm" TargetMode="External"/><Relationship Id="rId52" Type="http://schemas.openxmlformats.org/officeDocument/2006/relationships/hyperlink" Target="https://www.sec.gov/Archives/edgar/data/1749723/000114036120017741/brhc10014200_8a12ba.htm" TargetMode="External"/><Relationship Id="rId53" Type="http://schemas.openxmlformats.org/officeDocument/2006/relationships/hyperlink" Target="https://www.sec.gov/Archives/edgar/data/1749723/000114036122016959/edge20003170x1_def14a.htm" TargetMode="External"/><Relationship Id="rId59" Type="http://schemas.openxmlformats.org/officeDocument/2006/relationships/hyperlink" Target="https://www.sec.gov/Archives/edgar/data/1749723/000114036121008724/brhc10021589_10k.htm" TargetMode="External"/><Relationship Id="rId60" Type="http://schemas.openxmlformats.org/officeDocument/2006/relationships/hyperlink" Target="https://www.sec.gov/Archives/edgar/data/1749723/000114036121001601/brhc10019000_8k.htm" TargetMode="External"/><Relationship Id="rId61" Type="http://schemas.openxmlformats.org/officeDocument/2006/relationships/hyperlink" Target="https://www.sec.gov/Archives/edgar/data/1749723/000114036121009140/brhc10019275_8k.htm" TargetMode="External"/><Relationship Id="rId62" Type="http://schemas.openxmlformats.org/officeDocument/2006/relationships/hyperlink" Target="https://www.sec.gov/Archives/edgar/data/1749723/000114036120009946/nc10011189x1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2022-12-15T05:25:06Z</dcterms:created>
  <dcterms:modified xsi:type="dcterms:W3CDTF">2022-12-15T05:25:06Z</dcterms:modified>
</cp:coreProperties>
</file>