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8,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right="300" w:firstLine="486"/>
        <w:spacing w:after="0" w:line="258" w:lineRule="auto"/>
        <w:rPr>
          <w:sz w:val="20"/>
          <w:szCs w:val="20"/>
          <w:color w:val="auto"/>
        </w:rPr>
      </w:pPr>
      <w:r>
        <w:rPr>
          <w:rFonts w:ascii="Times New Roman" w:cs="Times New Roman" w:eastAsia="Times New Roman" w:hAnsi="Times New Roman"/>
          <w:sz w:val="18"/>
          <w:szCs w:val="18"/>
          <w:color w:val="auto"/>
        </w:rPr>
        <w:t>On May 8, 2024, New Fortress Energy Inc. (“NFE” or the “Company”) issued a press release announcing the Company’s financial and operating results for its fiscal quarter ended March 31, 2024. A copy of the Company’s press release is attached to this Current Report on Form 8-K (the “Current Report”) as Exhibit 99.1 and is incorporated herein solely for purposes of this Item 2.02 disclosure.</w:t>
      </w:r>
    </w:p>
    <w:p>
      <w:pPr>
        <w:spacing w:after="0" w:line="19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tcPr>
          <w:p>
            <w:pPr>
              <w:spacing w:after="0"/>
              <w:rPr>
                <w:sz w:val="18"/>
                <w:szCs w:val="18"/>
                <w:color w:val="auto"/>
              </w:rPr>
            </w:pPr>
          </w:p>
        </w:tc>
      </w:tr>
      <w:tr>
        <w:trPr>
          <w:trHeight w:val="259"/>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May 8, 2024, issued by New Fortress Energy Inc.</w:t>
            </w: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81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May 8, 2024</w:t>
            </w:r>
          </w:p>
        </w:tc>
        <w:tc>
          <w:tcPr>
            <w:tcW w:w="28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080" w:type="dxa"/>
            <w:vAlign w:val="bottom"/>
          </w:tcPr>
          <w:p>
            <w:pPr>
              <w:spacing w:after="0"/>
              <w:rPr>
                <w:sz w:val="21"/>
                <w:szCs w:val="21"/>
                <w:color w:val="auto"/>
              </w:rPr>
            </w:pPr>
          </w:p>
        </w:tc>
        <w:tc>
          <w:tcPr>
            <w:tcW w:w="28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080" w:type="dxa"/>
            <w:vAlign w:val="bottom"/>
          </w:tcPr>
          <w:p>
            <w:pPr>
              <w:spacing w:after="0"/>
              <w:rPr>
                <w:sz w:val="22"/>
                <w:szCs w:val="22"/>
                <w:color w:val="auto"/>
              </w:rPr>
            </w:pPr>
          </w:p>
        </w:tc>
        <w:tc>
          <w:tcPr>
            <w:tcW w:w="28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jc w:val="right"/>
        <w:ind w:right="20"/>
        <w:spacing w:after="0" w:line="215" w:lineRule="auto"/>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Announces First Quarter 2024 Results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 New Fortress Energy Inc. (Nasdaq: NFE) (“NFE” or the “Company”) today reported its financial results for the first quarter of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Highlights</w:t>
      </w:r>
    </w:p>
    <w:p>
      <w:pPr>
        <w:spacing w:after="0" w:line="6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$340 million in the first quarter of 2024</w:t>
      </w:r>
    </w:p>
    <w:p>
      <w:pPr>
        <w:spacing w:after="0" w:line="28"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$57 million in the first quarter of 2024</w:t>
      </w:r>
    </w:p>
    <w:p>
      <w:pPr>
        <w:spacing w:after="0" w:line="3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$0.67 on a fully diluted basis in the first quarter of 2024</w:t>
      </w:r>
    </w:p>
    <w:p>
      <w:pPr>
        <w:spacing w:after="0" w:line="2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of $0.26 on a fully diluted basis in the first quarter of 2024</w:t>
      </w:r>
    </w:p>
    <w:p>
      <w:pPr>
        <w:spacing w:after="0" w:line="3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per share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$0.92 on a fully diluted basis in the first quarter of 2024</w:t>
      </w:r>
    </w:p>
    <w:p>
      <w:pPr>
        <w:spacing w:after="0" w:line="2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Illustrative Adjusted EBITDA Goal</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~$2 billion in the full year 2024</w:t>
      </w:r>
    </w:p>
    <w:p>
      <w:pPr>
        <w:spacing w:after="0" w:line="215"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222222"/>
        </w:rPr>
        <w:t>"This has been a tremendous quarter for the company with a number of significant milestones. We have completed the construction of our first FLNG unit and are currently commissioning the asset, with First LNG expected later this month and first full cargo expected in June. We commenced operations in Brazil at both of our LNG terminals and have 2.2 gigawatts of power under construction. Additionally, we completed the sale of the power plants that we developed for FEMA in Puerto Rico and concurrently won an 80 Tbtu island-wide gas contract, paving the way for significant expansion of our business in Puerto Rico. These milestones underscore our commitment to growth, sustainability, and long-term shareholder value," said Wes Edens, NFE chairman and chief executive.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6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We generated significant Funds from Operations per share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$0.92 on a fully diluted basis in the first quarter of 2024, the majority of which was generated by contracted downstream assets.</w:t>
      </w:r>
    </w:p>
    <w:p>
      <w:pPr>
        <w:spacing w:after="0" w:line="223"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8"/>
          <w:szCs w:val="18"/>
          <w:color w:val="auto"/>
        </w:rPr>
        <w:t>At the same time, we expect a significant decrease in our Capex</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compared to the prior year. We executed several transactions to further support our cash flows and balance sheet during the quarter, including the sale of non-core assets and issuance of 2029 Notes. Net proceeds from this issuance were mainly used to repay a portion of our 2025 Notes and Revolving Facility, as well as fund capital projects.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May 7, 2024, NFE’s Board of Directors approved a dividend of $0.10 per share, with a record date of June 15, 2024 and a payment date of June 27, 2024.</w:t>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Detail</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52"/>
        </w:trPr>
        <w:tc>
          <w:tcPr>
            <w:tcW w:w="124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5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63"/>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57"/>
        </w:trPr>
        <w:tc>
          <w:tcPr>
            <w:tcW w:w="562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57"/>
        </w:trPr>
        <w:tc>
          <w:tcPr>
            <w:tcW w:w="56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56"/>
        </w:trPr>
        <w:tc>
          <w:tcPr>
            <w:tcW w:w="562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Terminals and Infrastructure Segment Operating Margin</w:t>
            </w:r>
            <w:r>
              <w:rPr>
                <w:rFonts w:ascii="Times New Roman" w:cs="Times New Roman" w:eastAsia="Times New Roman" w:hAnsi="Times New Roman"/>
                <w:sz w:val="23"/>
                <w:szCs w:val="23"/>
                <w:color w:val="auto"/>
                <w:vertAlign w:val="superscript"/>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57"/>
        </w:trPr>
        <w:tc>
          <w:tcPr>
            <w:tcW w:w="5620" w:type="dxa"/>
            <w:vAlign w:val="bottom"/>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Ships Segment Operating Margin</w:t>
            </w:r>
            <w:r>
              <w:rPr>
                <w:rFonts w:ascii="Times New Roman" w:cs="Times New Roman" w:eastAsia="Times New Roman" w:hAnsi="Times New Roman"/>
                <w:sz w:val="23"/>
                <w:szCs w:val="23"/>
                <w:color w:val="auto"/>
                <w:vertAlign w:val="superscript"/>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Segment Operating Margin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63"/>
        </w:trPr>
        <w:tc>
          <w:tcPr>
            <w:tcW w:w="5620" w:type="dxa"/>
            <w:vAlign w:val="bottom"/>
            <w:gridSpan w:val="2"/>
            <w:shd w:val="clear" w:color="auto" w:fill="CCEEFF"/>
          </w:tcPr>
          <w:p>
            <w:pPr>
              <w:ind w:left="40"/>
              <w:spacing w:after="0" w:line="26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evaluate opportunities to refinance all or a portion of its 6.75% senior secured notes due September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refer to our Q1 2024 Investor Presentation (the “Presentation”) for further information about the following terms: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1)“Adjusted EBITDA,” see definition and reconciliation of this non-GAAP measure in the exhibits to this press release.</w:t>
      </w:r>
    </w:p>
    <w:p>
      <w:pPr>
        <w:jc w:val="both"/>
        <w:ind w:firstLine="8"/>
        <w:spacing w:after="0" w:line="237" w:lineRule="auto"/>
        <w:tabs>
          <w:tab w:leader="none" w:pos="216"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EPS” is not a measurement of financial performance under GAAP and should not be considered in isolation or as an alternative to any measure of performance or liquidity derived in accordance with GAAP. We calculate Adjusted EPS as Adjusted Net Income (Note 13 below) divided by the weighted average shares outstanding on a fully diluted basis for the period indicated. We believe this non-GAAP measure, as we have defined it, offers a useful supplemental view of the overall evaluation of the Company in a manner that is consistent with metrics used for management’s evaluation of the Company’s overall performance. Adjusted EPS does not have a standardized meaning, and different companies may use different definitions. Therefore, this term may not be necessarily comparable to similarly titled measures reported by other companies.</w:t>
      </w:r>
    </w:p>
    <w:p>
      <w:pPr>
        <w:spacing w:after="0" w:line="2" w:lineRule="exact"/>
        <w:rPr>
          <w:rFonts w:ascii="Times New Roman" w:cs="Times New Roman" w:eastAsia="Times New Roman" w:hAnsi="Times New Roman"/>
          <w:sz w:val="18"/>
          <w:szCs w:val="18"/>
          <w:i w:val="1"/>
          <w:iCs w:val="1"/>
          <w:color w:val="auto"/>
        </w:rPr>
      </w:pPr>
    </w:p>
    <w:p>
      <w:pPr>
        <w:ind w:right="20" w:firstLine="8"/>
        <w:spacing w:after="0" w:line="223" w:lineRule="auto"/>
        <w:tabs>
          <w:tab w:leader="none" w:pos="1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“Funds From Operations per share” means net income attributable to stockholders, computed in accordance with GAAP, excluding gains or losses from sales of assets, depreciation and amortization and impairment charges </w:t>
      </w:r>
      <w:r>
        <w:rPr>
          <w:rFonts w:ascii="Times New Roman" w:cs="Times New Roman" w:eastAsia="Times New Roman" w:hAnsi="Times New Roman"/>
          <w:sz w:val="18"/>
          <w:szCs w:val="18"/>
          <w:color w:val="auto"/>
        </w:rPr>
        <w:t>divided by the weighted average shares outstanding on a fully diluted basis</w:t>
      </w:r>
      <w:r>
        <w:rPr>
          <w:rFonts w:ascii="Times New Roman" w:cs="Times New Roman" w:eastAsia="Times New Roman" w:hAnsi="Times New Roman"/>
          <w:sz w:val="18"/>
          <w:szCs w:val="18"/>
          <w:i w:val="1"/>
          <w:iCs w:val="1"/>
          <w:color w:val="auto"/>
        </w:rPr>
        <w:t xml:space="preserve">. We compute FFO in accordance with our interpretation of standards established by the National Association of Real Estate Investment Trusts (“NAREIT”), which may not be comparable to FFO reported by REITs that do not define the term in accordance with the current NAREIT definition or that interpret the current NAREIT definition differently than we do. We believe that FFO is helpful to investors as supplemental measures of the performance of </w:t>
      </w:r>
      <w:r>
        <w:rPr>
          <w:rFonts w:ascii="Times New Roman" w:cs="Times New Roman" w:eastAsia="Times New Roman" w:hAnsi="Times New Roman"/>
          <w:sz w:val="18"/>
          <w:szCs w:val="18"/>
          <w:i w:val="1"/>
          <w:iCs w:val="1"/>
          <w:u w:val="single" w:color="auto"/>
          <w:color w:val="auto"/>
        </w:rPr>
        <w:t>our</w:t>
      </w:r>
      <w:r>
        <w:rPr>
          <w:rFonts w:ascii="Times New Roman" w:cs="Times New Roman" w:eastAsia="Times New Roman" w:hAnsi="Times New Roman"/>
          <w:sz w:val="18"/>
          <w:szCs w:val="18"/>
          <w:i w:val="1"/>
          <w:iCs w:val="1"/>
          <w:color w:val="auto"/>
        </w:rPr>
        <w:t xml:space="preserve"> infrastructure investments. We believe that FFO can facilitate comparisons of operating performance between periods by excluding the effect of depreciation and amortization related to our infrastructure investments and impairment charges, which are based on historical costs and may be of limited relevance in evaluating current performance. Our definitions and calculations of these Non-GAAP financial and operating measures and other terms may differ from the definitions and methodologies used by other registrants and accordingly, may not be comparable. These Non-GAAP financial and operating measures do not represent cash generated from operating activities in accordance with GAAP, nor do they represent cash available to pay distributions and they should not be considered as an alternative to net income attributable to stockholders, determined in accordance with GAAP, as an indication of our financial performance, or to cash flows from operating activities, determined in accordance with GAAP, as a measure of our liquidity, nor is it indicative of funds available to fund our cash needs, including our ability to make cash distributions.</w:t>
      </w:r>
    </w:p>
    <w:p>
      <w:pPr>
        <w:spacing w:after="0" w:line="10" w:lineRule="exact"/>
        <w:rPr>
          <w:rFonts w:ascii="Times New Roman" w:cs="Times New Roman" w:eastAsia="Times New Roman" w:hAnsi="Times New Roman"/>
          <w:sz w:val="18"/>
          <w:szCs w:val="18"/>
          <w:i w:val="1"/>
          <w:iCs w:val="1"/>
          <w:color w:val="auto"/>
        </w:rPr>
      </w:pPr>
    </w:p>
    <w:p>
      <w:pPr>
        <w:ind w:right="80" w:firstLine="8"/>
        <w:spacing w:after="0" w:line="234" w:lineRule="auto"/>
        <w:tabs>
          <w:tab w:leader="none" w:pos="1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242424"/>
        </w:rPr>
        <w:t>“Illustrative Adjusted EBITDA Goal” means our forward-looking goal for Adjusted EBITDA for the relevant period and is based on the "Illustrative Total Segment Operating Margin Goal" less illustrative Core SGA assumed to be at approximately $150mm for 2024 including the pro rata share of Core SG&amp;A from unconsolidated entities. For the purpose of this presentation, we have assumed an average Total Segment Operating Margin between $5.38 and $43.49 per MMBtu for all downstream terminal economics, because we assume that (i) we purchase delivered gas at a weighted average of $6.20 in 2024,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We assume all Brazil terminals and power plants are Operational and earning revenue through fuel sales and capacity charges or other fixed fees. For Vessels chartered to third parties, this measure reflects the revenue from those charters,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$147k per day per vessel. For Fast LNG, this measure reflects the difference between the delivered cost of open LNG and the delivered cost of open market LNG less Fast LNG production cost. These costs do not include expenses and income that are required by GAAP to</w:t>
      </w:r>
    </w:p>
    <w:p>
      <w:pPr>
        <w:sectPr>
          <w:pgSz w:w="11900" w:h="16838" w:orient="portrait"/>
          <w:cols w:equalWidth="0" w:num="1">
            <w:col w:w="11240"/>
          </w:cols>
          <w:pgMar w:left="320" w:top="918" w:right="339" w:bottom="1440" w:gutter="0" w:footer="0" w:header="0"/>
        </w:sectPr>
      </w:pPr>
    </w:p>
    <w:bookmarkStart w:id="5" w:name="page6"/>
    <w:bookmarkEnd w:id="5"/>
    <w:p>
      <w:pPr>
        <w:ind w:right="40"/>
        <w:spacing w:after="0" w:line="236" w:lineRule="auto"/>
        <w:rPr>
          <w:sz w:val="20"/>
          <w:szCs w:val="20"/>
          <w:color w:val="auto"/>
        </w:rPr>
      </w:pPr>
      <w:r>
        <w:rPr>
          <w:rFonts w:ascii="Times New Roman" w:cs="Times New Roman" w:eastAsia="Times New Roman" w:hAnsi="Times New Roman"/>
          <w:sz w:val="18"/>
          <w:szCs w:val="18"/>
          <w:i w:val="1"/>
          <w:iCs w:val="1"/>
          <w:color w:val="242424"/>
        </w:rPr>
        <w:t>be recorded on our financial statements, including the return of or return on capital expenditures for the relevant project, and selling, general and administrative costs. Our current cost of natural gas per MMBtu is higher than the cost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Actual circumstances could differ materially from the assumptions, and actual performance and results could differ materially from, and there can be no assurance that they will reflect, our corporate goal.</w:t>
      </w:r>
    </w:p>
    <w:p>
      <w:pPr>
        <w:spacing w:after="0" w:line="1" w:lineRule="exact"/>
        <w:rPr>
          <w:sz w:val="20"/>
          <w:szCs w:val="20"/>
          <w:color w:val="auto"/>
        </w:rPr>
      </w:pPr>
    </w:p>
    <w:p>
      <w:pPr>
        <w:ind w:right="100" w:firstLine="8"/>
        <w:spacing w:after="0" w:line="239"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future periods, Capex or net Capex reflects management’s estimate of total expected cash payments in such period less cash proceeds received by the Company for related asset sales or direct asset financings. Investors are encouraged to review the related GAAP financial measures, and not to rely on any single financial measure to evaluate our business.</w:t>
      </w:r>
    </w:p>
    <w:p>
      <w:pPr>
        <w:ind w:firstLine="8"/>
        <w:spacing w:after="0" w:line="235" w:lineRule="auto"/>
        <w:tabs>
          <w:tab w:leader="none" w:pos="202"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Income” means Net Income attributable to stockholders as presented in the relevant Form 10-K or Form 10-Q for the relevant financial period as adjusted by non-cash impairment charges and gains or losses on disposal of our assets.</w:t>
      </w:r>
    </w:p>
    <w:p>
      <w:pPr>
        <w:spacing w:after="0" w:line="1" w:lineRule="exact"/>
        <w:rPr>
          <w:rFonts w:ascii="Times New Roman" w:cs="Times New Roman" w:eastAsia="Times New Roman" w:hAnsi="Times New Roman"/>
          <w:sz w:val="18"/>
          <w:szCs w:val="18"/>
          <w:i w:val="1"/>
          <w:iCs w:val="1"/>
          <w:color w:val="auto"/>
        </w:rPr>
      </w:pPr>
    </w:p>
    <w:p>
      <w:pPr>
        <w:ind w:right="220" w:firstLine="8"/>
        <w:spacing w:after="0" w:line="233"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Segment Operating Margin” is the total of our Terminals and Infrastructure Segment Operating Margin and Ships Segment Operating Margin. Our segment measure also excludes unrealized mark-to-market gains or losses on derivative instruments and certain contract acquisition costs.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Management will host a conference call on Wednesday, May 8, 2024 at 8:00 A.M. Eastern Time. The conference call may be accessed by dialing (888) 256-1007 (toll free from within the U.S.) or +1-323-701-0225 (from outside of the U.S.) fifteen minutes prior to the scheduled start of the call; please reference “NFE First Quarter 2024 Earnings Call” or conference code 9244538.</w:t>
      </w:r>
    </w:p>
    <w:p>
      <w:pPr>
        <w:spacing w:after="0" w:line="2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simultaneous webcast of the conference call will be available to the public on a listen-only basis at www.newfortressenergy.com under the Investors section within “Events &amp; Presentations.” Please allow time prior to the call to visit the site and download any necessary software required to listen to the internet broadcast. A replay of the conference call will be available at the same website location shortly after the conclusion of the live call.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20"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 looking statements include: our expectation regarding raising external financing; the successful development, construction, completion, operation and/or deployment of facilities and the timing of first gas or first LNG, including our FLNG, Brazil, Nicaragua and Puerto Rico projects, on time, within budget and within the expected specifications, capacity and design; our expectation regarding increases in earnings and decreases in capital expenditures beginning in 2024, Illustrative Adjusted EPS and FFO Goals; our expectation regarding the common dividend; and future strategic plans; and all the information in the exhibits to this press release.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w:t>
      </w:r>
    </w:p>
    <w:p>
      <w:pPr>
        <w:sectPr>
          <w:pgSz w:w="11900" w:h="16838" w:orient="portrait"/>
          <w:cols w:equalWidth="0" w:num="1">
            <w:col w:w="11240"/>
          </w:cols>
          <w:pgMar w:left="320" w:top="916" w:right="339" w:bottom="1440" w:gutter="0" w:footer="0" w:header="0"/>
        </w:sectPr>
      </w:pPr>
    </w:p>
    <w:bookmarkStart w:id="6" w:name="page7"/>
    <w:bookmarkEnd w:id="6"/>
    <w:p>
      <w:pPr>
        <w:spacing w:after="0" w:line="225" w:lineRule="auto"/>
        <w:rPr>
          <w:sz w:val="20"/>
          <w:szCs w:val="20"/>
          <w:color w:val="auto"/>
        </w:rPr>
      </w:pPr>
      <w:r>
        <w:rPr>
          <w:rFonts w:ascii="Times New Roman" w:cs="Times New Roman" w:eastAsia="Times New Roman" w:hAnsi="Times New Roman"/>
          <w:sz w:val="18"/>
          <w:szCs w:val="18"/>
          <w:color w:val="auto"/>
        </w:rPr>
        <w:t>to differ from those in the forward-looking statements include, but are not limited to: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the risk that proposed transactions may not be completed in a timely manner or at all, including related to the Company’s proposed Asset Sales, including whether a market will develop for such assets and whether the Company will be able to agree to acceptable pricing and other terms offered by potential buyers; inability to successfully develop and implement our technological solutions, including our Fast LNG technology, or that we do not receive the benefits we expect from the Fast LNG technology; cyclical or other changes in the LNG and natural gas industries; competition in the energy industry; the receipt of permits, approvals and authorizations from governmental and regulatory agencies on a timely basis or at all; new or changes to existing governmental policies, laws, rules or regulations, or the administration thereof; failure to maintain sufficient working capital and to generate revenues, which could adversely affect our ability to fund our projects; adverse regional, national, or international economic conditions, adverse capital market conditions and adverse political developments; and the impact of public health crises, such as pandemics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Chance Pipitone</w:t>
      </w:r>
    </w:p>
    <w:p>
      <w:pPr>
        <w:spacing w:after="0"/>
        <w:rPr>
          <w:sz w:val="20"/>
          <w:szCs w:val="20"/>
          <w:color w:val="auto"/>
        </w:rPr>
      </w:pPr>
      <w:r>
        <w:rPr>
          <w:rFonts w:ascii="Times New Roman" w:cs="Times New Roman" w:eastAsia="Times New Roman" w:hAnsi="Times New Roman"/>
          <w:sz w:val="18"/>
          <w:szCs w:val="18"/>
          <w:u w:val="single" w:color="auto"/>
          <w:color w:val="auto"/>
        </w:rPr>
        <w:t>ir@newfortressenergy.com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Porritt</w:t>
      </w:r>
    </w:p>
    <w:p>
      <w:pPr>
        <w:spacing w:after="0" w:line="234" w:lineRule="auto"/>
        <w:rPr>
          <w:sz w:val="20"/>
          <w:szCs w:val="20"/>
          <w:color w:val="auto"/>
        </w:rPr>
      </w:pPr>
      <w:r>
        <w:rPr>
          <w:rFonts w:ascii="Times New Roman" w:cs="Times New Roman" w:eastAsia="Times New Roman" w:hAnsi="Times New Roman"/>
          <w:sz w:val="18"/>
          <w:szCs w:val="18"/>
          <w:u w:val="single" w:color="auto"/>
          <w:color w:val="auto"/>
        </w:rPr>
        <w:t>press@newfortressenergy.com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(516) 268-7403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New Fortress Energy Inc.</w:t>
      </w:r>
    </w:p>
    <w:p>
      <w:pPr>
        <w:sectPr>
          <w:pgSz w:w="11900" w:h="16838" w:orient="portrait"/>
          <w:cols w:equalWidth="0" w:num="1">
            <w:col w:w="11220"/>
          </w:cols>
          <w:pgMar w:left="320" w:top="9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Exhibits –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ind w:right="5260"/>
        <w:spacing w:after="0" w:line="273" w:lineRule="auto"/>
        <w:rPr>
          <w:sz w:val="20"/>
          <w:szCs w:val="20"/>
          <w:color w:val="auto"/>
        </w:rPr>
      </w:pPr>
      <w:r>
        <w:rPr>
          <w:rFonts w:ascii="Times New Roman" w:cs="Times New Roman" w:eastAsia="Times New Roman" w:hAnsi="Times New Roman"/>
          <w:sz w:val="17"/>
          <w:szCs w:val="17"/>
          <w:b w:val="1"/>
          <w:bCs w:val="1"/>
          <w:color w:val="auto"/>
        </w:rPr>
        <w:t>For the three months ended December 31, 2023 and March 31, 2024 (Unaudited, in thousands of U.S. dollars,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609,504</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w:t>
            </w: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34,162</w:t>
            </w:r>
          </w:p>
        </w:tc>
      </w:tr>
      <w:tr>
        <w:trPr>
          <w:trHeight w:val="263"/>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758,358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690,321</w:t>
            </w:r>
          </w:p>
        </w:tc>
      </w:tr>
      <w:tr>
        <w:trPr>
          <w:trHeight w:val="243"/>
        </w:trPr>
        <w:tc>
          <w:tcPr>
            <w:tcW w:w="7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229,117</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70,754</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(gain) on sale of assets, net</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77,140</w:t>
            </w:r>
          </w:p>
        </w:tc>
      </w:tr>
      <w:tr>
        <w:trPr>
          <w:trHeight w:val="277"/>
        </w:trPr>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505,817</w:t>
            </w:r>
          </w:p>
        </w:tc>
      </w:tr>
      <w:tr>
        <w:trPr>
          <w:trHeight w:val="23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184,504</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77,344</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2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r>
      <w:tr>
        <w:trPr>
          <w:trHeight w:val="243"/>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before income from equity method investments and income taxes</w:t>
            </w:r>
          </w:p>
        </w:tc>
        <w:tc>
          <w:tcPr>
            <w:tcW w:w="2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263,675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78,294</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21,624</w:t>
            </w:r>
          </w:p>
        </w:tc>
      </w:tr>
      <w:tr>
        <w:trPr>
          <w:trHeight w:val="256"/>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56,670</w:t>
            </w:r>
          </w:p>
        </w:tc>
      </w:tr>
      <w:tr>
        <w:trPr>
          <w:trHeight w:val="25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82"/>
        </w:trPr>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attributable to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7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5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205,032,928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205,061,967</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7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205,563,276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205,977,720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our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calculate Adjusted EBITDA as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transaction and integration costs, contract termination charges and loss on mitigations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certain non-capitalizable contract acquisition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our pro rata share of Adjusted EBITDA from certain unconsolidated entities,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impact of equity in earnings (losses) of certain unconsolidated entities and gains from the sale of assets.</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mathematically equivalent to our Total Segment Operating Margin, as reported in the segment disclosures within our financial statements, minus Core SG&amp;A, including our pro rata share of such expenses of certain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to Adjusted EBITDA for the three months ended March 31, 2023, December 31, 2023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Margin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Core SG&amp;A (see definition above)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Pro rata share Core SG&amp;A from unconsolidated entities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7"/>
                <w:szCs w:val="17"/>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03"/>
        </w:trPr>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7"/>
                <w:szCs w:val="17"/>
                <w:color w:val="auto"/>
              </w:rPr>
            </w:pPr>
          </w:p>
        </w:tc>
        <w:tc>
          <w:tcPr>
            <w:tcW w:w="142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r>
      <w:tr>
        <w:trPr>
          <w:trHeight w:val="34"/>
        </w:trPr>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480,817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427,352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r>
      <w:tr>
        <w:trPr>
          <w:trHeight w:val="257"/>
        </w:trPr>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44,112</w:t>
            </w:r>
          </w:p>
        </w:tc>
      </w:tr>
      <w:tr>
        <w:trPr>
          <w:trHeight w:val="277"/>
        </w:trPr>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440,007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387,572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-668020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-334010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8255</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940"/>
          </w:cols>
          <w:pgMar w:left="320" w:top="931" w:right="339" w:bottom="1440" w:gutter="0" w:footer="0" w:header="0"/>
          <w:type w:val="continuous"/>
        </w:sect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151,566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214,872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56,670</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Interest expense</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Tax provision</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Asset impairment expense</w:t>
            </w:r>
          </w:p>
        </w:tc>
        <w:tc>
          <w:tcPr>
            <w:tcW w:w="5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SG&amp;A items excluded from Core SG&amp;A (see definition above)</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26,642</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Transaction and integration costs</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(income) expense, net</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r>
      <w:tr>
        <w:trPr>
          <w:trHeight w:val="21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Changes in fair value of non-hedge derivative instruments and contingent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consideration</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Loss on extinguishment of debt, net</w:t>
            </w:r>
          </w:p>
        </w:tc>
        <w:tc>
          <w:tcPr>
            <w:tcW w:w="5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Loss (gain) on sale of assets, net</w:t>
            </w:r>
          </w:p>
        </w:tc>
        <w:tc>
          <w:tcPr>
            <w:tcW w:w="5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Pro rata share of Adjusted EBITDA from unconsolidated entities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Loss (income) from equity method investments</w:t>
            </w:r>
          </w:p>
        </w:tc>
        <w:tc>
          <w:tcPr>
            <w:tcW w:w="5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440,007</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387,572</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340,148</w:t>
            </w:r>
          </w:p>
        </w:tc>
      </w:tr>
    </w:tbl>
    <w:p>
      <w:pPr>
        <w:sectPr>
          <w:pgSz w:w="11900" w:h="16838" w:orient="portrait"/>
          <w:cols w:equalWidth="0" w:num="1">
            <w:col w:w="11240"/>
          </w:cols>
          <w:pgMar w:left="320" w:top="93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gains on asset sales, interest expense, other (income) expense, loss on extinguishment of debt, net, (income) loss from equity method investments and tax (benefit) expense. Consolidated Segment Operating Margin is mathematically equivalent to Revenue minus Cost of sales minus Operations and maintenance minus Vessel operating expenses, each as reported in our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2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 xml:space="preserve">Infrastructure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¹</w:t>
            </w:r>
            <w:r>
              <w:rPr>
                <w:rFonts w:ascii="MS PGothic" w:cs="MS PGothic" w:eastAsia="MS PGothic" w:hAnsi="MS PGothic"/>
                <w:sz w:val="18"/>
                <w:szCs w:val="18"/>
                <w:color w:val="auto"/>
                <w:w w:val="99"/>
              </w:rPr>
              <w: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350,072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34,188</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-1971675</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740" w:type="dxa"/>
            <w:vAlign w:val="bottom"/>
          </w:tcPr>
          <w:p>
            <w:pPr>
              <w:spacing w:after="0"/>
              <w:rPr>
                <w:sz w:val="24"/>
                <w:szCs w:val="24"/>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Infrastructure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373,154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54,198</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427,352</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428,843</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0" w:type="dxa"/>
            <w:vAlign w:val="bottom"/>
          </w:tcPr>
          <w:p>
            <w:pPr>
              <w:spacing w:after="0"/>
              <w:rPr>
                <w:sz w:val="1"/>
                <w:szCs w:val="1"/>
                <w:color w:val="auto"/>
              </w:rPr>
            </w:pPr>
          </w:p>
        </w:tc>
      </w:tr>
      <w:tr>
        <w:trPr>
          <w:trHeight w:val="25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0" w:type="dxa"/>
            <w:vAlign w:val="bottom"/>
          </w:tcPr>
          <w:p>
            <w:pPr>
              <w:spacing w:after="0"/>
              <w:rPr>
                <w:sz w:val="1"/>
                <w:szCs w:val="1"/>
                <w:color w:val="auto"/>
              </w:rPr>
            </w:pP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76,951</w:t>
            </w: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57"/>
        </w:trPr>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7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46,037</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-2125980</wp:posOffset>
            </wp:positionV>
            <wp:extent cx="106045" cy="8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5779770</wp:posOffset>
            </wp:positionH>
            <wp:positionV relativeFrom="paragraph">
              <wp:posOffset>-2125980</wp:posOffset>
            </wp:positionV>
            <wp:extent cx="106045" cy="86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6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Consolidation and Other also adjusts for the exclusion of the unrealized mark-to-market gain or loss on derivative instruments in our segment measure.</w:t>
      </w:r>
    </w:p>
    <w:p>
      <w:pPr>
        <w:sectPr>
          <w:pgSz w:w="11900" w:h="16838" w:orient="portrait"/>
          <w:cols w:equalWidth="0" w:num="1">
            <w:col w:w="11240"/>
          </w:cols>
          <w:pgMar w:left="320" w:top="9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280" w:type="dxa"/>
            <w:vAlign w:val="bottom"/>
          </w:tcPr>
          <w:p>
            <w:pPr>
              <w:spacing w:after="0"/>
              <w:rPr>
                <w:sz w:val="17"/>
                <w:szCs w:val="17"/>
                <w:color w:val="auto"/>
              </w:rPr>
            </w:pPr>
          </w:p>
        </w:tc>
        <w:tc>
          <w:tcPr>
            <w:tcW w:w="960" w:type="dxa"/>
            <w:vAlign w:val="bottom"/>
            <w:vMerge w:val="restart"/>
          </w:tcPr>
          <w:p>
            <w:pPr>
              <w:jc w:val="right"/>
              <w:ind w:right="21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Ships </w:t>
            </w:r>
            <w:r>
              <w:rPr>
                <w:rFonts w:ascii="MS PGothic" w:cs="MS PGothic" w:eastAsia="MS PGothic" w:hAnsi="MS PGothic"/>
                <w:sz w:val="14"/>
                <w:szCs w:val="14"/>
                <w:color w:val="auto"/>
              </w:rPr>
              <w:t>⁽</w:t>
            </w:r>
            <w:r>
              <w:rPr>
                <w:rFonts w:ascii="Times New Roman" w:cs="Times New Roman" w:eastAsia="Times New Roman" w:hAnsi="Times New Roman"/>
                <w:sz w:val="9"/>
                <w:szCs w:val="9"/>
                <w:b w:val="1"/>
                <w:bCs w:val="1"/>
                <w:color w:val="auto"/>
              </w:rPr>
              <w:t>1</w:t>
            </w:r>
            <w:r>
              <w:rPr>
                <w:rFonts w:ascii="MS PGothic" w:cs="MS PGothic" w:eastAsia="MS PGothic" w:hAnsi="MS PGothic"/>
                <w:sz w:val="14"/>
                <w:szCs w:val="14"/>
                <w:color w:val="auto"/>
              </w:rPr>
              <w:t>⁾</w:t>
            </w: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17"/>
                <w:szCs w:val="17"/>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2"/>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280" w:type="dxa"/>
            <w:vAlign w:val="bottom"/>
            <w:tcBorders>
              <w:bottom w:val="single" w:sz="8" w:color="auto"/>
            </w:tcBorders>
            <w:gridSpan w:val="2"/>
            <w:vMerge w:val="continue"/>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7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4"/>
                <w:szCs w:val="14"/>
                <w:color w:val="auto"/>
              </w:rPr>
              <w:t>⁽</w:t>
            </w:r>
            <w:r>
              <w:rPr>
                <w:rFonts w:ascii="Times New Roman" w:cs="Times New Roman" w:eastAsia="Times New Roman" w:hAnsi="Times New Roman"/>
                <w:sz w:val="9"/>
                <w:szCs w:val="9"/>
                <w:b w:val="1"/>
                <w:bCs w:val="1"/>
                <w:color w:val="auto"/>
              </w:rPr>
              <w:t>2</w:t>
            </w:r>
            <w:r>
              <w:rPr>
                <w:rFonts w:ascii="MS PGothic" w:cs="MS PGothic" w:eastAsia="MS PGothic" w:hAnsi="MS PGothic"/>
                <w:sz w:val="14"/>
                <w:szCs w:val="14"/>
                <w:color w:val="auto"/>
              </w:rPr>
              <w:t>⁾</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402,139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78,678</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480,817</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354,231</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52,138</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-1850390</wp:posOffset>
            </wp:positionV>
            <wp:extent cx="97155" cy="74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155" cy="7493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-1790700</wp:posOffset>
            </wp:positionV>
            <wp:extent cx="97155" cy="74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313" w:lineRule="exact"/>
        <w:rPr>
          <w:sz w:val="20"/>
          <w:szCs w:val="20"/>
          <w:color w:val="auto"/>
        </w:rPr>
      </w:pPr>
    </w:p>
    <w:p>
      <w:pPr>
        <w:ind w:left="340" w:right="120" w:hanging="332"/>
        <w:spacing w:after="0" w:line="216"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Ships includes our effective share of revenues, expenses and operating margin attributable to our 50% ownership of Hilli LLC, prior to the disposition of this investment.</w:t>
      </w:r>
    </w:p>
    <w:p>
      <w:pPr>
        <w:ind w:left="340" w:right="220" w:hanging="332"/>
        <w:spacing w:after="0" w:line="21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Consolidation and Other adjusts for the inclusion of the effective share of revenues, expenses and operating margin attributable to 50% ownership of Hilli LLC in our segment measure and exclusion of the unrealized mark-to-market gain or loss on derivative instruments.</w:t>
      </w:r>
    </w:p>
    <w:p>
      <w:pPr>
        <w:sectPr>
          <w:pgSz w:w="11900" w:h="16838" w:orient="portrait"/>
          <w:cols w:equalWidth="0" w:num="1">
            <w:col w:w="11240"/>
          </w:cols>
          <w:pgMar w:left="320" w:top="981" w:right="339" w:bottom="1440" w:gutter="0" w:footer="0" w:header="0"/>
        </w:sectPr>
      </w:pPr>
    </w:p>
    <w:bookmarkStart w:id="12" w:name="page13"/>
    <w:bookmarkEnd w:id="12"/>
    <w:p>
      <w:pPr>
        <w:spacing w:after="0" w:line="219" w:lineRule="auto"/>
        <w:tabs>
          <w:tab w:leader="none" w:pos="328" w:val="left"/>
        </w:tabs>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Earnings per Share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attributable to stockholders and earnings per share adjusted for non-cash impairment charges and losses on disposals of assets.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200" w:type="dxa"/>
            <w:vAlign w:val="bottom"/>
          </w:tcPr>
          <w:p>
            <w:pPr>
              <w:spacing w:after="0"/>
              <w:rPr>
                <w:sz w:val="17"/>
                <w:szCs w:val="17"/>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38"/>
        </w:trPr>
        <w:tc>
          <w:tcPr>
            <w:tcW w:w="4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4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31, 2024</w:t>
            </w:r>
          </w:p>
        </w:tc>
      </w:tr>
      <w:tr>
        <w:trPr>
          <w:trHeight w:val="25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217,207</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54,081</w:t>
            </w:r>
          </w:p>
        </w:tc>
      </w:tr>
      <w:tr>
        <w:trPr>
          <w:trHeight w:val="25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impairment charges, net of tax</w:t>
            </w:r>
          </w:p>
        </w:tc>
        <w:tc>
          <w:tcPr>
            <w:tcW w:w="460" w:type="dxa"/>
            <w:vAlign w:val="bottom"/>
          </w:tcPr>
          <w:p>
            <w:pPr>
              <w:spacing w:after="0"/>
              <w:rPr>
                <w:sz w:val="22"/>
                <w:szCs w:val="22"/>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equity method investment</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209,325,619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205,563,276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205,977,720</w:t>
            </w:r>
          </w:p>
        </w:tc>
      </w:tr>
      <w:tr>
        <w:trPr>
          <w:trHeight w:val="270"/>
        </w:trPr>
        <w:tc>
          <w:tcPr>
            <w:tcW w:w="4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5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attributable to stockholders and Funds from operations ("FFO") and FFO per share. We have defined FFO as net income attributable to stockholders, adjusted by depreciation and amortization, gains or losses from the sale of assets and impairment charges, each as reported in our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1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7"/>
                <w:szCs w:val="17"/>
                <w:color w:val="auto"/>
              </w:rPr>
            </w:pPr>
          </w:p>
        </w:tc>
        <w:tc>
          <w:tcPr>
            <w:tcW w:w="1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54,081</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impairment charges, net of tax</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equity method investment</w:t>
            </w: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221,982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188,934</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209,325,619</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205,563,276</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205,977,720</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2024 and December 31,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0"/>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143,457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155,414</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net of allowances of $12,828 and $1,158,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342,371</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113,684</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213,104</w:t>
            </w:r>
          </w:p>
        </w:tc>
        <w:tc>
          <w:tcPr>
            <w:tcW w:w="0" w:type="dxa"/>
            <w:vAlign w:val="bottom"/>
          </w:tcPr>
          <w:p>
            <w:pPr>
              <w:spacing w:after="0"/>
              <w:rPr>
                <w:sz w:val="1"/>
                <w:szCs w:val="1"/>
                <w:color w:val="auto"/>
              </w:rPr>
            </w:pPr>
          </w:p>
        </w:tc>
      </w:tr>
      <w:tr>
        <w:trPr>
          <w:trHeight w:val="18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1,038,783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979,973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5,797,511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5,348,294</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2,175,882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2,481,415</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137,793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726,391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588,385</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51,815</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776,760</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assets, net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126,903</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10,880,362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10,501,245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and short-term borrowings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291,518</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292,625</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524,535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549,489</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471,675</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164,548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227,951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1,566,873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1,706,288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6,734,860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6,510,523</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406,494</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8,984,080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8,723,376</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$0.01 par value, 96,746 shares authorized, issued and outstanding as of March 31, 2024 (0 as of</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2023); aggregate liquidation preference of $96,746 and $0 at March 31, 2024 and December 31, 2023</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common stock, $0.01 par value, 750 million shares authorized, 205.0 million issued and outstanding as of March 31, 2024;</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205.0 million issued and outstanding as of December 31, 2023</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1,043,652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1,038,530</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527,986</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71,528</w:t>
            </w:r>
          </w:p>
        </w:tc>
        <w:tc>
          <w:tcPr>
            <w:tcW w:w="0" w:type="dxa"/>
            <w:vAlign w:val="bottom"/>
          </w:tcPr>
          <w:p>
            <w:pPr>
              <w:spacing w:after="0"/>
              <w:rPr>
                <w:sz w:val="1"/>
                <w:szCs w:val="1"/>
                <w:color w:val="auto"/>
              </w:rPr>
            </w:pPr>
          </w:p>
        </w:tc>
      </w:tr>
      <w:tr>
        <w:trPr>
          <w:trHeight w:val="18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 attributable to NFE</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1,671,303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1,640,094</w:t>
            </w: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1,799,627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1,777,869</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convertible preferred stock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10,880,362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10,501,245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501,688</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76,524</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579,131</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184,938</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505,817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311,907</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267,224</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from equity method investments and income taxes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170,546</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0" w:type="dxa"/>
            <w:vAlign w:val="bottom"/>
          </w:tcPr>
          <w:p>
            <w:pPr>
              <w:spacing w:after="0"/>
              <w:rPr>
                <w:sz w:val="1"/>
                <w:szCs w:val="1"/>
                <w:color w:val="auto"/>
              </w:rPr>
            </w:pPr>
          </w:p>
        </w:tc>
      </w:tr>
      <w:tr>
        <w:trPr>
          <w:trHeight w:val="22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2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attributable to stockholders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150,206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205,061,967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208,707,385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205,977,720</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209,325,619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1"/>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0"/>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151,566</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for:</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34,608</w:t>
            </w:r>
          </w:p>
        </w:tc>
        <w:tc>
          <w:tcPr>
            <w:tcW w:w="0" w:type="dxa"/>
            <w:vAlign w:val="bottom"/>
          </w:tcPr>
          <w:p>
            <w:pPr>
              <w:spacing w:after="0"/>
              <w:rPr>
                <w:sz w:val="1"/>
                <w:szCs w:val="1"/>
                <w:color w:val="auto"/>
              </w:rPr>
            </w:pPr>
          </w:p>
        </w:tc>
      </w:tr>
      <w:tr>
        <w:trPr>
          <w:trHeight w:val="195"/>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taxes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Movement in credit loss allowances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asset sales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transferred to Energos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(31,954)</w:t>
            </w:r>
          </w:p>
        </w:tc>
        <w:tc>
          <w:tcPr>
            <w:tcW w:w="0" w:type="dxa"/>
            <w:vAlign w:val="bottom"/>
          </w:tcPr>
          <w:p>
            <w:pPr>
              <w:spacing w:after="0"/>
              <w:rPr>
                <w:sz w:val="1"/>
                <w:szCs w:val="1"/>
                <w:color w:val="auto"/>
              </w:rPr>
            </w:pPr>
          </w:p>
        </w:tc>
      </w:tr>
      <w:tr>
        <w:trPr>
          <w:trHeight w:val="195"/>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the disposal of equity method investment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37,401</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(2,743)</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receivables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28,136</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inventories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in other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(27,966)</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right-of-use assets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increase in accounts payable/accrued liabilities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(43,400)</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amounts due to affiliates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 lease liabilities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(9,709)</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(Decrease) increase in other liabilities</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(71,226)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55,822</w:t>
            </w:r>
          </w:p>
        </w:tc>
        <w:tc>
          <w:tcPr>
            <w:tcW w:w="0" w:type="dxa"/>
            <w:vAlign w:val="bottom"/>
          </w:tcPr>
          <w:p>
            <w:pPr>
              <w:spacing w:after="0"/>
              <w:rPr>
                <w:sz w:val="1"/>
                <w:szCs w:val="1"/>
                <w:color w:val="auto"/>
              </w:rPr>
            </w:pPr>
          </w:p>
        </w:tc>
      </w:tr>
      <w:tr>
        <w:trPr>
          <w:trHeight w:val="183"/>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70,050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200,140</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(683,449)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(563,268)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 of equity method investment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sales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328,999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(219,780)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(463,268)</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borrowings of debt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2,164,687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(5,903)</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0" w:type="dxa"/>
            <w:vAlign w:val="bottom"/>
          </w:tcPr>
          <w:p>
            <w:pPr>
              <w:spacing w:after="0"/>
              <w:rPr>
                <w:sz w:val="1"/>
                <w:szCs w:val="1"/>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dividends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(649,796)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82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43,221</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changes in foreign exchange rates on cash and cash equivalents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(218,959)</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855,083</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314,933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636,124</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2024-05-08T06:13:23Z</dcterms:created>
  <dcterms:modified xsi:type="dcterms:W3CDTF">2024-05-08T06:13:23Z</dcterms:modified>
</cp:coreProperties>
</file>