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327314.xml.htm"/>
      <w:bookmarkStart w:id="1" w:name="kswkform4_17703273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Lowe Michael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 Fortress Energy Inc.</w:t>
              </w:r>
            </w:hyperlink>
            <w:r>
              <w:rPr/>
              <w:t xml:space="preserve"> [ </w:t>
            </w:r>
            <w:r>
              <w:rPr>
                <w:rFonts w:ascii="Times;serif" w:hAnsi="Times;serif"/>
                <w:color w:val="0000FF"/>
                <w:sz w:val="24"/>
                <w:shd w:fill="FFFFFF" w:val="clear"/>
              </w:rPr>
              <w:t>NFE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21,402</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4,916</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 shares were sold. Reflects withholding of shares to satisfy tax liability in connection with delivery of shares made on February 3, 2026 in connection with the vesting of restricted stock units granted on March 11,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 Lowe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8594" TargetMode="External"/><Relationship Id="rId5" Type="http://schemas.openxmlformats.org/officeDocument/2006/relationships/hyperlink" Target="http://www.sec.gov/cgi-bin/browse-edgar?action=getcompany&amp;CIK=000174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3287</Characters>
  <CharactersWithSpaces>3835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