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149860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99"/>
        <w:spacing w:after="0"/>
        <w:rPr>
          <w:sz w:val="20"/>
          <w:szCs w:val="20"/>
          <w:color w:val="auto"/>
        </w:rPr>
      </w:pPr>
      <w:r>
        <w:rPr>
          <w:rFonts w:ascii="Arial" w:cs="Arial" w:eastAsia="Arial" w:hAnsi="Arial"/>
          <w:sz w:val="32"/>
          <w:szCs w:val="32"/>
          <w:color w:val="auto"/>
        </w:rPr>
        <w:t>SCHEDULE 13D</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Under the Securities Exchange Act of 1934</w:t>
      </w:r>
    </w:p>
    <w:p>
      <w:pPr>
        <w:jc w:val="center"/>
        <w:ind w:right="-99"/>
        <w:spacing w:after="0"/>
        <w:rPr>
          <w:sz w:val="20"/>
          <w:szCs w:val="20"/>
          <w:color w:val="auto"/>
        </w:rPr>
      </w:pPr>
      <w:r>
        <w:rPr>
          <w:rFonts w:ascii="Arial" w:cs="Arial" w:eastAsia="Arial" w:hAnsi="Arial"/>
          <w:sz w:val="22"/>
          <w:szCs w:val="22"/>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149860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(Name of Issuer)</w:t>
      </w:r>
    </w:p>
    <w:p>
      <w:pPr>
        <w:spacing w:after="0" w:line="2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Mi Hong Yoon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2nd Floor, S.E. Pearman Building</w:t>
      </w:r>
    </w:p>
    <w:p>
      <w:pPr>
        <w:jc w:val="center"/>
        <w:ind w:right="-99"/>
        <w:spacing w:after="0" w:line="230" w:lineRule="auto"/>
        <w:rPr>
          <w:sz w:val="20"/>
          <w:szCs w:val="20"/>
          <w:color w:val="auto"/>
        </w:rPr>
      </w:pPr>
      <w:r>
        <w:rPr>
          <w:rFonts w:ascii="Arial" w:cs="Arial" w:eastAsia="Arial" w:hAnsi="Arial"/>
          <w:sz w:val="22"/>
          <w:szCs w:val="22"/>
          <w:b w:val="1"/>
          <w:bCs w:val="1"/>
          <w:color w:val="auto"/>
        </w:rPr>
        <w:t>9 Par-la-Ville Road</w:t>
      </w:r>
    </w:p>
    <w:p>
      <w:pPr>
        <w:jc w:val="center"/>
        <w:ind w:right="-99"/>
        <w:spacing w:after="0" w:line="231" w:lineRule="auto"/>
        <w:rPr>
          <w:sz w:val="20"/>
          <w:szCs w:val="20"/>
          <w:color w:val="auto"/>
        </w:rPr>
      </w:pPr>
      <w:r>
        <w:rPr>
          <w:rFonts w:ascii="Arial" w:cs="Arial" w:eastAsia="Arial" w:hAnsi="Arial"/>
          <w:sz w:val="22"/>
          <w:szCs w:val="22"/>
          <w:b w:val="1"/>
          <w:bCs w:val="1"/>
          <w:color w:val="auto"/>
        </w:rPr>
        <w:t>Hamilton, HM 11</w:t>
      </w:r>
    </w:p>
    <w:p>
      <w:pPr>
        <w:jc w:val="center"/>
        <w:ind w:right="-99"/>
        <w:spacing w:after="0" w:line="230" w:lineRule="auto"/>
        <w:rPr>
          <w:sz w:val="20"/>
          <w:szCs w:val="20"/>
          <w:color w:val="auto"/>
        </w:rPr>
      </w:pPr>
      <w:r>
        <w:rPr>
          <w:rFonts w:ascii="Arial" w:cs="Arial" w:eastAsia="Arial" w:hAnsi="Arial"/>
          <w:sz w:val="22"/>
          <w:szCs w:val="22"/>
          <w:b w:val="1"/>
          <w:bCs w:val="1"/>
          <w:color w:val="auto"/>
        </w:rPr>
        <w:t>Bermuda</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+1 (441) 295-4705</w:t>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with a copy to:</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David P. Oelman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Vinson &amp; Elkins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845 Texas Avenue, Suite 4700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8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0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0" w:lineRule="exact"/>
        <w:rPr>
          <w:sz w:val="24"/>
          <w:szCs w:val="24"/>
          <w:color w:val="auto"/>
        </w:rPr>
      </w:pPr>
    </w:p>
    <w:p>
      <w:pPr>
        <w:jc w:val="both"/>
        <w:ind w:right="1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as amended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35"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7"/>
        </w:trPr>
        <w:tc>
          <w:tcPr>
            <w:tcW w:w="1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46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9460" w:type="dxa"/>
            <w:vAlign w:val="bottom"/>
            <w:gridSpan w:val="4"/>
          </w:tcPr>
          <w:p>
            <w:pPr>
              <w:ind w:left="40"/>
              <w:spacing w:after="0"/>
              <w:rPr>
                <w:sz w:val="20"/>
                <w:szCs w:val="20"/>
                <w:color w:val="auto"/>
              </w:rPr>
            </w:pPr>
            <w:r>
              <w:rPr>
                <w:rFonts w:ascii="Arial" w:cs="Arial" w:eastAsia="Arial" w:hAnsi="Arial"/>
                <w:sz w:val="18"/>
                <w:szCs w:val="18"/>
                <w:b w:val="1"/>
                <w:bCs w:val="1"/>
                <w:color w:val="auto"/>
              </w:rPr>
              <w:t>Golar LNG Limited</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946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6"/>
                <w:szCs w:val="16"/>
                <w:b w:val="1"/>
                <w:bCs w:val="1"/>
                <w:color w:val="auto"/>
              </w:rPr>
              <w:t>SEC USE ONLY</w:t>
            </w:r>
          </w:p>
        </w:tc>
        <w:tc>
          <w:tcPr>
            <w:tcW w:w="812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89"/>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12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6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12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946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946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5"/>
              </w:rPr>
              <w:t>Bermuda</w:t>
            </w: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10,220,368</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0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2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BENEFICIALLY</w:t>
            </w:r>
          </w:p>
        </w:tc>
        <w:tc>
          <w:tcPr>
            <w:tcW w:w="10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12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12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20" w:type="dxa"/>
            <w:vAlign w:val="bottom"/>
            <w:tcBorders>
              <w:left w:val="single" w:sz="8" w:color="auto"/>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2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REPORTING PERSON</w:t>
            </w: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12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20" w:type="dxa"/>
            <w:vAlign w:val="bottom"/>
            <w:tcBorders>
              <w:left w:val="single" w:sz="8" w:color="auto"/>
              <w:right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1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uto"/>
            </w:tcBorders>
          </w:tcPr>
          <w:p>
            <w:pPr>
              <w:jc w:val="center"/>
              <w:ind w:left="525"/>
              <w:spacing w:after="0"/>
              <w:rPr>
                <w:sz w:val="20"/>
                <w:szCs w:val="20"/>
                <w:color w:val="auto"/>
              </w:rPr>
            </w:pPr>
            <w:r>
              <w:rPr>
                <w:rFonts w:ascii="Arial" w:cs="Arial" w:eastAsia="Arial" w:hAnsi="Arial"/>
                <w:sz w:val="16"/>
                <w:szCs w:val="16"/>
                <w:b w:val="1"/>
                <w:bCs w:val="1"/>
                <w:color w:val="auto"/>
              </w:rPr>
              <w:t>WITH</w:t>
            </w: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120" w:type="dxa"/>
            <w:vAlign w:val="bottom"/>
            <w:vMerge w:val="restart"/>
          </w:tcPr>
          <w:p>
            <w:pPr>
              <w:ind w:left="20"/>
              <w:spacing w:after="0"/>
              <w:rPr>
                <w:sz w:val="20"/>
                <w:szCs w:val="20"/>
                <w:color w:val="auto"/>
              </w:rPr>
            </w:pPr>
            <w:r>
              <w:rPr>
                <w:rFonts w:ascii="Arial" w:cs="Arial" w:eastAsia="Arial" w:hAnsi="Arial"/>
                <w:sz w:val="18"/>
                <w:szCs w:val="18"/>
                <w:color w:val="auto"/>
              </w:rPr>
              <w:t>10,220,368</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126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12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12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10,220,368*</w:t>
            </w: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60" w:type="dxa"/>
            <w:vAlign w:val="bottom"/>
            <w:tcBorders>
              <w:left w:val="single" w:sz="8" w:color="auto"/>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spacing w:after="0"/>
              <w:rPr>
                <w:sz w:val="16"/>
                <w:szCs w:val="16"/>
                <w:color w:val="auto"/>
              </w:rPr>
            </w:pPr>
          </w:p>
        </w:tc>
        <w:tc>
          <w:tcPr>
            <w:tcW w:w="812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460" w:type="dxa"/>
            <w:vAlign w:val="bottom"/>
            <w:gridSpan w:val="4"/>
          </w:tcPr>
          <w:p>
            <w:pPr>
              <w:ind w:left="4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6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12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 of percentage based on a total of 208,770,088 Class A Common Shares (as defined in Item 1) issued and outstanding as of November 4, 2022.</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Explanatory Note</w:t>
      </w:r>
    </w:p>
    <w:p>
      <w:pPr>
        <w:spacing w:after="0" w:line="240" w:lineRule="exact"/>
        <w:rPr>
          <w:sz w:val="20"/>
          <w:szCs w:val="20"/>
          <w:color w:val="auto"/>
        </w:rPr>
      </w:pPr>
    </w:p>
    <w:p>
      <w:pPr>
        <w:ind w:right="420" w:firstLine="324"/>
        <w:spacing w:after="0" w:line="249" w:lineRule="auto"/>
        <w:rPr>
          <w:sz w:val="20"/>
          <w:szCs w:val="20"/>
          <w:color w:val="auto"/>
        </w:rPr>
      </w:pPr>
      <w:r>
        <w:rPr>
          <w:rFonts w:ascii="Arial" w:cs="Arial" w:eastAsia="Arial" w:hAnsi="Arial"/>
          <w:sz w:val="21"/>
          <w:szCs w:val="21"/>
          <w:color w:val="auto"/>
        </w:rPr>
        <w:t>This Amendment No. 2 to Schedule 13D relates to the Class A common stock, par value $0.01 per share (the “Class A Common Stock”), of New Fortress Energy Inc., a Delaware corporation (the “Issuer”) and amends and supplements the information set forth in the Schedule 13D filed by the Reporting Person with the United States Securities and Exchange Commission on April 23, 2021, as amended by Amendment No. 1 thereto filed with the SEC on April 7, 2022 (the “Original Schedule 13D” and together with this Amendment No. 2, the “Schedule 13D”).</w:t>
      </w:r>
    </w:p>
    <w:p>
      <w:pPr>
        <w:spacing w:after="0" w:line="205"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Except as set forth herein, this Amendment No. 2 does not modify any of the information previously reported in the Original Schedule 13D. All capitalized terms contained herein but not otherwise defined shall have the meanings ascribed to such terms in the Original Schedule 13D. This Amendment No. 2 constitutes an exit filing of the Reporting Person in respect of the Class A Common Stock previously reported as beneficially owned by the Reporting Person.</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color w:val="auto"/>
        </w:rPr>
        <w:t>(a., b., c. and f.) This Schedule 13D is being filed on behalf of Golar LNG Limited, a Bermuda corporation (“Golar”). Golar is referred to as the “Reporting Person.”</w:t>
      </w:r>
    </w:p>
    <w:p>
      <w:pPr>
        <w:spacing w:after="0" w:line="202" w:lineRule="exact"/>
        <w:rPr>
          <w:sz w:val="20"/>
          <w:szCs w:val="20"/>
          <w:color w:val="auto"/>
        </w:rPr>
      </w:pPr>
    </w:p>
    <w:p>
      <w:pPr>
        <w:ind w:right="160" w:firstLine="332"/>
        <w:spacing w:after="0"/>
        <w:tabs>
          <w:tab w:leader="none" w:pos="1068" w:val="left"/>
        </w:tabs>
        <w:numPr>
          <w:ilvl w:val="0"/>
          <w:numId w:val="3"/>
        </w:numPr>
        <w:rPr>
          <w:rFonts w:ascii="Arial" w:cs="Arial" w:eastAsia="Arial" w:hAnsi="Arial"/>
          <w:sz w:val="22"/>
          <w:szCs w:val="22"/>
          <w:color w:val="auto"/>
        </w:rPr>
      </w:pPr>
      <w:r>
        <w:rPr>
          <w:rFonts w:ascii="Arial" w:cs="Arial" w:eastAsia="Arial" w:hAnsi="Arial"/>
          <w:sz w:val="22"/>
          <w:szCs w:val="22"/>
          <w:b w:val="1"/>
          <w:bCs w:val="1"/>
          <w:i w:val="1"/>
          <w:iCs w:val="1"/>
          <w:color w:val="auto"/>
        </w:rPr>
        <w:t>Golar</w:t>
      </w:r>
      <w:r>
        <w:rPr>
          <w:rFonts w:ascii="Arial" w:cs="Arial" w:eastAsia="Arial" w:hAnsi="Arial"/>
          <w:sz w:val="22"/>
          <w:szCs w:val="22"/>
          <w:color w:val="auto"/>
        </w:rPr>
        <w:t>: The address of Golar’s principal place of business is 2nd Floor, S.E. Pearman Building, 9 Par-la-Ville Road,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Hamilton HM 11, Bermuda. The principal business of Golar is to design, build, own and operate marine infrastructure for the liquefaction and regasification of liquified natural gas.</w:t>
      </w:r>
    </w:p>
    <w:p>
      <w:pPr>
        <w:spacing w:after="0" w:line="213" w:lineRule="exact"/>
        <w:rPr>
          <w:sz w:val="20"/>
          <w:szCs w:val="20"/>
          <w:color w:val="auto"/>
        </w:rPr>
      </w:pPr>
    </w:p>
    <w:p>
      <w:pPr>
        <w:ind w:right="180" w:firstLine="324"/>
        <w:spacing w:after="0" w:line="236" w:lineRule="auto"/>
        <w:rPr>
          <w:sz w:val="20"/>
          <w:szCs w:val="20"/>
          <w:color w:val="auto"/>
        </w:rPr>
      </w:pPr>
      <w:r>
        <w:rPr>
          <w:rFonts w:ascii="Arial" w:cs="Arial" w:eastAsia="Arial" w:hAnsi="Arial"/>
          <w:sz w:val="22"/>
          <w:szCs w:val="22"/>
          <w:color w:val="auto"/>
        </w:rPr>
        <w:t>The name, citizenship, residence or business address and present principal occupation of each director and executive officer of Golar and the name, principal business and address of any corporation or other organization in which their employment is conducted is set forth below. Unless otherwise indicated, the present principal occupation of each person is with Golar. If no business address is given, the director’s or executive officer’s business address is 2nd Floor, S.E. Pearman Building, 9 Par-la-Ville Road, Hamilton HM 11, Bermuda.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Tor Olav Trøim</w:t>
            </w:r>
          </w:p>
        </w:tc>
        <w:tc>
          <w:tcPr>
            <w:tcW w:w="4260" w:type="dxa"/>
            <w:vAlign w:val="bottom"/>
          </w:tcPr>
          <w:p>
            <w:pPr>
              <w:ind w:left="540"/>
              <w:spacing w:after="0"/>
              <w:rPr>
                <w:sz w:val="20"/>
                <w:szCs w:val="20"/>
                <w:color w:val="auto"/>
              </w:rPr>
            </w:pPr>
            <w:r>
              <w:rPr>
                <w:rFonts w:ascii="Arial" w:cs="Arial" w:eastAsia="Arial" w:hAnsi="Arial"/>
                <w:sz w:val="18"/>
                <w:szCs w:val="18"/>
                <w:color w:val="auto"/>
              </w:rPr>
              <w:t>Chairman</w:t>
            </w:r>
          </w:p>
        </w:tc>
        <w:tc>
          <w:tcPr>
            <w:tcW w:w="4960" w:type="dxa"/>
            <w:vAlign w:val="bottom"/>
          </w:tcPr>
          <w:p>
            <w:pPr>
              <w:ind w:left="80"/>
              <w:spacing w:after="0"/>
              <w:rPr>
                <w:sz w:val="20"/>
                <w:szCs w:val="20"/>
                <w:color w:val="auto"/>
              </w:rPr>
            </w:pPr>
            <w:r>
              <w:rPr>
                <w:rFonts w:ascii="Arial" w:cs="Arial" w:eastAsia="Arial" w:hAnsi="Arial"/>
                <w:sz w:val="18"/>
                <w:szCs w:val="18"/>
                <w:color w:val="auto"/>
              </w:rPr>
              <w:t>Mr. Trøim is a citizen of Norway.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Daniel Rabun</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rPr>
              <w:t>Mr. Rabun is a citizen of the United States of America.</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Thorleif Egeli</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rPr>
              <w:t>Mr. Egeli is a citizen of Norway.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Carl Steen</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w w:val="90"/>
              </w:rPr>
              <w:t>Mr. Steen also serves as a director of Wilhemsen Holding ASA and</w:t>
            </w:r>
          </w:p>
        </w:tc>
      </w:tr>
      <w:tr>
        <w:trPr>
          <w:trHeight w:val="216"/>
        </w:trPr>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RS Platou ASA. Mr. Steen is a citizen of Norway.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Niels Stolt-Nielsen</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w w:val="93"/>
              </w:rPr>
              <w:t>Mr. Stolt-Nielsen is also the director and chief executive officer of</w:t>
            </w:r>
          </w:p>
        </w:tc>
      </w:tr>
      <w:tr>
        <w:trPr>
          <w:trHeight w:val="216"/>
        </w:trPr>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w w:val="91"/>
              </w:rPr>
              <w:t>Stolt-Nielsen Limited and is the Chairman and founding investor of</w:t>
            </w:r>
          </w:p>
        </w:tc>
      </w:tr>
      <w:tr>
        <w:trPr>
          <w:trHeight w:val="216"/>
        </w:trPr>
        <w:tc>
          <w:tcPr>
            <w:tcW w:w="19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Avance Gas. Mr. Stolt Nielsen is a citizen of Norway.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Lori Wheeler Naess</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w w:val="96"/>
              </w:rPr>
              <w:t>Ms. Wheeler Naess is a citizen of the United States of America.</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Georgina Sousa</w:t>
            </w:r>
          </w:p>
        </w:tc>
        <w:tc>
          <w:tcPr>
            <w:tcW w:w="426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960" w:type="dxa"/>
            <w:vAlign w:val="bottom"/>
          </w:tcPr>
          <w:p>
            <w:pPr>
              <w:ind w:left="80"/>
              <w:spacing w:after="0"/>
              <w:rPr>
                <w:sz w:val="20"/>
                <w:szCs w:val="20"/>
                <w:color w:val="auto"/>
              </w:rPr>
            </w:pPr>
            <w:r>
              <w:rPr>
                <w:rFonts w:ascii="Arial" w:cs="Arial" w:eastAsia="Arial" w:hAnsi="Arial"/>
                <w:sz w:val="18"/>
                <w:szCs w:val="18"/>
                <w:color w:val="auto"/>
              </w:rPr>
              <w:t>Ms. Sousa is a citizen of the United Kingdom.</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Karl Fredrik Staubo</w:t>
            </w:r>
          </w:p>
        </w:tc>
        <w:tc>
          <w:tcPr>
            <w:tcW w:w="4260" w:type="dxa"/>
            <w:vAlign w:val="bottom"/>
          </w:tcPr>
          <w:p>
            <w:pPr>
              <w:ind w:left="540"/>
              <w:spacing w:after="0"/>
              <w:rPr>
                <w:sz w:val="20"/>
                <w:szCs w:val="20"/>
                <w:color w:val="auto"/>
              </w:rPr>
            </w:pPr>
            <w:r>
              <w:rPr>
                <w:rFonts w:ascii="Arial" w:cs="Arial" w:eastAsia="Arial" w:hAnsi="Arial"/>
                <w:sz w:val="18"/>
                <w:szCs w:val="18"/>
                <w:color w:val="auto"/>
              </w:rPr>
              <w:t>Chief Executive Officer of Golar Management</w:t>
            </w:r>
          </w:p>
        </w:tc>
        <w:tc>
          <w:tcPr>
            <w:tcW w:w="4960" w:type="dxa"/>
            <w:vAlign w:val="bottom"/>
          </w:tcPr>
          <w:p>
            <w:pPr>
              <w:ind w:left="80"/>
              <w:spacing w:after="0"/>
              <w:rPr>
                <w:sz w:val="20"/>
                <w:szCs w:val="20"/>
                <w:color w:val="auto"/>
              </w:rPr>
            </w:pPr>
            <w:r>
              <w:rPr>
                <w:rFonts w:ascii="Arial" w:cs="Arial" w:eastAsia="Arial" w:hAnsi="Arial"/>
                <w:sz w:val="18"/>
                <w:szCs w:val="18"/>
                <w:color w:val="auto"/>
              </w:rPr>
              <w:t>Mr. Staubo is a citizen of Norway.</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Eduardo Maranhão</w:t>
            </w:r>
          </w:p>
        </w:tc>
        <w:tc>
          <w:tcPr>
            <w:tcW w:w="4260" w:type="dxa"/>
            <w:vAlign w:val="bottom"/>
          </w:tcPr>
          <w:p>
            <w:pPr>
              <w:ind w:left="540"/>
              <w:spacing w:after="0"/>
              <w:rPr>
                <w:sz w:val="20"/>
                <w:szCs w:val="20"/>
                <w:color w:val="auto"/>
              </w:rPr>
            </w:pPr>
            <w:r>
              <w:rPr>
                <w:rFonts w:ascii="Arial" w:cs="Arial" w:eastAsia="Arial" w:hAnsi="Arial"/>
                <w:sz w:val="18"/>
                <w:szCs w:val="18"/>
                <w:color w:val="auto"/>
              </w:rPr>
              <w:t>Chief Financial Officer of Golar Management</w:t>
            </w:r>
          </w:p>
        </w:tc>
        <w:tc>
          <w:tcPr>
            <w:tcW w:w="4960" w:type="dxa"/>
            <w:vAlign w:val="bottom"/>
          </w:tcPr>
          <w:p>
            <w:pPr>
              <w:ind w:left="80"/>
              <w:spacing w:after="0"/>
              <w:rPr>
                <w:sz w:val="20"/>
                <w:szCs w:val="20"/>
                <w:color w:val="auto"/>
              </w:rPr>
            </w:pPr>
            <w:r>
              <w:rPr>
                <w:rFonts w:ascii="Arial" w:cs="Arial" w:eastAsia="Arial" w:hAnsi="Arial"/>
                <w:sz w:val="18"/>
                <w:szCs w:val="18"/>
                <w:color w:val="auto"/>
              </w:rPr>
              <w:t>Mr. Maranhão is a citizen of Brazil.</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Ragnar Nes</w:t>
            </w:r>
          </w:p>
        </w:tc>
        <w:tc>
          <w:tcPr>
            <w:tcW w:w="4260" w:type="dxa"/>
            <w:vAlign w:val="bottom"/>
          </w:tcPr>
          <w:p>
            <w:pPr>
              <w:ind w:left="540"/>
              <w:spacing w:after="0"/>
              <w:rPr>
                <w:sz w:val="20"/>
                <w:szCs w:val="20"/>
                <w:color w:val="auto"/>
              </w:rPr>
            </w:pPr>
            <w:r>
              <w:rPr>
                <w:rFonts w:ascii="Arial" w:cs="Arial" w:eastAsia="Arial" w:hAnsi="Arial"/>
                <w:sz w:val="18"/>
                <w:szCs w:val="18"/>
                <w:color w:val="auto"/>
                <w:w w:val="94"/>
              </w:rPr>
              <w:t>Chief Operating Officer of Golar Management AS</w:t>
            </w:r>
          </w:p>
        </w:tc>
        <w:tc>
          <w:tcPr>
            <w:tcW w:w="4960" w:type="dxa"/>
            <w:vAlign w:val="bottom"/>
          </w:tcPr>
          <w:p>
            <w:pPr>
              <w:ind w:left="80"/>
              <w:spacing w:after="0"/>
              <w:rPr>
                <w:sz w:val="20"/>
                <w:szCs w:val="20"/>
                <w:color w:val="auto"/>
              </w:rPr>
            </w:pPr>
            <w:r>
              <w:rPr>
                <w:rFonts w:ascii="Arial" w:cs="Arial" w:eastAsia="Arial" w:hAnsi="Arial"/>
                <w:sz w:val="18"/>
                <w:szCs w:val="18"/>
                <w:color w:val="auto"/>
              </w:rPr>
              <w:t>Mr. Nes is a citizen of Norway.</w:t>
            </w:r>
          </w:p>
        </w:tc>
      </w:t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Erik Svendsen</w:t>
            </w:r>
          </w:p>
        </w:tc>
        <w:tc>
          <w:tcPr>
            <w:tcW w:w="4260" w:type="dxa"/>
            <w:vAlign w:val="bottom"/>
          </w:tcPr>
          <w:p>
            <w:pPr>
              <w:ind w:left="540"/>
              <w:spacing w:after="0"/>
              <w:rPr>
                <w:sz w:val="20"/>
                <w:szCs w:val="20"/>
                <w:color w:val="auto"/>
              </w:rPr>
            </w:pPr>
            <w:r>
              <w:rPr>
                <w:rFonts w:ascii="Arial" w:cs="Arial" w:eastAsia="Arial" w:hAnsi="Arial"/>
                <w:sz w:val="18"/>
                <w:szCs w:val="18"/>
                <w:color w:val="auto"/>
                <w:w w:val="94"/>
              </w:rPr>
              <w:t>Chief Technical Officer of Golar Management AS</w:t>
            </w:r>
          </w:p>
        </w:tc>
        <w:tc>
          <w:tcPr>
            <w:tcW w:w="4960" w:type="dxa"/>
            <w:vAlign w:val="bottom"/>
          </w:tcPr>
          <w:p>
            <w:pPr>
              <w:ind w:left="80"/>
              <w:spacing w:after="0"/>
              <w:rPr>
                <w:sz w:val="20"/>
                <w:szCs w:val="20"/>
                <w:color w:val="auto"/>
              </w:rPr>
            </w:pPr>
            <w:r>
              <w:rPr>
                <w:rFonts w:ascii="Arial" w:cs="Arial" w:eastAsia="Arial" w:hAnsi="Arial"/>
                <w:sz w:val="18"/>
                <w:szCs w:val="18"/>
                <w:color w:val="auto"/>
              </w:rPr>
              <w:t>Mr. Svendsen is a citizen of Norway.</w:t>
            </w:r>
          </w:p>
        </w:tc>
      </w:tr>
    </w:tbl>
    <w:p>
      <w:pPr>
        <w:spacing w:after="0" w:line="222" w:lineRule="exact"/>
        <w:rPr>
          <w:sz w:val="20"/>
          <w:szCs w:val="20"/>
          <w:color w:val="auto"/>
        </w:rPr>
      </w:pPr>
    </w:p>
    <w:p>
      <w:pPr>
        <w:ind w:firstLine="324"/>
        <w:spacing w:after="0" w:line="282" w:lineRule="auto"/>
        <w:rPr>
          <w:sz w:val="20"/>
          <w:szCs w:val="20"/>
          <w:color w:val="auto"/>
        </w:rPr>
      </w:pPr>
      <w:r>
        <w:rPr>
          <w:rFonts w:ascii="Arial" w:cs="Arial" w:eastAsia="Arial" w:hAnsi="Arial"/>
          <w:sz w:val="19"/>
          <w:szCs w:val="19"/>
          <w:color w:val="auto"/>
        </w:rPr>
        <w:t>(d. and e.) To the best knowledge of the Reporting Person, none of the entities or persons identified in this Item 2, has, during the past five years, been convicted of any criminal proceeding (excluding traffic violations or similar misdemeanors), nor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color w:val="auto"/>
        </w:rPr>
        <w:t>(a.) – (b.) The aggregate number and percentage of Class A Common Shares beneficially owned by the Reporting Person (on the basis of a total of 208,770,088 Class A Common Shares outstanding as of November 4, 2022 as reported by the Issuer in its Quarterly Report on Form 10-Q for the quarterly period ended September 30, 2022), are as follows:</w:t>
      </w:r>
    </w:p>
    <w:p>
      <w:pPr>
        <w:sectPr>
          <w:pgSz w:w="11900" w:h="16838" w:orient="portrait"/>
          <w:cols w:equalWidth="0" w:num="1">
            <w:col w:w="11240"/>
          </w:cols>
          <w:pgMar w:left="320" w:top="121" w:right="339" w:bottom="1440" w:gutter="0" w:footer="0" w:header="0"/>
        </w:sectPr>
      </w:pP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Amount beneficially owned: 10,220,368</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Percentage: 4.9%</w:t>
      </w:r>
    </w:p>
    <w:p>
      <w:pPr>
        <w:spacing w:after="0" w:line="200" w:lineRule="exact"/>
        <w:rPr>
          <w:sz w:val="20"/>
          <w:szCs w:val="20"/>
          <w:color w:val="auto"/>
        </w:rPr>
      </w:pPr>
    </w:p>
    <w:p>
      <w:pPr>
        <w:sectPr>
          <w:pgSz w:w="11900" w:h="16838" w:orient="portrait"/>
          <w:cols w:equalWidth="0" w:num="3">
            <w:col w:w="620" w:space="500"/>
            <w:col w:w="3480" w:space="540"/>
            <w:col w:w="6100"/>
          </w:cols>
          <w:pgMar w:left="320" w:top="121" w:right="339" w:bottom="1440" w:gutter="0" w:footer="0" w:header="0"/>
          <w:type w:val="continuous"/>
        </w:sectPr>
      </w:pPr>
    </w:p>
    <w:p>
      <w:pPr>
        <w:spacing w:after="0" w:line="6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(b.)</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Number of Class A Common Shares to which the Reporting Person have:</w:t>
      </w:r>
    </w:p>
    <w:p>
      <w:pPr>
        <w:spacing w:after="0" w:line="200" w:lineRule="exact"/>
        <w:rPr>
          <w:sz w:val="20"/>
          <w:szCs w:val="20"/>
          <w:color w:val="auto"/>
        </w:rPr>
      </w:pPr>
    </w:p>
    <w:p>
      <w:pPr>
        <w:sectPr>
          <w:pgSz w:w="11900" w:h="16838" w:orient="portrait"/>
          <w:cols w:equalWidth="0" w:num="2">
            <w:col w:w="640" w:space="480"/>
            <w:col w:w="10120"/>
          </w:cols>
          <w:pgMar w:left="320" w:top="121" w:right="339" w:bottom="1440" w:gutter="0" w:footer="0" w:header="0"/>
          <w:type w:val="continuous"/>
        </w:sectPr>
      </w:pPr>
    </w:p>
    <w:p>
      <w:pPr>
        <w:spacing w:after="0" w:line="68" w:lineRule="exact"/>
        <w:rPr>
          <w:sz w:val="20"/>
          <w:szCs w:val="20"/>
          <w:color w:val="auto"/>
        </w:rPr>
      </w:pPr>
    </w:p>
    <w:p>
      <w:pPr>
        <w:ind w:left="1680" w:hanging="700"/>
        <w:spacing w:after="0"/>
        <w:tabs>
          <w:tab w:leader="none" w:pos="168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 10,220,368</w:t>
      </w:r>
    </w:p>
    <w:p>
      <w:pPr>
        <w:spacing w:after="0" w:line="233" w:lineRule="exact"/>
        <w:rPr>
          <w:rFonts w:ascii="Arial" w:cs="Arial" w:eastAsia="Arial" w:hAnsi="Arial"/>
          <w:sz w:val="22"/>
          <w:szCs w:val="22"/>
          <w:color w:val="auto"/>
        </w:rPr>
      </w:pPr>
    </w:p>
    <w:p>
      <w:pPr>
        <w:ind w:left="1700" w:hanging="720"/>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233" w:lineRule="exact"/>
        <w:rPr>
          <w:rFonts w:ascii="Arial" w:cs="Arial" w:eastAsia="Arial" w:hAnsi="Arial"/>
          <w:sz w:val="22"/>
          <w:szCs w:val="22"/>
          <w:color w:val="auto"/>
        </w:rPr>
      </w:pPr>
    </w:p>
    <w:p>
      <w:pPr>
        <w:ind w:left="1700" w:hanging="720"/>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10,220,368</w:t>
      </w:r>
    </w:p>
    <w:p>
      <w:pPr>
        <w:spacing w:after="0" w:line="233" w:lineRule="exact"/>
        <w:rPr>
          <w:rFonts w:ascii="Arial" w:cs="Arial" w:eastAsia="Arial" w:hAnsi="Arial"/>
          <w:sz w:val="22"/>
          <w:szCs w:val="22"/>
          <w:color w:val="auto"/>
        </w:rPr>
      </w:pPr>
    </w:p>
    <w:p>
      <w:pPr>
        <w:ind w:left="1680" w:hanging="700"/>
        <w:spacing w:after="0"/>
        <w:tabs>
          <w:tab w:leader="none" w:pos="1680" w:val="left"/>
        </w:tabs>
        <w:numPr>
          <w:ilvl w:val="0"/>
          <w:numId w:val="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ind w:left="340"/>
              <w:spacing w:after="0"/>
              <w:rPr>
                <w:sz w:val="20"/>
                <w:szCs w:val="20"/>
                <w:color w:val="auto"/>
              </w:rPr>
            </w:pPr>
            <w:r>
              <w:rPr>
                <w:rFonts w:ascii="Arial" w:cs="Arial" w:eastAsia="Arial" w:hAnsi="Arial"/>
                <w:sz w:val="22"/>
                <w:szCs w:val="22"/>
                <w:color w:val="auto"/>
              </w:rPr>
              <w:t>(c.)</w:t>
            </w:r>
          </w:p>
        </w:tc>
        <w:tc>
          <w:tcPr>
            <w:tcW w:w="10320" w:type="dxa"/>
            <w:vAlign w:val="bottom"/>
            <w:gridSpan w:val="3"/>
          </w:tcPr>
          <w:p>
            <w:pPr>
              <w:ind w:left="200"/>
              <w:spacing w:after="0"/>
              <w:rPr>
                <w:sz w:val="20"/>
                <w:szCs w:val="20"/>
                <w:color w:val="auto"/>
              </w:rPr>
            </w:pPr>
            <w:r>
              <w:rPr>
                <w:rFonts w:ascii="Arial" w:cs="Arial" w:eastAsia="Arial" w:hAnsi="Arial"/>
                <w:sz w:val="22"/>
                <w:szCs w:val="22"/>
                <w:color w:val="auto"/>
                <w:w w:val="88"/>
              </w:rPr>
              <w:t>Transactions by the Reporting Persons in shares of Class A Common Stock of the Issuer in the last sixty days are as</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follows:</w:t>
            </w:r>
          </w:p>
        </w:tc>
        <w:tc>
          <w:tcPr>
            <w:tcW w:w="29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780" w:type="dxa"/>
            <w:vAlign w:val="bottom"/>
          </w:tcPr>
          <w:p>
            <w:pPr>
              <w:spacing w:after="0"/>
              <w:rPr>
                <w:sz w:val="23"/>
                <w:szCs w:val="23"/>
                <w:color w:val="auto"/>
              </w:rPr>
            </w:pPr>
          </w:p>
        </w:tc>
      </w:tr>
      <w:tr>
        <w:trPr>
          <w:trHeight w:val="449"/>
        </w:trPr>
        <w:tc>
          <w:tcPr>
            <w:tcW w:w="920" w:type="dxa"/>
            <w:vAlign w:val="bottom"/>
          </w:tcPr>
          <w:p>
            <w:pPr>
              <w:spacing w:after="0"/>
              <w:rPr>
                <w:sz w:val="24"/>
                <w:szCs w:val="24"/>
                <w:color w:val="auto"/>
              </w:rPr>
            </w:pPr>
          </w:p>
        </w:tc>
        <w:tc>
          <w:tcPr>
            <w:tcW w:w="2960" w:type="dxa"/>
            <w:vAlign w:val="bottom"/>
          </w:tcPr>
          <w:p>
            <w:pPr>
              <w:jc w:val="center"/>
              <w:ind w:right="947"/>
              <w:spacing w:after="0"/>
              <w:rPr>
                <w:sz w:val="20"/>
                <w:szCs w:val="20"/>
                <w:color w:val="auto"/>
              </w:rPr>
            </w:pPr>
            <w:r>
              <w:rPr>
                <w:rFonts w:ascii="Arial" w:cs="Arial" w:eastAsia="Arial" w:hAnsi="Arial"/>
                <w:sz w:val="18"/>
                <w:szCs w:val="18"/>
                <w:b w:val="1"/>
                <w:bCs w:val="1"/>
                <w:color w:val="auto"/>
                <w:w w:val="90"/>
              </w:rPr>
              <w:t>Transaction Date</w:t>
            </w:r>
          </w:p>
        </w:tc>
        <w:tc>
          <w:tcPr>
            <w:tcW w:w="3580" w:type="dxa"/>
            <w:vAlign w:val="bottom"/>
          </w:tcPr>
          <w:p>
            <w:pPr>
              <w:ind w:left="1340"/>
              <w:spacing w:after="0"/>
              <w:rPr>
                <w:sz w:val="20"/>
                <w:szCs w:val="20"/>
                <w:color w:val="auto"/>
              </w:rPr>
            </w:pPr>
            <w:r>
              <w:rPr>
                <w:rFonts w:ascii="Arial" w:cs="Arial" w:eastAsia="Arial" w:hAnsi="Arial"/>
                <w:sz w:val="18"/>
                <w:szCs w:val="18"/>
                <w:b w:val="1"/>
                <w:bCs w:val="1"/>
                <w:color w:val="auto"/>
              </w:rPr>
              <w:t>Shares Sold</w:t>
            </w:r>
          </w:p>
        </w:tc>
        <w:tc>
          <w:tcPr>
            <w:tcW w:w="3780" w:type="dxa"/>
            <w:vAlign w:val="bottom"/>
          </w:tcPr>
          <w:p>
            <w:pPr>
              <w:jc w:val="center"/>
              <w:ind w:left="18"/>
              <w:spacing w:after="0"/>
              <w:rPr>
                <w:sz w:val="20"/>
                <w:szCs w:val="20"/>
                <w:color w:val="auto"/>
              </w:rPr>
            </w:pPr>
            <w:r>
              <w:rPr>
                <w:rFonts w:ascii="Arial" w:cs="Arial" w:eastAsia="Arial" w:hAnsi="Arial"/>
                <w:sz w:val="18"/>
                <w:szCs w:val="18"/>
                <w:b w:val="1"/>
                <w:bCs w:val="1"/>
                <w:color w:val="auto"/>
                <w:w w:val="90"/>
              </w:rPr>
              <w:t>Price Per Share</w:t>
            </w:r>
          </w:p>
        </w:tc>
      </w:tr>
      <w:tr>
        <w:trPr>
          <w:trHeight w:val="216"/>
        </w:trPr>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947"/>
              <w:spacing w:after="0"/>
              <w:rPr>
                <w:sz w:val="20"/>
                <w:szCs w:val="20"/>
                <w:color w:val="auto"/>
              </w:rPr>
            </w:pPr>
            <w:r>
              <w:rPr>
                <w:rFonts w:ascii="Arial" w:cs="Arial" w:eastAsia="Arial" w:hAnsi="Arial"/>
                <w:sz w:val="18"/>
                <w:szCs w:val="18"/>
                <w:color w:val="auto"/>
                <w:w w:val="89"/>
              </w:rPr>
              <w:t>11/1/2022</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3780" w:type="dxa"/>
            <w:vAlign w:val="bottom"/>
            <w:shd w:val="clear" w:color="auto" w:fill="CCEEFF"/>
          </w:tcPr>
          <w:p>
            <w:pPr>
              <w:jc w:val="center"/>
              <w:ind w:left="18"/>
              <w:spacing w:after="0" w:line="216" w:lineRule="exact"/>
              <w:rPr>
                <w:sz w:val="20"/>
                <w:szCs w:val="20"/>
                <w:color w:val="auto"/>
              </w:rPr>
            </w:pPr>
            <w:r>
              <w:rPr>
                <w:rFonts w:ascii="Arial" w:cs="Arial" w:eastAsia="Arial" w:hAnsi="Arial"/>
                <w:sz w:val="16"/>
                <w:szCs w:val="16"/>
                <w:color w:val="auto"/>
                <w:w w:val="96"/>
              </w:rPr>
              <w:t>$55.4887</w:t>
            </w:r>
            <w:r>
              <w:rPr>
                <w:rFonts w:ascii="Arial" w:cs="Arial" w:eastAsia="Arial" w:hAnsi="Arial"/>
                <w:sz w:val="25"/>
                <w:szCs w:val="25"/>
                <w:color w:val="auto"/>
                <w:w w:val="96"/>
                <w:vertAlign w:val="superscript"/>
              </w:rPr>
              <w:t>(1)</w:t>
            </w:r>
          </w:p>
        </w:tc>
      </w:tr>
      <w:tr>
        <w:trPr>
          <w:trHeight w:val="216"/>
        </w:trPr>
        <w:tc>
          <w:tcPr>
            <w:tcW w:w="920" w:type="dxa"/>
            <w:vAlign w:val="bottom"/>
          </w:tcPr>
          <w:p>
            <w:pPr>
              <w:spacing w:after="0"/>
              <w:rPr>
                <w:sz w:val="18"/>
                <w:szCs w:val="18"/>
                <w:color w:val="auto"/>
              </w:rPr>
            </w:pPr>
          </w:p>
        </w:tc>
        <w:tc>
          <w:tcPr>
            <w:tcW w:w="2960" w:type="dxa"/>
            <w:vAlign w:val="bottom"/>
          </w:tcPr>
          <w:p>
            <w:pPr>
              <w:jc w:val="center"/>
              <w:ind w:right="947"/>
              <w:spacing w:after="0"/>
              <w:rPr>
                <w:sz w:val="20"/>
                <w:szCs w:val="20"/>
                <w:color w:val="auto"/>
              </w:rPr>
            </w:pPr>
            <w:r>
              <w:rPr>
                <w:rFonts w:ascii="Arial" w:cs="Arial" w:eastAsia="Arial" w:hAnsi="Arial"/>
                <w:sz w:val="18"/>
                <w:szCs w:val="18"/>
                <w:color w:val="auto"/>
                <w:w w:val="89"/>
              </w:rPr>
              <w:t>11/2/2022</w:t>
            </w:r>
          </w:p>
        </w:tc>
        <w:tc>
          <w:tcPr>
            <w:tcW w:w="3580" w:type="dxa"/>
            <w:vAlign w:val="bottom"/>
          </w:tcPr>
          <w:p>
            <w:pPr>
              <w:jc w:val="center"/>
              <w:spacing w:after="0"/>
              <w:rPr>
                <w:sz w:val="20"/>
                <w:szCs w:val="20"/>
                <w:color w:val="auto"/>
              </w:rPr>
            </w:pPr>
            <w:r>
              <w:rPr>
                <w:rFonts w:ascii="Arial" w:cs="Arial" w:eastAsia="Arial" w:hAnsi="Arial"/>
                <w:sz w:val="18"/>
                <w:szCs w:val="18"/>
                <w:color w:val="auto"/>
                <w:w w:val="89"/>
              </w:rPr>
              <w:t>1,450,000</w:t>
            </w:r>
          </w:p>
        </w:tc>
        <w:tc>
          <w:tcPr>
            <w:tcW w:w="3780" w:type="dxa"/>
            <w:vAlign w:val="bottom"/>
          </w:tcPr>
          <w:p>
            <w:pPr>
              <w:jc w:val="center"/>
              <w:ind w:left="18"/>
              <w:spacing w:after="0" w:line="216" w:lineRule="exact"/>
              <w:rPr>
                <w:sz w:val="20"/>
                <w:szCs w:val="20"/>
                <w:color w:val="auto"/>
              </w:rPr>
            </w:pPr>
            <w:r>
              <w:rPr>
                <w:rFonts w:ascii="Arial" w:cs="Arial" w:eastAsia="Arial" w:hAnsi="Arial"/>
                <w:sz w:val="16"/>
                <w:szCs w:val="16"/>
                <w:color w:val="auto"/>
                <w:w w:val="96"/>
              </w:rPr>
              <w:t>$55.7911</w:t>
            </w:r>
            <w:r>
              <w:rPr>
                <w:rFonts w:ascii="Arial" w:cs="Arial" w:eastAsia="Arial" w:hAnsi="Arial"/>
                <w:sz w:val="25"/>
                <w:szCs w:val="25"/>
                <w:color w:val="auto"/>
                <w:w w:val="96"/>
                <w:vertAlign w:val="superscript"/>
              </w:rPr>
              <w:t>(2)</w:t>
            </w:r>
          </w:p>
        </w:tc>
      </w:tr>
      <w:tr>
        <w:trPr>
          <w:trHeight w:val="216"/>
        </w:trPr>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947"/>
              <w:spacing w:after="0"/>
              <w:rPr>
                <w:sz w:val="20"/>
                <w:szCs w:val="20"/>
                <w:color w:val="auto"/>
              </w:rPr>
            </w:pPr>
            <w:r>
              <w:rPr>
                <w:rFonts w:ascii="Arial" w:cs="Arial" w:eastAsia="Arial" w:hAnsi="Arial"/>
                <w:sz w:val="18"/>
                <w:szCs w:val="18"/>
                <w:color w:val="auto"/>
                <w:w w:val="89"/>
              </w:rPr>
              <w:t>11/3/2022</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302,977</w:t>
            </w:r>
          </w:p>
        </w:tc>
        <w:tc>
          <w:tcPr>
            <w:tcW w:w="3780" w:type="dxa"/>
            <w:vAlign w:val="bottom"/>
            <w:shd w:val="clear" w:color="auto" w:fill="CCEEFF"/>
          </w:tcPr>
          <w:p>
            <w:pPr>
              <w:jc w:val="center"/>
              <w:ind w:left="18"/>
              <w:spacing w:after="0" w:line="216" w:lineRule="exact"/>
              <w:rPr>
                <w:sz w:val="20"/>
                <w:szCs w:val="20"/>
                <w:color w:val="auto"/>
              </w:rPr>
            </w:pPr>
            <w:r>
              <w:rPr>
                <w:rFonts w:ascii="Arial" w:cs="Arial" w:eastAsia="Arial" w:hAnsi="Arial"/>
                <w:sz w:val="16"/>
                <w:szCs w:val="16"/>
                <w:color w:val="auto"/>
                <w:w w:val="96"/>
              </w:rPr>
              <w:t>$55.7971</w:t>
            </w:r>
            <w:r>
              <w:rPr>
                <w:rFonts w:ascii="Arial" w:cs="Arial" w:eastAsia="Arial" w:hAnsi="Arial"/>
                <w:sz w:val="25"/>
                <w:szCs w:val="25"/>
                <w:color w:val="auto"/>
                <w:w w:val="96"/>
                <w:vertAlign w:val="superscript"/>
              </w:rPr>
              <w:t>(3)</w:t>
            </w:r>
          </w:p>
        </w:tc>
      </w:tr>
      <w:tr>
        <w:trPr>
          <w:trHeight w:val="216"/>
        </w:trPr>
        <w:tc>
          <w:tcPr>
            <w:tcW w:w="920" w:type="dxa"/>
            <w:vAlign w:val="bottom"/>
          </w:tcPr>
          <w:p>
            <w:pPr>
              <w:spacing w:after="0"/>
              <w:rPr>
                <w:sz w:val="18"/>
                <w:szCs w:val="18"/>
                <w:color w:val="auto"/>
              </w:rPr>
            </w:pPr>
          </w:p>
        </w:tc>
        <w:tc>
          <w:tcPr>
            <w:tcW w:w="2960" w:type="dxa"/>
            <w:vAlign w:val="bottom"/>
          </w:tcPr>
          <w:p>
            <w:pPr>
              <w:jc w:val="center"/>
              <w:ind w:right="947"/>
              <w:spacing w:after="0"/>
              <w:rPr>
                <w:sz w:val="20"/>
                <w:szCs w:val="20"/>
                <w:color w:val="auto"/>
              </w:rPr>
            </w:pPr>
            <w:r>
              <w:rPr>
                <w:rFonts w:ascii="Arial" w:cs="Arial" w:eastAsia="Arial" w:hAnsi="Arial"/>
                <w:sz w:val="18"/>
                <w:szCs w:val="18"/>
                <w:color w:val="auto"/>
                <w:w w:val="89"/>
              </w:rPr>
              <w:t>11/4/2022</w:t>
            </w:r>
          </w:p>
        </w:tc>
        <w:tc>
          <w:tcPr>
            <w:tcW w:w="3580" w:type="dxa"/>
            <w:vAlign w:val="bottom"/>
          </w:tcPr>
          <w:p>
            <w:pPr>
              <w:jc w:val="center"/>
              <w:spacing w:after="0"/>
              <w:rPr>
                <w:sz w:val="20"/>
                <w:szCs w:val="20"/>
                <w:color w:val="auto"/>
              </w:rPr>
            </w:pPr>
            <w:r>
              <w:rPr>
                <w:rFonts w:ascii="Arial" w:cs="Arial" w:eastAsia="Arial" w:hAnsi="Arial"/>
                <w:sz w:val="18"/>
                <w:szCs w:val="18"/>
                <w:color w:val="auto"/>
                <w:w w:val="90"/>
              </w:rPr>
              <w:t>39,106</w:t>
            </w:r>
          </w:p>
        </w:tc>
        <w:tc>
          <w:tcPr>
            <w:tcW w:w="3780" w:type="dxa"/>
            <w:vAlign w:val="bottom"/>
          </w:tcPr>
          <w:p>
            <w:pPr>
              <w:jc w:val="center"/>
              <w:ind w:left="18"/>
              <w:spacing w:after="0" w:line="216" w:lineRule="exact"/>
              <w:rPr>
                <w:sz w:val="20"/>
                <w:szCs w:val="20"/>
                <w:color w:val="auto"/>
              </w:rPr>
            </w:pPr>
            <w:r>
              <w:rPr>
                <w:rFonts w:ascii="Arial" w:cs="Arial" w:eastAsia="Arial" w:hAnsi="Arial"/>
                <w:sz w:val="16"/>
                <w:szCs w:val="16"/>
                <w:color w:val="auto"/>
                <w:w w:val="96"/>
              </w:rPr>
              <w:t>$58.2879</w:t>
            </w:r>
            <w:r>
              <w:rPr>
                <w:rFonts w:ascii="Arial" w:cs="Arial" w:eastAsia="Arial" w:hAnsi="Arial"/>
                <w:sz w:val="25"/>
                <w:szCs w:val="25"/>
                <w:color w:val="auto"/>
                <w:w w:val="96"/>
                <w:vertAlign w:val="superscript"/>
              </w:rPr>
              <w:t>(4)</w:t>
            </w:r>
          </w:p>
        </w:tc>
      </w:tr>
      <w:tr>
        <w:trPr>
          <w:trHeight w:val="216"/>
        </w:trPr>
        <w:tc>
          <w:tcPr>
            <w:tcW w:w="920" w:type="dxa"/>
            <w:vAlign w:val="bottom"/>
            <w:shd w:val="clear" w:color="auto" w:fill="CCEEFF"/>
          </w:tcPr>
          <w:p>
            <w:pPr>
              <w:spacing w:after="0"/>
              <w:rPr>
                <w:sz w:val="18"/>
                <w:szCs w:val="18"/>
                <w:color w:val="auto"/>
              </w:rPr>
            </w:pPr>
          </w:p>
        </w:tc>
        <w:tc>
          <w:tcPr>
            <w:tcW w:w="2960" w:type="dxa"/>
            <w:vAlign w:val="bottom"/>
            <w:shd w:val="clear" w:color="auto" w:fill="CCEEFF"/>
          </w:tcPr>
          <w:p>
            <w:pPr>
              <w:jc w:val="center"/>
              <w:ind w:right="947"/>
              <w:spacing w:after="0"/>
              <w:rPr>
                <w:sz w:val="20"/>
                <w:szCs w:val="20"/>
                <w:color w:val="auto"/>
              </w:rPr>
            </w:pPr>
            <w:r>
              <w:rPr>
                <w:rFonts w:ascii="Arial" w:cs="Arial" w:eastAsia="Arial" w:hAnsi="Arial"/>
                <w:sz w:val="18"/>
                <w:szCs w:val="18"/>
                <w:color w:val="auto"/>
                <w:w w:val="89"/>
              </w:rPr>
              <w:t>11/8/2022</w:t>
            </w:r>
          </w:p>
        </w:tc>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365,000</w:t>
            </w:r>
          </w:p>
        </w:tc>
        <w:tc>
          <w:tcPr>
            <w:tcW w:w="3780" w:type="dxa"/>
            <w:vAlign w:val="bottom"/>
            <w:shd w:val="clear" w:color="auto" w:fill="CCEEFF"/>
          </w:tcPr>
          <w:p>
            <w:pPr>
              <w:jc w:val="center"/>
              <w:ind w:left="18"/>
              <w:spacing w:after="0" w:line="216" w:lineRule="exact"/>
              <w:rPr>
                <w:sz w:val="20"/>
                <w:szCs w:val="20"/>
                <w:color w:val="auto"/>
              </w:rPr>
            </w:pPr>
            <w:r>
              <w:rPr>
                <w:rFonts w:ascii="Arial" w:cs="Arial" w:eastAsia="Arial" w:hAnsi="Arial"/>
                <w:sz w:val="16"/>
                <w:szCs w:val="16"/>
                <w:color w:val="auto"/>
                <w:w w:val="96"/>
              </w:rPr>
              <w:t>$55.7503</w:t>
            </w:r>
            <w:r>
              <w:rPr>
                <w:rFonts w:ascii="Arial" w:cs="Arial" w:eastAsia="Arial" w:hAnsi="Arial"/>
                <w:sz w:val="25"/>
                <w:szCs w:val="25"/>
                <w:color w:val="auto"/>
                <w:w w:val="96"/>
                <w:vertAlign w:val="superscript"/>
              </w:rPr>
              <w:t>(5)</w:t>
            </w:r>
          </w:p>
        </w:tc>
      </w:tr>
    </w:tbl>
    <w:p>
      <w:pPr>
        <w:spacing w:after="0" w:line="222" w:lineRule="exact"/>
        <w:rPr>
          <w:sz w:val="20"/>
          <w:szCs w:val="20"/>
          <w:color w:val="auto"/>
        </w:rPr>
      </w:pPr>
    </w:p>
    <w:p>
      <w:pPr>
        <w:ind w:right="14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price reported is a weighted average price. These shares were sold in multiple transactions on the open market through a broker on November 1, 2022 at prices ranging from $54.9500 to $56.0500, inclusive.</w:t>
      </w:r>
    </w:p>
    <w:p>
      <w:pPr>
        <w:spacing w:after="0" w:line="201" w:lineRule="exact"/>
        <w:rPr>
          <w:rFonts w:ascii="Arial" w:cs="Arial" w:eastAsia="Arial" w:hAnsi="Arial"/>
          <w:sz w:val="22"/>
          <w:szCs w:val="22"/>
          <w:color w:val="auto"/>
        </w:rPr>
      </w:pPr>
    </w:p>
    <w:p>
      <w:pPr>
        <w:ind w:right="14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price reported is a weighted average price. These shares were sold in multiple transactions on the open market through a broker on November 2, 2022 at prices ranging from $54.5100 to $57.0500, inclusive.</w:t>
      </w:r>
    </w:p>
    <w:p>
      <w:pPr>
        <w:spacing w:after="0" w:line="201" w:lineRule="exact"/>
        <w:rPr>
          <w:rFonts w:ascii="Arial" w:cs="Arial" w:eastAsia="Arial" w:hAnsi="Arial"/>
          <w:sz w:val="22"/>
          <w:szCs w:val="22"/>
          <w:color w:val="auto"/>
        </w:rPr>
      </w:pPr>
    </w:p>
    <w:p>
      <w:pPr>
        <w:ind w:right="14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price reported is a weighted average price. These shares were sold in multiple transactions on the open market through a broker on November 3, 2022 at prices ranging from $54.4973 to $56.6700, inclusive.</w:t>
      </w:r>
    </w:p>
    <w:p>
      <w:pPr>
        <w:spacing w:after="0" w:line="201" w:lineRule="exact"/>
        <w:rPr>
          <w:rFonts w:ascii="Arial" w:cs="Arial" w:eastAsia="Arial" w:hAnsi="Arial"/>
          <w:sz w:val="22"/>
          <w:szCs w:val="22"/>
          <w:color w:val="auto"/>
        </w:rPr>
      </w:pPr>
    </w:p>
    <w:p>
      <w:pPr>
        <w:ind w:right="14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price reported is a weighted average price. These shares were sold in multiple transactions on the open market through a broker on November 4, 2022 at prices ranging from $56.8000 to $60.3200, inclusive.</w:t>
      </w:r>
    </w:p>
    <w:p>
      <w:pPr>
        <w:spacing w:after="0" w:line="201" w:lineRule="exact"/>
        <w:rPr>
          <w:rFonts w:ascii="Arial" w:cs="Arial" w:eastAsia="Arial" w:hAnsi="Arial"/>
          <w:sz w:val="22"/>
          <w:szCs w:val="22"/>
          <w:color w:val="auto"/>
        </w:rPr>
      </w:pPr>
    </w:p>
    <w:p>
      <w:pPr>
        <w:ind w:right="140" w:firstLine="8"/>
        <w:spacing w:after="0" w:line="250" w:lineRule="auto"/>
        <w:tabs>
          <w:tab w:leader="none" w:pos="306"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price reported is a weighted average price. These shares were sold in multiple transactions on the open market through a broker on November 8, 2022 at prices ranging from $54.1750 to $60.0037, inclusive.</w:t>
      </w:r>
    </w:p>
    <w:p>
      <w:pPr>
        <w:spacing w:after="0" w:line="202" w:lineRule="exact"/>
        <w:rPr>
          <w:sz w:val="20"/>
          <w:szCs w:val="20"/>
          <w:color w:val="auto"/>
        </w:rPr>
      </w:pPr>
    </w:p>
    <w:p>
      <w:pPr>
        <w:ind w:right="380" w:firstLine="324"/>
        <w:spacing w:after="0"/>
        <w:rPr>
          <w:sz w:val="20"/>
          <w:szCs w:val="20"/>
          <w:color w:val="auto"/>
        </w:rPr>
      </w:pPr>
      <w:r>
        <w:rPr>
          <w:rFonts w:ascii="Arial" w:cs="Arial" w:eastAsia="Arial" w:hAnsi="Arial"/>
          <w:sz w:val="22"/>
          <w:szCs w:val="22"/>
          <w:color w:val="auto"/>
        </w:rPr>
        <w:t>(d.) No other person is known to have the right to receive or the power to direct the receipt of dividends from, or the proceeds from the sale of, any of the Class A Common Shares beneficially owned by the Reporting Person, other than as described herein.</w:t>
      </w:r>
    </w:p>
    <w:p>
      <w:pPr>
        <w:spacing w:after="0" w:line="213"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color w:val="auto"/>
        </w:rPr>
        <w:t>(e.) As of November 8, 2022, the Reporting Person ceased to be the beneficial owner of more than five percent of the outstanding Class A Common Stock.</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324"/>
        <w:spacing w:after="0" w:line="250" w:lineRule="auto"/>
        <w:rPr>
          <w:sz w:val="20"/>
          <w:szCs w:val="20"/>
          <w:color w:val="auto"/>
        </w:rPr>
      </w:pPr>
      <w:r>
        <w:rPr>
          <w:rFonts w:ascii="Arial" w:cs="Arial" w:eastAsia="Arial" w:hAnsi="Arial"/>
          <w:sz w:val="22"/>
          <w:szCs w:val="22"/>
          <w:color w:val="auto"/>
        </w:rPr>
        <w:t>After reasonable inquiry and to the best of my knowledge and belief,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November 10, 2022</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GOLAR LNG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Eduardo Maranhão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Eduardo Maranhão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2022-11-10T17:29:19Z</dcterms:created>
  <dcterms:modified xsi:type="dcterms:W3CDTF">2022-11-10T17:29:19Z</dcterms:modified>
</cp:coreProperties>
</file>