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Wilkinson Matthew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Class A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8"/>
                <w:szCs w:val="18"/>
                <w:color w:val="0000FF"/>
              </w:rPr>
              <w:t>03/28/2019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12,500</w:t>
            </w:r>
          </w:p>
        </w:tc>
        <w:tc>
          <w:tcPr>
            <w:tcW w:w="4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82"/>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9.97</w:t>
            </w:r>
            <w:r>
              <w:rPr>
                <w:rFonts w:ascii="Arial" w:cs="Arial" w:eastAsia="Arial" w:hAnsi="Arial"/>
                <w:sz w:val="22"/>
                <w:szCs w:val="22"/>
                <w:color w:val="008000"/>
                <w:w w:val="88"/>
                <w:vertAlign w:val="superscript"/>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83,929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jc w:val="right"/>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were purchased in multiple transactions and the price reported is a weighted average. The purchase price ranged from $9.90 to $9.99. The reporting person undertakes to provide New Fortress Energy LLC (the "Issuer"), any security holder of the Issuer, or the staff of the Securities and Exchange Commission, upon request, full information regarding the number of shares purchased at each separate price within the range set forth in this footnote.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Matthew Wilkinson,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84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Cameron D. MacDougall as</w:t>
      </w:r>
      <w:r>
        <w:rPr>
          <w:sz w:val="20"/>
          <w:szCs w:val="20"/>
          <w:color w:val="auto"/>
        </w:rPr>
        <w:tab/>
      </w:r>
      <w:r>
        <w:rPr>
          <w:rFonts w:ascii="Arial" w:cs="Arial" w:eastAsia="Arial" w:hAnsi="Arial"/>
          <w:sz w:val="15"/>
          <w:szCs w:val="15"/>
          <w:color w:val="0000FF"/>
        </w:rPr>
        <w:t>03/28/2019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3943"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2019-12-23T21:59:55Z</dcterms:created>
  <dcterms:modified xsi:type="dcterms:W3CDTF">2019-12-23T21:59:55Z</dcterms:modified>
</cp:coreProperties>
</file>