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151765</wp:posOffset>
            </wp:positionV>
            <wp:extent cx="715835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2794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248920</wp:posOffset>
            </wp:positionV>
            <wp:extent cx="71583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line="232" w:lineRule="auto"/>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26"/>
          <w:szCs w:val="26"/>
          <w:b w:val="1"/>
          <w:bCs w:val="1"/>
          <w:color w:val="auto"/>
        </w:rPr>
        <w:t>FORM 10-K</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2020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64"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63"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gridSpan w:val="2"/>
          </w:tcPr>
          <w:p>
            <w:pPr>
              <w:ind w:left="720"/>
              <w:spacing w:after="0"/>
              <w:rPr>
                <w:sz w:val="20"/>
                <w:szCs w:val="20"/>
                <w:color w:val="auto"/>
              </w:rPr>
            </w:pPr>
            <w:r>
              <w:rPr>
                <w:rFonts w:ascii="Arial" w:cs="Arial" w:eastAsia="Arial" w:hAnsi="Arial"/>
                <w:sz w:val="15"/>
                <w:szCs w:val="15"/>
                <w:b w:val="1"/>
                <w:bCs w:val="1"/>
                <w:color w:val="auto"/>
                <w:w w:val="90"/>
              </w:rPr>
              <w:t>For the transition period from</w:t>
            </w:r>
          </w:p>
        </w:tc>
        <w:tc>
          <w:tcPr>
            <w:tcW w:w="540" w:type="dxa"/>
            <w:vAlign w:val="bottom"/>
            <w:tcBorders>
              <w:bottom w:val="single" w:sz="8" w:color="auto"/>
            </w:tcBorders>
            <w:gridSpan w:val="2"/>
          </w:tcPr>
          <w:p>
            <w:pPr>
              <w:spacing w:after="0"/>
              <w:rPr>
                <w:sz w:val="14"/>
                <w:szCs w:val="14"/>
                <w:color w:val="auto"/>
              </w:rPr>
            </w:pPr>
          </w:p>
        </w:tc>
        <w:tc>
          <w:tcPr>
            <w:tcW w:w="4160" w:type="dxa"/>
            <w:vAlign w:val="bottom"/>
            <w:gridSpan w:val="4"/>
          </w:tcPr>
          <w:p>
            <w:pPr>
              <w:spacing w:after="0"/>
              <w:rPr>
                <w:sz w:val="20"/>
                <w:szCs w:val="20"/>
                <w:color w:val="auto"/>
              </w:rPr>
            </w:pPr>
            <w:r>
              <w:rPr>
                <w:rFonts w:ascii="Arial" w:cs="Arial" w:eastAsia="Arial" w:hAnsi="Arial"/>
                <w:sz w:val="15"/>
                <w:szCs w:val="15"/>
                <w:b w:val="1"/>
                <w:bCs w:val="1"/>
                <w:color w:val="auto"/>
              </w:rPr>
              <w:t>to_______</w:t>
            </w:r>
          </w:p>
        </w:tc>
      </w:tr>
      <w:tr>
        <w:trPr>
          <w:trHeight w:val="154"/>
        </w:trPr>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340" w:type="dxa"/>
            <w:vAlign w:val="bottom"/>
            <w:gridSpan w:val="8"/>
          </w:tcPr>
          <w:p>
            <w:pPr>
              <w:jc w:val="center"/>
              <w:ind w:right="2820"/>
              <w:spacing w:after="0" w:line="154" w:lineRule="exact"/>
              <w:rPr>
                <w:sz w:val="20"/>
                <w:szCs w:val="20"/>
                <w:color w:val="auto"/>
              </w:rPr>
            </w:pPr>
            <w:r>
              <w:rPr>
                <w:rFonts w:ascii="Arial" w:cs="Arial" w:eastAsia="Arial" w:hAnsi="Arial"/>
                <w:sz w:val="15"/>
                <w:szCs w:val="15"/>
                <w:b w:val="1"/>
                <w:bCs w:val="1"/>
                <w:color w:val="auto"/>
                <w:w w:val="88"/>
              </w:rPr>
              <w:t>Commission File Number:001-38790</w:t>
            </w:r>
          </w:p>
        </w:tc>
      </w:tr>
      <w:tr>
        <w:trPr>
          <w:trHeight w:val="426"/>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gridSpan w:val="8"/>
          </w:tcPr>
          <w:p>
            <w:pPr>
              <w:jc w:val="center"/>
              <w:ind w:right="2820"/>
              <w:spacing w:after="0"/>
              <w:rPr>
                <w:sz w:val="20"/>
                <w:szCs w:val="20"/>
                <w:color w:val="auto"/>
              </w:rPr>
            </w:pPr>
            <w:r>
              <w:rPr>
                <w:rFonts w:ascii="Arial" w:cs="Arial" w:eastAsia="Arial" w:hAnsi="Arial"/>
                <w:sz w:val="35"/>
                <w:szCs w:val="35"/>
                <w:b w:val="1"/>
                <w:bCs w:val="1"/>
                <w:color w:val="auto"/>
                <w:w w:val="91"/>
              </w:rPr>
              <w:t>New Fortress Energy Inc.</w:t>
            </w:r>
          </w:p>
        </w:tc>
      </w:tr>
      <w:tr>
        <w:trPr>
          <w:trHeight w:val="190"/>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340" w:type="dxa"/>
            <w:vAlign w:val="bottom"/>
            <w:gridSpan w:val="8"/>
          </w:tcPr>
          <w:p>
            <w:pPr>
              <w:jc w:val="center"/>
              <w:ind w:right="2820"/>
              <w:spacing w:after="0"/>
              <w:rPr>
                <w:sz w:val="20"/>
                <w:szCs w:val="20"/>
                <w:color w:val="auto"/>
              </w:rPr>
            </w:pPr>
            <w:r>
              <w:rPr>
                <w:rFonts w:ascii="Arial" w:cs="Arial" w:eastAsia="Arial" w:hAnsi="Arial"/>
                <w:sz w:val="15"/>
                <w:szCs w:val="15"/>
                <w:b w:val="1"/>
                <w:bCs w:val="1"/>
                <w:color w:val="auto"/>
                <w:w w:val="88"/>
              </w:rPr>
              <w:t>(Exact Name of Registrant as Specified in its Charter)</w:t>
            </w:r>
          </w:p>
        </w:tc>
      </w:tr>
      <w:tr>
        <w:trPr>
          <w:trHeight w:val="36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jc w:val="center"/>
              <w:ind w:right="167"/>
              <w:spacing w:after="0"/>
              <w:rPr>
                <w:sz w:val="20"/>
                <w:szCs w:val="20"/>
                <w:color w:val="auto"/>
              </w:rPr>
            </w:pPr>
            <w:r>
              <w:rPr>
                <w:rFonts w:ascii="Arial" w:cs="Arial" w:eastAsia="Arial" w:hAnsi="Arial"/>
                <w:sz w:val="15"/>
                <w:szCs w:val="15"/>
                <w:b w:val="1"/>
                <w:bCs w:val="1"/>
                <w:color w:val="auto"/>
                <w:w w:val="87"/>
              </w:rPr>
              <w:t>Delaware</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3"/>
          </w:tcPr>
          <w:p>
            <w:pPr>
              <w:jc w:val="right"/>
              <w:ind w:right="1047"/>
              <w:spacing w:after="0"/>
              <w:rPr>
                <w:sz w:val="20"/>
                <w:szCs w:val="20"/>
                <w:color w:val="auto"/>
              </w:rPr>
            </w:pPr>
            <w:r>
              <w:rPr>
                <w:rFonts w:ascii="Arial" w:cs="Arial" w:eastAsia="Arial" w:hAnsi="Arial"/>
                <w:sz w:val="15"/>
                <w:szCs w:val="15"/>
                <w:b w:val="1"/>
                <w:bCs w:val="1"/>
                <w:color w:val="auto"/>
              </w:rPr>
              <w:t>83-1482060</w:t>
            </w:r>
          </w:p>
        </w:tc>
        <w:tc>
          <w:tcPr>
            <w:tcW w:w="720" w:type="dxa"/>
            <w:vAlign w:val="bottom"/>
          </w:tcPr>
          <w:p>
            <w:pPr>
              <w:spacing w:after="0"/>
              <w:rPr>
                <w:sz w:val="24"/>
                <w:szCs w:val="24"/>
                <w:color w:val="auto"/>
              </w:rPr>
            </w:pPr>
          </w:p>
        </w:tc>
      </w:tr>
      <w:tr>
        <w:trPr>
          <w:trHeight w:val="186"/>
        </w:trPr>
        <w:tc>
          <w:tcPr>
            <w:tcW w:w="5540" w:type="dxa"/>
            <w:vAlign w:val="bottom"/>
            <w:gridSpan w:val="7"/>
          </w:tcPr>
          <w:p>
            <w:pPr>
              <w:jc w:val="center"/>
              <w:ind w:right="2040"/>
              <w:spacing w:after="0"/>
              <w:rPr>
                <w:sz w:val="20"/>
                <w:szCs w:val="20"/>
                <w:color w:val="auto"/>
              </w:rPr>
            </w:pPr>
            <w:r>
              <w:rPr>
                <w:rFonts w:ascii="Arial" w:cs="Arial" w:eastAsia="Arial" w:hAnsi="Arial"/>
                <w:sz w:val="15"/>
                <w:szCs w:val="15"/>
                <w:color w:val="auto"/>
                <w:w w:val="90"/>
              </w:rPr>
              <w:t>(State or other jurisdiction of incorporation or organization)</w:t>
            </w:r>
          </w:p>
        </w:tc>
        <w:tc>
          <w:tcPr>
            <w:tcW w:w="4160" w:type="dxa"/>
            <w:vAlign w:val="bottom"/>
            <w:gridSpan w:val="4"/>
          </w:tcPr>
          <w:p>
            <w:pPr>
              <w:jc w:val="center"/>
              <w:ind w:right="240"/>
              <w:spacing w:after="0"/>
              <w:rPr>
                <w:sz w:val="20"/>
                <w:szCs w:val="20"/>
                <w:color w:val="auto"/>
              </w:rPr>
            </w:pPr>
            <w:r>
              <w:rPr>
                <w:rFonts w:ascii="Arial" w:cs="Arial" w:eastAsia="Arial" w:hAnsi="Arial"/>
                <w:sz w:val="15"/>
                <w:szCs w:val="15"/>
                <w:color w:val="auto"/>
                <w:w w:val="91"/>
              </w:rPr>
              <w:t>(I.R.S. Employer Identification No.)</w:t>
            </w:r>
          </w:p>
        </w:tc>
      </w:tr>
      <w:tr>
        <w:trPr>
          <w:trHeight w:val="358"/>
        </w:trPr>
        <w:tc>
          <w:tcPr>
            <w:tcW w:w="320" w:type="dxa"/>
            <w:vAlign w:val="bottom"/>
          </w:tcPr>
          <w:p>
            <w:pPr>
              <w:spacing w:after="0"/>
              <w:rPr>
                <w:sz w:val="24"/>
                <w:szCs w:val="24"/>
                <w:color w:val="auto"/>
              </w:rPr>
            </w:pPr>
          </w:p>
        </w:tc>
        <w:tc>
          <w:tcPr>
            <w:tcW w:w="5220" w:type="dxa"/>
            <w:vAlign w:val="bottom"/>
            <w:gridSpan w:val="6"/>
          </w:tcPr>
          <w:p>
            <w:pPr>
              <w:jc w:val="center"/>
              <w:ind w:right="2360"/>
              <w:spacing w:after="0"/>
              <w:rPr>
                <w:sz w:val="20"/>
                <w:szCs w:val="20"/>
                <w:color w:val="auto"/>
              </w:rPr>
            </w:pPr>
            <w:r>
              <w:rPr>
                <w:rFonts w:ascii="Arial" w:cs="Arial" w:eastAsia="Arial" w:hAnsi="Arial"/>
                <w:sz w:val="15"/>
                <w:szCs w:val="15"/>
                <w:b w:val="1"/>
                <w:bCs w:val="1"/>
                <w:color w:val="auto"/>
                <w:w w:val="88"/>
              </w:rPr>
              <w:t>111 W. 19th Street, 8th Floor</w:t>
            </w: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9"/>
        </w:trPr>
        <w:tc>
          <w:tcPr>
            <w:tcW w:w="320" w:type="dxa"/>
            <w:vAlign w:val="bottom"/>
          </w:tcPr>
          <w:p>
            <w:pPr>
              <w:spacing w:after="0"/>
              <w:rPr>
                <w:sz w:val="15"/>
                <w:szCs w:val="15"/>
                <w:color w:val="auto"/>
              </w:rPr>
            </w:pPr>
          </w:p>
        </w:tc>
        <w:tc>
          <w:tcPr>
            <w:tcW w:w="2040" w:type="dxa"/>
            <w:vAlign w:val="bottom"/>
            <w:gridSpan w:val="2"/>
          </w:tcPr>
          <w:p>
            <w:pPr>
              <w:jc w:val="center"/>
              <w:ind w:left="747"/>
              <w:spacing w:after="0"/>
              <w:rPr>
                <w:sz w:val="20"/>
                <w:szCs w:val="20"/>
                <w:color w:val="auto"/>
              </w:rPr>
            </w:pPr>
            <w:r>
              <w:rPr>
                <w:rFonts w:ascii="Arial" w:cs="Arial" w:eastAsia="Arial" w:hAnsi="Arial"/>
                <w:sz w:val="15"/>
                <w:szCs w:val="15"/>
                <w:b w:val="1"/>
                <w:bCs w:val="1"/>
                <w:color w:val="auto"/>
                <w:w w:val="92"/>
              </w:rPr>
              <w:t>New York, NY</w:t>
            </w:r>
          </w:p>
        </w:tc>
        <w:tc>
          <w:tcPr>
            <w:tcW w:w="1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gridSpan w:val="2"/>
          </w:tcPr>
          <w:p>
            <w:pPr>
              <w:jc w:val="right"/>
              <w:ind w:right="67"/>
              <w:spacing w:after="0"/>
              <w:rPr>
                <w:sz w:val="20"/>
                <w:szCs w:val="20"/>
                <w:color w:val="auto"/>
              </w:rPr>
            </w:pPr>
            <w:r>
              <w:rPr>
                <w:rFonts w:ascii="Arial" w:cs="Arial" w:eastAsia="Arial" w:hAnsi="Arial"/>
                <w:sz w:val="15"/>
                <w:szCs w:val="15"/>
                <w:b w:val="1"/>
                <w:bCs w:val="1"/>
                <w:color w:val="auto"/>
              </w:rPr>
              <w:t>10011</w:t>
            </w: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6"/>
        </w:trPr>
        <w:tc>
          <w:tcPr>
            <w:tcW w:w="320" w:type="dxa"/>
            <w:vAlign w:val="bottom"/>
          </w:tcPr>
          <w:p>
            <w:pPr>
              <w:spacing w:after="0"/>
              <w:rPr>
                <w:sz w:val="16"/>
                <w:szCs w:val="16"/>
                <w:color w:val="auto"/>
              </w:rPr>
            </w:pPr>
          </w:p>
        </w:tc>
        <w:tc>
          <w:tcPr>
            <w:tcW w:w="5220" w:type="dxa"/>
            <w:vAlign w:val="bottom"/>
            <w:gridSpan w:val="6"/>
          </w:tcPr>
          <w:p>
            <w:pPr>
              <w:jc w:val="center"/>
              <w:ind w:right="2340"/>
              <w:spacing w:after="0"/>
              <w:rPr>
                <w:sz w:val="20"/>
                <w:szCs w:val="20"/>
                <w:color w:val="auto"/>
              </w:rPr>
            </w:pPr>
            <w:r>
              <w:rPr>
                <w:rFonts w:ascii="Arial" w:cs="Arial" w:eastAsia="Arial" w:hAnsi="Arial"/>
                <w:sz w:val="15"/>
                <w:szCs w:val="15"/>
                <w:color w:val="auto"/>
                <w:w w:val="90"/>
              </w:rPr>
              <w:t>(Address of principal executive offices)</w:t>
            </w:r>
          </w:p>
        </w:tc>
        <w:tc>
          <w:tcPr>
            <w:tcW w:w="1560" w:type="dxa"/>
            <w:vAlign w:val="bottom"/>
          </w:tcPr>
          <w:p>
            <w:pPr>
              <w:spacing w:after="0"/>
              <w:rPr>
                <w:sz w:val="16"/>
                <w:szCs w:val="16"/>
                <w:color w:val="auto"/>
              </w:rPr>
            </w:pPr>
          </w:p>
        </w:tc>
        <w:tc>
          <w:tcPr>
            <w:tcW w:w="2600" w:type="dxa"/>
            <w:vAlign w:val="bottom"/>
            <w:gridSpan w:val="3"/>
          </w:tcPr>
          <w:p>
            <w:pPr>
              <w:jc w:val="center"/>
              <w:ind w:right="1800"/>
              <w:spacing w:after="0"/>
              <w:rPr>
                <w:sz w:val="20"/>
                <w:szCs w:val="20"/>
                <w:color w:val="auto"/>
              </w:rPr>
            </w:pPr>
            <w:r>
              <w:rPr>
                <w:rFonts w:ascii="Arial" w:cs="Arial" w:eastAsia="Arial" w:hAnsi="Arial"/>
                <w:sz w:val="15"/>
                <w:szCs w:val="15"/>
                <w:color w:val="auto"/>
                <w:w w:val="90"/>
              </w:rPr>
              <w:t>(Zip Code)</w:t>
            </w:r>
          </w:p>
        </w:tc>
      </w:tr>
      <w:tr>
        <w:trPr>
          <w:trHeight w:val="336"/>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gridSpan w:val="8"/>
          </w:tcPr>
          <w:p>
            <w:pPr>
              <w:jc w:val="center"/>
              <w:ind w:right="2820"/>
              <w:spacing w:after="0"/>
              <w:rPr>
                <w:sz w:val="20"/>
                <w:szCs w:val="20"/>
                <w:color w:val="auto"/>
              </w:rPr>
            </w:pPr>
            <w:r>
              <w:rPr>
                <w:rFonts w:ascii="Arial" w:cs="Arial" w:eastAsia="Arial" w:hAnsi="Arial"/>
                <w:sz w:val="15"/>
                <w:szCs w:val="15"/>
                <w:b w:val="1"/>
                <w:bCs w:val="1"/>
                <w:color w:val="auto"/>
                <w:w w:val="87"/>
              </w:rPr>
              <w:t>Registrant’s telephone number, including area code: (516) 268-7400</w:t>
            </w:r>
          </w:p>
        </w:tc>
      </w:tr>
      <w:tr>
        <w:trPr>
          <w:trHeight w:val="190"/>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340" w:type="dxa"/>
            <w:vAlign w:val="bottom"/>
            <w:gridSpan w:val="8"/>
          </w:tcPr>
          <w:p>
            <w:pPr>
              <w:jc w:val="center"/>
              <w:ind w:right="2800"/>
              <w:spacing w:after="0"/>
              <w:rPr>
                <w:sz w:val="20"/>
                <w:szCs w:val="20"/>
                <w:color w:val="auto"/>
              </w:rPr>
            </w:pPr>
            <w:r>
              <w:rPr>
                <w:rFonts w:ascii="Arial" w:cs="Arial" w:eastAsia="Arial" w:hAnsi="Arial"/>
                <w:sz w:val="15"/>
                <w:szCs w:val="15"/>
                <w:b w:val="1"/>
                <w:bCs w:val="1"/>
                <w:color w:val="auto"/>
                <w:w w:val="86"/>
              </w:rPr>
              <w:t>Securities registered pursuant to Section 12(b) of the Act:</w:t>
            </w:r>
          </w:p>
        </w:tc>
      </w:tr>
      <w:tr>
        <w:trPr>
          <w:trHeight w:val="340"/>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gridSpan w:val="4"/>
          </w:tcPr>
          <w:p>
            <w:pPr>
              <w:jc w:val="center"/>
              <w:ind w:left="1487"/>
              <w:spacing w:after="0"/>
              <w:rPr>
                <w:sz w:val="20"/>
                <w:szCs w:val="20"/>
                <w:color w:val="auto"/>
              </w:rPr>
            </w:pPr>
            <w:r>
              <w:rPr>
                <w:rFonts w:ascii="Arial" w:cs="Arial" w:eastAsia="Arial" w:hAnsi="Arial"/>
                <w:sz w:val="15"/>
                <w:szCs w:val="15"/>
                <w:color w:val="auto"/>
                <w:w w:val="87"/>
              </w:rPr>
              <w:t>Name of each exchange on which registered</w:t>
            </w:r>
          </w:p>
        </w:tc>
      </w:tr>
      <w:tr>
        <w:trPr>
          <w:trHeight w:val="155"/>
        </w:trPr>
        <w:tc>
          <w:tcPr>
            <w:tcW w:w="32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5"/>
                <w:szCs w:val="15"/>
                <w:color w:val="auto"/>
                <w:w w:val="88"/>
              </w:rPr>
              <w:t>Title of each class</w:t>
            </w:r>
          </w:p>
        </w:tc>
        <w:tc>
          <w:tcPr>
            <w:tcW w:w="980" w:type="dxa"/>
            <w:vAlign w:val="bottom"/>
          </w:tcPr>
          <w:p>
            <w:pPr>
              <w:spacing w:after="0"/>
              <w:rPr>
                <w:sz w:val="13"/>
                <w:szCs w:val="13"/>
                <w:color w:val="auto"/>
              </w:rPr>
            </w:pPr>
          </w:p>
        </w:tc>
        <w:tc>
          <w:tcPr>
            <w:tcW w:w="3180" w:type="dxa"/>
            <w:vAlign w:val="bottom"/>
            <w:gridSpan w:val="4"/>
          </w:tcPr>
          <w:p>
            <w:pPr>
              <w:jc w:val="center"/>
              <w:ind w:left="1272"/>
              <w:spacing w:after="0" w:line="156" w:lineRule="exact"/>
              <w:rPr>
                <w:sz w:val="20"/>
                <w:szCs w:val="20"/>
                <w:color w:val="auto"/>
              </w:rPr>
            </w:pPr>
            <w:r>
              <w:rPr>
                <w:rFonts w:ascii="Arial" w:cs="Arial" w:eastAsia="Arial" w:hAnsi="Arial"/>
                <w:sz w:val="15"/>
                <w:szCs w:val="15"/>
                <w:color w:val="auto"/>
                <w:w w:val="89"/>
              </w:rPr>
              <w:t>Trading Symbol(s)</w:t>
            </w:r>
          </w:p>
        </w:tc>
        <w:tc>
          <w:tcPr>
            <w:tcW w:w="15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center"/>
              <w:ind w:right="720"/>
              <w:spacing w:after="0" w:line="156" w:lineRule="exact"/>
              <w:rPr>
                <w:sz w:val="20"/>
                <w:szCs w:val="20"/>
                <w:color w:val="auto"/>
              </w:rPr>
            </w:pPr>
            <w:r>
              <w:rPr>
                <w:rFonts w:ascii="Arial" w:cs="Arial" w:eastAsia="Arial" w:hAnsi="Arial"/>
                <w:sz w:val="15"/>
                <w:szCs w:val="15"/>
                <w:color w:val="auto"/>
                <w:w w:val="89"/>
              </w:rPr>
              <w:t>on which registered</w:t>
            </w:r>
          </w:p>
        </w:tc>
      </w:tr>
      <w:tr>
        <w:trPr>
          <w:trHeight w:val="20"/>
        </w:trPr>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8"/>
        </w:trPr>
        <w:tc>
          <w:tcPr>
            <w:tcW w:w="2360" w:type="dxa"/>
            <w:vAlign w:val="bottom"/>
            <w:gridSpan w:val="3"/>
          </w:tcPr>
          <w:p>
            <w:pPr>
              <w:jc w:val="center"/>
              <w:ind w:right="587"/>
              <w:spacing w:after="0"/>
              <w:rPr>
                <w:sz w:val="20"/>
                <w:szCs w:val="20"/>
                <w:color w:val="auto"/>
              </w:rPr>
            </w:pPr>
            <w:r>
              <w:rPr>
                <w:rFonts w:ascii="Arial" w:cs="Arial" w:eastAsia="Arial" w:hAnsi="Arial"/>
                <w:sz w:val="15"/>
                <w:szCs w:val="15"/>
                <w:b w:val="1"/>
                <w:bCs w:val="1"/>
                <w:color w:val="auto"/>
                <w:w w:val="86"/>
              </w:rPr>
              <w:t>Class A common stock</w:t>
            </w:r>
          </w:p>
        </w:tc>
        <w:tc>
          <w:tcPr>
            <w:tcW w:w="1720" w:type="dxa"/>
            <w:vAlign w:val="bottom"/>
          </w:tcPr>
          <w:p>
            <w:pPr>
              <w:spacing w:after="0"/>
              <w:rPr>
                <w:sz w:val="16"/>
                <w:szCs w:val="16"/>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99"/>
              </w:rPr>
              <w:t>NFE</w:t>
            </w:r>
          </w:p>
        </w:tc>
        <w:tc>
          <w:tcPr>
            <w:tcW w:w="1560" w:type="dxa"/>
            <w:vAlign w:val="bottom"/>
          </w:tcPr>
          <w:p>
            <w:pPr>
              <w:spacing w:after="0"/>
              <w:rPr>
                <w:sz w:val="16"/>
                <w:szCs w:val="16"/>
                <w:color w:val="auto"/>
              </w:rPr>
            </w:pPr>
          </w:p>
        </w:tc>
        <w:tc>
          <w:tcPr>
            <w:tcW w:w="260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1"/>
              </w:rPr>
              <w:t>NASDAQ Global Select Market</w:t>
            </w: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 xml:space="preserve">Securities registered pursuant to Section 12(g) of the Act: </w:t>
      </w:r>
      <w:r>
        <w:rPr>
          <w:rFonts w:ascii="Arial" w:cs="Arial" w:eastAsia="Arial" w:hAnsi="Arial"/>
          <w:sz w:val="15"/>
          <w:szCs w:val="15"/>
          <w:color w:val="auto"/>
        </w:rPr>
        <w:t>None</w:t>
      </w:r>
    </w:p>
    <w:p>
      <w:pPr>
        <w:spacing w:after="0" w:line="155" w:lineRule="exact"/>
        <w:rPr>
          <w:sz w:val="24"/>
          <w:szCs w:val="24"/>
          <w:color w:val="auto"/>
        </w:rPr>
      </w:pPr>
    </w:p>
    <w:p>
      <w:pPr>
        <w:ind w:left="540"/>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8" w:lineRule="exact"/>
        <w:rPr>
          <w:sz w:val="24"/>
          <w:szCs w:val="24"/>
          <w:color w:val="auto"/>
        </w:rPr>
      </w:pPr>
    </w:p>
    <w:p>
      <w:pPr>
        <w:ind w:left="540"/>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ind w:right="440" w:firstLine="526"/>
        <w:spacing w:after="0" w:line="18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9" w:lineRule="exact"/>
        <w:rPr>
          <w:sz w:val="24"/>
          <w:szCs w:val="24"/>
          <w:color w:val="auto"/>
        </w:rPr>
      </w:pPr>
    </w:p>
    <w:p>
      <w:pPr>
        <w:ind w:right="160" w:firstLine="526"/>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9" w:lineRule="exact"/>
        <w:rPr>
          <w:sz w:val="24"/>
          <w:szCs w:val="24"/>
          <w:color w:val="auto"/>
        </w:rPr>
      </w:pPr>
    </w:p>
    <w:p>
      <w:pPr>
        <w:ind w:right="100" w:firstLine="526"/>
        <w:spacing w:after="0" w:line="29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494" w:right="319" w:bottom="1440" w:gutter="0" w:footer="0" w:header="0"/>
        </w:sectPr>
      </w:pPr>
    </w:p>
    <w:p>
      <w:pPr>
        <w:spacing w:after="0" w:line="12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89" w:lineRule="exact"/>
        <w:rPr>
          <w:sz w:val="24"/>
          <w:szCs w:val="24"/>
          <w:color w:val="auto"/>
        </w:rPr>
      </w:pPr>
    </w:p>
    <w:p>
      <w:pPr>
        <w:sectPr>
          <w:pgSz w:w="11900" w:h="16838" w:orient="portrait"/>
          <w:cols w:equalWidth="0" w:num="2">
            <w:col w:w="8760" w:space="720"/>
            <w:col w:w="1800"/>
          </w:cols>
          <w:pgMar w:left="300" w:top="494" w:right="319" w:bottom="1440" w:gutter="0" w:footer="0" w:header="0"/>
          <w:type w:val="continuous"/>
        </w:sectPr>
      </w:pPr>
    </w:p>
    <w:p>
      <w:pPr>
        <w:ind w:right="600" w:firstLine="526"/>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2" w:lineRule="exact"/>
        <w:rPr>
          <w:sz w:val="24"/>
          <w:szCs w:val="24"/>
          <w:color w:val="auto"/>
        </w:rPr>
      </w:pPr>
    </w:p>
    <w:p>
      <w:pPr>
        <w:ind w:right="200" w:firstLine="563"/>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4" w:lineRule="exact"/>
        <w:rPr>
          <w:sz w:val="24"/>
          <w:szCs w:val="24"/>
          <w:color w:val="auto"/>
        </w:rPr>
      </w:pPr>
    </w:p>
    <w:p>
      <w:pPr>
        <w:ind w:left="54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ind w:right="100" w:firstLine="526"/>
        <w:spacing w:after="0" w:line="299"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as of June 30, 2020 (the last business day of the registrant’s most recently completed second fiscal quarter), based on the closing price of the Class A shares on the Nasdaq Global Select Market, was $417.4 million.</w:t>
      </w:r>
    </w:p>
    <w:p>
      <w:pPr>
        <w:spacing w:after="0" w:line="125" w:lineRule="exact"/>
        <w:rPr>
          <w:sz w:val="24"/>
          <w:szCs w:val="24"/>
          <w:color w:val="auto"/>
        </w:rPr>
      </w:pPr>
    </w:p>
    <w:p>
      <w:pPr>
        <w:ind w:left="540"/>
        <w:spacing w:after="0"/>
        <w:rPr>
          <w:sz w:val="20"/>
          <w:szCs w:val="20"/>
          <w:color w:val="auto"/>
        </w:rPr>
      </w:pPr>
      <w:r>
        <w:rPr>
          <w:rFonts w:ascii="Arial" w:cs="Arial" w:eastAsia="Arial" w:hAnsi="Arial"/>
          <w:sz w:val="15"/>
          <w:szCs w:val="15"/>
          <w:color w:val="auto"/>
        </w:rPr>
        <w:t>At March 15, 2021, the registrant had 175,958,649 shares of Class A common stock outstanding.</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5"/>
          <w:szCs w:val="15"/>
          <w:u w:val="single" w:color="auto"/>
          <w:color w:val="auto"/>
        </w:rPr>
        <w:t>Documents Incorporated by Reference</w:t>
      </w:r>
      <w:r>
        <w:rPr>
          <w:rFonts w:ascii="Arial" w:cs="Arial" w:eastAsia="Arial" w:hAnsi="Arial"/>
          <w:sz w:val="15"/>
          <w:szCs w:val="15"/>
          <w:color w:val="auto"/>
        </w:rPr>
        <w:t>:</w:t>
      </w:r>
    </w:p>
    <w:p>
      <w:pPr>
        <w:spacing w:after="0" w:line="178" w:lineRule="exact"/>
        <w:rPr>
          <w:sz w:val="24"/>
          <w:szCs w:val="24"/>
          <w:color w:val="auto"/>
        </w:rPr>
      </w:pPr>
    </w:p>
    <w:p>
      <w:pPr>
        <w:jc w:val="center"/>
        <w:ind w:left="400" w:right="100"/>
        <w:spacing w:after="0" w:line="263" w:lineRule="auto"/>
        <w:rPr>
          <w:sz w:val="20"/>
          <w:szCs w:val="20"/>
          <w:color w:val="auto"/>
        </w:rPr>
      </w:pPr>
      <w:r>
        <w:rPr>
          <w:rFonts w:ascii="Arial" w:cs="Arial" w:eastAsia="Arial" w:hAnsi="Arial"/>
          <w:sz w:val="15"/>
          <w:szCs w:val="15"/>
          <w:color w:val="auto"/>
        </w:rPr>
        <w:t>Portions of the registrant’s definitive proxy statement for the registrant’s 2021 annual meeting, to be filed within 120 days after the close of the registrant’s fiscal year, are incorporated by reference into Parts II and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583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5835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5835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080" w:type="dxa"/>
            <w:vAlign w:val="bottom"/>
          </w:tcPr>
          <w:p>
            <w:pPr>
              <w:ind w:left="3380"/>
              <w:spacing w:after="0"/>
              <w:rPr>
                <w:sz w:val="20"/>
                <w:szCs w:val="20"/>
                <w:color w:val="auto"/>
              </w:rPr>
            </w:pPr>
            <w:r>
              <w:rPr>
                <w:rFonts w:ascii="Arial" w:cs="Arial" w:eastAsia="Arial" w:hAnsi="Arial"/>
                <w:sz w:val="15"/>
                <w:szCs w:val="15"/>
                <w:b w:val="1"/>
                <w:bCs w:val="1"/>
                <w:color w:val="auto"/>
              </w:rPr>
              <w:t>Table of Contents</w:t>
            </w:r>
          </w:p>
        </w:tc>
        <w:tc>
          <w:tcPr>
            <w:tcW w:w="1480" w:type="dxa"/>
            <w:vAlign w:val="bottom"/>
          </w:tcPr>
          <w:p>
            <w:pPr>
              <w:spacing w:after="0"/>
              <w:rPr>
                <w:sz w:val="16"/>
                <w:szCs w:val="16"/>
                <w:color w:val="auto"/>
              </w:rPr>
            </w:pPr>
          </w:p>
        </w:tc>
      </w:tr>
      <w:tr>
        <w:trPr>
          <w:trHeight w:val="197"/>
        </w:trPr>
        <w:tc>
          <w:tcPr>
            <w:tcW w:w="17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75"/>
        </w:trPr>
        <w:tc>
          <w:tcPr>
            <w:tcW w:w="1720" w:type="dxa"/>
            <w:vAlign w:val="bottom"/>
            <w:shd w:val="clear" w:color="auto" w:fill="CCEEFF"/>
          </w:tcPr>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GLOSSARY OF TERMS</w:t>
              </w:r>
            </w:hyperlink>
          </w:p>
        </w:tc>
        <w:tc>
          <w:tcPr>
            <w:tcW w:w="80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767"/>
              <w:spacing w:after="0"/>
              <w:rPr>
                <w:sz w:val="20"/>
                <w:szCs w:val="20"/>
                <w:color w:val="auto"/>
              </w:rPr>
            </w:pPr>
            <w:r>
              <w:rPr>
                <w:rFonts w:ascii="Arial" w:cs="Arial" w:eastAsia="Arial" w:hAnsi="Arial"/>
                <w:sz w:val="15"/>
                <w:szCs w:val="15"/>
                <w:color w:val="auto"/>
                <w:w w:val="95"/>
              </w:rPr>
              <w:t>1</w:t>
            </w:r>
          </w:p>
        </w:tc>
      </w:tr>
      <w:tr>
        <w:trPr>
          <w:trHeight w:val="175"/>
        </w:trPr>
        <w:tc>
          <w:tcPr>
            <w:tcW w:w="9800" w:type="dxa"/>
            <w:vAlign w:val="bottom"/>
            <w:gridSpan w:val="2"/>
          </w:tcPr>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CAUTIONARY STATEMENT ON FORWARD-LOOKING STATEMENTS</w:t>
              </w:r>
            </w:hyperlink>
          </w:p>
        </w:tc>
        <w:tc>
          <w:tcPr>
            <w:tcW w:w="1480" w:type="dxa"/>
            <w:vAlign w:val="bottom"/>
          </w:tcPr>
          <w:p>
            <w:pPr>
              <w:jc w:val="center"/>
              <w:ind w:left="767"/>
              <w:spacing w:after="0"/>
              <w:rPr>
                <w:sz w:val="20"/>
                <w:szCs w:val="20"/>
                <w:color w:val="auto"/>
              </w:rPr>
            </w:pPr>
            <w:r>
              <w:rPr>
                <w:rFonts w:ascii="Arial" w:cs="Arial" w:eastAsia="Arial" w:hAnsi="Arial"/>
                <w:sz w:val="15"/>
                <w:szCs w:val="15"/>
                <w:color w:val="auto"/>
                <w:w w:val="95"/>
              </w:rPr>
              <w:t>2</w:t>
            </w:r>
          </w:p>
        </w:tc>
      </w:tr>
      <w:tr>
        <w:trPr>
          <w:trHeight w:val="175"/>
        </w:trPr>
        <w:tc>
          <w:tcPr>
            <w:tcW w:w="1720" w:type="dxa"/>
            <w:vAlign w:val="bottom"/>
            <w:shd w:val="clear" w:color="auto" w:fill="CCEEFF"/>
          </w:tcPr>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PART I</w:t>
              </w:r>
            </w:hyperlink>
          </w:p>
        </w:tc>
        <w:tc>
          <w:tcPr>
            <w:tcW w:w="80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767"/>
              <w:spacing w:after="0"/>
              <w:rPr>
                <w:sz w:val="20"/>
                <w:szCs w:val="20"/>
                <w:color w:val="auto"/>
              </w:rPr>
            </w:pPr>
            <w:r>
              <w:rPr>
                <w:rFonts w:ascii="Arial" w:cs="Arial" w:eastAsia="Arial" w:hAnsi="Arial"/>
                <w:sz w:val="15"/>
                <w:szCs w:val="15"/>
                <w:color w:val="auto"/>
                <w:w w:val="95"/>
              </w:rPr>
              <w:t>3</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Items 1 and 2.</w:t>
            </w:r>
          </w:p>
        </w:tc>
        <w:tc>
          <w:tcPr>
            <w:tcW w:w="8080" w:type="dxa"/>
            <w:vAlign w:val="bottom"/>
          </w:tcPr>
          <w:p>
            <w:pPr>
              <w:ind w:left="18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Business and Properties</w:t>
              </w:r>
            </w:hyperlink>
          </w:p>
        </w:tc>
        <w:tc>
          <w:tcPr>
            <w:tcW w:w="1480" w:type="dxa"/>
            <w:vAlign w:val="bottom"/>
          </w:tcPr>
          <w:p>
            <w:pPr>
              <w:jc w:val="center"/>
              <w:ind w:left="767"/>
              <w:spacing w:after="0"/>
              <w:rPr>
                <w:sz w:val="20"/>
                <w:szCs w:val="20"/>
                <w:color w:val="auto"/>
              </w:rPr>
            </w:pPr>
            <w:r>
              <w:rPr>
                <w:rFonts w:ascii="Arial" w:cs="Arial" w:eastAsia="Arial" w:hAnsi="Arial"/>
                <w:sz w:val="15"/>
                <w:szCs w:val="15"/>
                <w:color w:val="auto"/>
                <w:w w:val="95"/>
              </w:rPr>
              <w:t>3</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1A.</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16">
              <w:r>
                <w:rPr>
                  <w:rFonts w:ascii="Arial" w:cs="Arial" w:eastAsia="Arial" w:hAnsi="Arial"/>
                  <w:sz w:val="15"/>
                  <w:szCs w:val="15"/>
                  <w:u w:val="single" w:color="auto"/>
                  <w:color w:val="0000EE"/>
                </w:rPr>
                <w:t>Risk Factors</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14</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1B.</w:t>
            </w:r>
          </w:p>
        </w:tc>
        <w:tc>
          <w:tcPr>
            <w:tcW w:w="8080" w:type="dxa"/>
            <w:vAlign w:val="bottom"/>
          </w:tcPr>
          <w:p>
            <w:pPr>
              <w:ind w:left="180"/>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Unresolved Staff Comments.</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61</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3.</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Legal Proceedings.</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61</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4.</w:t>
            </w:r>
          </w:p>
        </w:tc>
        <w:tc>
          <w:tcPr>
            <w:tcW w:w="8080" w:type="dxa"/>
            <w:vAlign w:val="bottom"/>
          </w:tcPr>
          <w:p>
            <w:pPr>
              <w:ind w:left="180"/>
              <w:spacing w:after="0"/>
              <w:rPr>
                <w:rFonts w:ascii="Arial" w:cs="Arial" w:eastAsia="Arial" w:hAnsi="Arial"/>
                <w:sz w:val="15"/>
                <w:szCs w:val="15"/>
                <w:color w:val="0000EE"/>
              </w:rPr>
            </w:pPr>
            <w:hyperlink w:anchor="page63">
              <w:r>
                <w:rPr>
                  <w:rFonts w:ascii="Arial" w:cs="Arial" w:eastAsia="Arial" w:hAnsi="Arial"/>
                  <w:sz w:val="15"/>
                  <w:szCs w:val="15"/>
                  <w:u w:val="single" w:color="auto"/>
                  <w:color w:val="0000EE"/>
                </w:rPr>
                <w:t>Mine Safety Disclosures</w:t>
              </w:r>
              <w:r>
                <w:rPr>
                  <w:rFonts w:ascii="Arial" w:cs="Arial" w:eastAsia="Arial" w:hAnsi="Arial"/>
                  <w:sz w:val="15"/>
                  <w:szCs w:val="15"/>
                  <w:color w:val="0000EE"/>
                </w:rPr>
                <w:t>.</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61</w:t>
            </w:r>
          </w:p>
        </w:tc>
      </w:tr>
      <w:tr>
        <w:trPr>
          <w:trHeight w:val="175"/>
        </w:trPr>
        <w:tc>
          <w:tcPr>
            <w:tcW w:w="1720" w:type="dxa"/>
            <w:vAlign w:val="bottom"/>
            <w:shd w:val="clear" w:color="auto" w:fill="CCEEFF"/>
          </w:tcPr>
          <w:p>
            <w:pPr>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PART II</w:t>
              </w:r>
            </w:hyperlink>
          </w:p>
        </w:tc>
        <w:tc>
          <w:tcPr>
            <w:tcW w:w="80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62</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5.</w:t>
            </w:r>
          </w:p>
        </w:tc>
        <w:tc>
          <w:tcPr>
            <w:tcW w:w="8080" w:type="dxa"/>
            <w:vAlign w:val="bottom"/>
          </w:tcPr>
          <w:p>
            <w:pPr>
              <w:ind w:left="180"/>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Market for the Registrant’s Common Equity, Related Shareholder Matters and Issuer Purchases of Equity Securities.</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62</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6.</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Selected Financial Data.</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64</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7.</w:t>
            </w:r>
          </w:p>
        </w:tc>
        <w:tc>
          <w:tcPr>
            <w:tcW w:w="8080" w:type="dxa"/>
            <w:vAlign w:val="bottom"/>
          </w:tcPr>
          <w:p>
            <w:pPr>
              <w:ind w:left="180"/>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Management’s Discussion and Analysis of Financial Condition and Results of Operations.</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65</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7A.</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82">
              <w:r>
                <w:rPr>
                  <w:rFonts w:ascii="Arial" w:cs="Arial" w:eastAsia="Arial" w:hAnsi="Arial"/>
                  <w:sz w:val="15"/>
                  <w:szCs w:val="15"/>
                  <w:u w:val="single" w:color="auto"/>
                  <w:color w:val="0000EE"/>
                </w:rPr>
                <w:t>Quantitative and Qualitative Disclosures About Market Risk.</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80</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8.</w:t>
            </w:r>
          </w:p>
        </w:tc>
        <w:tc>
          <w:tcPr>
            <w:tcW w:w="8080" w:type="dxa"/>
            <w:vAlign w:val="bottom"/>
          </w:tcPr>
          <w:p>
            <w:pPr>
              <w:ind w:left="180"/>
              <w:spacing w:after="0"/>
              <w:rPr>
                <w:rFonts w:ascii="Arial" w:cs="Arial" w:eastAsia="Arial" w:hAnsi="Arial"/>
                <w:sz w:val="15"/>
                <w:szCs w:val="15"/>
                <w:u w:val="single" w:color="auto"/>
                <w:color w:val="0000EE"/>
              </w:rPr>
            </w:pPr>
            <w:hyperlink w:anchor="page82">
              <w:r>
                <w:rPr>
                  <w:rFonts w:ascii="Arial" w:cs="Arial" w:eastAsia="Arial" w:hAnsi="Arial"/>
                  <w:sz w:val="15"/>
                  <w:szCs w:val="15"/>
                  <w:u w:val="single" w:color="auto"/>
                  <w:color w:val="0000EE"/>
                </w:rPr>
                <w:t>Financial Statements and Supplementary Data.</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80</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9.</w:t>
            </w:r>
          </w:p>
        </w:tc>
        <w:tc>
          <w:tcPr>
            <w:tcW w:w="8080" w:type="dxa"/>
            <w:vAlign w:val="bottom"/>
            <w:shd w:val="clear" w:color="auto" w:fill="CCEEFF"/>
          </w:tcPr>
          <w:p>
            <w:pPr>
              <w:ind w:left="180"/>
              <w:spacing w:after="0"/>
              <w:rPr>
                <w:rFonts w:ascii="Arial" w:cs="Arial" w:eastAsia="Arial" w:hAnsi="Arial"/>
                <w:sz w:val="15"/>
                <w:szCs w:val="15"/>
                <w:color w:val="0000EE"/>
              </w:rPr>
            </w:pPr>
            <w:hyperlink w:anchor="page82">
              <w:r>
                <w:rPr>
                  <w:rFonts w:ascii="Arial" w:cs="Arial" w:eastAsia="Arial" w:hAnsi="Arial"/>
                  <w:sz w:val="15"/>
                  <w:szCs w:val="15"/>
                  <w:u w:val="single" w:color="auto"/>
                  <w:color w:val="0000EE"/>
                </w:rPr>
                <w:t>Changes in and Disagreements With Accountants on Accounting and Financial Disclosure</w:t>
              </w:r>
              <w:r>
                <w:rPr>
                  <w:rFonts w:ascii="Arial" w:cs="Arial" w:eastAsia="Arial" w:hAnsi="Arial"/>
                  <w:sz w:val="15"/>
                  <w:szCs w:val="15"/>
                  <w:color w:val="0000EE"/>
                </w:rPr>
                <w:t>.</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80</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9A.</w:t>
            </w:r>
          </w:p>
        </w:tc>
        <w:tc>
          <w:tcPr>
            <w:tcW w:w="8080" w:type="dxa"/>
            <w:vAlign w:val="bottom"/>
          </w:tcPr>
          <w:p>
            <w:pPr>
              <w:ind w:left="180"/>
              <w:spacing w:after="0"/>
              <w:rPr>
                <w:rFonts w:ascii="Arial" w:cs="Arial" w:eastAsia="Arial" w:hAnsi="Arial"/>
                <w:sz w:val="15"/>
                <w:szCs w:val="15"/>
                <w:color w:val="0000EE"/>
              </w:rPr>
            </w:pPr>
            <w:hyperlink w:anchor="page82">
              <w:r>
                <w:rPr>
                  <w:rFonts w:ascii="Arial" w:cs="Arial" w:eastAsia="Arial" w:hAnsi="Arial"/>
                  <w:sz w:val="15"/>
                  <w:szCs w:val="15"/>
                  <w:u w:val="single" w:color="auto"/>
                  <w:color w:val="0000EE"/>
                </w:rPr>
                <w:t>Controls and Procedures</w:t>
              </w:r>
              <w:r>
                <w:rPr>
                  <w:rFonts w:ascii="Arial" w:cs="Arial" w:eastAsia="Arial" w:hAnsi="Arial"/>
                  <w:sz w:val="15"/>
                  <w:szCs w:val="15"/>
                  <w:color w:val="0000EE"/>
                </w:rPr>
                <w:t>.</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80</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9B.</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83">
              <w:r>
                <w:rPr>
                  <w:rFonts w:ascii="Arial" w:cs="Arial" w:eastAsia="Arial" w:hAnsi="Arial"/>
                  <w:sz w:val="15"/>
                  <w:szCs w:val="15"/>
                  <w:u w:val="single" w:color="auto"/>
                  <w:color w:val="0000EE"/>
                </w:rPr>
                <w:t>Other Information.</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81</w:t>
            </w:r>
          </w:p>
        </w:tc>
      </w:tr>
      <w:tr>
        <w:trPr>
          <w:trHeight w:val="175"/>
        </w:trPr>
        <w:tc>
          <w:tcPr>
            <w:tcW w:w="1720" w:type="dxa"/>
            <w:vAlign w:val="bottom"/>
          </w:tcPr>
          <w:p>
            <w:pPr>
              <w:spacing w:after="0"/>
              <w:rPr>
                <w:rFonts w:ascii="Arial" w:cs="Arial" w:eastAsia="Arial" w:hAnsi="Arial"/>
                <w:sz w:val="15"/>
                <w:szCs w:val="15"/>
                <w:u w:val="single" w:color="auto"/>
                <w:color w:val="0000EE"/>
              </w:rPr>
            </w:pPr>
            <w:hyperlink w:anchor="page84">
              <w:r>
                <w:rPr>
                  <w:rFonts w:ascii="Arial" w:cs="Arial" w:eastAsia="Arial" w:hAnsi="Arial"/>
                  <w:sz w:val="15"/>
                  <w:szCs w:val="15"/>
                  <w:u w:val="single" w:color="auto"/>
                  <w:color w:val="0000EE"/>
                </w:rPr>
                <w:t>PART III</w:t>
              </w:r>
            </w:hyperlink>
          </w:p>
        </w:tc>
        <w:tc>
          <w:tcPr>
            <w:tcW w:w="8080" w:type="dxa"/>
            <w:vAlign w:val="bottom"/>
          </w:tcPr>
          <w:p>
            <w:pPr>
              <w:spacing w:after="0"/>
              <w:rPr>
                <w:sz w:val="15"/>
                <w:szCs w:val="15"/>
                <w:color w:val="auto"/>
              </w:rPr>
            </w:pPr>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82</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10.</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84">
              <w:r>
                <w:rPr>
                  <w:rFonts w:ascii="Arial" w:cs="Arial" w:eastAsia="Arial" w:hAnsi="Arial"/>
                  <w:sz w:val="15"/>
                  <w:szCs w:val="15"/>
                  <w:u w:val="single" w:color="auto"/>
                  <w:color w:val="0000EE"/>
                </w:rPr>
                <w:t>Directors, Executive Officers and Corporate Governance.</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82</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11.</w:t>
            </w:r>
          </w:p>
        </w:tc>
        <w:tc>
          <w:tcPr>
            <w:tcW w:w="8080" w:type="dxa"/>
            <w:vAlign w:val="bottom"/>
          </w:tcPr>
          <w:p>
            <w:pPr>
              <w:ind w:left="180"/>
              <w:spacing w:after="0"/>
              <w:rPr>
                <w:rFonts w:ascii="Arial" w:cs="Arial" w:eastAsia="Arial" w:hAnsi="Arial"/>
                <w:sz w:val="15"/>
                <w:szCs w:val="15"/>
                <w:u w:val="single" w:color="auto"/>
                <w:color w:val="0000EE"/>
              </w:rPr>
            </w:pPr>
            <w:hyperlink w:anchor="page84">
              <w:r>
                <w:rPr>
                  <w:rFonts w:ascii="Arial" w:cs="Arial" w:eastAsia="Arial" w:hAnsi="Arial"/>
                  <w:sz w:val="15"/>
                  <w:szCs w:val="15"/>
                  <w:u w:val="single" w:color="auto"/>
                  <w:color w:val="0000EE"/>
                </w:rPr>
                <w:t>Executive Compensation</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82</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12.</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84">
              <w:r>
                <w:rPr>
                  <w:rFonts w:ascii="Arial" w:cs="Arial" w:eastAsia="Arial" w:hAnsi="Arial"/>
                  <w:sz w:val="15"/>
                  <w:szCs w:val="15"/>
                  <w:u w:val="single" w:color="auto"/>
                  <w:color w:val="0000EE"/>
                </w:rPr>
                <w:t>Security Ownership of Certain Beneficial Owners and Management and Related Stockholder Matters.</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82</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13.</w:t>
            </w:r>
          </w:p>
        </w:tc>
        <w:tc>
          <w:tcPr>
            <w:tcW w:w="8080" w:type="dxa"/>
            <w:vAlign w:val="bottom"/>
          </w:tcPr>
          <w:p>
            <w:pPr>
              <w:ind w:left="180"/>
              <w:spacing w:after="0"/>
              <w:rPr>
                <w:rFonts w:ascii="Arial" w:cs="Arial" w:eastAsia="Arial" w:hAnsi="Arial"/>
                <w:sz w:val="15"/>
                <w:szCs w:val="15"/>
                <w:u w:val="single" w:color="auto"/>
                <w:color w:val="0000EE"/>
              </w:rPr>
            </w:pPr>
            <w:hyperlink w:anchor="page84">
              <w:r>
                <w:rPr>
                  <w:rFonts w:ascii="Arial" w:cs="Arial" w:eastAsia="Arial" w:hAnsi="Arial"/>
                  <w:sz w:val="15"/>
                  <w:szCs w:val="15"/>
                  <w:u w:val="single" w:color="auto"/>
                  <w:color w:val="0000EE"/>
                </w:rPr>
                <w:t>Certain Relationships and Related Transactions, and Director Independence.</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82</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14.</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84">
              <w:r>
                <w:rPr>
                  <w:rFonts w:ascii="Arial" w:cs="Arial" w:eastAsia="Arial" w:hAnsi="Arial"/>
                  <w:sz w:val="15"/>
                  <w:szCs w:val="15"/>
                  <w:u w:val="single" w:color="auto"/>
                  <w:color w:val="0000EE"/>
                </w:rPr>
                <w:t>Principal Accounting Fees and Services.</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82</w:t>
            </w:r>
          </w:p>
        </w:tc>
      </w:tr>
      <w:tr>
        <w:trPr>
          <w:trHeight w:val="175"/>
        </w:trPr>
        <w:tc>
          <w:tcPr>
            <w:tcW w:w="1720" w:type="dxa"/>
            <w:vAlign w:val="bottom"/>
          </w:tcPr>
          <w:p>
            <w:pPr>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PART IV</w:t>
              </w:r>
            </w:hyperlink>
          </w:p>
        </w:tc>
        <w:tc>
          <w:tcPr>
            <w:tcW w:w="8080" w:type="dxa"/>
            <w:vAlign w:val="bottom"/>
          </w:tcPr>
          <w:p>
            <w:pPr>
              <w:spacing w:after="0"/>
              <w:rPr>
                <w:sz w:val="15"/>
                <w:szCs w:val="15"/>
                <w:color w:val="auto"/>
              </w:rPr>
            </w:pPr>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83</w:t>
            </w:r>
          </w:p>
        </w:tc>
      </w:tr>
      <w:tr>
        <w:trPr>
          <w:trHeight w:val="175"/>
        </w:trPr>
        <w:tc>
          <w:tcPr>
            <w:tcW w:w="1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Item 15.</w:t>
            </w:r>
          </w:p>
        </w:tc>
        <w:tc>
          <w:tcPr>
            <w:tcW w:w="8080" w:type="dxa"/>
            <w:vAlign w:val="bottom"/>
            <w:shd w:val="clear" w:color="auto" w:fill="CCEEFF"/>
          </w:tcPr>
          <w:p>
            <w:pPr>
              <w:ind w:left="180"/>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Exhibits, Financial Statement Schedules.</w:t>
              </w:r>
            </w:hyperlink>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83</w:t>
            </w:r>
          </w:p>
        </w:tc>
      </w:tr>
      <w:tr>
        <w:trPr>
          <w:trHeight w:val="175"/>
        </w:trPr>
        <w:tc>
          <w:tcPr>
            <w:tcW w:w="1720" w:type="dxa"/>
            <w:vAlign w:val="bottom"/>
          </w:tcPr>
          <w:p>
            <w:pPr>
              <w:ind w:left="500"/>
              <w:spacing w:after="0"/>
              <w:rPr>
                <w:sz w:val="20"/>
                <w:szCs w:val="20"/>
                <w:color w:val="auto"/>
              </w:rPr>
            </w:pPr>
            <w:r>
              <w:rPr>
                <w:rFonts w:ascii="Arial" w:cs="Arial" w:eastAsia="Arial" w:hAnsi="Arial"/>
                <w:sz w:val="15"/>
                <w:szCs w:val="15"/>
                <w:color w:val="auto"/>
              </w:rPr>
              <w:t>Item 16.</w:t>
            </w:r>
          </w:p>
        </w:tc>
        <w:tc>
          <w:tcPr>
            <w:tcW w:w="8080" w:type="dxa"/>
            <w:vAlign w:val="bottom"/>
          </w:tcPr>
          <w:p>
            <w:pPr>
              <w:ind w:left="180"/>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Form 10-K Summary</w:t>
              </w:r>
            </w:hyperlink>
          </w:p>
        </w:tc>
        <w:tc>
          <w:tcPr>
            <w:tcW w:w="1480" w:type="dxa"/>
            <w:vAlign w:val="bottom"/>
          </w:tcPr>
          <w:p>
            <w:pPr>
              <w:jc w:val="center"/>
              <w:ind w:left="747"/>
              <w:spacing w:after="0"/>
              <w:rPr>
                <w:sz w:val="20"/>
                <w:szCs w:val="20"/>
                <w:color w:val="auto"/>
              </w:rPr>
            </w:pPr>
            <w:r>
              <w:rPr>
                <w:rFonts w:ascii="Arial" w:cs="Arial" w:eastAsia="Arial" w:hAnsi="Arial"/>
                <w:sz w:val="15"/>
                <w:szCs w:val="15"/>
                <w:color w:val="auto"/>
                <w:w w:val="83"/>
              </w:rPr>
              <w:t>85</w:t>
            </w:r>
          </w:p>
        </w:tc>
      </w:tr>
      <w:tr>
        <w:trPr>
          <w:trHeight w:val="175"/>
        </w:trPr>
        <w:tc>
          <w:tcPr>
            <w:tcW w:w="1720" w:type="dxa"/>
            <w:vAlign w:val="bottom"/>
            <w:shd w:val="clear" w:color="auto" w:fill="CCEEFF"/>
          </w:tcPr>
          <w:p>
            <w:pPr>
              <w:ind w:left="500"/>
              <w:spacing w:after="0"/>
              <w:rPr>
                <w:rFonts w:ascii="Arial" w:cs="Arial" w:eastAsia="Arial" w:hAnsi="Arial"/>
                <w:sz w:val="15"/>
                <w:szCs w:val="15"/>
                <w:u w:val="single" w:color="auto"/>
                <w:color w:val="0000EE"/>
              </w:rPr>
            </w:pPr>
            <w:hyperlink w:anchor="page88">
              <w:r>
                <w:rPr>
                  <w:rFonts w:ascii="Arial" w:cs="Arial" w:eastAsia="Arial" w:hAnsi="Arial"/>
                  <w:sz w:val="15"/>
                  <w:szCs w:val="15"/>
                  <w:u w:val="single" w:color="auto"/>
                  <w:color w:val="0000EE"/>
                </w:rPr>
                <w:t>SIGNATURES</w:t>
              </w:r>
            </w:hyperlink>
          </w:p>
        </w:tc>
        <w:tc>
          <w:tcPr>
            <w:tcW w:w="80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747"/>
              <w:spacing w:after="0"/>
              <w:rPr>
                <w:sz w:val="20"/>
                <w:szCs w:val="20"/>
                <w:color w:val="auto"/>
              </w:rPr>
            </w:pPr>
            <w:r>
              <w:rPr>
                <w:rFonts w:ascii="Arial" w:cs="Arial" w:eastAsia="Arial" w:hAnsi="Arial"/>
                <w:sz w:val="15"/>
                <w:szCs w:val="15"/>
                <w:color w:val="auto"/>
                <w:w w:val="83"/>
              </w:rPr>
              <w:t>86</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322" w:right="319" w:bottom="1440" w:gutter="0" w:footer="0" w:header="0"/>
        </w:sectPr>
      </w:pPr>
    </w:p>
    <w:bookmarkStart w:id="2" w:name="page3"/>
    <w:bookmarkEnd w:id="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GLOSSARY OF TERMS</w:t>
      </w:r>
    </w:p>
    <w:p>
      <w:pPr>
        <w:spacing w:after="0" w:line="204" w:lineRule="exact"/>
        <w:rPr>
          <w:sz w:val="20"/>
          <w:szCs w:val="20"/>
          <w:color w:val="auto"/>
        </w:rPr>
      </w:pPr>
    </w:p>
    <w:p>
      <w:pPr>
        <w:ind w:right="440" w:firstLine="263"/>
        <w:spacing w:after="0" w:line="263" w:lineRule="auto"/>
        <w:rPr>
          <w:sz w:val="20"/>
          <w:szCs w:val="20"/>
          <w:color w:val="auto"/>
        </w:rPr>
      </w:pPr>
      <w:r>
        <w:rPr>
          <w:rFonts w:ascii="Arial" w:cs="Arial" w:eastAsia="Arial" w:hAnsi="Arial"/>
          <w:sz w:val="15"/>
          <w:szCs w:val="15"/>
          <w:color w:val="auto"/>
        </w:rPr>
        <w:t>As commonly used in the liquefied natural gas industry, to the extent applicable and as used in this Annual Report on Form 10-K (“Annual Report”), the terms listed below have the following meanings: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20"/>
                <w:szCs w:val="20"/>
                <w:color w:val="auto"/>
              </w:rPr>
            </w:pPr>
            <w:r>
              <w:rPr>
                <w:rFonts w:ascii="Arial" w:cs="Arial" w:eastAsia="Arial" w:hAnsi="Arial"/>
                <w:sz w:val="15"/>
                <w:szCs w:val="15"/>
                <w:color w:val="auto"/>
              </w:rPr>
              <w:t>ADO</w:t>
            </w:r>
          </w:p>
        </w:tc>
        <w:tc>
          <w:tcPr>
            <w:tcW w:w="9840" w:type="dxa"/>
            <w:vAlign w:val="bottom"/>
          </w:tcPr>
          <w:p>
            <w:pPr>
              <w:ind w:left="320"/>
              <w:spacing w:after="0"/>
              <w:rPr>
                <w:sz w:val="20"/>
                <w:szCs w:val="20"/>
                <w:color w:val="auto"/>
              </w:rPr>
            </w:pPr>
            <w:r>
              <w:rPr>
                <w:rFonts w:ascii="Arial" w:cs="Arial" w:eastAsia="Arial" w:hAnsi="Arial"/>
                <w:sz w:val="15"/>
                <w:szCs w:val="15"/>
                <w:color w:val="auto"/>
              </w:rPr>
              <w:t>automotive diesel oil</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Bcf/yr</w:t>
            </w:r>
          </w:p>
        </w:tc>
        <w:tc>
          <w:tcPr>
            <w:tcW w:w="9840" w:type="dxa"/>
            <w:vAlign w:val="bottom"/>
          </w:tcPr>
          <w:p>
            <w:pPr>
              <w:ind w:left="320"/>
              <w:spacing w:after="0"/>
              <w:rPr>
                <w:sz w:val="20"/>
                <w:szCs w:val="20"/>
                <w:color w:val="auto"/>
              </w:rPr>
            </w:pPr>
            <w:r>
              <w:rPr>
                <w:rFonts w:ascii="Arial" w:cs="Arial" w:eastAsia="Arial" w:hAnsi="Arial"/>
                <w:sz w:val="15"/>
                <w:szCs w:val="15"/>
                <w:color w:val="auto"/>
              </w:rPr>
              <w:t>billion cubic feet per year</w:t>
            </w:r>
          </w:p>
        </w:tc>
      </w:tr>
      <w:tr>
        <w:trPr>
          <w:trHeight w:val="340"/>
        </w:trPr>
        <w:tc>
          <w:tcPr>
            <w:tcW w:w="1440" w:type="dxa"/>
            <w:vAlign w:val="bottom"/>
          </w:tcPr>
          <w:p>
            <w:pPr>
              <w:spacing w:after="0"/>
              <w:rPr>
                <w:sz w:val="20"/>
                <w:szCs w:val="20"/>
                <w:color w:val="auto"/>
              </w:rPr>
            </w:pPr>
            <w:r>
              <w:rPr>
                <w:rFonts w:ascii="Arial" w:cs="Arial" w:eastAsia="Arial" w:hAnsi="Arial"/>
                <w:sz w:val="15"/>
                <w:szCs w:val="15"/>
                <w:color w:val="auto"/>
              </w:rPr>
              <w:t>Btu</w:t>
            </w:r>
          </w:p>
        </w:tc>
        <w:tc>
          <w:tcPr>
            <w:tcW w:w="9840" w:type="dxa"/>
            <w:vAlign w:val="bottom"/>
          </w:tcPr>
          <w:p>
            <w:pPr>
              <w:ind w:left="320"/>
              <w:spacing w:after="0"/>
              <w:rPr>
                <w:sz w:val="20"/>
                <w:szCs w:val="20"/>
                <w:color w:val="auto"/>
              </w:rPr>
            </w:pPr>
            <w:r>
              <w:rPr>
                <w:rFonts w:ascii="Arial" w:cs="Arial" w:eastAsia="Arial" w:hAnsi="Arial"/>
                <w:sz w:val="15"/>
                <w:szCs w:val="15"/>
                <w:color w:val="auto"/>
                <w:w w:val="88"/>
              </w:rPr>
              <w:t>the amount of heat required to raise the temperature of one avoirdupois pound of pure water from 59 degrees Fahrenheit to 60 degrees Fahrenheit at an absolute</w:t>
            </w:r>
          </w:p>
        </w:tc>
      </w:tr>
      <w:tr>
        <w:trPr>
          <w:trHeight w:val="186"/>
        </w:trPr>
        <w:tc>
          <w:tcPr>
            <w:tcW w:w="1440" w:type="dxa"/>
            <w:vAlign w:val="bottom"/>
          </w:tcPr>
          <w:p>
            <w:pPr>
              <w:spacing w:after="0"/>
              <w:rPr>
                <w:sz w:val="16"/>
                <w:szCs w:val="16"/>
                <w:color w:val="auto"/>
              </w:rPr>
            </w:pPr>
          </w:p>
        </w:tc>
        <w:tc>
          <w:tcPr>
            <w:tcW w:w="9840" w:type="dxa"/>
            <w:vAlign w:val="bottom"/>
          </w:tcPr>
          <w:p>
            <w:pPr>
              <w:ind w:left="320"/>
              <w:spacing w:after="0"/>
              <w:rPr>
                <w:sz w:val="20"/>
                <w:szCs w:val="20"/>
                <w:color w:val="auto"/>
              </w:rPr>
            </w:pPr>
            <w:r>
              <w:rPr>
                <w:rFonts w:ascii="Arial" w:cs="Arial" w:eastAsia="Arial" w:hAnsi="Arial"/>
                <w:sz w:val="15"/>
                <w:szCs w:val="15"/>
                <w:color w:val="auto"/>
              </w:rPr>
              <w:t>pressure of 14.696 pounds per square inch gage</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CAA</w:t>
            </w:r>
          </w:p>
        </w:tc>
        <w:tc>
          <w:tcPr>
            <w:tcW w:w="9840" w:type="dxa"/>
            <w:vAlign w:val="bottom"/>
          </w:tcPr>
          <w:p>
            <w:pPr>
              <w:ind w:left="320"/>
              <w:spacing w:after="0"/>
              <w:rPr>
                <w:sz w:val="20"/>
                <w:szCs w:val="20"/>
                <w:color w:val="auto"/>
              </w:rPr>
            </w:pPr>
            <w:r>
              <w:rPr>
                <w:rFonts w:ascii="Arial" w:cs="Arial" w:eastAsia="Arial" w:hAnsi="Arial"/>
                <w:sz w:val="15"/>
                <w:szCs w:val="15"/>
                <w:color w:val="auto"/>
              </w:rPr>
              <w:t>Clean Air Act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CERCLA</w:t>
            </w:r>
          </w:p>
        </w:tc>
        <w:tc>
          <w:tcPr>
            <w:tcW w:w="9840" w:type="dxa"/>
            <w:vAlign w:val="bottom"/>
          </w:tcPr>
          <w:p>
            <w:pPr>
              <w:ind w:left="320"/>
              <w:spacing w:after="0"/>
              <w:rPr>
                <w:sz w:val="20"/>
                <w:szCs w:val="20"/>
                <w:color w:val="auto"/>
              </w:rPr>
            </w:pPr>
            <w:r>
              <w:rPr>
                <w:rFonts w:ascii="Arial" w:cs="Arial" w:eastAsia="Arial" w:hAnsi="Arial"/>
                <w:sz w:val="15"/>
                <w:szCs w:val="15"/>
                <w:color w:val="auto"/>
              </w:rPr>
              <w:t>Comprehensive Environmental Response, Compensation and Liability Act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CWA</w:t>
            </w:r>
          </w:p>
        </w:tc>
        <w:tc>
          <w:tcPr>
            <w:tcW w:w="9840" w:type="dxa"/>
            <w:vAlign w:val="bottom"/>
          </w:tcPr>
          <w:p>
            <w:pPr>
              <w:ind w:left="320"/>
              <w:spacing w:after="0"/>
              <w:rPr>
                <w:sz w:val="20"/>
                <w:szCs w:val="20"/>
                <w:color w:val="auto"/>
              </w:rPr>
            </w:pPr>
            <w:r>
              <w:rPr>
                <w:rFonts w:ascii="Arial" w:cs="Arial" w:eastAsia="Arial" w:hAnsi="Arial"/>
                <w:sz w:val="15"/>
                <w:szCs w:val="15"/>
                <w:color w:val="auto"/>
              </w:rPr>
              <w:t>Clean Water Act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DOE</w:t>
            </w:r>
          </w:p>
        </w:tc>
        <w:tc>
          <w:tcPr>
            <w:tcW w:w="9840" w:type="dxa"/>
            <w:vAlign w:val="bottom"/>
          </w:tcPr>
          <w:p>
            <w:pPr>
              <w:ind w:left="320"/>
              <w:spacing w:after="0"/>
              <w:rPr>
                <w:sz w:val="20"/>
                <w:szCs w:val="20"/>
                <w:color w:val="auto"/>
              </w:rPr>
            </w:pPr>
            <w:r>
              <w:rPr>
                <w:rFonts w:ascii="Arial" w:cs="Arial" w:eastAsia="Arial" w:hAnsi="Arial"/>
                <w:sz w:val="15"/>
                <w:szCs w:val="15"/>
                <w:color w:val="auto"/>
              </w:rPr>
              <w:t>U.S. Department of Energy</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DOT</w:t>
            </w:r>
          </w:p>
        </w:tc>
        <w:tc>
          <w:tcPr>
            <w:tcW w:w="9840" w:type="dxa"/>
            <w:vAlign w:val="bottom"/>
          </w:tcPr>
          <w:p>
            <w:pPr>
              <w:ind w:left="320"/>
              <w:spacing w:after="0"/>
              <w:rPr>
                <w:sz w:val="20"/>
                <w:szCs w:val="20"/>
                <w:color w:val="auto"/>
              </w:rPr>
            </w:pPr>
            <w:r>
              <w:rPr>
                <w:rFonts w:ascii="Arial" w:cs="Arial" w:eastAsia="Arial" w:hAnsi="Arial"/>
                <w:sz w:val="15"/>
                <w:szCs w:val="15"/>
                <w:color w:val="auto"/>
              </w:rPr>
              <w:t>U.S. Department of Transportation</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EPA</w:t>
            </w:r>
          </w:p>
        </w:tc>
        <w:tc>
          <w:tcPr>
            <w:tcW w:w="9840" w:type="dxa"/>
            <w:vAlign w:val="bottom"/>
          </w:tcPr>
          <w:p>
            <w:pPr>
              <w:ind w:left="320"/>
              <w:spacing w:after="0"/>
              <w:rPr>
                <w:sz w:val="20"/>
                <w:szCs w:val="20"/>
                <w:color w:val="auto"/>
              </w:rPr>
            </w:pPr>
            <w:r>
              <w:rPr>
                <w:rFonts w:ascii="Arial" w:cs="Arial" w:eastAsia="Arial" w:hAnsi="Arial"/>
                <w:sz w:val="15"/>
                <w:szCs w:val="15"/>
                <w:color w:val="auto"/>
              </w:rPr>
              <w:t>U.S. Environmental Protection Agency</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FTA countries</w:t>
            </w:r>
          </w:p>
        </w:tc>
        <w:tc>
          <w:tcPr>
            <w:tcW w:w="9840" w:type="dxa"/>
            <w:vAlign w:val="bottom"/>
          </w:tcPr>
          <w:p>
            <w:pPr>
              <w:ind w:left="320"/>
              <w:spacing w:after="0"/>
              <w:rPr>
                <w:sz w:val="20"/>
                <w:szCs w:val="20"/>
                <w:color w:val="auto"/>
              </w:rPr>
            </w:pPr>
            <w:r>
              <w:rPr>
                <w:rFonts w:ascii="Arial" w:cs="Arial" w:eastAsia="Arial" w:hAnsi="Arial"/>
                <w:sz w:val="15"/>
                <w:szCs w:val="15"/>
                <w:color w:val="auto"/>
              </w:rPr>
              <w:t>countries with which the United States has a free trade agreement providing for national treatment for trade in natural gas</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GAAP</w:t>
            </w:r>
          </w:p>
        </w:tc>
        <w:tc>
          <w:tcPr>
            <w:tcW w:w="9840" w:type="dxa"/>
            <w:vAlign w:val="bottom"/>
          </w:tcPr>
          <w:p>
            <w:pPr>
              <w:ind w:left="320"/>
              <w:spacing w:after="0"/>
              <w:rPr>
                <w:sz w:val="20"/>
                <w:szCs w:val="20"/>
                <w:color w:val="auto"/>
              </w:rPr>
            </w:pPr>
            <w:r>
              <w:rPr>
                <w:rFonts w:ascii="Arial" w:cs="Arial" w:eastAsia="Arial" w:hAnsi="Arial"/>
                <w:sz w:val="15"/>
                <w:szCs w:val="15"/>
                <w:color w:val="auto"/>
              </w:rPr>
              <w:t>generally accepted accounting principles in the United States</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GHG</w:t>
            </w:r>
          </w:p>
        </w:tc>
        <w:tc>
          <w:tcPr>
            <w:tcW w:w="9840" w:type="dxa"/>
            <w:vAlign w:val="bottom"/>
          </w:tcPr>
          <w:p>
            <w:pPr>
              <w:ind w:left="320"/>
              <w:spacing w:after="0"/>
              <w:rPr>
                <w:sz w:val="20"/>
                <w:szCs w:val="20"/>
                <w:color w:val="auto"/>
              </w:rPr>
            </w:pPr>
            <w:r>
              <w:rPr>
                <w:rFonts w:ascii="Arial" w:cs="Arial" w:eastAsia="Arial" w:hAnsi="Arial"/>
                <w:sz w:val="15"/>
                <w:szCs w:val="15"/>
                <w:color w:val="auto"/>
              </w:rPr>
              <w:t>greenhouse gases</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GSA</w:t>
            </w:r>
          </w:p>
        </w:tc>
        <w:tc>
          <w:tcPr>
            <w:tcW w:w="9840" w:type="dxa"/>
            <w:vAlign w:val="bottom"/>
          </w:tcPr>
          <w:p>
            <w:pPr>
              <w:ind w:left="320"/>
              <w:spacing w:after="0"/>
              <w:rPr>
                <w:sz w:val="20"/>
                <w:szCs w:val="20"/>
                <w:color w:val="auto"/>
              </w:rPr>
            </w:pPr>
            <w:r>
              <w:rPr>
                <w:rFonts w:ascii="Arial" w:cs="Arial" w:eastAsia="Arial" w:hAnsi="Arial"/>
                <w:sz w:val="15"/>
                <w:szCs w:val="15"/>
                <w:color w:val="auto"/>
              </w:rPr>
              <w:t>gas sales agreement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Henry Hub</w:t>
            </w:r>
          </w:p>
        </w:tc>
        <w:tc>
          <w:tcPr>
            <w:tcW w:w="9840" w:type="dxa"/>
            <w:vAlign w:val="bottom"/>
          </w:tcPr>
          <w:p>
            <w:pPr>
              <w:ind w:left="320"/>
              <w:spacing w:after="0"/>
              <w:rPr>
                <w:sz w:val="20"/>
                <w:szCs w:val="20"/>
                <w:color w:val="auto"/>
              </w:rPr>
            </w:pPr>
            <w:r>
              <w:rPr>
                <w:rFonts w:ascii="Arial" w:cs="Arial" w:eastAsia="Arial" w:hAnsi="Arial"/>
                <w:sz w:val="15"/>
                <w:szCs w:val="15"/>
                <w:color w:val="auto"/>
                <w:w w:val="94"/>
              </w:rPr>
              <w:t>a natural gas pipeline located in Erath, Louisiana that serves as the official delivery location for futures contracts on the New York Mercantile Exchange</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ISO container</w:t>
            </w:r>
          </w:p>
        </w:tc>
        <w:tc>
          <w:tcPr>
            <w:tcW w:w="9840" w:type="dxa"/>
            <w:vAlign w:val="bottom"/>
          </w:tcPr>
          <w:p>
            <w:pPr>
              <w:ind w:left="320"/>
              <w:spacing w:after="0"/>
              <w:rPr>
                <w:sz w:val="20"/>
                <w:szCs w:val="20"/>
                <w:color w:val="auto"/>
              </w:rPr>
            </w:pPr>
            <w:r>
              <w:rPr>
                <w:rFonts w:ascii="Arial" w:cs="Arial" w:eastAsia="Arial" w:hAnsi="Arial"/>
                <w:sz w:val="15"/>
                <w:szCs w:val="15"/>
                <w:color w:val="auto"/>
              </w:rPr>
              <w:t>International Organization of Standardization, an intermodal container</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LNG</w:t>
            </w:r>
          </w:p>
        </w:tc>
        <w:tc>
          <w:tcPr>
            <w:tcW w:w="9840" w:type="dxa"/>
            <w:vAlign w:val="bottom"/>
          </w:tcPr>
          <w:p>
            <w:pPr>
              <w:ind w:left="320"/>
              <w:spacing w:after="0"/>
              <w:rPr>
                <w:sz w:val="20"/>
                <w:szCs w:val="20"/>
                <w:color w:val="auto"/>
              </w:rPr>
            </w:pPr>
            <w:r>
              <w:rPr>
                <w:rFonts w:ascii="Arial" w:cs="Arial" w:eastAsia="Arial" w:hAnsi="Arial"/>
                <w:sz w:val="15"/>
                <w:szCs w:val="15"/>
                <w:color w:val="auto"/>
              </w:rPr>
              <w:t>natural gas in its liquid state at or below its boiling point at or near atmospheric pressure</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MMBtu</w:t>
            </w:r>
          </w:p>
        </w:tc>
        <w:tc>
          <w:tcPr>
            <w:tcW w:w="9840" w:type="dxa"/>
            <w:vAlign w:val="bottom"/>
          </w:tcPr>
          <w:p>
            <w:pPr>
              <w:ind w:left="320"/>
              <w:spacing w:after="0"/>
              <w:rPr>
                <w:sz w:val="20"/>
                <w:szCs w:val="20"/>
                <w:color w:val="auto"/>
              </w:rPr>
            </w:pPr>
            <w:r>
              <w:rPr>
                <w:rFonts w:ascii="Arial" w:cs="Arial" w:eastAsia="Arial" w:hAnsi="Arial"/>
                <w:sz w:val="15"/>
                <w:szCs w:val="15"/>
                <w:color w:val="auto"/>
              </w:rPr>
              <w:t>one million Btus, which corresponds to approximately 12.1 LNG gallons</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mtpa</w:t>
            </w:r>
          </w:p>
        </w:tc>
        <w:tc>
          <w:tcPr>
            <w:tcW w:w="9840" w:type="dxa"/>
            <w:vAlign w:val="bottom"/>
          </w:tcPr>
          <w:p>
            <w:pPr>
              <w:ind w:left="320"/>
              <w:spacing w:after="0"/>
              <w:rPr>
                <w:sz w:val="20"/>
                <w:szCs w:val="20"/>
                <w:color w:val="auto"/>
              </w:rPr>
            </w:pPr>
            <w:r>
              <w:rPr>
                <w:rFonts w:ascii="Arial" w:cs="Arial" w:eastAsia="Arial" w:hAnsi="Arial"/>
                <w:sz w:val="15"/>
                <w:szCs w:val="15"/>
                <w:color w:val="auto"/>
              </w:rPr>
              <w:t>metric tons per year</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MW</w:t>
            </w:r>
          </w:p>
        </w:tc>
        <w:tc>
          <w:tcPr>
            <w:tcW w:w="9840" w:type="dxa"/>
            <w:vAlign w:val="bottom"/>
          </w:tcPr>
          <w:p>
            <w:pPr>
              <w:ind w:left="320"/>
              <w:spacing w:after="0"/>
              <w:rPr>
                <w:sz w:val="20"/>
                <w:szCs w:val="20"/>
                <w:color w:val="auto"/>
              </w:rPr>
            </w:pPr>
            <w:r>
              <w:rPr>
                <w:rFonts w:ascii="Arial" w:cs="Arial" w:eastAsia="Arial" w:hAnsi="Arial"/>
                <w:sz w:val="15"/>
                <w:szCs w:val="15"/>
                <w:color w:val="auto"/>
              </w:rPr>
              <w:t>megawatt. We estimate 2,500 LNG gallons would be required to produce one megawatt.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NGA</w:t>
            </w:r>
          </w:p>
        </w:tc>
        <w:tc>
          <w:tcPr>
            <w:tcW w:w="9840" w:type="dxa"/>
            <w:vAlign w:val="bottom"/>
          </w:tcPr>
          <w:p>
            <w:pPr>
              <w:ind w:left="320"/>
              <w:spacing w:after="0"/>
              <w:rPr>
                <w:sz w:val="20"/>
                <w:szCs w:val="20"/>
                <w:color w:val="auto"/>
              </w:rPr>
            </w:pPr>
            <w:r>
              <w:rPr>
                <w:rFonts w:ascii="Arial" w:cs="Arial" w:eastAsia="Arial" w:hAnsi="Arial"/>
                <w:sz w:val="15"/>
                <w:szCs w:val="15"/>
                <w:color w:val="auto"/>
              </w:rPr>
              <w:t>Natural Gas Act of 1938, as amended</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non-FTA countries</w:t>
            </w:r>
          </w:p>
        </w:tc>
        <w:tc>
          <w:tcPr>
            <w:tcW w:w="9840" w:type="dxa"/>
            <w:vAlign w:val="bottom"/>
          </w:tcPr>
          <w:p>
            <w:pPr>
              <w:ind w:left="320"/>
              <w:spacing w:after="0"/>
              <w:rPr>
                <w:sz w:val="20"/>
                <w:szCs w:val="20"/>
                <w:color w:val="auto"/>
              </w:rPr>
            </w:pPr>
            <w:r>
              <w:rPr>
                <w:rFonts w:ascii="Arial" w:cs="Arial" w:eastAsia="Arial" w:hAnsi="Arial"/>
                <w:sz w:val="15"/>
                <w:szCs w:val="15"/>
                <w:color w:val="auto"/>
                <w:w w:val="94"/>
              </w:rPr>
              <w:t>countries without a free trade agreement with the United States providing for national treatment for trade in natural gas and with which trade is permitted</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OPA</w:t>
            </w:r>
          </w:p>
        </w:tc>
        <w:tc>
          <w:tcPr>
            <w:tcW w:w="9840" w:type="dxa"/>
            <w:vAlign w:val="bottom"/>
          </w:tcPr>
          <w:p>
            <w:pPr>
              <w:ind w:left="320"/>
              <w:spacing w:after="0"/>
              <w:rPr>
                <w:sz w:val="20"/>
                <w:szCs w:val="20"/>
                <w:color w:val="auto"/>
              </w:rPr>
            </w:pPr>
            <w:r>
              <w:rPr>
                <w:rFonts w:ascii="Arial" w:cs="Arial" w:eastAsia="Arial" w:hAnsi="Arial"/>
                <w:sz w:val="15"/>
                <w:szCs w:val="15"/>
                <w:color w:val="auto"/>
              </w:rPr>
              <w:t>Oil Pollution Act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OUR</w:t>
            </w:r>
          </w:p>
        </w:tc>
        <w:tc>
          <w:tcPr>
            <w:tcW w:w="9840" w:type="dxa"/>
            <w:vAlign w:val="bottom"/>
          </w:tcPr>
          <w:p>
            <w:pPr>
              <w:ind w:left="320"/>
              <w:spacing w:after="0"/>
              <w:rPr>
                <w:sz w:val="20"/>
                <w:szCs w:val="20"/>
                <w:color w:val="auto"/>
              </w:rPr>
            </w:pPr>
            <w:r>
              <w:rPr>
                <w:rFonts w:ascii="Arial" w:cs="Arial" w:eastAsia="Arial" w:hAnsi="Arial"/>
                <w:sz w:val="15"/>
                <w:szCs w:val="15"/>
                <w:color w:val="auto"/>
              </w:rPr>
              <w:t>Office of Utilities Regulation (Jamaica)</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PHMSA</w:t>
            </w:r>
          </w:p>
        </w:tc>
        <w:tc>
          <w:tcPr>
            <w:tcW w:w="9840" w:type="dxa"/>
            <w:vAlign w:val="bottom"/>
          </w:tcPr>
          <w:p>
            <w:pPr>
              <w:ind w:left="320"/>
              <w:spacing w:after="0"/>
              <w:rPr>
                <w:sz w:val="20"/>
                <w:szCs w:val="20"/>
                <w:color w:val="auto"/>
              </w:rPr>
            </w:pPr>
            <w:r>
              <w:rPr>
                <w:rFonts w:ascii="Arial" w:cs="Arial" w:eastAsia="Arial" w:hAnsi="Arial"/>
                <w:sz w:val="15"/>
                <w:szCs w:val="15"/>
                <w:color w:val="auto"/>
              </w:rPr>
              <w:t>Pipeline and Hazardous Materials Safety Administration</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PPA</w:t>
            </w:r>
          </w:p>
        </w:tc>
        <w:tc>
          <w:tcPr>
            <w:tcW w:w="9840" w:type="dxa"/>
            <w:vAlign w:val="bottom"/>
          </w:tcPr>
          <w:p>
            <w:pPr>
              <w:ind w:left="320"/>
              <w:spacing w:after="0"/>
              <w:rPr>
                <w:sz w:val="20"/>
                <w:szCs w:val="20"/>
                <w:color w:val="auto"/>
              </w:rPr>
            </w:pPr>
            <w:r>
              <w:rPr>
                <w:rFonts w:ascii="Arial" w:cs="Arial" w:eastAsia="Arial" w:hAnsi="Arial"/>
                <w:sz w:val="15"/>
                <w:szCs w:val="15"/>
                <w:color w:val="auto"/>
              </w:rPr>
              <w:t>power purchase agreement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SSA</w:t>
            </w:r>
          </w:p>
        </w:tc>
        <w:tc>
          <w:tcPr>
            <w:tcW w:w="9840" w:type="dxa"/>
            <w:vAlign w:val="bottom"/>
          </w:tcPr>
          <w:p>
            <w:pPr>
              <w:ind w:left="320"/>
              <w:spacing w:after="0"/>
              <w:rPr>
                <w:sz w:val="20"/>
                <w:szCs w:val="20"/>
                <w:color w:val="auto"/>
              </w:rPr>
            </w:pPr>
            <w:r>
              <w:rPr>
                <w:rFonts w:ascii="Arial" w:cs="Arial" w:eastAsia="Arial" w:hAnsi="Arial"/>
                <w:sz w:val="15"/>
                <w:szCs w:val="15"/>
                <w:color w:val="auto"/>
              </w:rPr>
              <w:t>steam supply agreement</w:t>
            </w:r>
          </w:p>
        </w:tc>
      </w:tr>
      <w:tr>
        <w:trPr>
          <w:trHeight w:val="351"/>
        </w:trPr>
        <w:tc>
          <w:tcPr>
            <w:tcW w:w="1440" w:type="dxa"/>
            <w:vAlign w:val="bottom"/>
          </w:tcPr>
          <w:p>
            <w:pPr>
              <w:spacing w:after="0"/>
              <w:rPr>
                <w:sz w:val="20"/>
                <w:szCs w:val="20"/>
                <w:color w:val="auto"/>
              </w:rPr>
            </w:pPr>
            <w:r>
              <w:rPr>
                <w:rFonts w:ascii="Arial" w:cs="Arial" w:eastAsia="Arial" w:hAnsi="Arial"/>
                <w:sz w:val="15"/>
                <w:szCs w:val="15"/>
                <w:color w:val="auto"/>
              </w:rPr>
              <w:t>TBtu</w:t>
            </w:r>
          </w:p>
        </w:tc>
        <w:tc>
          <w:tcPr>
            <w:tcW w:w="9840" w:type="dxa"/>
            <w:vAlign w:val="bottom"/>
          </w:tcPr>
          <w:p>
            <w:pPr>
              <w:ind w:left="320"/>
              <w:spacing w:after="0"/>
              <w:rPr>
                <w:sz w:val="20"/>
                <w:szCs w:val="20"/>
                <w:color w:val="auto"/>
              </w:rPr>
            </w:pPr>
            <w:r>
              <w:rPr>
                <w:rFonts w:ascii="Arial" w:cs="Arial" w:eastAsia="Arial" w:hAnsi="Arial"/>
                <w:sz w:val="15"/>
                <w:szCs w:val="15"/>
                <w:color w:val="auto"/>
              </w:rPr>
              <w:t>one trillion Btus, which corresponds to approximately 12,100,000 LNG gallons</w:t>
            </w:r>
          </w:p>
        </w:tc>
      </w:tr>
      <w:tr>
        <w:trPr>
          <w:trHeight w:val="483"/>
        </w:trPr>
        <w:tc>
          <w:tcPr>
            <w:tcW w:w="1440" w:type="dxa"/>
            <w:vAlign w:val="bottom"/>
          </w:tcPr>
          <w:p>
            <w:pPr>
              <w:spacing w:after="0"/>
              <w:rPr>
                <w:sz w:val="24"/>
                <w:szCs w:val="24"/>
                <w:color w:val="auto"/>
              </w:rPr>
            </w:pPr>
          </w:p>
        </w:tc>
        <w:tc>
          <w:tcPr>
            <w:tcW w:w="9840" w:type="dxa"/>
            <w:vAlign w:val="bottom"/>
          </w:tcPr>
          <w:p>
            <w:pPr>
              <w:ind w:left="4180"/>
              <w:spacing w:after="0"/>
              <w:rPr>
                <w:sz w:val="20"/>
                <w:szCs w:val="20"/>
                <w:color w:val="auto"/>
              </w:rPr>
            </w:pPr>
            <w:r>
              <w:rPr>
                <w:rFonts w:ascii="Arial" w:cs="Arial" w:eastAsia="Arial" w:hAnsi="Arial"/>
                <w:sz w:val="12"/>
                <w:szCs w:val="12"/>
                <w:color w:val="auto"/>
              </w:rPr>
              <w:t>1</w:t>
            </w:r>
          </w:p>
        </w:tc>
      </w:tr>
      <w:tr>
        <w:trPr>
          <w:trHeight w:val="34"/>
        </w:trPr>
        <w:tc>
          <w:tcPr>
            <w:tcW w:w="1440" w:type="dxa"/>
            <w:vAlign w:val="bottom"/>
            <w:tcBorders>
              <w:bottom w:val="single" w:sz="8" w:color="auto"/>
            </w:tcBorders>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5" w:right="319" w:bottom="1440" w:gutter="0" w:footer="0" w:header="0"/>
        </w:sectPr>
      </w:pPr>
    </w:p>
    <w:bookmarkStart w:id="3" w:name="page4"/>
    <w:bookmarkEnd w:id="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CAUTIONARY STATEMENT ON FORWARD-LOOKING STATEMENTS</w:t>
      </w:r>
    </w:p>
    <w:p>
      <w:pPr>
        <w:spacing w:after="0" w:line="204" w:lineRule="exact"/>
        <w:rPr>
          <w:sz w:val="20"/>
          <w:szCs w:val="20"/>
          <w:color w:val="auto"/>
        </w:rPr>
      </w:pPr>
    </w:p>
    <w:p>
      <w:pPr>
        <w:ind w:right="20" w:firstLine="263"/>
        <w:spacing w:after="0" w:line="267" w:lineRule="auto"/>
        <w:rPr>
          <w:sz w:val="20"/>
          <w:szCs w:val="20"/>
          <w:color w:val="auto"/>
        </w:rPr>
      </w:pPr>
      <w:r>
        <w:rPr>
          <w:rFonts w:ascii="Arial" w:cs="Arial" w:eastAsia="Arial" w:hAnsi="Arial"/>
          <w:sz w:val="14"/>
          <w:szCs w:val="14"/>
          <w:color w:val="auto"/>
        </w:rPr>
        <w:t>This Annual Report on Form 10-K for the year ended December 31, 2020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7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limited operating history;</w:t>
      </w:r>
    </w:p>
    <w:p>
      <w:pPr>
        <w:spacing w:after="0" w:line="200" w:lineRule="exact"/>
        <w:rPr>
          <w:rFonts w:ascii="Arial" w:cs="Arial" w:eastAsia="Arial" w:hAnsi="Arial"/>
          <w:sz w:val="15"/>
          <w:szCs w:val="15"/>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loss of one or more of our customers;</w:t>
      </w:r>
    </w:p>
    <w:p>
      <w:pPr>
        <w:spacing w:after="0" w:line="200" w:lineRule="exact"/>
        <w:rPr>
          <w:rFonts w:ascii="Arial" w:cs="Arial" w:eastAsia="Arial" w:hAnsi="Arial"/>
          <w:sz w:val="15"/>
          <w:szCs w:val="15"/>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procure LNG on a fixed-price basis, or otherwise to manage LNG price risks, including hedging arrangements;</w:t>
      </w:r>
    </w:p>
    <w:p>
      <w:pPr>
        <w:spacing w:after="0" w:line="200" w:lineRule="exact"/>
        <w:rPr>
          <w:rFonts w:ascii="Arial" w:cs="Arial" w:eastAsia="Arial" w:hAnsi="Arial"/>
          <w:sz w:val="15"/>
          <w:szCs w:val="15"/>
          <w:color w:val="auto"/>
        </w:rPr>
      </w:pPr>
    </w:p>
    <w:p>
      <w:pPr>
        <w:ind w:left="240" w:hanging="232"/>
        <w:spacing w:after="0"/>
        <w:tabs>
          <w:tab w:leader="none" w:pos="2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completion of construction on our LNG terminals, facilities, power plants or Liquefaction Facilities and the terms of our construction contracts for the completion of these assets;</w:t>
      </w:r>
    </w:p>
    <w:p>
      <w:pPr>
        <w:spacing w:after="0" w:line="223" w:lineRule="exact"/>
        <w:rPr>
          <w:rFonts w:ascii="Arial" w:cs="Arial" w:eastAsia="Arial" w:hAnsi="Arial"/>
          <w:sz w:val="13"/>
          <w:szCs w:val="13"/>
          <w:color w:val="auto"/>
        </w:rPr>
      </w:pPr>
    </w:p>
    <w:p>
      <w:pPr>
        <w:ind w:left="260" w:right="20" w:hanging="252"/>
        <w:spacing w:after="0" w:line="263" w:lineRule="auto"/>
        <w:tabs>
          <w:tab w:leader="none" w:pos="2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170" w:lineRule="exact"/>
        <w:rPr>
          <w:rFonts w:ascii="Arial" w:cs="Arial" w:eastAsia="Arial" w:hAnsi="Arial"/>
          <w:sz w:val="15"/>
          <w:szCs w:val="15"/>
          <w:color w:val="auto"/>
        </w:rPr>
      </w:pPr>
    </w:p>
    <w:p>
      <w:pPr>
        <w:ind w:left="260" w:hanging="252"/>
        <w:spacing w:after="0"/>
        <w:tabs>
          <w:tab w:leader="none" w:pos="2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obtain additional financing to effect our strategy;</w:t>
      </w:r>
    </w:p>
    <w:p>
      <w:pPr>
        <w:spacing w:after="0" w:line="200" w:lineRule="exact"/>
        <w:rPr>
          <w:rFonts w:ascii="Arial" w:cs="Arial" w:eastAsia="Arial" w:hAnsi="Arial"/>
          <w:sz w:val="15"/>
          <w:szCs w:val="15"/>
          <w:color w:val="auto"/>
        </w:rPr>
      </w:pPr>
    </w:p>
    <w:p>
      <w:pPr>
        <w:ind w:left="280" w:right="340" w:hanging="272"/>
        <w:spacing w:after="0" w:line="263" w:lineRule="auto"/>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Each of the Proposed Mergers is subject to conditions, some or all of which may not be satisfied or completed on a timely basis, or at all, and we, Hygo and GMLP are each subject to business uncertainties and contractual restrictions while the Proposed Mergers are pending;</w:t>
      </w:r>
    </w:p>
    <w:p>
      <w:pPr>
        <w:spacing w:after="0" w:line="17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After the Proposed Mergers, we may be unable to successfully integrate the businesses and realize the anticipated benefits of the Proposed Mergers;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produce or purchase sufficient amounts of LNG or natural gas at favorable prices to meet customer demand;</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hurricanes or other natural or manmade disasters;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obtain and maintain approvals and permits from governmental and regulatory agencies;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operational, regulatory, environmental, political, legal and economic risks pertaining to the construction and operation of our facilities;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contract with suppliers and tankers to facilitate the delivery of LNG on their chartered LNG tankers;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cyclical or other changes in the demand for and price of LNG and natural gas;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of natural gas to be a competitive source of energy in the markets in which we operate, and seek to operate;</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competition from third parties in our business;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re-finance our outstanding indebtedness;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to environmental and similar laws and governmental regulations that are adverse to our operations;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enter into favorable agreements and obtain necessary regulatory approvals;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tax treatment of us or of an investment in our Class A shares;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completion of the Exchange Transactions (as defined below);</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major health and safety incident relating to our business;</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labor costs, and the unavailability of skilled workers or our failure to attract and retain qualified personnel;</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related to the jurisdictions in which we do, or seek to do, business, particularly Florida, Jamaica, Brazil and the Caribbean; and</w:t>
      </w:r>
    </w:p>
    <w:p>
      <w:pPr>
        <w:spacing w:after="0" w:line="200" w:lineRule="exact"/>
        <w:rPr>
          <w:rFonts w:ascii="Arial" w:cs="Arial" w:eastAsia="Arial" w:hAnsi="Arial"/>
          <w:sz w:val="15"/>
          <w:szCs w:val="15"/>
          <w:color w:val="auto"/>
        </w:rPr>
      </w:pPr>
    </w:p>
    <w:p>
      <w:pPr>
        <w:ind w:left="280" w:hanging="272"/>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risks described in the “Risk Factors” section of this Annual Report.</w:t>
      </w:r>
    </w:p>
    <w:p>
      <w:pPr>
        <w:spacing w:after="0" w:line="200" w:lineRule="exact"/>
        <w:rPr>
          <w:sz w:val="20"/>
          <w:szCs w:val="20"/>
          <w:color w:val="auto"/>
        </w:rPr>
      </w:pPr>
    </w:p>
    <w:p>
      <w:pPr>
        <w:ind w:firstLine="263"/>
        <w:spacing w:after="0" w:line="250" w:lineRule="auto"/>
        <w:rPr>
          <w:sz w:val="20"/>
          <w:szCs w:val="20"/>
          <w:color w:val="auto"/>
        </w:rPr>
      </w:pPr>
      <w:r>
        <w:rPr>
          <w:rFonts w:ascii="Arial" w:cs="Arial" w:eastAsia="Arial" w:hAnsi="Arial"/>
          <w:sz w:val="15"/>
          <w:szCs w:val="15"/>
          <w:color w:val="auto"/>
        </w:rPr>
        <w:t>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200"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b w:val="1"/>
          <w:bCs w:val="1"/>
          <w:color w:val="auto"/>
        </w:rPr>
        <w:t>Items 1 and 2.</w:t>
      </w:r>
      <w:r>
        <w:rPr>
          <w:sz w:val="20"/>
          <w:szCs w:val="20"/>
          <w:color w:val="auto"/>
        </w:rPr>
        <w:tab/>
      </w:r>
      <w:r>
        <w:rPr>
          <w:rFonts w:ascii="Arial" w:cs="Arial" w:eastAsia="Arial" w:hAnsi="Arial"/>
          <w:sz w:val="11"/>
          <w:szCs w:val="11"/>
          <w:b w:val="1"/>
          <w:bCs w:val="1"/>
          <w:color w:val="auto"/>
        </w:rPr>
        <w:t>Business and Properties</w:t>
      </w:r>
    </w:p>
    <w:p>
      <w:pPr>
        <w:spacing w:after="0" w:line="204" w:lineRule="exact"/>
        <w:rPr>
          <w:sz w:val="20"/>
          <w:szCs w:val="20"/>
          <w:color w:val="auto"/>
        </w:rPr>
      </w:pPr>
    </w:p>
    <w:p>
      <w:pPr>
        <w:jc w:val="both"/>
        <w:ind w:firstLine="263"/>
        <w:spacing w:after="0" w:line="248" w:lineRule="auto"/>
        <w:rPr>
          <w:sz w:val="20"/>
          <w:szCs w:val="20"/>
          <w:color w:val="auto"/>
        </w:rPr>
      </w:pPr>
      <w:r>
        <w:rPr>
          <w:rFonts w:ascii="Arial" w:cs="Arial" w:eastAsia="Arial" w:hAnsi="Arial"/>
          <w:sz w:val="15"/>
          <w:szCs w:val="15"/>
          <w:i w:val="1"/>
          <w:iCs w:val="1"/>
          <w:color w:val="auto"/>
        </w:rPr>
        <w:t>Unless the context otherwise requires, references in this Annual Report to the “Company,” “NFE,” “we,” “our,” “us” or like terms refer to New Fortress Energy Inc. and its subsidiaries. When used in a historical context, “our,” “us,” “we” or like terms refer to (i) prior to our conversion from a limited liability company to a corporation, New Fortress Energy LLC and its subsidiaries and (ii) following the conversion from a limited liability company to a corporation, New Fortress Energy Inc.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4" w:lineRule="exact"/>
        <w:rPr>
          <w:sz w:val="20"/>
          <w:szCs w:val="20"/>
          <w:color w:val="auto"/>
        </w:rPr>
      </w:pPr>
    </w:p>
    <w:p>
      <w:pPr>
        <w:jc w:val="both"/>
        <w:ind w:firstLine="263"/>
        <w:spacing w:after="0" w:line="301" w:lineRule="auto"/>
        <w:rPr>
          <w:sz w:val="20"/>
          <w:szCs w:val="20"/>
          <w:color w:val="auto"/>
        </w:rPr>
      </w:pPr>
      <w:r>
        <w:rPr>
          <w:rFonts w:ascii="Arial" w:cs="Arial" w:eastAsia="Arial" w:hAnsi="Arial"/>
          <w:sz w:val="13"/>
          <w:szCs w:val="13"/>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below under “Toward a Carbon-Free Future.”</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deliver targeted energy solutions by employing an integrated LNG supply and delivery model:</w:t>
      </w:r>
    </w:p>
    <w:p>
      <w:pPr>
        <w:spacing w:after="0" w:line="200"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i w:val="1"/>
          <w:iCs w:val="1"/>
          <w:color w:val="auto"/>
        </w:rPr>
        <w:t xml:space="preserve">LNG Supply and Liquefaction </w:t>
      </w:r>
      <w:r>
        <w:rPr>
          <w:rFonts w:ascii="Arial" w:cs="Arial" w:eastAsia="Arial" w:hAnsi="Arial"/>
          <w:sz w:val="15"/>
          <w:szCs w:val="15"/>
          <w:color w:val="auto"/>
        </w:rPr>
        <w:t>- We supply LNG to our customers, typically by entering into long-term LNG supply contracts, which are generally based on an index such as Henry Hub</w:t>
      </w:r>
      <w:r>
        <w:rPr>
          <w:rFonts w:ascii="Arial" w:cs="Arial" w:eastAsia="Arial" w:hAnsi="Arial"/>
          <w:sz w:val="15"/>
          <w:szCs w:val="15"/>
          <w:i w:val="1"/>
          <w:iCs w:val="1"/>
          <w:color w:val="auto"/>
        </w:rPr>
        <w:t xml:space="preserve"> </w:t>
      </w:r>
      <w:r>
        <w:rPr>
          <w:rFonts w:ascii="Arial" w:cs="Arial" w:eastAsia="Arial" w:hAnsi="Arial"/>
          <w:sz w:val="15"/>
          <w:szCs w:val="15"/>
          <w:color w:val="auto"/>
        </w:rPr>
        <w:t>plus an additional fee. We have successfully capitalized on current market conditions to secure long-term LNG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180"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i w:val="1"/>
          <w:iCs w:val="1"/>
          <w:color w:val="auto"/>
        </w:rPr>
        <w:t xml:space="preserve">Shipping </w:t>
      </w:r>
      <w:r>
        <w:rPr>
          <w:rFonts w:ascii="Arial" w:cs="Arial" w:eastAsia="Arial" w:hAnsi="Arial"/>
          <w:sz w:val="15"/>
          <w:szCs w:val="15"/>
          <w:color w:val="auto"/>
        </w:rPr>
        <w:t>- We have long-term charters for liquefied natural gas carriers (“LNGCs”) and floating storage and regasification units (“FSRUs”). These assets transport LNG from ports to our</w:t>
      </w:r>
      <w:r>
        <w:rPr>
          <w:rFonts w:ascii="Arial" w:cs="Arial" w:eastAsia="Arial" w:hAnsi="Arial"/>
          <w:sz w:val="15"/>
          <w:szCs w:val="15"/>
          <w:i w:val="1"/>
          <w:iCs w:val="1"/>
          <w:color w:val="auto"/>
        </w:rPr>
        <w:t xml:space="preserve"> </w:t>
      </w:r>
      <w:r>
        <w:rPr>
          <w:rFonts w:ascii="Arial" w:cs="Arial" w:eastAsia="Arial" w:hAnsi="Arial"/>
          <w:sz w:val="15"/>
          <w:szCs w:val="15"/>
          <w:color w:val="auto"/>
        </w:rPr>
        <w:t>downstream facilities and gasify LNG for ultimate delivery to our customers.</w:t>
      </w:r>
    </w:p>
    <w:p>
      <w:pPr>
        <w:spacing w:after="0" w:line="170"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i w:val="1"/>
          <w:iCs w:val="1"/>
          <w:color w:val="auto"/>
        </w:rPr>
        <w:t xml:space="preserve">Facilities </w:t>
      </w:r>
      <w:r>
        <w:rPr>
          <w:rFonts w:ascii="Arial" w:cs="Arial" w:eastAsia="Arial" w:hAnsi="Arial"/>
          <w:sz w:val="15"/>
          <w:szCs w:val="15"/>
          <w:color w:val="auto"/>
        </w:rPr>
        <w:t>- Through our network of current and planned downstream facilities and logistics assets, we are strategically positioned to deliver gas and power solutions to our customers</w:t>
      </w:r>
      <w:r>
        <w:rPr>
          <w:rFonts w:ascii="Arial" w:cs="Arial" w:eastAsia="Arial" w:hAnsi="Arial"/>
          <w:sz w:val="15"/>
          <w:szCs w:val="15"/>
          <w:i w:val="1"/>
          <w:iCs w:val="1"/>
          <w:color w:val="auto"/>
        </w:rPr>
        <w:t xml:space="preserve"> </w:t>
      </w:r>
      <w:r>
        <w:rPr>
          <w:rFonts w:ascii="Arial" w:cs="Arial" w:eastAsia="Arial" w:hAnsi="Arial"/>
          <w:sz w:val="15"/>
          <w:szCs w:val="15"/>
          <w:color w:val="auto"/>
        </w:rPr>
        <w:t>seeking either to transition from environmentally dirtier distillate fuels such as automotive diesel oil (“ADO”) and heavy fuel oil (“HFO”) or to purchase natural gas to meet their current fuel needs.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Model</w:t>
      </w:r>
    </w:p>
    <w:p>
      <w:pPr>
        <w:spacing w:after="0" w:line="204" w:lineRule="exact"/>
        <w:rPr>
          <w:sz w:val="20"/>
          <w:szCs w:val="20"/>
          <w:color w:val="auto"/>
        </w:rPr>
      </w:pPr>
    </w:p>
    <w:p>
      <w:pPr>
        <w:jc w:val="both"/>
        <w:ind w:firstLine="263"/>
        <w:spacing w:after="0" w:line="248" w:lineRule="auto"/>
        <w:rPr>
          <w:sz w:val="20"/>
          <w:szCs w:val="20"/>
          <w:color w:val="auto"/>
        </w:rPr>
      </w:pPr>
      <w:r>
        <w:rPr>
          <w:rFonts w:ascii="Arial" w:cs="Arial" w:eastAsia="Arial" w:hAnsi="Arial"/>
          <w:sz w:val="15"/>
          <w:szCs w:val="15"/>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w:t>
      </w:r>
    </w:p>
    <w:p>
      <w:pPr>
        <w:spacing w:after="0" w:line="183" w:lineRule="exact"/>
        <w:rPr>
          <w:sz w:val="20"/>
          <w:szCs w:val="20"/>
          <w:color w:val="auto"/>
        </w:rPr>
      </w:pPr>
    </w:p>
    <w:p>
      <w:pPr>
        <w:jc w:val="both"/>
        <w:ind w:firstLine="263"/>
        <w:spacing w:after="0" w:line="270" w:lineRule="auto"/>
        <w:rPr>
          <w:sz w:val="20"/>
          <w:szCs w:val="20"/>
          <w:color w:val="auto"/>
        </w:rPr>
      </w:pPr>
      <w:r>
        <w:rPr>
          <w:rFonts w:ascii="Arial" w:cs="Arial" w:eastAsia="Arial" w:hAnsi="Arial"/>
          <w:sz w:val="14"/>
          <w:szCs w:val="14"/>
          <w:color w:val="auto"/>
        </w:rPr>
        <w:t>We currently conduct our operations at our LNG storage and regasification facility at the Port of Montego Bay, Jamaica (the “Montego Bay Facility”), our marine LNG storage and regasification facility in Old Harbour, Jamaica (the “Old Harbour Facility” and, together with the Montego Bay Facility, the “Jamaica Facilities”), our landed micro-fuel handling facility in San Juan, Puerto Rico (the “San Juan Facility”) and at our Miami Facility. In addition, we are currently developing facilities in Mexico, Nicaragua and Ireland, as described below in more detail.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Facilities</w:t>
      </w:r>
    </w:p>
    <w:p>
      <w:pPr>
        <w:spacing w:after="0" w:line="204"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Downstream, we have six facilities operational or under active development. Our facilities position us to acquire and supply LNG to customers in a number of attractive markets around the world.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We look to build facilities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178"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We currently have three operational facilities and three under active development, as described below. We design and construct facilities to meet the supply and demand specifications of our current and potential future customers in the applicable region. Our facilities currently operating or under development are expected to be capable of receiving between 740,000 and 6 million gallons of LNG (61,000 and 500,000 MMBtu) per day depending upon the needs of our customers and potential demand in the region. Set forth below is additional detail regarding each such facility:</w:t>
      </w:r>
    </w:p>
    <w:p>
      <w:pPr>
        <w:spacing w:after="0" w:line="180" w:lineRule="exact"/>
        <w:rPr>
          <w:sz w:val="20"/>
          <w:szCs w:val="20"/>
          <w:color w:val="auto"/>
        </w:rPr>
      </w:pPr>
    </w:p>
    <w:p>
      <w:pPr>
        <w:jc w:val="both"/>
        <w:ind w:firstLine="263"/>
        <w:spacing w:after="0" w:line="267" w:lineRule="auto"/>
        <w:rPr>
          <w:sz w:val="20"/>
          <w:szCs w:val="20"/>
          <w:color w:val="auto"/>
        </w:rPr>
      </w:pPr>
      <w:r>
        <w:rPr>
          <w:rFonts w:ascii="Arial" w:cs="Arial" w:eastAsia="Arial" w:hAnsi="Arial"/>
          <w:sz w:val="14"/>
          <w:szCs w:val="14"/>
          <w:i w:val="1"/>
          <w:iCs w:val="1"/>
          <w:color w:val="auto"/>
        </w:rPr>
        <w:t xml:space="preserve">Montego Bay, Jamaica </w:t>
      </w:r>
      <w:r>
        <w:rPr>
          <w:rFonts w:ascii="Arial" w:cs="Arial" w:eastAsia="Arial" w:hAnsi="Arial"/>
          <w:sz w:val="14"/>
          <w:szCs w:val="14"/>
          <w:color w:val="auto"/>
        </w:rPr>
        <w:t>- Our Montego Bay Facility commenced commercial operations in October 2016. The Montego Bay Facility is capable of processing up to 740,000 gallons of LNG</w:t>
      </w:r>
      <w:r>
        <w:rPr>
          <w:rFonts w:ascii="Arial" w:cs="Arial" w:eastAsia="Arial" w:hAnsi="Arial"/>
          <w:sz w:val="14"/>
          <w:szCs w:val="14"/>
          <w:i w:val="1"/>
          <w:iCs w:val="1"/>
          <w:color w:val="auto"/>
        </w:rPr>
        <w:t xml:space="preserve"> </w:t>
      </w:r>
      <w:r>
        <w:rPr>
          <w:rFonts w:ascii="Arial" w:cs="Arial" w:eastAsia="Arial" w:hAnsi="Arial"/>
          <w:sz w:val="14"/>
          <w:szCs w:val="14"/>
          <w:color w:val="auto"/>
        </w:rPr>
        <w:t>(61,000 MMBtu) per day and features approximately 7,000 cubic meters of onsite storage. It supplies natural gas to the 145 MW power station operated by Jamaica Public Service Company Limited (“JPS”) pursuant to a long-term contract for natural gas equivalent to approximately 310,000 gallons of LNG (25,600 MMBtu) per day. The Montego Bay Facility also supplies numerous on-island industrial users with natural gas or LNG pursuant to numerous offtake contracts of various durations, some of which contain take-or-pay provisions. We have total aggregate contracted volumes of approximately 405,000 gallons of LNG (33,470 MMBtu) per day at our Montego Bay Facility with a weighted average remaining contract length of 15.3 years as of December 31, 2020. We have the ability to service other potential customers with the excess capacity of the Montego Bay Facility, and we are seeking to enter into long-term contracts with new customers for such purposes. We deliver LNG to the Montego Bay Facility via small LNGCs.</w:t>
      </w:r>
    </w:p>
    <w:p>
      <w:pPr>
        <w:spacing w:after="0" w:line="172" w:lineRule="exact"/>
        <w:rPr>
          <w:sz w:val="20"/>
          <w:szCs w:val="20"/>
          <w:color w:val="auto"/>
        </w:rPr>
      </w:pPr>
    </w:p>
    <w:p>
      <w:pPr>
        <w:jc w:val="both"/>
        <w:ind w:firstLine="263"/>
        <w:spacing w:after="0" w:line="266" w:lineRule="auto"/>
        <w:rPr>
          <w:sz w:val="20"/>
          <w:szCs w:val="20"/>
          <w:color w:val="auto"/>
        </w:rPr>
      </w:pPr>
      <w:r>
        <w:rPr>
          <w:rFonts w:ascii="Arial" w:cs="Arial" w:eastAsia="Arial" w:hAnsi="Arial"/>
          <w:sz w:val="14"/>
          <w:szCs w:val="14"/>
          <w:i w:val="1"/>
          <w:iCs w:val="1"/>
          <w:color w:val="auto"/>
        </w:rPr>
        <w:t xml:space="preserve">Old Harbour, Jamaica </w:t>
      </w:r>
      <w:r>
        <w:rPr>
          <w:rFonts w:ascii="Arial" w:cs="Arial" w:eastAsia="Arial" w:hAnsi="Arial"/>
          <w:sz w:val="14"/>
          <w:szCs w:val="14"/>
          <w:color w:val="auto"/>
        </w:rPr>
        <w:t>- Our Old Harbour Facility commenced commercial operations in June 2019. It is capable of processing approximately 6 million gallons of LNG (500,000 MMBtu)</w:t>
      </w:r>
      <w:r>
        <w:rPr>
          <w:rFonts w:ascii="Arial" w:cs="Arial" w:eastAsia="Arial" w:hAnsi="Arial"/>
          <w:sz w:val="14"/>
          <w:szCs w:val="14"/>
          <w:i w:val="1"/>
          <w:iCs w:val="1"/>
          <w:color w:val="auto"/>
        </w:rPr>
        <w:t xml:space="preserve"> </w:t>
      </w:r>
      <w:r>
        <w:rPr>
          <w:rFonts w:ascii="Arial" w:cs="Arial" w:eastAsia="Arial" w:hAnsi="Arial"/>
          <w:sz w:val="14"/>
          <w:szCs w:val="14"/>
          <w:color w:val="auto"/>
        </w:rPr>
        <w:t>per day. The Old Harbour Facility is supplying gas to a new 190 MW Old Harbour gas-fired power plant (the “Old Harbour Power Plant”) operated by South Jamaica Power Company Limited (“SJPC”) pursuant to a long-term contract for natural gas equivalent to approximately 380,000 gallons of LNG (31,400 MMBtu) per day. The Old Harbour Facility is also supplying gas to the dual-fired combined heat and power (“CHP”) facility in Clarendon, Jamaica (the “CHP Plant”) that we constructed and which commenced commercial operations on March 3, 2020. See “— Our Current Customers—Jamalco CHP Plant.” We have total aggregate contracted volumes of approximately 760,000 gallons of LNG (62,810 MMBtu) per day at our Old Harbour Facility with an average contract length of 18.7 years as of December 31, 2020. We have the ability to service other potential customers with the excess capacity of the Old Harbour Facility, and we are seeking to enter into long-term contracts with new customers for such purposes. The Old Harbour Facility is an offshore facility with storage and regasification equipment provided via FSRU. The offshore design eliminates the need for expensive storage tanks and permanent, onshore infrastructure.</w:t>
      </w:r>
    </w:p>
    <w:p>
      <w:pPr>
        <w:spacing w:after="0" w:line="173" w:lineRule="exact"/>
        <w:rPr>
          <w:sz w:val="20"/>
          <w:szCs w:val="20"/>
          <w:color w:val="auto"/>
        </w:rPr>
      </w:pPr>
    </w:p>
    <w:p>
      <w:pPr>
        <w:jc w:val="both"/>
        <w:ind w:firstLine="263"/>
        <w:spacing w:after="0" w:line="270" w:lineRule="auto"/>
        <w:rPr>
          <w:sz w:val="20"/>
          <w:szCs w:val="20"/>
          <w:color w:val="auto"/>
        </w:rPr>
      </w:pPr>
      <w:r>
        <w:rPr>
          <w:rFonts w:ascii="Arial" w:cs="Arial" w:eastAsia="Arial" w:hAnsi="Arial"/>
          <w:sz w:val="14"/>
          <w:szCs w:val="14"/>
          <w:i w:val="1"/>
          <w:iCs w:val="1"/>
          <w:color w:val="auto"/>
        </w:rPr>
        <w:t xml:space="preserve">San Juan, Puerto Rico </w:t>
      </w:r>
      <w:r>
        <w:rPr>
          <w:rFonts w:ascii="Arial" w:cs="Arial" w:eastAsia="Arial" w:hAnsi="Arial"/>
          <w:sz w:val="14"/>
          <w:szCs w:val="14"/>
          <w:color w:val="auto"/>
        </w:rPr>
        <w:t>– Our San Juan Facility became fully operational in the third quarter of 2020. It is designed as a landed micro-fuel handling facility located in the Port of San Juan,</w:t>
      </w:r>
      <w:r>
        <w:rPr>
          <w:rFonts w:ascii="Arial" w:cs="Arial" w:eastAsia="Arial" w:hAnsi="Arial"/>
          <w:sz w:val="14"/>
          <w:szCs w:val="14"/>
          <w:i w:val="1"/>
          <w:iCs w:val="1"/>
          <w:color w:val="auto"/>
        </w:rPr>
        <w:t xml:space="preserve"> </w:t>
      </w:r>
      <w:r>
        <w:rPr>
          <w:rFonts w:ascii="Arial" w:cs="Arial" w:eastAsia="Arial" w:hAnsi="Arial"/>
          <w:sz w:val="14"/>
          <w:szCs w:val="14"/>
          <w:color w:val="auto"/>
        </w:rPr>
        <w:t>Puerto Rico. We have leased the land under a long-term agreement. The San Juan Facility has multiple truck loading bays to provide LNG to on-island industrial users. In addition, it supplies natural gas to Units 5 and 6 of the San Juan Combined Cycle Power Plant (the “San Juan Power Plant”), which are owned and operated by the Puerto Rico Electric Power Authority, a public instrumentality of the government of Puerto Rico (“PREPA”). We converted Units 5 and 6, which together have a capacity of 440 MW, to use natural gas as fuel and expect to supply both Units 5 and 6 with approximately 26 TBtu of natural gas per year, which equals approximately 863,000 gallons of LNG (70,000 MMBtu) per day.</w:t>
      </w:r>
    </w:p>
    <w:p>
      <w:pPr>
        <w:spacing w:after="0" w:line="169" w:lineRule="exact"/>
        <w:rPr>
          <w:sz w:val="20"/>
          <w:szCs w:val="20"/>
          <w:color w:val="auto"/>
        </w:rPr>
      </w:pPr>
    </w:p>
    <w:p>
      <w:pPr>
        <w:jc w:val="both"/>
        <w:ind w:firstLine="263"/>
        <w:spacing w:after="0" w:line="266" w:lineRule="auto"/>
        <w:rPr>
          <w:sz w:val="20"/>
          <w:szCs w:val="20"/>
          <w:color w:val="auto"/>
        </w:rPr>
      </w:pPr>
      <w:r>
        <w:rPr>
          <w:rFonts w:ascii="Arial" w:cs="Arial" w:eastAsia="Arial" w:hAnsi="Arial"/>
          <w:sz w:val="14"/>
          <w:szCs w:val="14"/>
          <w:i w:val="1"/>
          <w:iCs w:val="1"/>
          <w:color w:val="auto"/>
        </w:rPr>
        <w:t xml:space="preserve">La Paz, Baja California Sur, Mexico </w:t>
      </w:r>
      <w:r>
        <w:rPr>
          <w:rFonts w:ascii="Arial" w:cs="Arial" w:eastAsia="Arial" w:hAnsi="Arial"/>
          <w:sz w:val="14"/>
          <w:szCs w:val="14"/>
          <w:color w:val="auto"/>
        </w:rPr>
        <w:t>- We were awarded a public tender to build, own and operate an LNG receiving facility (the “La Paz Facility”) on July 18, 2018. Our La Paz Facility is</w:t>
      </w:r>
      <w:r>
        <w:rPr>
          <w:rFonts w:ascii="Arial" w:cs="Arial" w:eastAsia="Arial" w:hAnsi="Arial"/>
          <w:sz w:val="14"/>
          <w:szCs w:val="14"/>
          <w:i w:val="1"/>
          <w:iCs w:val="1"/>
          <w:color w:val="auto"/>
        </w:rPr>
        <w:t xml:space="preserve"> </w:t>
      </w:r>
      <w:r>
        <w:rPr>
          <w:rFonts w:ascii="Arial" w:cs="Arial" w:eastAsia="Arial" w:hAnsi="Arial"/>
          <w:sz w:val="14"/>
          <w:szCs w:val="14"/>
          <w:color w:val="auto"/>
        </w:rPr>
        <w:t>currently under development and is expected to commence commercial operations in the second quarter of 2021. It is being designed as an LNG receiving facility located at the Port of Pichilingue in Baja California Sur, Mexico, where LNG will be delivered via ISO containers on an offshore supply vehicle from a mothership moored nearby. The La Paz Facility is expected to supply approximately 270,000 gallons of LNG (22,300 MMBtu) per day under an intercompany GSA for approximately 100 MW of power supplied by gas-fired modular power units that we plan to develop, own and operate, which may be increased to approximately 350,000 gallons of LNG (29,000 MMBtu) per day for up to 135 MW of power. In addition, we were declared the winner of a bid with CFEnergia for the supply of natural gas to power plants located at Punta Prieta and Coromuel for an estimated 250,000 gallons of LNG (20,700 MMBtu) per day and are in the process of finalizing definitive agreements for this supply. Similarly, we expect that we will use the La Paz Facility to facilitate the supply of approximately 200,000 gallons of LNG (16,500 MMBtu) per day to regional industrial users and hotels.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 w:name="page7"/>
    <w:bookmarkEnd w:id="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i w:val="1"/>
          <w:iCs w:val="1"/>
          <w:color w:val="auto"/>
        </w:rPr>
        <w:t xml:space="preserve">Puerto Sandino, Nicaragua </w:t>
      </w:r>
      <w:r>
        <w:rPr>
          <w:rFonts w:ascii="Arial" w:cs="Arial" w:eastAsia="Arial" w:hAnsi="Arial"/>
          <w:sz w:val="15"/>
          <w:szCs w:val="15"/>
          <w:color w:val="auto"/>
        </w:rPr>
        <w:t>- We have entered into a 25-year power purchase agreement with Nicaragua’s electricity distribution companies, and under the terms of such agreement we</w:t>
      </w:r>
      <w:r>
        <w:rPr>
          <w:rFonts w:ascii="Arial" w:cs="Arial" w:eastAsia="Arial" w:hAnsi="Arial"/>
          <w:sz w:val="15"/>
          <w:szCs w:val="15"/>
          <w:i w:val="1"/>
          <w:iCs w:val="1"/>
          <w:color w:val="auto"/>
        </w:rPr>
        <w:t xml:space="preserve"> </w:t>
      </w:r>
      <w:r>
        <w:rPr>
          <w:rFonts w:ascii="Arial" w:cs="Arial" w:eastAsia="Arial" w:hAnsi="Arial"/>
          <w:sz w:val="15"/>
          <w:szCs w:val="15"/>
          <w:color w:val="auto"/>
        </w:rPr>
        <w:t>expect to provide approximately 700,000 gallons of LNG (57,500 MMBtu) per day. We are designing and developing an offshore liquefied natural gas receiving and storage facility off the coast of Puerto Sandino, Nicaragua as well as an onshore regasification facility (the “Puerto Sandino Facility”). The Puerto Sandino Facility is expected to supply gas to a new approximately 300 MW natural gas-fired power plant (the “Nicaragua Power Plant”) that we will own and operate.</w:t>
      </w:r>
    </w:p>
    <w:p>
      <w:pPr>
        <w:spacing w:after="0" w:line="180" w:lineRule="exact"/>
        <w:rPr>
          <w:sz w:val="20"/>
          <w:szCs w:val="20"/>
          <w:color w:val="auto"/>
        </w:rPr>
      </w:pPr>
    </w:p>
    <w:p>
      <w:pPr>
        <w:jc w:val="both"/>
        <w:ind w:firstLine="263"/>
        <w:spacing w:after="0" w:line="296" w:lineRule="auto"/>
        <w:rPr>
          <w:sz w:val="20"/>
          <w:szCs w:val="20"/>
          <w:color w:val="auto"/>
        </w:rPr>
      </w:pPr>
      <w:r>
        <w:rPr>
          <w:rFonts w:ascii="Arial" w:cs="Arial" w:eastAsia="Arial" w:hAnsi="Arial"/>
          <w:sz w:val="13"/>
          <w:szCs w:val="13"/>
          <w:i w:val="1"/>
          <w:iCs w:val="1"/>
          <w:color w:val="auto"/>
        </w:rPr>
        <w:t xml:space="preserve">Shannon, Ireland </w:t>
      </w:r>
      <w:r>
        <w:rPr>
          <w:rFonts w:ascii="Arial" w:cs="Arial" w:eastAsia="Arial" w:hAnsi="Arial"/>
          <w:sz w:val="13"/>
          <w:szCs w:val="13"/>
          <w:color w:val="auto"/>
        </w:rPr>
        <w:t>- We have entered into an agreement to purchase all of the ownership interests in a project company that owns the rights to develop and operate an LNG facility and a</w:t>
      </w:r>
      <w:r>
        <w:rPr>
          <w:rFonts w:ascii="Arial" w:cs="Arial" w:eastAsia="Arial" w:hAnsi="Arial"/>
          <w:sz w:val="13"/>
          <w:szCs w:val="13"/>
          <w:i w:val="1"/>
          <w:iCs w:val="1"/>
          <w:color w:val="auto"/>
        </w:rPr>
        <w:t xml:space="preserve"> </w:t>
      </w:r>
      <w:r>
        <w:rPr>
          <w:rFonts w:ascii="Arial" w:cs="Arial" w:eastAsia="Arial" w:hAnsi="Arial"/>
          <w:sz w:val="13"/>
          <w:szCs w:val="13"/>
          <w:color w:val="auto"/>
        </w:rPr>
        <w:t>CHP plant on the Shannon Estuary near Ballylongford, Ireland. We intend for this facility to include a storage facility with onshore regasification equipment and pipeline connection into the distribution system of Gas Networks Ireland, Ireland’s national gas network (the “Ireland Facility” and, together with the Jamaica Facilities, the San Juan Facility, the La Paz Facility and the Puerto Sandino Facility, our “Facilities”). We are in the process of obtaining final planning permission from the Commission for Regulation of Utilities in Ireland and we intend to begin construction of the Ireland Facility after we have obtained such permission and secured contracts with downstream customers with volumes sufficient to support the development.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LNG Supply Contracts and Liquefaction Assets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LNG Supply Contracts</w:t>
      </w:r>
    </w:p>
    <w:p>
      <w:pPr>
        <w:spacing w:after="0" w:line="200"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In December 2018, the Company entered into a contract with Centrica LNG Company Limited (“Centrica”) for the purchase of 29 firm cargoes of 1.1 billion gallons of LNG (86.7 million MMBtu) scheduled for delivery between June 2019 and December 2021. In June 2020, we terminated our obligation to purchase any additional LNG cargoes for the remainder of 2020 in exchange for a one-time payment of $105 million, which has enabled us to purchase LNG in the open market at prices that are significantly lower than the price we were obligated to pay to Centrica to purchase LNG in 2020.</w:t>
      </w:r>
    </w:p>
    <w:p>
      <w:pPr>
        <w:spacing w:after="0" w:line="180"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In 2020, the Company entered into four supply agreements for the purchase of approximately 415 TBtu of LNG between 2021 and 2030. Between 2022 and 2025, the total annual commitment under these agreements is approximately 68 TBtu per year, reducing to approximately 28 TBtu per year from 2026 to 2029.</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Liquefaction Assets</w:t>
      </w:r>
    </w:p>
    <w:p>
      <w:pPr>
        <w:spacing w:after="0" w:line="200" w:lineRule="exact"/>
        <w:rPr>
          <w:sz w:val="20"/>
          <w:szCs w:val="20"/>
          <w:color w:val="auto"/>
        </w:rPr>
      </w:pPr>
    </w:p>
    <w:p>
      <w:pPr>
        <w:jc w:val="both"/>
        <w:ind w:firstLine="263"/>
        <w:spacing w:after="0" w:line="301" w:lineRule="auto"/>
        <w:rPr>
          <w:sz w:val="20"/>
          <w:szCs w:val="20"/>
          <w:color w:val="auto"/>
        </w:rPr>
      </w:pPr>
      <w:r>
        <w:rPr>
          <w:rFonts w:ascii="Arial" w:cs="Arial" w:eastAsia="Arial" w:hAnsi="Arial"/>
          <w:sz w:val="13"/>
          <w:szCs w:val="13"/>
          <w:color w:val="auto"/>
        </w:rPr>
        <w:t>We constructed the Miami Facility, which commenced full commercial operations in 2016, in under 12 months at a cost to build of approximately $70 million. The Miami Facility has one liquefaction train, with liquefaction production capacity of approximately 100,000 gallons of LNG (8,300 MMBtu) per day and was 97.5% dispatchable during 2020. The Miami Facility also has three LNG storage tanks, with total capacity of approximately 1,000 cubic meters. The Miami Facility also includes two separate LNG transfer areas capable of serving both truck and rail. For the fiscal year ended December 31, 2020, we delivered approximately 35,000 gallons of LNG (2,900 MMBtu) per day from the Miami Facility pursuant to long-term, take-or-pay contracts.</w:t>
      </w:r>
    </w:p>
    <w:p>
      <w:pPr>
        <w:spacing w:after="0" w:line="149"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We are currently evaluating the timing of the development of a natural gas liquefaction plant on land we have purchased in the Marcellus area of Pennsylvania (the “Pennsylvania Facility”, and together with the Miami Facility, the “Liquefaction Facilities”). In December 2019, PHMSA granted a special permit to one of our subsidiaries to ship LNG by rail, which would allow us to transport the LNG produced by the Pennsylvania Facility to a port for transloading onto marine vessels.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Current Customers</w:t>
      </w:r>
    </w:p>
    <w:p>
      <w:pPr>
        <w:spacing w:after="0" w:line="204"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180"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70"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A limited number of customers currently represent a large percentage of our income. For the twelve months ended December 31, 2020, revenue from three significant customers constituted 88% of total revenues.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40" w:firstLine="263"/>
        <w:spacing w:after="0" w:line="296" w:lineRule="auto"/>
        <w:rPr>
          <w:sz w:val="20"/>
          <w:szCs w:val="20"/>
          <w:color w:val="auto"/>
        </w:rPr>
      </w:pPr>
      <w:r>
        <w:rPr>
          <w:rFonts w:ascii="Arial" w:cs="Arial" w:eastAsia="Arial" w:hAnsi="Arial"/>
          <w:sz w:val="13"/>
          <w:szCs w:val="13"/>
          <w:color w:val="auto"/>
        </w:rPr>
        <w:t>We have several contracts with government affiliated entities in Jamaica, including contracts with JPS and SJPC (as defined below and collectively, the “Jamaica GSAs”) and with a governmental instrumentality in Puerto Rico, PREPA. The Jamaica GSAs represent approximately 50% of Jamaica’s installed power capacity and sales of approximately 955,000 gallons of LNG (79,000 MMBtu) per day at full commercial operations. The Jamaica GSAs have remaining terms of approximately 18.3 years, with mutual options to extend, subject to certain conditions. The aggregate minimum quantities we are required to deliver, and our counterparties are required to purchase, under the Jamaica GSAs initially, total approximately 56,200 MMBtu per day. Additionally, we have a Fuel Sale and Purchase Agreement with PREPA under which we expect PREPA to purchase 863,000 gallons of LNG (70,000 MMBtu) per day.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Bogue Power Plant</w:t>
      </w:r>
    </w:p>
    <w:p>
      <w:pPr>
        <w:spacing w:after="0" w:line="200" w:lineRule="exact"/>
        <w:rPr>
          <w:sz w:val="20"/>
          <w:szCs w:val="20"/>
          <w:color w:val="auto"/>
        </w:rPr>
      </w:pPr>
    </w:p>
    <w:p>
      <w:pPr>
        <w:ind w:right="280" w:firstLine="263"/>
        <w:spacing w:after="0" w:line="263" w:lineRule="auto"/>
        <w:rPr>
          <w:sz w:val="20"/>
          <w:szCs w:val="20"/>
          <w:color w:val="auto"/>
        </w:rPr>
      </w:pPr>
      <w:r>
        <w:rPr>
          <w:rFonts w:ascii="Arial" w:cs="Arial" w:eastAsia="Arial" w:hAnsi="Arial"/>
          <w:sz w:val="15"/>
          <w:szCs w:val="15"/>
          <w:color w:val="auto"/>
        </w:rPr>
        <w:t>We have executed a 22-year agreement to supply JPS’s 145 MW Bogue power plant (the “Bogue Power Plant”) in Montego Bay, Jamaica with natural gas. The Bogue Power Plant has been converted to run on natural gas as well as ADO as backup fuel.</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Old Harbour Power Plant</w:t>
      </w:r>
    </w:p>
    <w:p>
      <w:pPr>
        <w:spacing w:after="0" w:line="200" w:lineRule="exact"/>
        <w:rPr>
          <w:sz w:val="20"/>
          <w:szCs w:val="20"/>
          <w:color w:val="auto"/>
        </w:rPr>
      </w:pPr>
    </w:p>
    <w:p>
      <w:pPr>
        <w:ind w:right="160" w:firstLine="263"/>
        <w:spacing w:after="0" w:line="263" w:lineRule="auto"/>
        <w:rPr>
          <w:sz w:val="20"/>
          <w:szCs w:val="20"/>
          <w:color w:val="auto"/>
        </w:rPr>
      </w:pPr>
      <w:r>
        <w:rPr>
          <w:rFonts w:ascii="Arial" w:cs="Arial" w:eastAsia="Arial" w:hAnsi="Arial"/>
          <w:sz w:val="15"/>
          <w:szCs w:val="15"/>
          <w:color w:val="auto"/>
        </w:rPr>
        <w:t>We have executed an agreement to supply SJPC’s Old Harbour Power Plant in Old Harbour, Jamaica with natural gas and back-up ADO for 20 years. The Old Harbour Power Plant is an approximately 190 MW capacity dual fuel plant owned by SJPC.</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Jamalco CHP Plant</w:t>
      </w:r>
    </w:p>
    <w:p>
      <w:pPr>
        <w:spacing w:after="0" w:line="200"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We have executed a suite of agreements, including a 20-year SSA to supply a joint venture between General Alumina Jamaica (“GAJ”), a subsidiary of Noble Group, and Clarendon Alumina Production Limited, an entity owned by the Government of Jamaica, with a focus on bauxite mining and alumina production in Jamaica (“Jamalco”) with steam for use in its alumina refinery operations and a 20-year PPA to supply electricity to JPS. The CHP Plant is a 150 MW capacity combined heat and power plant and is fueled by natural gas with the ability to run on ADO as a backup fuel source.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PREPA San Juan Power Plant</w:t>
      </w:r>
    </w:p>
    <w:p>
      <w:pPr>
        <w:spacing w:after="0" w:line="200"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On March 5, 2019, we entered into an agreement with PREPA, under which we converted Units 5 and 6 of the San Juan Power Plant to use natural gas, which together have a capacity of 440 MW, and we are supplying natural gas fuel to Units 5 and 6. The natural gas supply agreement has an initial natural gas supply term of 5 years from the beginning of commercial operations of the Units on natural gas and has three separate 5-year extensions that are exercisable at PREPA’s option. We have supplied natural gas for the commissioning of Units 5 and 6 since April 2020.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Nicaragua Power Plant</w:t>
      </w:r>
    </w:p>
    <w:p>
      <w:pPr>
        <w:spacing w:after="0" w:line="200"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On February 13, 2020, we entered into a 25-year power purchase agreement to supply electricity to Nicaragua’s electricity distribution companies, and we are in the process of constructing a natural gas-fired power plant with a capacity of approximately 300 MW.</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Industrial End-User Sales</w:t>
      </w:r>
    </w:p>
    <w:p>
      <w:pPr>
        <w:spacing w:after="0" w:line="200"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We have entered into multiple long-term contracts to sell LNG directly to industrial end-users in Jamaica, Puerto Rico and Mexico. To fulfill the requirements of our end-user customers, we transport LNG through our Facilities (either from our Liquefaction Facilities in the United States or from third parties in market purchases) and deliver such LNG directly to customers’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 Hygo and GMLP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Hygo Acquisition</w:t>
      </w:r>
    </w:p>
    <w:p>
      <w:pPr>
        <w:spacing w:after="0" w:line="200" w:lineRule="exact"/>
        <w:rPr>
          <w:sz w:val="20"/>
          <w:szCs w:val="20"/>
          <w:color w:val="auto"/>
        </w:rPr>
      </w:pPr>
    </w:p>
    <w:p>
      <w:pPr>
        <w:jc w:val="both"/>
        <w:ind w:firstLine="263"/>
        <w:spacing w:after="0" w:line="266" w:lineRule="auto"/>
        <w:rPr>
          <w:sz w:val="20"/>
          <w:szCs w:val="20"/>
          <w:color w:val="auto"/>
        </w:rPr>
      </w:pPr>
      <w:r>
        <w:rPr>
          <w:rFonts w:ascii="Arial" w:cs="Arial" w:eastAsia="Arial" w:hAnsi="Arial"/>
          <w:sz w:val="14"/>
          <w:szCs w:val="14"/>
          <w:color w:val="auto"/>
        </w:rPr>
        <w:t>On January 13, 2021, we and Lobos Acquisition Ltd., a Bermuda exempted company and our wholly-owned subsidiary (“Hygo Merger Sub”), entered into an Agreement and Plan of Merger (as it may be amended, supplemented or otherwise modified from time to time, the “Hygo Merger Agreement”) with Hygo Energy Transition Ltd., a Bermuda exempted company (“Hygo”), Golar LNG Limited, a Bermuda exempted company (“GLNG”) and Stonepeak Infrastructure Fund II Cayman (G) Ltd. (“Stonepeak”), pursuant to which, on the terms and subject to conditions set forth in the Hygo Merger Agreement, Hygo Merger Sub will be merged with and into Hygo (the “Hygo Merger”), whereupon the separate corporate existence of Hygo Merger Sub shall cease and Hygo shall continue as the surviving company in the Hygo Merger. As of the date of the Hygo Merger Agreement, each of GLNG and Stonepeak owned 50% of the outstanding common shares, par value $1.00 per share, of Hygo, and Stonepeak owned all of Hygo’s outstanding redeemable preferred shares, par value $5.00 per share. At the effective time of the Hygo Merger: (i) GLNG will receive 18.6 million shares of NFE Class A common stock and an aggregate of $50 million in cash and (ii) Stonepeak will receive 12.7 million shares of NFE Class A common stock and an aggregate of $530 million in cash. The Hygo Merger Agreement may be terminated by NFE or Hygo under certain circumstances, including, among others, by either NFE or Hygo if the closing of the Hygo Merger has not occurred on or before July 12, 2021.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8" w:name="page9"/>
    <w:bookmarkEnd w:id="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Hygo Merger is expected to close in the first half of 2021, subject to receipt of applicable regulatory approvals and other customary closing conditions.</w:t>
      </w:r>
    </w:p>
    <w:p>
      <w:pPr>
        <w:spacing w:after="0" w:line="200" w:lineRule="exact"/>
        <w:rPr>
          <w:sz w:val="20"/>
          <w:szCs w:val="20"/>
          <w:color w:val="auto"/>
        </w:rPr>
      </w:pPr>
    </w:p>
    <w:p>
      <w:pPr>
        <w:jc w:val="both"/>
        <w:ind w:firstLine="263"/>
        <w:spacing w:after="0" w:line="301" w:lineRule="auto"/>
        <w:rPr>
          <w:sz w:val="20"/>
          <w:szCs w:val="20"/>
          <w:color w:val="auto"/>
        </w:rPr>
      </w:pPr>
      <w:r>
        <w:rPr>
          <w:rFonts w:ascii="Arial" w:cs="Arial" w:eastAsia="Arial" w:hAnsi="Arial"/>
          <w:sz w:val="13"/>
          <w:szCs w:val="13"/>
          <w:color w:val="auto"/>
        </w:rPr>
        <w:t xml:space="preserve">Upon completion of the acquisition of Hygo, we expect to acquire Hygo’s network of existing and development stage marine LNG import facilities, its ownership of interests in existing and development stage large-scale power plants backed by high quality offtakers, and the downstream distribution of LNG from its terminals via marine and onshore logistics to major demand centers in Brazil, each as described in more detail below. In addition, we expect to acquire Hygo’s vessel fleet, which consists of the </w:t>
      </w:r>
      <w:r>
        <w:rPr>
          <w:rFonts w:ascii="Arial" w:cs="Arial" w:eastAsia="Arial" w:hAnsi="Arial"/>
          <w:sz w:val="13"/>
          <w:szCs w:val="13"/>
          <w:i w:val="1"/>
          <w:iCs w:val="1"/>
          <w:color w:val="auto"/>
        </w:rPr>
        <w:t>Golar Nanook</w:t>
      </w:r>
      <w:r>
        <w:rPr>
          <w:rFonts w:ascii="Arial" w:cs="Arial" w:eastAsia="Arial" w:hAnsi="Arial"/>
          <w:sz w:val="13"/>
          <w:szCs w:val="13"/>
          <w:color w:val="auto"/>
        </w:rPr>
        <w:t xml:space="preserve">, a newbuild FSRU moored and in service at the Sergipe Facility (as defined herein), and two operating LNG carriers, the </w:t>
      </w:r>
      <w:r>
        <w:rPr>
          <w:rFonts w:ascii="Arial" w:cs="Arial" w:eastAsia="Arial" w:hAnsi="Arial"/>
          <w:sz w:val="13"/>
          <w:szCs w:val="13"/>
          <w:i w:val="1"/>
          <w:iCs w:val="1"/>
          <w:color w:val="auto"/>
        </w:rPr>
        <w:t>Golar Celsius</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Golar Penguin</w:t>
      </w:r>
      <w:r>
        <w:rPr>
          <w:rFonts w:ascii="Arial" w:cs="Arial" w:eastAsia="Arial" w:hAnsi="Arial"/>
          <w:sz w:val="13"/>
          <w:szCs w:val="13"/>
          <w:color w:val="auto"/>
        </w:rPr>
        <w:t>, which may be converted into FSRUs.</w:t>
      </w:r>
    </w:p>
    <w:p>
      <w:pPr>
        <w:spacing w:after="0" w:line="149"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3"/>
          <w:szCs w:val="13"/>
          <w:i w:val="1"/>
          <w:iCs w:val="1"/>
          <w:color w:val="auto"/>
        </w:rPr>
        <w:t>Sergipe Facility and Sergipe Power Plant</w:t>
      </w:r>
      <w:r>
        <w:rPr>
          <w:rFonts w:ascii="Arial" w:cs="Arial" w:eastAsia="Arial" w:hAnsi="Arial"/>
          <w:sz w:val="13"/>
          <w:szCs w:val="13"/>
          <w:color w:val="auto"/>
        </w:rPr>
        <w:t>. Hygo’s facility located near Aracaju, the state capital of Sergipe, Brazil (the “Sergipe Facility”), commenced commercial operations in March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2020 and is a key component in Brazil’s first private-sector LNG-to-power project. The Sergipe Facility is operated by Centrais Elétricas de Sergipe S.A. (“CELSE”), an entity wholly owned by Centrais Elétricas de Sergipe Participações S.A. (“CELSEPAR”), a 50/50 joint venture between Hygo and Ebrasil Energia Ltda. (“Ebrasil”), an affiliate of Eletricidade do Brasil S.A., one of the largest independent private thermoelectric energy generators in the north and northeast regions of Brazil. The facility’s assets consist of (i) Hygo’s FSRU, the </w:t>
      </w:r>
      <w:r>
        <w:rPr>
          <w:rFonts w:ascii="Arial" w:cs="Arial" w:eastAsia="Arial" w:hAnsi="Arial"/>
          <w:sz w:val="13"/>
          <w:szCs w:val="13"/>
          <w:i w:val="1"/>
          <w:iCs w:val="1"/>
          <w:color w:val="auto"/>
        </w:rPr>
        <w:t>Golar Nanook</w:t>
      </w:r>
      <w:r>
        <w:rPr>
          <w:rFonts w:ascii="Arial" w:cs="Arial" w:eastAsia="Arial" w:hAnsi="Arial"/>
          <w:sz w:val="13"/>
          <w:szCs w:val="13"/>
          <w:color w:val="auto"/>
        </w:rPr>
        <w:t>, which is under a 25-year bareboat charter with CELSE (the “Sergipe FSRU Charter”), (ii) specialized mooring infrastructure and (iii) a dedicated 8 kilometer pipeline which connects to the adjacent Sergipe Power Plant. The Sergipe Facility is capable of processing up to 790,000 MMBtu/d and storing up to 170,000 cubic meters of LNG. The terminal is expected to utilize approximately 230,000 MMBtu/d (30% of the terminal’s maximum regasification capacity) to provide natural gas to the Sergipe Power Plant at full dispatch.</w:t>
      </w:r>
    </w:p>
    <w:p>
      <w:pPr>
        <w:spacing w:after="0" w:line="157" w:lineRule="exact"/>
        <w:rPr>
          <w:sz w:val="20"/>
          <w:szCs w:val="20"/>
          <w:color w:val="auto"/>
        </w:rPr>
      </w:pPr>
    </w:p>
    <w:p>
      <w:pPr>
        <w:jc w:val="both"/>
        <w:ind w:firstLine="263"/>
        <w:spacing w:after="0" w:line="247" w:lineRule="auto"/>
        <w:rPr>
          <w:sz w:val="20"/>
          <w:szCs w:val="20"/>
          <w:color w:val="auto"/>
        </w:rPr>
      </w:pPr>
      <w:r>
        <w:rPr>
          <w:rFonts w:ascii="Arial" w:cs="Arial" w:eastAsia="Arial" w:hAnsi="Arial"/>
          <w:sz w:val="15"/>
          <w:szCs w:val="15"/>
          <w:color w:val="auto"/>
        </w:rPr>
        <w:t>The Sergipe Power Plant, a 1.5 GW combined cycle power plant (the “Sergipe Power Plant”), receives natural gas from the Sergipe Facility through a dedicated 8 kilometer pipeline. Owned by CELSE, the Sergipe Power Plant is the largest natural gas-fired thermal power station in South America and was built to provide electricity on demand throughout the region, particularly during dry seasons when hydropower is unable to meet the growing demand for electricity in the region. Following its bid award in a government power auction in April 2015, CELSE has executed multiple PPAs pursuant to which the Sergipe Power Plant is delivering power to 26 committed offtakers, including investment grade counterparties, for a period of 25 years. Hygo anticipates generating incremental earnings through selling merchant power from the Sergipe Power Plant. The sales would be made through CELSE. Hygo can choose to produce merchant power at the Sergipe Power Plant in any period in which power is not being produced pursuant to the PPAs, and sell the power into the electricity grid at spot prices, subject to local regulatory approval.</w:t>
      </w:r>
    </w:p>
    <w:p>
      <w:pPr>
        <w:spacing w:after="0" w:line="183" w:lineRule="exact"/>
        <w:rPr>
          <w:sz w:val="20"/>
          <w:szCs w:val="20"/>
          <w:color w:val="auto"/>
        </w:rPr>
      </w:pPr>
    </w:p>
    <w:p>
      <w:pPr>
        <w:jc w:val="both"/>
        <w:ind w:firstLine="263"/>
        <w:spacing w:after="0" w:line="274" w:lineRule="auto"/>
        <w:rPr>
          <w:sz w:val="20"/>
          <w:szCs w:val="20"/>
          <w:color w:val="auto"/>
        </w:rPr>
      </w:pPr>
      <w:r>
        <w:rPr>
          <w:rFonts w:ascii="Arial" w:cs="Arial" w:eastAsia="Arial" w:hAnsi="Arial"/>
          <w:sz w:val="14"/>
          <w:szCs w:val="14"/>
          <w:color w:val="auto"/>
        </w:rPr>
        <w:t>Hygo also owns 37.5% of Centrais Elétricas Barra dos Coqueiros S.A. (“CEBARRA”), a joint venture with Ebrasil, which owns expansion rights with respect to the Sergipe Power Plant. These rights include 179 acres of land and regulatory permits for up to 3.2 GW of power generation, including the capacity of the Sergipe Power Plant. CEBARRA has obtained all permits and other rights necessary to participate in future government power auctions. Hygo recently entered into a purchase agreement pursuant to which it will indirectly acquire an additional 37.5% interest in CEBARRA; such acquisition is subject to customary closing conditions including receipt of certain regulatory approvals.</w:t>
      </w:r>
    </w:p>
    <w:p>
      <w:pPr>
        <w:spacing w:after="0" w:line="164" w:lineRule="exact"/>
        <w:rPr>
          <w:sz w:val="20"/>
          <w:szCs w:val="20"/>
          <w:color w:val="auto"/>
        </w:rPr>
      </w:pPr>
    </w:p>
    <w:p>
      <w:pPr>
        <w:jc w:val="both"/>
        <w:ind w:firstLine="263"/>
        <w:spacing w:after="0" w:line="293" w:lineRule="auto"/>
        <w:rPr>
          <w:sz w:val="20"/>
          <w:szCs w:val="20"/>
          <w:color w:val="auto"/>
        </w:rPr>
      </w:pPr>
      <w:r>
        <w:rPr>
          <w:rFonts w:ascii="Arial" w:cs="Arial" w:eastAsia="Arial" w:hAnsi="Arial"/>
          <w:sz w:val="13"/>
          <w:szCs w:val="13"/>
          <w:i w:val="1"/>
          <w:iCs w:val="1"/>
          <w:color w:val="auto"/>
        </w:rPr>
        <w:t xml:space="preserve">Barcarena Facility and Barcarena Power Plant. </w:t>
      </w:r>
      <w:r>
        <w:rPr>
          <w:rFonts w:ascii="Arial" w:cs="Arial" w:eastAsia="Arial" w:hAnsi="Arial"/>
          <w:sz w:val="13"/>
          <w:szCs w:val="13"/>
          <w:color w:val="auto"/>
        </w:rPr>
        <w:t>Hygo is developing a facility in the State of Pará, Brazil (the “Barcarena Facility”). Hygo anticipates that the Barcarena Facility will be</w:t>
      </w:r>
      <w:r>
        <w:rPr>
          <w:rFonts w:ascii="Arial" w:cs="Arial" w:eastAsia="Arial" w:hAnsi="Arial"/>
          <w:sz w:val="13"/>
          <w:szCs w:val="13"/>
          <w:i w:val="1"/>
          <w:iCs w:val="1"/>
          <w:color w:val="auto"/>
        </w:rPr>
        <w:t xml:space="preserve"> </w:t>
      </w:r>
      <w:r>
        <w:rPr>
          <w:rFonts w:ascii="Arial" w:cs="Arial" w:eastAsia="Arial" w:hAnsi="Arial"/>
          <w:sz w:val="13"/>
          <w:szCs w:val="13"/>
          <w:color w:val="auto"/>
        </w:rPr>
        <w:t>anchored by several large-scale industrial and power customer contracts, including a contract with Centrais Elétricas Barcarena S.A. (“CELBA”), a 50/50 joint venture between Hygo and Evolution Power Partners S.A. (“Evolution”). Hygo recently entered into a purchase agreement pursuant to which it will purchase the remaining 50% interest in CELBA from Evolution; such acquisition is subject to customary closing conditions, including receipt of certain regulatory approvals. The Barcarena Facility will consist of an FSRU and associated infrastructure, including mooring and offshore and onshore pipelines. The Barcarena Facility will be capable of processing up to 790,000 MMBtu/d and storing up to 170,000 cubic meters of LNG. The Barcarena Facility is expected to utilize approximately 92,000 MMBtu/d (12% of the facility’s maximum regasification capacity) to service the Barcarena Power Plant upon commencement of operations.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firstLine="263"/>
        <w:spacing w:after="0" w:line="301" w:lineRule="auto"/>
        <w:rPr>
          <w:sz w:val="20"/>
          <w:szCs w:val="20"/>
          <w:color w:val="auto"/>
        </w:rPr>
      </w:pPr>
      <w:r>
        <w:rPr>
          <w:rFonts w:ascii="Arial" w:cs="Arial" w:eastAsia="Arial" w:hAnsi="Arial"/>
          <w:sz w:val="13"/>
          <w:szCs w:val="13"/>
          <w:color w:val="auto"/>
        </w:rPr>
        <w:t>In October 2019, CELBA 2, Hygo’s joint venture with CELBA, Brazilian Energy Participações S.A. and OAK Participações Ltda. was awarded multiple 25-year PPAs to support the construction of a 605 MW combined cycle thermal power plant to be located in Pará, Brazil and to be supplied by the Barcarena Facility (the “Barcarena Power Plant”). The Barcarena Power Plant will utilize LNG sourced and processed at the Barcarena Facility for the generation of electricity which will be distributed to the national electricity grid. The power project is scheduled to deliver power to nine committed offtakers for 25 years beginning in 2025 in accordance with the PPA contracts awarded by the Brazilian government in October 2019.</w:t>
      </w:r>
    </w:p>
    <w:p>
      <w:pPr>
        <w:spacing w:after="0" w:line="149" w:lineRule="exact"/>
        <w:rPr>
          <w:sz w:val="20"/>
          <w:szCs w:val="20"/>
          <w:color w:val="auto"/>
        </w:rPr>
      </w:pPr>
    </w:p>
    <w:p>
      <w:pPr>
        <w:jc w:val="both"/>
        <w:ind w:firstLine="263"/>
        <w:spacing w:after="0" w:line="274" w:lineRule="auto"/>
        <w:rPr>
          <w:sz w:val="20"/>
          <w:szCs w:val="20"/>
          <w:color w:val="auto"/>
        </w:rPr>
      </w:pPr>
      <w:r>
        <w:rPr>
          <w:rFonts w:ascii="Arial" w:cs="Arial" w:eastAsia="Arial" w:hAnsi="Arial"/>
          <w:sz w:val="14"/>
          <w:szCs w:val="14"/>
          <w:i w:val="1"/>
          <w:iCs w:val="1"/>
          <w:color w:val="auto"/>
        </w:rPr>
        <w:t>Santa Catarina Facility and Pipeline</w:t>
      </w:r>
      <w:r>
        <w:rPr>
          <w:rFonts w:ascii="Arial" w:cs="Arial" w:eastAsia="Arial" w:hAnsi="Arial"/>
          <w:sz w:val="14"/>
          <w:szCs w:val="14"/>
          <w:color w:val="auto"/>
        </w:rPr>
        <w:t>. Hygo is finalizing the process of securing key regulatory and environmental licenses to develop a facility on the southern coast of Brazil, near Santa</w:t>
      </w:r>
      <w:r>
        <w:rPr>
          <w:rFonts w:ascii="Arial" w:cs="Arial" w:eastAsia="Arial" w:hAnsi="Arial"/>
          <w:sz w:val="14"/>
          <w:szCs w:val="14"/>
          <w:i w:val="1"/>
          <w:iCs w:val="1"/>
          <w:color w:val="auto"/>
        </w:rPr>
        <w:t xml:space="preserve"> </w:t>
      </w:r>
      <w:r>
        <w:rPr>
          <w:rFonts w:ascii="Arial" w:cs="Arial" w:eastAsia="Arial" w:hAnsi="Arial"/>
          <w:sz w:val="14"/>
          <w:szCs w:val="14"/>
          <w:color w:val="auto"/>
        </w:rPr>
        <w:t>Catarina (the “Santa Catarina Facility”) that is intended to consist of an FSRU with a processing capacity of approximately 790,000 MMBtu/d and LNG storage capacity of up to 170,000 cubic meters. In addition to the Santa Catarina Facility, Hygo is developing a 31 kilometer, 20 inch pipeline that will connect the Facility to the existing inland Transportadora Brasiliera Boliva (“TBG”) pipeline via an interconnection point in Garuva. The Santa Catarina Facility and associated pipeline is subject to final investment decision.</w:t>
      </w:r>
    </w:p>
    <w:p>
      <w:pPr>
        <w:spacing w:after="0" w:line="164"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i w:val="1"/>
          <w:iCs w:val="1"/>
          <w:color w:val="auto"/>
        </w:rPr>
        <w:t>Partnership with BR Distribuidora</w:t>
      </w:r>
      <w:r>
        <w:rPr>
          <w:rFonts w:ascii="Arial" w:cs="Arial" w:eastAsia="Arial" w:hAnsi="Arial"/>
          <w:sz w:val="15"/>
          <w:szCs w:val="15"/>
          <w:color w:val="auto"/>
        </w:rPr>
        <w:t>. During the first quarter of 2020, Hygo entered into a strategic partnership with Petrobras Distribuidora S.A. (“BR Distribuidora”), Brazil’s leading fuel</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company, to serve as its exclusive provider of LNG for use in Brazil’s transportation and industrial sectors. Using BR Distribuidora’s 94 distribution centers and 7,600+ fuel stations across Brazil, Hygo expects to leverage its existing infrastructure and LNG supply chain expertise to increase the accessibility of LNG to downstream end-users using a combination of marine and onshore solutions.</w:t>
      </w:r>
    </w:p>
    <w:p>
      <w:pPr>
        <w:spacing w:after="0" w:line="180" w:lineRule="exact"/>
        <w:rPr>
          <w:sz w:val="20"/>
          <w:szCs w:val="20"/>
          <w:color w:val="auto"/>
        </w:rPr>
      </w:pPr>
    </w:p>
    <w:p>
      <w:pPr>
        <w:jc w:val="both"/>
        <w:ind w:firstLine="263"/>
        <w:spacing w:after="0" w:line="290" w:lineRule="auto"/>
        <w:rPr>
          <w:sz w:val="20"/>
          <w:szCs w:val="20"/>
          <w:color w:val="auto"/>
        </w:rPr>
      </w:pPr>
      <w:r>
        <w:rPr>
          <w:rFonts w:ascii="Arial" w:cs="Arial" w:eastAsia="Arial" w:hAnsi="Arial"/>
          <w:sz w:val="13"/>
          <w:szCs w:val="13"/>
          <w:color w:val="auto"/>
        </w:rPr>
        <w:t>On January 12, 2021, we acquired CH4 Energia Ltda., an entity that owns key permits and authorizations to develop an LNG terminal and up to 1.37GW of gas-fired power at the Port of Suape in the city of Ipojuca, State of Pernambuco, Brazil. On March 11, 2021, we acquired 100% of the outstanding shares of Pecém Energia S.A.(“Pecém”) and Energética Camaçari Muricy</w:t>
      </w:r>
    </w:p>
    <w:p>
      <w:pPr>
        <w:ind w:firstLine="8"/>
        <w:spacing w:after="0" w:line="248" w:lineRule="auto"/>
        <w:tabs>
          <w:tab w:leader="none" w:pos="143" w:val="left"/>
        </w:tabs>
        <w:numPr>
          <w:ilvl w:val="0"/>
          <w:numId w:val="4"/>
        </w:numPr>
        <w:rPr>
          <w:rFonts w:ascii="Arial" w:cs="Arial" w:eastAsia="Arial" w:hAnsi="Arial"/>
          <w:sz w:val="15"/>
          <w:szCs w:val="15"/>
          <w:color w:val="auto"/>
        </w:rPr>
      </w:pPr>
      <w:r>
        <w:rPr>
          <w:rFonts w:ascii="Arial" w:cs="Arial" w:eastAsia="Arial" w:hAnsi="Arial"/>
          <w:sz w:val="15"/>
          <w:szCs w:val="15"/>
          <w:color w:val="auto"/>
        </w:rPr>
        <w:t>S.A (“Muricy”) from BR Distribuidora, CCETC Brasil Holding Ltda. and Enatec Engenharia Ltda. These companies collectively hold certain 15-year power purchase agreements totaling 288 MW for the development of the thermoelectric power plants Pecém II and Camaçari Muricy II, in the State of Bahia, Brazil.</w:t>
      </w:r>
    </w:p>
    <w:p>
      <w:pPr>
        <w:spacing w:after="0" w:line="181"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Following closing of our acquisition of Pecém and Muricy, we will seek to obtain the necessary approvals from the Agência Nacional de Energia Elétrica (“ANEEL”) and other relevant regulatory authorities in Brazil to transfer the site for the power purchase agreements to the Port of Suape and update the technical characteristics in order to develop and construct a 288MW gas-fired power plant and LNG import terminal at the Port of Suape to provide LNG and natural gas to major energy consumers within the port complex and across the greater Northeast region of Brazil.</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GMLP Acquisition</w:t>
      </w:r>
    </w:p>
    <w:p>
      <w:pPr>
        <w:spacing w:after="0" w:line="200" w:lineRule="exact"/>
        <w:rPr>
          <w:sz w:val="20"/>
          <w:szCs w:val="20"/>
          <w:color w:val="auto"/>
        </w:rPr>
      </w:pPr>
    </w:p>
    <w:p>
      <w:pPr>
        <w:jc w:val="both"/>
        <w:ind w:firstLine="263"/>
        <w:spacing w:after="0" w:line="247" w:lineRule="auto"/>
        <w:rPr>
          <w:sz w:val="20"/>
          <w:szCs w:val="20"/>
          <w:color w:val="auto"/>
        </w:rPr>
      </w:pPr>
      <w:r>
        <w:rPr>
          <w:rFonts w:ascii="Arial" w:cs="Arial" w:eastAsia="Arial" w:hAnsi="Arial"/>
          <w:sz w:val="15"/>
          <w:szCs w:val="15"/>
          <w:color w:val="auto"/>
        </w:rPr>
        <w:t>On January 13, 2021, we entered into an Agreement and Plan of Merger (as it may be amended, supplemented or otherwise modified from time to time, the “GMLP Merger Agreement”) with Golar LNG Partners LP, a Marshall Islands limited partnership (“GMLP”), Golar GP LLC, a Marshall Islands limited liability company and the general partner of GMLP (the “General Partner”), Lobos Acquisition LLC, a Marshall Islands limited liability company and our wholly-owned subsidiary (“GMLP Merger Sub”) and NFE International Holdings Limited, a private limited company incorporated under the laws of England and Wales and our wholly-owned subsidiary (“GP Buyer”), pursuant to which, on the terms and subject to the conditions thereof, GMLP Merger Sub will be merged with and into GMLP (the “GMLP Merger” and, together with the Hygo Merger, the “Proposed Mergers”) and GMLP shall continue its existence as the surviving company in the GMLP Merger.</w:t>
      </w:r>
    </w:p>
    <w:p>
      <w:pPr>
        <w:spacing w:after="0" w:line="185" w:lineRule="exact"/>
        <w:rPr>
          <w:sz w:val="20"/>
          <w:szCs w:val="20"/>
          <w:color w:val="auto"/>
        </w:rPr>
      </w:pPr>
    </w:p>
    <w:p>
      <w:pPr>
        <w:jc w:val="both"/>
        <w:ind w:firstLine="263"/>
        <w:spacing w:after="0" w:line="246" w:lineRule="auto"/>
        <w:rPr>
          <w:sz w:val="20"/>
          <w:szCs w:val="20"/>
          <w:color w:val="auto"/>
        </w:rPr>
      </w:pPr>
      <w:r>
        <w:rPr>
          <w:rFonts w:ascii="Arial" w:cs="Arial" w:eastAsia="Arial" w:hAnsi="Arial"/>
          <w:sz w:val="15"/>
          <w:szCs w:val="15"/>
          <w:color w:val="auto"/>
        </w:rPr>
        <w:t>At the effective time of the GMLP Merger (the “GMLP Effective Time”), each common unit representing a limited partner interest in GMLP that is issued and outstanding as of immediately prior to the GMLP Effective Time will automatically be converted into the right to receive $3.55 in cash. At the GMLP Effective Time, each of the incentive distribution rights of GMLP will be canceled and cease to exist, and no consideration shall be delivered in respect thereof. Each 8.75% Series A Cumulative Redeemable Preferred Unit of GMLP issued and outstanding immediately prior to the GMLP Effective Time will be unaffected by the GMLP Merger and will remain outstanding, and no consideration shall be delivered in respect thereof. Each outstanding unit representing a general partner interest of GMLP that is issued and outstanding immediately prior to the GMLP Effective Time will remain issued and outstanding immediately following the GMLP Effective Time. Concurrently with the consummation of the GMLP Merger, GP Buyer will purchase from GLNG all of the outstanding membership interests of the General Partner pursuant to a Transfer Agreement dated as of January 13, 2021 for a purchase price of approximately $5 million, which is equivalent to $3.55 per general partner unit of GMLP.</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The GMLP Merger Agreement may be terminated by NFE or GMLP (which, in the case of GMLP, must be approved by GMLP’s Conflicts Committee) under certain circumstances, including, among others, by either NFE or GMLP if the closing of the GMLP Merger has not occurred on or before July 13, 2021, and further provides that, upon termination of the GMLP Merger Agreement under certain circumstances, GMLP may be required to pay NFE a termination fee equal to approximately $9.4 million.</w:t>
      </w:r>
    </w:p>
    <w:p>
      <w:pPr>
        <w:spacing w:after="0" w:line="178"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The GMLP Merger is expected to close in the first half of 2021, subject to receipt of applicable regulatory approvals, the approval of the GMLP Merger Agreement by the majority of the holders of GMLP common units and other customary closing conditions.</w:t>
      </w:r>
    </w:p>
    <w:p>
      <w:pPr>
        <w:spacing w:after="0" w:line="170" w:lineRule="exact"/>
        <w:rPr>
          <w:sz w:val="20"/>
          <w:szCs w:val="20"/>
          <w:color w:val="auto"/>
        </w:rPr>
      </w:pPr>
    </w:p>
    <w:p>
      <w:pPr>
        <w:jc w:val="both"/>
        <w:ind w:firstLine="263"/>
        <w:spacing w:after="0" w:line="247" w:lineRule="auto"/>
        <w:rPr>
          <w:sz w:val="20"/>
          <w:szCs w:val="20"/>
          <w:color w:val="auto"/>
        </w:rPr>
      </w:pPr>
      <w:r>
        <w:rPr>
          <w:rFonts w:ascii="Arial" w:cs="Arial" w:eastAsia="Arial" w:hAnsi="Arial"/>
          <w:sz w:val="15"/>
          <w:szCs w:val="15"/>
          <w:color w:val="auto"/>
        </w:rPr>
        <w:t xml:space="preserve">Upon completion of the acquisition of GMLP, we expect to acquire a fleet of six FSRUs (the </w:t>
      </w:r>
      <w:r>
        <w:rPr>
          <w:rFonts w:ascii="Arial" w:cs="Arial" w:eastAsia="Arial" w:hAnsi="Arial"/>
          <w:sz w:val="15"/>
          <w:szCs w:val="15"/>
          <w:i w:val="1"/>
          <w:iCs w:val="1"/>
          <w:color w:val="auto"/>
        </w:rPr>
        <w:t>Golar Spirit</w:t>
      </w:r>
      <w:r>
        <w:rPr>
          <w:rFonts w:ascii="Arial" w:cs="Arial" w:eastAsia="Arial" w:hAnsi="Arial"/>
          <w:sz w:val="15"/>
          <w:szCs w:val="15"/>
          <w:color w:val="auto"/>
        </w:rPr>
        <w:t xml:space="preserve">, the </w:t>
      </w:r>
      <w:r>
        <w:rPr>
          <w:rFonts w:ascii="Arial" w:cs="Arial" w:eastAsia="Arial" w:hAnsi="Arial"/>
          <w:sz w:val="15"/>
          <w:szCs w:val="15"/>
          <w:i w:val="1"/>
          <w:iCs w:val="1"/>
          <w:color w:val="auto"/>
        </w:rPr>
        <w:t>Golar Winter</w:t>
      </w:r>
      <w:r>
        <w:rPr>
          <w:rFonts w:ascii="Arial" w:cs="Arial" w:eastAsia="Arial" w:hAnsi="Arial"/>
          <w:sz w:val="15"/>
          <w:szCs w:val="15"/>
          <w:color w:val="auto"/>
        </w:rPr>
        <w:t xml:space="preserve">, the </w:t>
      </w:r>
      <w:r>
        <w:rPr>
          <w:rFonts w:ascii="Arial" w:cs="Arial" w:eastAsia="Arial" w:hAnsi="Arial"/>
          <w:sz w:val="15"/>
          <w:szCs w:val="15"/>
          <w:i w:val="1"/>
          <w:iCs w:val="1"/>
          <w:color w:val="auto"/>
        </w:rPr>
        <w:t>Golar Freeze</w:t>
      </w:r>
      <w:r>
        <w:rPr>
          <w:rFonts w:ascii="Arial" w:cs="Arial" w:eastAsia="Arial" w:hAnsi="Arial"/>
          <w:sz w:val="15"/>
          <w:szCs w:val="15"/>
          <w:color w:val="auto"/>
        </w:rPr>
        <w:t xml:space="preserve">, the </w:t>
      </w:r>
      <w:r>
        <w:rPr>
          <w:rFonts w:ascii="Arial" w:cs="Arial" w:eastAsia="Arial" w:hAnsi="Arial"/>
          <w:sz w:val="15"/>
          <w:szCs w:val="15"/>
          <w:i w:val="1"/>
          <w:iCs w:val="1"/>
          <w:color w:val="auto"/>
        </w:rPr>
        <w:t>NR Satu</w:t>
      </w:r>
      <w:r>
        <w:rPr>
          <w:rFonts w:ascii="Arial" w:cs="Arial" w:eastAsia="Arial" w:hAnsi="Arial"/>
          <w:sz w:val="15"/>
          <w:szCs w:val="15"/>
          <w:color w:val="auto"/>
        </w:rPr>
        <w:t xml:space="preserve">, the </w:t>
      </w:r>
      <w:r>
        <w:rPr>
          <w:rFonts w:ascii="Arial" w:cs="Arial" w:eastAsia="Arial" w:hAnsi="Arial"/>
          <w:sz w:val="15"/>
          <w:szCs w:val="15"/>
          <w:i w:val="1"/>
          <w:iCs w:val="1"/>
          <w:color w:val="auto"/>
        </w:rPr>
        <w:t>Golar Igloo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Golar</w:t>
      </w:r>
      <w:r>
        <w:rPr>
          <w:rFonts w:ascii="Arial" w:cs="Arial" w:eastAsia="Arial" w:hAnsi="Arial"/>
          <w:sz w:val="15"/>
          <w:szCs w:val="15"/>
          <w:color w:val="auto"/>
        </w:rPr>
        <w:t xml:space="preserve"> </w:t>
      </w:r>
      <w:r>
        <w:rPr>
          <w:rFonts w:ascii="Arial" w:cs="Arial" w:eastAsia="Arial" w:hAnsi="Arial"/>
          <w:sz w:val="15"/>
          <w:szCs w:val="15"/>
          <w:i w:val="1"/>
          <w:iCs w:val="1"/>
          <w:color w:val="auto"/>
        </w:rPr>
        <w:t>Eskimo</w:t>
      </w:r>
      <w:r>
        <w:rPr>
          <w:rFonts w:ascii="Arial" w:cs="Arial" w:eastAsia="Arial" w:hAnsi="Arial"/>
          <w:sz w:val="15"/>
          <w:szCs w:val="15"/>
          <w:color w:val="auto"/>
        </w:rPr>
        <w:t>), four LNG carriers (the</w:t>
      </w:r>
      <w:r>
        <w:rPr>
          <w:rFonts w:ascii="Arial" w:cs="Arial" w:eastAsia="Arial" w:hAnsi="Arial"/>
          <w:sz w:val="15"/>
          <w:szCs w:val="15"/>
          <w:i w:val="1"/>
          <w:iCs w:val="1"/>
          <w:color w:val="auto"/>
        </w:rPr>
        <w:t xml:space="preserve"> Golar Mazo</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Princess</w:t>
      </w:r>
      <w:r>
        <w:rPr>
          <w:rFonts w:ascii="Arial" w:cs="Arial" w:eastAsia="Arial" w:hAnsi="Arial"/>
          <w:sz w:val="15"/>
          <w:szCs w:val="15"/>
          <w:color w:val="auto"/>
        </w:rPr>
        <w:t>, the</w:t>
      </w:r>
      <w:r>
        <w:rPr>
          <w:rFonts w:ascii="Arial" w:cs="Arial" w:eastAsia="Arial" w:hAnsi="Arial"/>
          <w:sz w:val="15"/>
          <w:szCs w:val="15"/>
          <w:i w:val="1"/>
          <w:iCs w:val="1"/>
          <w:color w:val="auto"/>
        </w:rPr>
        <w:t xml:space="preserve"> Golar Grand</w:t>
      </w:r>
      <w:r>
        <w:rPr>
          <w:rFonts w:ascii="Arial" w:cs="Arial" w:eastAsia="Arial" w:hAnsi="Arial"/>
          <w:sz w:val="15"/>
          <w:szCs w:val="15"/>
          <w:color w:val="auto"/>
        </w:rPr>
        <w:t>, and the</w:t>
      </w:r>
      <w:r>
        <w:rPr>
          <w:rFonts w:ascii="Arial" w:cs="Arial" w:eastAsia="Arial" w:hAnsi="Arial"/>
          <w:sz w:val="15"/>
          <w:szCs w:val="15"/>
          <w:i w:val="1"/>
          <w:iCs w:val="1"/>
          <w:color w:val="auto"/>
        </w:rPr>
        <w:t xml:space="preserve"> Golar Maria</w:t>
      </w:r>
      <w:r>
        <w:rPr>
          <w:rFonts w:ascii="Arial" w:cs="Arial" w:eastAsia="Arial" w:hAnsi="Arial"/>
          <w:sz w:val="15"/>
          <w:szCs w:val="15"/>
          <w:color w:val="auto"/>
        </w:rPr>
        <w:t>) and an interest in a floating liquefaction vessel, the</w:t>
      </w:r>
      <w:r>
        <w:rPr>
          <w:rFonts w:ascii="Arial" w:cs="Arial" w:eastAsia="Arial" w:hAnsi="Arial"/>
          <w:sz w:val="15"/>
          <w:szCs w:val="15"/>
          <w:i w:val="1"/>
          <w:iCs w:val="1"/>
          <w:color w:val="auto"/>
        </w:rPr>
        <w:t xml:space="preserve"> Hilli Episevo </w:t>
      </w:r>
      <w:r>
        <w:rPr>
          <w:rFonts w:ascii="Arial" w:cs="Arial" w:eastAsia="Arial" w:hAnsi="Arial"/>
          <w:sz w:val="15"/>
          <w:szCs w:val="15"/>
          <w:color w:val="auto"/>
        </w:rPr>
        <w:t>(the “</w:t>
      </w:r>
      <w:r>
        <w:rPr>
          <w:rFonts w:ascii="Arial" w:cs="Arial" w:eastAsia="Arial" w:hAnsi="Arial"/>
          <w:sz w:val="15"/>
          <w:szCs w:val="15"/>
          <w:i w:val="1"/>
          <w:iCs w:val="1"/>
          <w:color w:val="auto"/>
        </w:rPr>
        <w:t>Hilli</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which receives, liquefies and stores LNG at sea and transfers it to LNG carriers that berth while offshore, each of which are expected to help support our existing facilities and international project pipeline. GMLP currently owns 50% of the common units of Golar Hilli LLC which owns Golar Hilli Corporation (“Hilli Corp”), the disponent owner of the </w:t>
      </w:r>
      <w:r>
        <w:rPr>
          <w:rFonts w:ascii="Arial" w:cs="Arial" w:eastAsia="Arial" w:hAnsi="Arial"/>
          <w:sz w:val="15"/>
          <w:szCs w:val="15"/>
          <w:i w:val="1"/>
          <w:iCs w:val="1"/>
          <w:color w:val="auto"/>
        </w:rPr>
        <w:t>Hilli</w:t>
      </w:r>
      <w:r>
        <w:rPr>
          <w:rFonts w:ascii="Arial" w:cs="Arial" w:eastAsia="Arial" w:hAnsi="Arial"/>
          <w:sz w:val="15"/>
          <w:szCs w:val="15"/>
          <w:color w:val="auto"/>
        </w:rPr>
        <w:t xml:space="preserve">. The </w:t>
      </w:r>
      <w:r>
        <w:rPr>
          <w:rFonts w:ascii="Arial" w:cs="Arial" w:eastAsia="Arial" w:hAnsi="Arial"/>
          <w:sz w:val="15"/>
          <w:szCs w:val="15"/>
          <w:i w:val="1"/>
          <w:iCs w:val="1"/>
          <w:color w:val="auto"/>
        </w:rPr>
        <w:t>Hilli</w:t>
      </w:r>
      <w:r>
        <w:rPr>
          <w:rFonts w:ascii="Arial" w:cs="Arial" w:eastAsia="Arial" w:hAnsi="Arial"/>
          <w:sz w:val="15"/>
          <w:szCs w:val="15"/>
          <w:color w:val="auto"/>
        </w:rPr>
        <w:t xml:space="preserve"> is the world’s first converted FLNG vessel. The majority of the FSRUs in GMLP’s fleet are operating in Brazil, Kuwait, Indonesia, Jamaica and Jordan under time charters. GMLP’s uncontracted vessels are available for short term employment in the spot market.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Commitments</w:t>
      </w:r>
    </w:p>
    <w:p>
      <w:pPr>
        <w:spacing w:after="0" w:line="200" w:lineRule="exact"/>
        <w:rPr>
          <w:sz w:val="20"/>
          <w:szCs w:val="20"/>
          <w:color w:val="auto"/>
        </w:rPr>
      </w:pPr>
    </w:p>
    <w:p>
      <w:pPr>
        <w:jc w:val="both"/>
        <w:ind w:firstLine="263"/>
        <w:spacing w:after="0" w:line="248" w:lineRule="auto"/>
        <w:rPr>
          <w:sz w:val="20"/>
          <w:szCs w:val="20"/>
          <w:color w:val="auto"/>
        </w:rPr>
      </w:pPr>
      <w:r>
        <w:rPr>
          <w:rFonts w:ascii="Arial" w:cs="Arial" w:eastAsia="Arial" w:hAnsi="Arial"/>
          <w:sz w:val="15"/>
          <w:szCs w:val="15"/>
          <w:color w:val="auto"/>
        </w:rPr>
        <w:t>In connection with entering into the each of the Hygo Merger Agreement and the GMLP Merger Agreement, on January 13, 2021 and January 20, 2021, we obtained financing commitments from Morgan Stanley Senior Funding, Inc. and Goldman Sachs Bank USA to pay, subject to the terms and conditions set forth therein, a portion of the cash purchase price in connection with the GMLP Merger, to refinance certain debt of GMLP and its subsidiaries, to pay related fees and expenses and for general corporate purposes. If drawn, the proceeds of such committed financing are expected to be made available under a senior secured bridge term loan facility in an aggregate principal amount of $1.5 billion and a revolving credit facility in an aggregate principal amount of $200 million.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204" w:lineRule="exact"/>
        <w:rPr>
          <w:sz w:val="20"/>
          <w:szCs w:val="20"/>
          <w:color w:val="auto"/>
        </w:rPr>
      </w:pPr>
    </w:p>
    <w:p>
      <w:pPr>
        <w:jc w:val="both"/>
        <w:ind w:firstLine="263"/>
        <w:spacing w:after="0" w:line="299" w:lineRule="auto"/>
        <w:rPr>
          <w:sz w:val="20"/>
          <w:szCs w:val="20"/>
          <w:color w:val="auto"/>
        </w:rPr>
      </w:pPr>
      <w:r>
        <w:rPr>
          <w:rFonts w:ascii="Arial" w:cs="Arial" w:eastAsia="Arial" w:hAnsi="Arial"/>
          <w:sz w:val="14"/>
          <w:szCs w:val="14"/>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147" w:lineRule="exact"/>
        <w:rPr>
          <w:sz w:val="20"/>
          <w:szCs w:val="20"/>
          <w:color w:val="auto"/>
        </w:rPr>
      </w:pPr>
    </w:p>
    <w:p>
      <w:pPr>
        <w:ind w:left="540" w:hanging="269"/>
        <w:spacing w:after="0"/>
        <w:tabs>
          <w:tab w:leader="none" w:pos="540" w:val="left"/>
        </w:tabs>
        <w:numPr>
          <w:ilvl w:val="0"/>
          <w:numId w:val="5"/>
        </w:numPr>
        <w:rPr>
          <w:rFonts w:ascii="Arial" w:cs="Arial" w:eastAsia="Arial" w:hAnsi="Arial"/>
          <w:sz w:val="13"/>
          <w:szCs w:val="13"/>
          <w:color w:val="auto"/>
        </w:rPr>
      </w:pPr>
      <w:r>
        <w:rPr>
          <w:rFonts w:ascii="Arial" w:cs="Arial" w:eastAsia="Arial" w:hAnsi="Arial"/>
          <w:sz w:val="13"/>
          <w:szCs w:val="13"/>
          <w:color w:val="auto"/>
        </w:rPr>
        <w:t>major integrated marketers whose advantages include large amounts of capital and the ability to offer a wide range of services and market numerous products other than natural gas;</w:t>
      </w:r>
    </w:p>
    <w:p>
      <w:pPr>
        <w:spacing w:after="0" w:line="223" w:lineRule="exact"/>
        <w:rPr>
          <w:rFonts w:ascii="Arial" w:cs="Arial" w:eastAsia="Arial" w:hAnsi="Arial"/>
          <w:sz w:val="13"/>
          <w:szCs w:val="13"/>
          <w:color w:val="auto"/>
        </w:rPr>
      </w:pPr>
    </w:p>
    <w:p>
      <w:pPr>
        <w:ind w:left="540" w:hanging="269"/>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producer marketers who sell natural gas they produce or which is produced by an affiliated company;</w:t>
      </w:r>
    </w:p>
    <w:p>
      <w:pPr>
        <w:spacing w:after="0" w:line="200" w:lineRule="exact"/>
        <w:rPr>
          <w:rFonts w:ascii="Arial" w:cs="Arial" w:eastAsia="Arial" w:hAnsi="Arial"/>
          <w:sz w:val="15"/>
          <w:szCs w:val="15"/>
          <w:color w:val="auto"/>
        </w:rPr>
      </w:pPr>
    </w:p>
    <w:p>
      <w:pPr>
        <w:ind w:left="540" w:hanging="269"/>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small geographically focused marketers who focus their marketing on the geographic area in which their affiliated distributor operates; and</w:t>
      </w:r>
    </w:p>
    <w:p>
      <w:pPr>
        <w:spacing w:after="0" w:line="200" w:lineRule="exact"/>
        <w:rPr>
          <w:rFonts w:ascii="Arial" w:cs="Arial" w:eastAsia="Arial" w:hAnsi="Arial"/>
          <w:sz w:val="15"/>
          <w:szCs w:val="15"/>
          <w:color w:val="auto"/>
        </w:rPr>
      </w:pPr>
    </w:p>
    <w:p>
      <w:pPr>
        <w:ind w:left="540" w:right="380" w:hanging="269"/>
        <w:spacing w:after="0" w:line="263"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aggregators who gather small volumes of natural gas from various sources, combine them and sell the larger volumes for more favorable prices and terms than would be possible selling the smaller volumes separately.</w:t>
      </w:r>
    </w:p>
    <w:p>
      <w:pPr>
        <w:spacing w:after="0" w:line="170"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are no other liquefaction facilities currently in operation in Southern Florida.</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purchasing LNG, we will compete for supplies of LNG with:</w:t>
      </w:r>
    </w:p>
    <w:p>
      <w:pPr>
        <w:spacing w:after="0" w:line="200" w:lineRule="exact"/>
        <w:rPr>
          <w:sz w:val="20"/>
          <w:szCs w:val="20"/>
          <w:color w:val="auto"/>
        </w:rPr>
      </w:pPr>
    </w:p>
    <w:p>
      <w:pPr>
        <w:ind w:left="540" w:right="180" w:hanging="269"/>
        <w:spacing w:after="0" w:line="263"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large, multinational and national companies with longer operating histories, more development experience, greater name recognition, larger staffs and substantially greater financial, technical and marketing resources;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540" w:hanging="269"/>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oil and gas producers who sell or control LNG derived from their international oil and gas properties; and</w:t>
      </w:r>
    </w:p>
    <w:p>
      <w:pPr>
        <w:spacing w:after="0" w:line="200" w:lineRule="exact"/>
        <w:rPr>
          <w:rFonts w:ascii="Arial" w:cs="Arial" w:eastAsia="Arial" w:hAnsi="Arial"/>
          <w:sz w:val="15"/>
          <w:szCs w:val="15"/>
          <w:color w:val="auto"/>
        </w:rPr>
      </w:pPr>
    </w:p>
    <w:p>
      <w:pPr>
        <w:ind w:left="540" w:hanging="269"/>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purchasers located in other countries where prevailing market prices can be substantially different from those in the United States.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204" w:lineRule="exact"/>
        <w:rPr>
          <w:sz w:val="20"/>
          <w:szCs w:val="20"/>
          <w:color w:val="auto"/>
        </w:rPr>
      </w:pPr>
    </w:p>
    <w:p>
      <w:pPr>
        <w:jc w:val="both"/>
        <w:ind w:firstLine="263"/>
        <w:spacing w:after="0" w:line="274" w:lineRule="auto"/>
        <w:rPr>
          <w:sz w:val="20"/>
          <w:szCs w:val="20"/>
          <w:color w:val="auto"/>
        </w:rPr>
      </w:pPr>
      <w:r>
        <w:rPr>
          <w:rFonts w:ascii="Arial" w:cs="Arial" w:eastAsia="Arial" w:hAnsi="Arial"/>
          <w:sz w:val="14"/>
          <w:szCs w:val="14"/>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DOE Export</w:t>
      </w:r>
    </w:p>
    <w:p>
      <w:pPr>
        <w:spacing w:after="0" w:line="200" w:lineRule="exact"/>
        <w:rPr>
          <w:sz w:val="20"/>
          <w:szCs w:val="20"/>
          <w:color w:val="auto"/>
        </w:rPr>
      </w:pPr>
    </w:p>
    <w:p>
      <w:pPr>
        <w:jc w:val="both"/>
        <w:ind w:firstLine="263"/>
        <w:spacing w:after="0" w:line="267" w:lineRule="auto"/>
        <w:rPr>
          <w:sz w:val="20"/>
          <w:szCs w:val="20"/>
          <w:color w:val="auto"/>
        </w:rPr>
      </w:pPr>
      <w:r>
        <w:rPr>
          <w:rFonts w:ascii="Arial" w:cs="Arial" w:eastAsia="Arial" w:hAnsi="Arial"/>
          <w:sz w:val="14"/>
          <w:szCs w:val="14"/>
          <w:color w:val="auto"/>
        </w:rPr>
        <w:t>The DOE issued orders authorizing us, through our subsidiary, American LNG Marketing LLC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172" w:lineRule="exact"/>
        <w:rPr>
          <w:sz w:val="20"/>
          <w:szCs w:val="20"/>
          <w:color w:val="auto"/>
        </w:rPr>
      </w:pPr>
    </w:p>
    <w:p>
      <w:pPr>
        <w:jc w:val="both"/>
        <w:ind w:firstLine="263"/>
        <w:spacing w:after="0" w:line="280" w:lineRule="auto"/>
        <w:rPr>
          <w:sz w:val="20"/>
          <w:szCs w:val="20"/>
          <w:color w:val="auto"/>
        </w:rPr>
      </w:pPr>
      <w:r>
        <w:rPr>
          <w:rFonts w:ascii="Arial" w:cs="Arial" w:eastAsia="Arial" w:hAnsi="Arial"/>
          <w:sz w:val="14"/>
          <w:szCs w:val="14"/>
          <w:color w:val="auto"/>
        </w:rPr>
        <w:t>The DOE issued an order authorizing us, through our subsidiary, NFEnergía LLC, to import LNG from various international sources by vessel at our San Juan Facility up to a total volume equivalent to 80 Bcf of natural gas over the two-year period beginning March 26, 2020. NFEnergía LLC must renew its authorization every two years. Imports of LNG are deemed to be consistent with the public interest under Section 3(c) of the Natural Gas Act (“NGA”) and applications for such imports must be granted without modification or delay.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FERC Authorization</w:t>
      </w:r>
    </w:p>
    <w:p>
      <w:pPr>
        <w:spacing w:after="0" w:line="200" w:lineRule="exact"/>
        <w:rPr>
          <w:sz w:val="20"/>
          <w:szCs w:val="20"/>
          <w:color w:val="auto"/>
        </w:rPr>
      </w:pPr>
    </w:p>
    <w:p>
      <w:pPr>
        <w:jc w:val="both"/>
        <w:ind w:firstLine="263"/>
        <w:spacing w:after="0" w:line="247" w:lineRule="auto"/>
        <w:rPr>
          <w:sz w:val="20"/>
          <w:szCs w:val="20"/>
          <w:color w:val="auto"/>
        </w:rPr>
      </w:pPr>
      <w:r>
        <w:rPr>
          <w:rFonts w:ascii="Arial" w:cs="Arial" w:eastAsia="Arial" w:hAnsi="Arial"/>
          <w:sz w:val="15"/>
          <w:szCs w:val="15"/>
          <w:color w:val="auto"/>
        </w:rPr>
        <w:t>The Federal Energy Regulatory Commission (“FERC”) regulates the siting, construction and operation of “LNG terminals” under NGA Section 3(e). In consultation with our outside counsel and, where appropriate, FERC staff, we have designed and constructed our U.S. facilities so that they do not meet the statutory definition of an “LNG terminal” as interpreted by FERC pursuant to its case law. On June 18, 2020, we received an order from FERC which asked us to explain why our San Juan Facility is not subject to FERC’s jurisdiction. Because we do not believe that the San Juan Facility is jurisdictional, we provided our reply to FERC on July 20, 2020 and requested that FERC act expeditiously. The matter was raised during a FERC open meeting held on January 19, 2021 but was not resolved, is on the agenda during the FERC open meeting to be held on March 18, 2021, and remains pending. We do not know if or when FERC will respond to our reply, or the outcome of any such response.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Pipelines and Hazardous Materials Safety Administration</w:t>
      </w:r>
    </w:p>
    <w:p>
      <w:pPr>
        <w:spacing w:after="0" w:line="200" w:lineRule="exact"/>
        <w:rPr>
          <w:sz w:val="20"/>
          <w:szCs w:val="20"/>
          <w:color w:val="auto"/>
        </w:rPr>
      </w:pPr>
    </w:p>
    <w:p>
      <w:pPr>
        <w:jc w:val="both"/>
        <w:ind w:firstLine="263"/>
        <w:spacing w:after="0" w:line="267" w:lineRule="auto"/>
        <w:rPr>
          <w:sz w:val="20"/>
          <w:szCs w:val="20"/>
          <w:color w:val="auto"/>
        </w:rPr>
      </w:pPr>
      <w:r>
        <w:rPr>
          <w:rFonts w:ascii="Arial" w:cs="Arial" w:eastAsia="Arial" w:hAnsi="Arial"/>
          <w:sz w:val="14"/>
          <w:szCs w:val="14"/>
          <w:color w:val="auto"/>
        </w:rPr>
        <w:t>Many LNG facilities are also subject to regulation by the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172"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In December 2019, PHMSA granted a special permit to one of our subsidiaries to ship LNG by rail, which would allow us to ship the LNG produced by the Pennsylvania Facility to a port for transloading onto marine vessels. On July 24, 2020, PHMSA issued a final rule authorizing the nationwide transportation of LNG by rail in DOT– 113C120W specification rail tank cars, subject to all applicable requirements and certain additional operational controls. The appeal period for the special permit has expired, although the final rule authorizing nationwide transportation will likely be challenged.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2" w:name="page13"/>
    <w:bookmarkEnd w:id="1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Regulation</w:t>
      </w:r>
    </w:p>
    <w:p>
      <w:pPr>
        <w:spacing w:after="0" w:line="200" w:lineRule="exact"/>
        <w:rPr>
          <w:sz w:val="20"/>
          <w:szCs w:val="20"/>
          <w:color w:val="auto"/>
        </w:rPr>
      </w:pPr>
    </w:p>
    <w:p>
      <w:pPr>
        <w:jc w:val="both"/>
        <w:ind w:firstLine="263"/>
        <w:spacing w:after="0" w:line="296" w:lineRule="auto"/>
        <w:rPr>
          <w:sz w:val="20"/>
          <w:szCs w:val="20"/>
          <w:color w:val="auto"/>
        </w:rPr>
      </w:pPr>
      <w:r>
        <w:rPr>
          <w:rFonts w:ascii="Arial" w:cs="Arial" w:eastAsia="Arial" w:hAnsi="Arial"/>
          <w:sz w:val="13"/>
          <w:szCs w:val="13"/>
          <w:color w:val="auto"/>
        </w:rPr>
        <w:t>Our LNG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Other local laws and regulations, including local zoning laws, critical infrastructure regulations and fire protection codes, may also affect where and how we operate.</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costs of compliance with these requirements are not expected to have a material adverse effect on our business,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Regulation in Mexico</w:t>
      </w:r>
    </w:p>
    <w:p>
      <w:pPr>
        <w:spacing w:after="0" w:line="200" w:lineRule="exact"/>
        <w:rPr>
          <w:sz w:val="20"/>
          <w:szCs w:val="20"/>
          <w:color w:val="auto"/>
        </w:rPr>
      </w:pPr>
    </w:p>
    <w:p>
      <w:pPr>
        <w:jc w:val="both"/>
        <w:ind w:firstLine="263"/>
        <w:spacing w:after="0" w:line="266" w:lineRule="auto"/>
        <w:rPr>
          <w:sz w:val="20"/>
          <w:szCs w:val="20"/>
          <w:color w:val="auto"/>
        </w:rPr>
      </w:pPr>
      <w:r>
        <w:rPr>
          <w:rFonts w:ascii="Arial" w:cs="Arial" w:eastAsia="Arial" w:hAnsi="Arial"/>
          <w:sz w:val="14"/>
          <w:szCs w:val="14"/>
          <w:color w:val="auto"/>
        </w:rPr>
        <w:t>Mexican law comprehensively regulates all aspects of the receipt, delivery, storage and re-vaporization of LNG as well as the generation and transmission of electricity in Mexico. Various federal agencies in Mexico regulate these activities, including the Department of Environment and Natural Resources, Department of Communication and Transportation, Energy Regulatory Commission,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 In March 2021, an amendment to the Mexican Power Industry Law (</w:t>
      </w:r>
      <w:r>
        <w:rPr>
          <w:rFonts w:ascii="Arial" w:cs="Arial" w:eastAsia="Arial" w:hAnsi="Arial"/>
          <w:sz w:val="14"/>
          <w:szCs w:val="14"/>
          <w:i w:val="1"/>
          <w:iCs w:val="1"/>
          <w:color w:val="auto"/>
        </w:rPr>
        <w:t>Ley de la Industria Electrica</w:t>
      </w:r>
      <w:r>
        <w:rPr>
          <w:rFonts w:ascii="Arial" w:cs="Arial" w:eastAsia="Arial" w:hAnsi="Arial"/>
          <w:sz w:val="14"/>
          <w:szCs w:val="14"/>
          <w:color w:val="auto"/>
        </w:rPr>
        <w:t>) was published which would reduce the dispatch priority of privately-owned power plants compared to state-owned power plants in Mexico. The amendment is being challenged as unconstitutional, and a judge recently awarded a temporary injunction halting the implementation of the amendment. However, if the amendment is enforced against us, it could negatively affect our plant's dispatch and our revenue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Regulation in Jamaica</w:t>
      </w:r>
    </w:p>
    <w:p>
      <w:pPr>
        <w:spacing w:after="0" w:line="200" w:lineRule="exact"/>
        <w:rPr>
          <w:sz w:val="20"/>
          <w:szCs w:val="20"/>
          <w:color w:val="auto"/>
        </w:rPr>
      </w:pPr>
    </w:p>
    <w:p>
      <w:pPr>
        <w:jc w:val="both"/>
        <w:ind w:firstLine="263"/>
        <w:spacing w:after="0" w:line="270" w:lineRule="auto"/>
        <w:rPr>
          <w:sz w:val="20"/>
          <w:szCs w:val="20"/>
          <w:color w:val="auto"/>
        </w:rPr>
      </w:pPr>
      <w:r>
        <w:rPr>
          <w:rFonts w:ascii="Arial" w:cs="Arial" w:eastAsia="Arial" w:hAnsi="Arial"/>
          <w:sz w:val="14"/>
          <w:szCs w:val="14"/>
          <w:color w:val="auto"/>
        </w:rPr>
        <w:t>Our operations in Jamaica are governed by various environmental laws and regulations. These laws and regulations are largely implemented through the National Environment and Planning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Jamaica is also in the process of developing a law to govern the receipt, storage, processing and distribution of natural gas, as well as requirements for the licensing, construction, and operation of natural gas facilities and transportation.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Regulation in Nicaragua</w:t>
      </w:r>
    </w:p>
    <w:p>
      <w:pPr>
        <w:spacing w:after="0" w:line="200" w:lineRule="exact"/>
        <w:rPr>
          <w:sz w:val="20"/>
          <w:szCs w:val="20"/>
          <w:color w:val="auto"/>
        </w:rPr>
      </w:pPr>
    </w:p>
    <w:p>
      <w:pPr>
        <w:jc w:val="both"/>
        <w:ind w:firstLine="263"/>
        <w:spacing w:after="0" w:line="280" w:lineRule="auto"/>
        <w:rPr>
          <w:sz w:val="20"/>
          <w:szCs w:val="20"/>
          <w:color w:val="auto"/>
        </w:rPr>
      </w:pPr>
      <w:r>
        <w:rPr>
          <w:rFonts w:ascii="Arial" w:cs="Arial" w:eastAsia="Arial" w:hAnsi="Arial"/>
          <w:sz w:val="14"/>
          <w:szCs w:val="14"/>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future.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Regulation in Ireland</w:t>
      </w:r>
    </w:p>
    <w:p>
      <w:pPr>
        <w:spacing w:after="0" w:line="200" w:lineRule="exact"/>
        <w:rPr>
          <w:sz w:val="20"/>
          <w:szCs w:val="20"/>
          <w:color w:val="auto"/>
        </w:rPr>
      </w:pPr>
    </w:p>
    <w:p>
      <w:pPr>
        <w:jc w:val="both"/>
        <w:ind w:firstLine="263"/>
        <w:spacing w:after="0" w:line="265" w:lineRule="auto"/>
        <w:rPr>
          <w:sz w:val="20"/>
          <w:szCs w:val="20"/>
          <w:color w:val="auto"/>
        </w:rPr>
      </w:pPr>
      <w:r>
        <w:rPr>
          <w:rFonts w:ascii="Arial" w:cs="Arial" w:eastAsia="Arial" w:hAnsi="Arial"/>
          <w:sz w:val="14"/>
          <w:szCs w:val="14"/>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an LNG facility must meet. We are in the process of applying for all necessary permits to build and complete the Ireland Facility.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Facility. In a February 2019 written decision arising out of this judicial challenge, Ireland’s High Court referred several questions relating to the extensions to the European Court of Justice. In February 2020, the European Parliament voted to retain a group of energy infrastructure projects as eligible for EU funding, including the Ireland Facility and broader Shannon LNG project. However, this decision may face further challenges and while this judicial review proceeds, we intend to file for a new planning permission that, if approved, would replace the permission whose extension is currently under challenge. We intend to begin construction of the Ireland Facility after we have obtained a replacement planning permission (or, if earlier, received a favorable resolution to the challenge to the extension of our existing permission) and secured contracts with downstream customers for volumes that are sufficient to support the development.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and International Maritime Regulations of LNG Vessels</w:t>
      </w:r>
    </w:p>
    <w:p>
      <w:pPr>
        <w:spacing w:after="0" w:line="200" w:lineRule="exact"/>
        <w:rPr>
          <w:sz w:val="20"/>
          <w:szCs w:val="20"/>
          <w:color w:val="auto"/>
        </w:rPr>
      </w:pPr>
    </w:p>
    <w:p>
      <w:pPr>
        <w:jc w:val="both"/>
        <w:ind w:firstLine="263"/>
        <w:spacing w:after="0" w:line="270" w:lineRule="auto"/>
        <w:rPr>
          <w:sz w:val="20"/>
          <w:szCs w:val="20"/>
          <w:color w:val="auto"/>
        </w:rPr>
      </w:pPr>
      <w:r>
        <w:rPr>
          <w:rFonts w:ascii="Arial" w:cs="Arial" w:eastAsia="Arial" w:hAnsi="Arial"/>
          <w:sz w:val="14"/>
          <w:szCs w:val="14"/>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169" w:lineRule="exact"/>
        <w:rPr>
          <w:sz w:val="20"/>
          <w:szCs w:val="20"/>
          <w:color w:val="auto"/>
        </w:rPr>
      </w:pPr>
    </w:p>
    <w:p>
      <w:pPr>
        <w:jc w:val="both"/>
        <w:ind w:firstLine="263"/>
        <w:spacing w:after="0" w:line="311" w:lineRule="auto"/>
        <w:rPr>
          <w:sz w:val="20"/>
          <w:szCs w:val="20"/>
          <w:color w:val="auto"/>
        </w:rPr>
      </w:pPr>
      <w:r>
        <w:rPr>
          <w:rFonts w:ascii="Arial" w:cs="Arial" w:eastAsia="Arial" w:hAnsi="Arial"/>
          <w:sz w:val="13"/>
          <w:szCs w:val="13"/>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pacing w:after="0" w:line="143"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it is impossible to predict what additional regulations, if any, may be passed by the IMO and what effect, if any, such regulation may have on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Local Partners</w:t>
      </w:r>
    </w:p>
    <w:p>
      <w:pPr>
        <w:spacing w:after="0" w:line="204"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One of our subsidiaries, Atlantic Distribution Holdings SRL, has entered into a partnership framework agreement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178" w:lineRule="exact"/>
        <w:rPr>
          <w:sz w:val="20"/>
          <w:szCs w:val="20"/>
          <w:color w:val="auto"/>
        </w:rPr>
      </w:pPr>
    </w:p>
    <w:p>
      <w:pPr>
        <w:jc w:val="both"/>
        <w:ind w:firstLine="263"/>
        <w:spacing w:after="0" w:line="274" w:lineRule="auto"/>
        <w:rPr>
          <w:sz w:val="20"/>
          <w:szCs w:val="20"/>
          <w:color w:val="auto"/>
        </w:rPr>
      </w:pPr>
      <w:r>
        <w:rPr>
          <w:rFonts w:ascii="Arial" w:cs="Arial" w:eastAsia="Arial" w:hAnsi="Arial"/>
          <w:sz w:val="14"/>
          <w:szCs w:val="14"/>
          <w:color w:val="auto"/>
        </w:rPr>
        <w:t>Pursuant to the terms of the PFA, when we make an investment related to services provided by DevTech, DevTech will receive 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 Certain of our subsidiaries have entered into a suite of agreements pursuant to which DevTech became a part owner of our subsidiary NFE North Distribution Limited and received economic interests substantially equivalent to those set forth in the PFA.</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Suppliers and Working Capital</w:t>
      </w:r>
    </w:p>
    <w:p>
      <w:pPr>
        <w:spacing w:after="0" w:line="204"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We expect to continue to supply our downstream customers with LNG and natural gas sourced from a combination of long-term, LNG contracts with attractive terms, purchases on the open market, and from our Miami Facility.</w:t>
      </w:r>
    </w:p>
    <w:p>
      <w:pPr>
        <w:spacing w:after="0" w:line="170"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Due to the nature of our business, we currently carry significant amounts of LNG inventory to meet delivery requirements of customers and assure ourselves of a continuous allotment of goods from suppliers.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204" w:lineRule="exact"/>
        <w:rPr>
          <w:sz w:val="20"/>
          <w:szCs w:val="20"/>
          <w:color w:val="auto"/>
        </w:rPr>
      </w:pPr>
    </w:p>
    <w:p>
      <w:pPr>
        <w:jc w:val="both"/>
        <w:ind w:firstLine="263"/>
        <w:spacing w:after="0" w:line="269" w:lineRule="auto"/>
        <w:rPr>
          <w:sz w:val="20"/>
          <w:szCs w:val="20"/>
          <w:color w:val="auto"/>
        </w:rPr>
      </w:pPr>
      <w:r>
        <w:rPr>
          <w:rFonts w:ascii="Arial" w:cs="Arial" w:eastAsia="Arial" w:hAnsi="Arial"/>
          <w:sz w:val="14"/>
          <w:szCs w:val="14"/>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 In addition, severe winter weather in the Northeast United States may impact the construction of our Pennsylvania Facility and affect the delivery of feedgas to the facility or LNG to and from ports in the region, among other things. Severe weather in Ireland, the Caribbean, Central America or Southern or Western Africa may also delay completion of our Facilities under development and related infrastructure.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Insurance Coverage</w:t>
      </w:r>
    </w:p>
    <w:p>
      <w:pPr>
        <w:spacing w:after="0" w:line="204" w:lineRule="exact"/>
        <w:rPr>
          <w:sz w:val="20"/>
          <w:szCs w:val="20"/>
          <w:color w:val="auto"/>
        </w:rPr>
      </w:pPr>
    </w:p>
    <w:p>
      <w:pPr>
        <w:jc w:val="both"/>
        <w:ind w:firstLine="263"/>
        <w:spacing w:after="0" w:line="280" w:lineRule="auto"/>
        <w:rPr>
          <w:sz w:val="20"/>
          <w:szCs w:val="20"/>
          <w:color w:val="auto"/>
        </w:rPr>
      </w:pPr>
      <w:r>
        <w:rPr>
          <w:rFonts w:ascii="Arial" w:cs="Arial" w:eastAsia="Arial" w:hAnsi="Arial"/>
          <w:sz w:val="14"/>
          <w:szCs w:val="14"/>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marine, pollution liability, general liability and the portion of workers’ compensation not covered under a governmental program.</w:t>
      </w:r>
    </w:p>
    <w:p>
      <w:pPr>
        <w:spacing w:after="0" w:line="160"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We maintain property insurance, including named windstorm and flood, related to the operation of the Miami Facility, San Juan Facility and the Jamaica Facilities and builders risk insurance at our Facilities under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Capital</w:t>
      </w:r>
    </w:p>
    <w:p>
      <w:pPr>
        <w:spacing w:after="0" w:line="204"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We had 231 full-time employees as of December 31, 2020. We depend upon our skilled workforce to manage, operate and plan for our business. Recruitment and retention of talent accross our company enables growth and innovation accross a multitude of corporate initiatives, and this is one of our top priorities.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w:t>
      </w:r>
    </w:p>
    <w:p>
      <w:pPr>
        <w:spacing w:after="0" w:line="204"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We lease space for our offices in New York, New York, Miami, Florida and in other regions in which we operate. We own the properties on which our Pennsylvania Facility will be located. Additionally, the properties on which our Facilities, the CHP Plant and Miami Facility are located are generally subject to long-term leases and rights-of-way. Our leased properties are subject to various lease terms and expirations.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Formation Transactions and Structure</w:t>
      </w:r>
    </w:p>
    <w:p>
      <w:pPr>
        <w:spacing w:after="0" w:line="204" w:lineRule="exact"/>
        <w:rPr>
          <w:sz w:val="20"/>
          <w:szCs w:val="20"/>
          <w:color w:val="auto"/>
        </w:rPr>
      </w:pPr>
    </w:p>
    <w:p>
      <w:pPr>
        <w:jc w:val="both"/>
        <w:ind w:firstLine="263"/>
        <w:spacing w:after="0" w:line="267" w:lineRule="auto"/>
        <w:rPr>
          <w:sz w:val="20"/>
          <w:szCs w:val="20"/>
          <w:color w:val="auto"/>
        </w:rPr>
      </w:pPr>
      <w:r>
        <w:rPr>
          <w:rFonts w:ascii="Arial" w:cs="Arial" w:eastAsia="Arial" w:hAnsi="Arial"/>
          <w:sz w:val="14"/>
          <w:szCs w:val="14"/>
          <w:color w:val="auto"/>
        </w:rPr>
        <w:t>NFE was formed as a Delaware limited liability company by New Fortress Energy Holdings on August 6, 2018. NFE’s initial public offering closed on February 4, 2019 (the “IPO”). On August 7, 2020, the Company converted New Fortress Energy LLC (“NFE LLC”) from a Delaware limited liability company to a Delaware corporation named New Fortress Energy Inc. (the “Conversion”). Since the IPO, NFE LLC had been a corporation for U.S. federal tax purposes, and converting NFE LLC from a limited liability company to a corporation had no effect on the U.S. federal tax treatment of the Company or its shareholders. Upon the Conversion, each Class A share, representing Class A limited liability company interests of NFE LLC (“Class A shares”), outstanding immediately prior to the Conversion were converted into one issued and outstanding, fully paid and nonassessable share of Class A common stock, $0.01 par value per share, of the Company (“Class A common stock”). Class A shares shown on the Company’s consolidated statements of changes in stockholders’ equity were reclassified to Class A common stock and Additional paid-in capital with no change to total stockholders’ equity.</w:t>
      </w:r>
    </w:p>
    <w:p>
      <w:pPr>
        <w:spacing w:after="0" w:line="172" w:lineRule="exact"/>
        <w:rPr>
          <w:sz w:val="20"/>
          <w:szCs w:val="20"/>
          <w:color w:val="auto"/>
        </w:rPr>
      </w:pPr>
    </w:p>
    <w:p>
      <w:pPr>
        <w:jc w:val="both"/>
        <w:ind w:firstLine="263"/>
        <w:spacing w:after="0" w:line="266" w:lineRule="auto"/>
        <w:rPr>
          <w:sz w:val="20"/>
          <w:szCs w:val="20"/>
          <w:color w:val="auto"/>
        </w:rPr>
      </w:pPr>
      <w:r>
        <w:rPr>
          <w:rFonts w:ascii="Arial" w:cs="Arial" w:eastAsia="Arial" w:hAnsi="Arial"/>
          <w:sz w:val="14"/>
          <w:szCs w:val="14"/>
          <w:color w:val="auto"/>
        </w:rPr>
        <w:t>On June 3, 2020, the Company entered into a mutual agreement (the “Mutual Agreement”) with the members holding the majority voting interest in New Fortress Energy Holdings (“Exchanging Members”) and NFE Sub LLC, a wholly-owned subsidiary of NFE. Pursuant to the Mutual Agreement, the Exchanging Members agreed to deliver a block redemption notice in accordance with the Amended and Restated Limited Liability Company Agreement of NFI LLC (the “NFI LLCA”) with respect to all of the NFI LLC Units, together with an equal number of Class B shares of NFE, that such Exchanging Members indirectly own as members of New Fortress Energy Holdings. Pursuant to the Mutual Agreement, NFE agreed to exercise the Call Right (as defined in the NFI LLCA), pursuant to which NFE would acquire such NFI LLC Units and such Class B shares in exchange for Class A shares of NFE (the “Exchange Transactions”). The Exchange Transactions were completed on June 10, 2020. In connection with the closing of the Exchange Transactions, NFE issued 144,342,572 Class A shares in exchange for an equal number of NFI LLC Units, together with an equal number of Class B shares of NFE. Following the completion of the Exchange Transactions, NFE owns all of the NFI LLC Units directly or indirectly and no Class B shares remain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Toward a Carbon-Free Future</w:t>
      </w:r>
    </w:p>
    <w:p>
      <w:pPr>
        <w:spacing w:after="0" w:line="204" w:lineRule="exact"/>
        <w:rPr>
          <w:sz w:val="20"/>
          <w:szCs w:val="20"/>
          <w:color w:val="auto"/>
        </w:rPr>
      </w:pPr>
    </w:p>
    <w:p>
      <w:pPr>
        <w:jc w:val="both"/>
        <w:ind w:firstLine="263"/>
        <w:spacing w:after="0" w:line="247" w:lineRule="auto"/>
        <w:rPr>
          <w:sz w:val="20"/>
          <w:szCs w:val="20"/>
          <w:color w:val="auto"/>
        </w:rPr>
      </w:pPr>
      <w:r>
        <w:rPr>
          <w:rFonts w:ascii="Arial" w:cs="Arial" w:eastAsia="Arial" w:hAnsi="Arial"/>
          <w:sz w:val="15"/>
          <w:szCs w:val="15"/>
          <w:color w:val="auto"/>
        </w:rPr>
        <w:t>As we work to reduce emissions for our customers around the world, our long-term goal is to be one of the world’s leading providers of carbon-free energy. Today, we believe that natural gas remains the most cost-effective and environmentally-friendly complement for intermittent renewable energy, aiding the growth of these technologies. Over time, we believe that low-cost hydrogen will play an increasingly significant role as a carbon-free fuel to support renewables and displace fossil fuels across power, transportation and industrial markets. We formed a division, which we call Zero, to evaluate promising technologies and pursue initiatives that will position us to capitalize on this emerging industry. As part of our hydrogen initiative, in October 2020, we announced our intention to partner with Long Ridge Energy Terminal and GE Gas Power to transition a power plant to be capable of burning 100% green hydrogen over the next decade.</w:t>
      </w:r>
    </w:p>
    <w:p>
      <w:pPr>
        <w:spacing w:after="0" w:line="185" w:lineRule="exact"/>
        <w:rPr>
          <w:sz w:val="20"/>
          <w:szCs w:val="20"/>
          <w:color w:val="auto"/>
        </w:rPr>
      </w:pPr>
    </w:p>
    <w:p>
      <w:pPr>
        <w:jc w:val="both"/>
        <w:ind w:firstLine="263"/>
        <w:spacing w:after="0" w:line="299" w:lineRule="auto"/>
        <w:rPr>
          <w:sz w:val="20"/>
          <w:szCs w:val="20"/>
          <w:color w:val="auto"/>
        </w:rPr>
      </w:pPr>
      <w:r>
        <w:rPr>
          <w:rFonts w:ascii="Arial" w:cs="Arial" w:eastAsia="Arial" w:hAnsi="Arial"/>
          <w:sz w:val="14"/>
          <w:szCs w:val="14"/>
          <w:color w:val="auto"/>
        </w:rPr>
        <w:t>Within Zero, we are building two businesses that will look to develop commercially viable pathways to scale low-cost, emissions-free hydrogen. Zero Blue will focus on innovative technologies that are capable of capturing and sequestering nearly all carbon emissions while producing low-cost hydrogen from carbon-based resources like natural gas and coal.</w:t>
      </w:r>
    </w:p>
    <w:p>
      <w:pPr>
        <w:spacing w:after="0" w:line="147" w:lineRule="exact"/>
        <w:rPr>
          <w:sz w:val="20"/>
          <w:szCs w:val="20"/>
          <w:color w:val="auto"/>
        </w:rPr>
      </w:pPr>
    </w:p>
    <w:p>
      <w:pPr>
        <w:jc w:val="both"/>
        <w:ind w:firstLine="263"/>
        <w:spacing w:after="0" w:line="263" w:lineRule="auto"/>
        <w:rPr>
          <w:sz w:val="20"/>
          <w:szCs w:val="20"/>
          <w:color w:val="auto"/>
        </w:rPr>
      </w:pPr>
      <w:r>
        <w:rPr>
          <w:rFonts w:ascii="Arial" w:cs="Arial" w:eastAsia="Arial" w:hAnsi="Arial"/>
          <w:sz w:val="15"/>
          <w:szCs w:val="15"/>
          <w:color w:val="auto"/>
        </w:rPr>
        <w:t>Zero Green will aim to use innovative, cost-effective water-splitting technologies powered by renewable energy to produce emissions-free hydrogen. We made our first hydrogen-related investment in H2Pro, an Israel-based company developing a novel, efficient, and low-cost green hydrogen production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204"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Arial" w:cs="Arial" w:eastAsia="Arial" w:hAnsi="Arial"/>
          <w:sz w:val="15"/>
          <w:szCs w:val="15"/>
          <w:u w:val="single" w:color="auto"/>
          <w:color w:val="auto"/>
        </w:rPr>
        <w:t>www.sec.gov</w:t>
      </w:r>
      <w:r>
        <w:rPr>
          <w:rFonts w:ascii="Arial" w:cs="Arial" w:eastAsia="Arial" w:hAnsi="Arial"/>
          <w:sz w:val="15"/>
          <w:szCs w:val="15"/>
          <w:color w:val="auto"/>
        </w:rPr>
        <w:t>.</w:t>
      </w:r>
    </w:p>
    <w:p>
      <w:pPr>
        <w:spacing w:after="0" w:line="178" w:lineRule="exact"/>
        <w:rPr>
          <w:sz w:val="20"/>
          <w:szCs w:val="20"/>
          <w:color w:val="auto"/>
        </w:rPr>
      </w:pPr>
    </w:p>
    <w:p>
      <w:pPr>
        <w:jc w:val="both"/>
        <w:ind w:firstLine="263"/>
        <w:spacing w:after="0" w:line="311" w:lineRule="auto"/>
        <w:rPr>
          <w:sz w:val="20"/>
          <w:szCs w:val="20"/>
          <w:color w:val="auto"/>
        </w:rPr>
      </w:pPr>
      <w:r>
        <w:rPr>
          <w:rFonts w:ascii="Arial" w:cs="Arial" w:eastAsia="Arial" w:hAnsi="Arial"/>
          <w:sz w:val="13"/>
          <w:szCs w:val="13"/>
          <w:color w:val="auto"/>
        </w:rPr>
        <w:t>We also make available free of charge through our website, www.newfortressenergy.com, our Annual Report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 w:name="page16"/>
    <w:bookmarkEnd w:id="1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204"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85"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i w:val="1"/>
          <w:iCs w:val="1"/>
          <w:color w:val="auto"/>
        </w:rPr>
        <w:t>References to “NFE,” the “Company,” “we,” “us,” “our” and similar terms in this section refer to NFE Inc. and its subsidiaries, including, if the Hygo Merger has closed, Hygo and its subsidiaries, and including, if the GMLP Merger has closed, GMLP and its subsidiaries. References to “Hygo” and “GMLP”, respectively, in this section, refer to Hygo and GMLP and their respective subsidiaries prior to the applicable Proposed Merger, and refer to Hygo and GMLP and their respective subsidiaries, along with the Company and its subsidiaries, following the applicable Proposed Merger.</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Risk Factors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Some of the factors that could materially and adversely affect our business, financial condition, results of operations or prospects include the following:</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Risks Related to the Proposed Mergers</w:t>
      </w:r>
    </w:p>
    <w:p>
      <w:pPr>
        <w:spacing w:after="0" w:line="200" w:lineRule="exact"/>
        <w:rPr>
          <w:sz w:val="20"/>
          <w:szCs w:val="20"/>
          <w:color w:val="auto"/>
        </w:rPr>
      </w:pPr>
    </w:p>
    <w:p>
      <w:pPr>
        <w:ind w:left="800" w:hanging="266"/>
        <w:spacing w:after="0" w:line="251" w:lineRule="auto"/>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Each of the Proposed Mergers is subject to conditions, some or all of which may not be satisfied or completed on a timely basis, or at all, and we, Hygo and GMLP are each subject to business uncertainties and contractual restrictions while the Proposed Mergers are pending;</w:t>
      </w:r>
    </w:p>
    <w:p>
      <w:pPr>
        <w:ind w:left="800" w:hanging="266"/>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After the Proposed Mergers, we may be unable to successfully integrate the businesses and realize the anticipated benefits of the Proposed Mergers;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may not have discovered undisclosed liabilities of either Hygo or GMLP during our due diligence process;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expect to incur a significant amount of additional debt to fund a portion of the purchase price for the GMLP Merger as a result of the consummation of the Proposed Mergers;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Risks Related to Our Business</w:t>
      </w:r>
    </w:p>
    <w:p>
      <w:pPr>
        <w:spacing w:after="0" w:line="200" w:lineRule="exact"/>
        <w:rPr>
          <w:sz w:val="20"/>
          <w:szCs w:val="20"/>
          <w:color w:val="auto"/>
        </w:rPr>
      </w:pPr>
    </w:p>
    <w:p>
      <w:pPr>
        <w:ind w:left="800" w:hanging="266"/>
        <w:spacing w:after="0" w:line="251"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have not yet completed contracting, construction and commissioning for all of our Facilities and Liquefaction Facilities and there can be no assurance that our Facilities or Liquefaction Facilities will operate as expected or at all;</w:t>
      </w: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may experience time delays, unforeseen expenses and other complications while developing our projects;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may not be profitable for an indeterminate period of time;</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Because we are currently dependent upon a limited number of customers, the loss of a significant customer could adversely affect our operating results;</w:t>
      </w:r>
    </w:p>
    <w:p>
      <w:pPr>
        <w:spacing w:after="0" w:line="2"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current ability to generate cash is substantially dependent upon the entry into and performance by customers under long term contracts that we have entered into or will enter into in the near future;</w:t>
      </w: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Operation of our LNG infrastructure and other facilities that we may construct involves significant risks;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operation of the CHP Plant and any other power plants involves particular, significant risks;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Information technology failures and cyberattacks could affect us significantly;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insurance may be insufficient to cover losses that may occur to our property or result from our operations;</w:t>
      </w:r>
    </w:p>
    <w:p>
      <w:pPr>
        <w:spacing w:after="0" w:line="2" w:lineRule="exact"/>
        <w:rPr>
          <w:rFonts w:ascii="Arial" w:cs="Arial" w:eastAsia="Arial" w:hAnsi="Arial"/>
          <w:sz w:val="15"/>
          <w:szCs w:val="15"/>
          <w:color w:val="auto"/>
        </w:rPr>
      </w:pPr>
    </w:p>
    <w:p>
      <w:pPr>
        <w:ind w:left="800" w:right="20" w:hanging="266"/>
        <w:spacing w:after="0" w:line="244"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are unable to predict the extent to which the global COVID-19 pandemic will negatively adversely affect our operations financial performance, or ability to achieve our strategic objectives, or our customers and suppliers;</w:t>
      </w: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perform development or construction services from time to time which are subject to a variety of risks unique to these activities;</w:t>
      </w:r>
    </w:p>
    <w:p>
      <w:pPr>
        <w:spacing w:after="0" w:line="2"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may not be able to purchase or receive physical delivery of natural gas in sufficient quantities and/or at economically attractive prices to satisfy our delivery obligations to customers;</w:t>
      </w: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Failure of LNG to be a competitive source of energy in the markets in which we operate could adversely affect our expansion strategy;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current lack of asset and geographic diversification;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6" w:name="page17"/>
    <w:bookmarkEnd w:id="1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800" w:right="200" w:hanging="266"/>
        <w:spacing w:after="0" w:line="263" w:lineRule="auto"/>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Failure to obtain and maintain permits, approvals and authorizations from governmental and regulatory agencies on favorable terms with respect to the design, construction and operation of our facilities could impede operations and construction;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Risks Related to the Jurisdictions in Which We Operate</w:t>
      </w:r>
    </w:p>
    <w:p>
      <w:pPr>
        <w:spacing w:after="0" w:line="200" w:lineRule="exact"/>
        <w:rPr>
          <w:sz w:val="20"/>
          <w:szCs w:val="20"/>
          <w:color w:val="auto"/>
        </w:rPr>
      </w:pPr>
    </w:p>
    <w:p>
      <w:pPr>
        <w:ind w:left="800" w:hanging="266"/>
        <w:spacing w:after="0" w:line="263" w:lineRule="auto"/>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are currently highly dependent upon economic, political and other conditions and developments in the Caribbean, particularly Jamaica, Puerto Rico and the other jurisdictions in which we operate;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Risks Related to Hygo Business Activities</w:t>
      </w:r>
    </w:p>
    <w:p>
      <w:pPr>
        <w:spacing w:after="0" w:line="200" w:lineRule="exact"/>
        <w:rPr>
          <w:sz w:val="20"/>
          <w:szCs w:val="20"/>
          <w:color w:val="auto"/>
        </w:rPr>
      </w:pPr>
    </w:p>
    <w:p>
      <w:pPr>
        <w:ind w:left="800" w:hanging="266"/>
        <w:spacing w:after="0" w:line="251" w:lineRule="auto"/>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Hygo’s Sergipe Facility has commenced commercial operations and Hygo’s other planned facilities are in various stages of contracting, construction, permitting and commissioning;</w:t>
      </w:r>
    </w:p>
    <w:p>
      <w:pPr>
        <w:ind w:left="800" w:hanging="266"/>
        <w:spacing w:after="0" w:line="244" w:lineRule="auto"/>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Hygo’s cash flow will be dependent upon the ability of its operating subsidiaries and joint ventures to make cash distributions to Hygo, the amount of which will depend on various factors;</w:t>
      </w:r>
    </w:p>
    <w:p>
      <w:pPr>
        <w:ind w:left="800" w:hanging="266"/>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Hygo may not be able to fully utilize the capacity of its facilities;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Hygo is currently highly dependent upon economic, political, regulatory and other conditions and developments in Brazil;</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Hygo’s sale and leaseback agreements contain restrictive covenants that may limit its liquidity and corporate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Risks Related to GMLP Business Activities</w:t>
      </w:r>
    </w:p>
    <w:p>
      <w:pPr>
        <w:spacing w:after="0" w:line="200" w:lineRule="exact"/>
        <w:rPr>
          <w:sz w:val="20"/>
          <w:szCs w:val="20"/>
          <w:color w:val="auto"/>
        </w:rPr>
      </w:pPr>
    </w:p>
    <w:p>
      <w:pPr>
        <w:ind w:left="800" w:hanging="266"/>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GMLP currently derives all of its revenue from a limited number of customers and will face substantial competition in the future;</w:t>
      </w:r>
    </w:p>
    <w:p>
      <w:pPr>
        <w:spacing w:after="0" w:line="13"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GMLP’s equity investment in Golar Hilli LLC may not result in anticipated profitability or generate cash flow sufficient to justify its investment. In addition, this investment exposes GMLP to risks that may harm its business;</w:t>
      </w:r>
    </w:p>
    <w:p>
      <w:pPr>
        <w:ind w:left="800" w:hanging="266"/>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GMLP may experience operational problems with its vessels that reduce revenue and increase costs;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GMLP may be unable to obtain, maintain, and/or renew permits necessary for its operations or experience delays in obtaining such permits;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Risks Related to Ownership of Our Class A Common Stock</w:t>
      </w:r>
    </w:p>
    <w:p>
      <w:pPr>
        <w:spacing w:after="0" w:line="200" w:lineRule="exact"/>
        <w:rPr>
          <w:sz w:val="20"/>
          <w:szCs w:val="20"/>
          <w:color w:val="auto"/>
        </w:rPr>
      </w:pPr>
    </w:p>
    <w:p>
      <w:pPr>
        <w:ind w:left="800" w:hanging="266"/>
        <w:spacing w:after="0"/>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small number of our original investors have the ability to direct the voting of a majority of our stock, and their interests may conflict with those of our other stockholders;</w:t>
      </w:r>
    </w:p>
    <w:p>
      <w:pPr>
        <w:spacing w:after="0" w:line="25" w:lineRule="exact"/>
        <w:rPr>
          <w:rFonts w:ascii="Arial" w:cs="Arial" w:eastAsia="Arial" w:hAnsi="Arial"/>
          <w:sz w:val="14"/>
          <w:szCs w:val="14"/>
          <w:color w:val="auto"/>
        </w:rPr>
      </w:pPr>
    </w:p>
    <w:p>
      <w:pPr>
        <w:ind w:left="800" w:hanging="266"/>
        <w:spacing w:after="0" w:line="248" w:lineRule="auto"/>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 and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Proposed Mergers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Each of the Proposed Mergers is subject to conditions, some or all of which may not be satisfied or completed on a timely basis, or at all. Failure to complete either of the Proposed Mergers could have material adverse effects on us.</w:t>
      </w:r>
    </w:p>
    <w:p>
      <w:pPr>
        <w:spacing w:after="0" w:line="170" w:lineRule="exact"/>
        <w:rPr>
          <w:sz w:val="20"/>
          <w:szCs w:val="20"/>
          <w:color w:val="auto"/>
        </w:rPr>
      </w:pPr>
    </w:p>
    <w:p>
      <w:pPr>
        <w:jc w:val="both"/>
        <w:ind w:right="20" w:firstLine="526"/>
        <w:spacing w:after="0" w:line="263" w:lineRule="auto"/>
        <w:rPr>
          <w:sz w:val="20"/>
          <w:szCs w:val="20"/>
          <w:color w:val="auto"/>
        </w:rPr>
      </w:pPr>
      <w:r>
        <w:rPr>
          <w:rFonts w:ascii="Arial" w:cs="Arial" w:eastAsia="Arial" w:hAnsi="Arial"/>
          <w:sz w:val="15"/>
          <w:szCs w:val="15"/>
          <w:color w:val="auto"/>
        </w:rPr>
        <w:t>On January 13, 2021, we signed the Hygo Merger Agreement and the GMLP Merger Agreement. We currently expect to close the Proposed Mergers in the first half of 2021, subject to customary closing conditions. Each of the Proposed Mergers is not conditioned on the other.</w:t>
      </w:r>
    </w:p>
    <w:p>
      <w:pPr>
        <w:spacing w:after="0" w:line="17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The completion of each of the Proposed Mergers is subject to a number of conditions, including (i) the receipt of all required regulatory approvals and third-party consents; (ii) the receipt of certain specified material third-party consents; (iii) the absence of any legal restraint issued by any court or governmental entity of competent jurisdiction preventing consummation of the transaction; (iv) the accuracy of each party’s representations and warranties, and (v) in the case of the Hygo Merger, the approval for listing on the NASDAQ Global Select Market (the “Nasdaq”) of the shares of Class A common stock to be issued in the Hygo Merger.</w:t>
      </w:r>
    </w:p>
    <w:p>
      <w:pPr>
        <w:spacing w:after="0" w:line="180"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There can be no assurance that the conditions to closing of the Proposed Mergers will be satisfied or waived or that other events will not intervene to delay or result in the failure to close the Proposed Mergers. Under the terms of the Hygo Merger Agreement, the Hygo Merger is required to close no later than July 12, 2021, subject to the satisfaction or waiver of certain closing conditions. Under the terms of the GMLP Merger Agreement, the GMLP Merger is required to close no later than July 13, 2021, subject to the satisfaction or waiver of certain closing conditions. Any delay in closing or a failure to close of either of the Proposed Mergers could have a negative impact on our business and the trading price of our 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60" w:firstLine="526"/>
        <w:spacing w:after="0" w:line="248" w:lineRule="auto"/>
        <w:rPr>
          <w:sz w:val="20"/>
          <w:szCs w:val="20"/>
          <w:color w:val="auto"/>
        </w:rPr>
      </w:pPr>
      <w:r>
        <w:rPr>
          <w:rFonts w:ascii="Arial" w:cs="Arial" w:eastAsia="Arial" w:hAnsi="Arial"/>
          <w:sz w:val="15"/>
          <w:szCs w:val="15"/>
          <w:color w:val="auto"/>
        </w:rPr>
        <w:t>In addition, regulators may impose conditions, terms, obligations or restrictions in connection with their approval of or consent to either of the Proposed Mergers, and such conditions, terms, obligations or restrictions may delay completion of either of the Proposed Mergers, require us to take actions that materially alter our existing business or the proposed combined business, including divestitures or similar transactions, or impose additional material costs on or materially limit the revenues of the combined company following the completion of either of the Proposed Mergers. Regulators may impose such conditions, terms, obligations or restrictions, and, if imposed, such conditions, terms, obligations or restrictions may delay or lead to the abandonment of either of the Proposed Mergers.</w:t>
      </w:r>
    </w:p>
    <w:p>
      <w:pPr>
        <w:spacing w:after="0" w:line="183"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By purchasing our Class A common stock you are investing in us on a stand-alone basis and recognize that we may not consummate either or both of the Proposed Mergers or realize the expected benefits therefrom if we do. In the event we fail to consummate either or both Proposed Mergers, it is possible that we may have issued a significant number of additional shares of common stock and we will not have acquired the revenue generating assets that will be required to produce the earnings and cash flow we anticipated. If either of the Proposed Mergers is not completed, our ongoing business may be materially adversely affected and, without realizing any of the benefits of having completed either of the Proposed Mergers, we will be subject to a number of risks, including the following:</w:t>
      </w:r>
    </w:p>
    <w:p>
      <w:pPr>
        <w:spacing w:after="0" w:line="183" w:lineRule="exact"/>
        <w:rPr>
          <w:sz w:val="20"/>
          <w:szCs w:val="20"/>
          <w:color w:val="auto"/>
        </w:rPr>
      </w:pPr>
    </w:p>
    <w:p>
      <w:pPr>
        <w:ind w:left="800" w:hanging="266"/>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market price of our common stock could decline;</w:t>
      </w:r>
    </w:p>
    <w:p>
      <w:pPr>
        <w:spacing w:after="0" w:line="13"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time and resources committed by our management to matters relating to the applicable Proposed Merger could otherwise have been devoted to pursuing other beneficial opportunities for our Company;</w:t>
      </w:r>
    </w:p>
    <w:p>
      <w:pPr>
        <w:ind w:left="800" w:hanging="266"/>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may experience negative reactions from the financial markets or from our customers, employees, suppliers and regulators; and</w:t>
      </w:r>
    </w:p>
    <w:p>
      <w:pPr>
        <w:spacing w:after="0" w:line="2" w:lineRule="exact"/>
        <w:rPr>
          <w:rFonts w:ascii="Arial" w:cs="Arial" w:eastAsia="Arial" w:hAnsi="Arial"/>
          <w:sz w:val="15"/>
          <w:szCs w:val="15"/>
          <w:color w:val="auto"/>
        </w:rPr>
      </w:pPr>
    </w:p>
    <w:p>
      <w:pPr>
        <w:ind w:left="800" w:hanging="266"/>
        <w:spacing w:after="0" w:line="248" w:lineRule="auto"/>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will be required to pay the costs relating to each the Proposed Mergers, such as legal, accounting and financial advisory fees, whether or not the Proposed Mergers are completed.</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materialization of any of these risks could adversely impact our ongoing business.</w:t>
      </w:r>
    </w:p>
    <w:p>
      <w:pPr>
        <w:spacing w:after="0" w:line="200"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Similarly, delays in the completion of either of the Proposed Mergers could, among other things, result in additional transaction costs, loss of revenue or other negative effects associated with uncertainty about completion of the Proposed Mergers.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Hygo and GMLP are each subject to business uncertainties and contractual restrictions while the Proposed Mergers are pending, which could adversely affect the business and operations of the combined Company.</w:t>
      </w:r>
    </w:p>
    <w:p>
      <w:pPr>
        <w:spacing w:after="0" w:line="170" w:lineRule="exact"/>
        <w:rPr>
          <w:sz w:val="20"/>
          <w:szCs w:val="20"/>
          <w:color w:val="auto"/>
        </w:rPr>
      </w:pPr>
    </w:p>
    <w:p>
      <w:pPr>
        <w:jc w:val="both"/>
        <w:ind w:firstLine="526"/>
        <w:spacing w:after="0" w:line="311" w:lineRule="auto"/>
        <w:rPr>
          <w:sz w:val="20"/>
          <w:szCs w:val="20"/>
          <w:color w:val="auto"/>
        </w:rPr>
      </w:pPr>
      <w:r>
        <w:rPr>
          <w:rFonts w:ascii="Arial" w:cs="Arial" w:eastAsia="Arial" w:hAnsi="Arial"/>
          <w:sz w:val="13"/>
          <w:szCs w:val="13"/>
          <w:color w:val="auto"/>
        </w:rPr>
        <w:t>In connection with the pendency of the Proposed Mergers, it is possible that some customers, suppliers and other persons with whom we, Hygo or GMLP have a business relationship may delay or defer certain business decisions or might decide to seek to terminate, change or renegotiate their relationships with us, Hygo or GMLP, as the case may be, as a result of the Proposed Mergers, which could negatively affect our current or the combined Company’s future revenues, earnings and cash flows, regardless of whether the Proposed Mergers are completed.</w:t>
      </w:r>
    </w:p>
    <w:p>
      <w:pPr>
        <w:spacing w:after="0" w:line="143" w:lineRule="exact"/>
        <w:rPr>
          <w:sz w:val="20"/>
          <w:szCs w:val="20"/>
          <w:color w:val="auto"/>
        </w:rPr>
      </w:pPr>
    </w:p>
    <w:p>
      <w:pPr>
        <w:jc w:val="both"/>
        <w:ind w:firstLine="526"/>
        <w:spacing w:after="0" w:line="311" w:lineRule="auto"/>
        <w:rPr>
          <w:sz w:val="20"/>
          <w:szCs w:val="20"/>
          <w:color w:val="auto"/>
        </w:rPr>
      </w:pPr>
      <w:r>
        <w:rPr>
          <w:rFonts w:ascii="Arial" w:cs="Arial" w:eastAsia="Arial" w:hAnsi="Arial"/>
          <w:sz w:val="13"/>
          <w:szCs w:val="13"/>
          <w:color w:val="auto"/>
        </w:rPr>
        <w:t>Under the terms of each of the Merger Agreements, each of Hygo and GMLP is subject to certain restrictions on the conduct of its business prior to completing each of the Proposed Mergers, which may adversely affect its ability to execute certain of its business strategies, including the ability in certain cases to enter into or amend contracts, acquire or dispose of assets, incur indebtedness or fund capital expenditures. Such limitations could adversely affect Hygo’s or GMLP’s business and operations prior to the completion of the applicable Proposed Merger.</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Each of the risks described above may be exacerbated by delays or other adverse developments with respect to the completion of either of the Proposed Mergers.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Uncertainties associated with the Proposed Mergers may cause a loss of management personnel and other key employees, and we may have difficulty attracting and motivating management personnel and other key employees, which could adversely affect our future business and operations.</w:t>
      </w:r>
    </w:p>
    <w:p>
      <w:pPr>
        <w:spacing w:after="0" w:line="170"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We are dependent on the experience and industry knowledge of our management personnel and other key employees to execute their business plans. Our success after the completion of the Proposed Mergers will depend in part upon our ability to attract, motivate and retain key management personnel and other key employees. Prior to completion of the Proposed Mergers, current and prospective employees may experience uncertainty about their roles within our Company following the completion of the Proposed Mergers, which may have an adverse effect on our ability to attract, motivate or retain management personnel and other key employees. In addition, no assurance can be given that we will be able to attract, motivate or retain management personnel and other key employees to the same extent after the completion of the Proposed Mergers.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8" w:name="page19"/>
    <w:bookmarkEnd w:id="1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After the Proposed Mergers, we may be unable to successfully integrate the businesses and realize the anticipated benefits of the Proposed Mergers.</w:t>
      </w:r>
    </w:p>
    <w:p>
      <w:pPr>
        <w:spacing w:after="0" w:line="20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The success of the Proposed Mergers will depend, in part, on our ability to successfully combine each of Hygo and GMLP, which currently operate as independent companies, with our business and realize the anticipated benefits, including synergies, cost savings, innovation and operational efficiencies, from each combination. If we are unable to achieve these objectives within the anticipated time frame, or at all, the anticipated benefits may not be realized fully, or at all, or may take longer to realize than expected and the value of our common stock may be harmed. Additionally, as a result of the Proposed Mergers, rating agencies may take negative actions against our credit ratings, which may increase our financing costs, including in connection with the financing of the Proposed Mergers.</w:t>
      </w:r>
    </w:p>
    <w:p>
      <w:pPr>
        <w:spacing w:after="0" w:line="183"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The Proposed Mergers involve the integration of Hygo and GMLP with our existing business, which is a complex, costly and time-consuming process. The integration of each of Hygo and GMLP into our business may result in material challenges, including, without limitation:</w:t>
      </w:r>
    </w:p>
    <w:p>
      <w:pPr>
        <w:spacing w:after="0" w:line="170" w:lineRule="exact"/>
        <w:rPr>
          <w:sz w:val="20"/>
          <w:szCs w:val="20"/>
          <w:color w:val="auto"/>
        </w:rPr>
      </w:pPr>
    </w:p>
    <w:p>
      <w:pPr>
        <w:ind w:left="800" w:hanging="266"/>
        <w:spacing w:after="0" w:line="251"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diversion of management’s attention from ongoing business concerns and performance shortfalls as a result of the devotion of management’s attention to the Proposed Mergers;</w:t>
      </w: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managing a larger Company;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maintaining employee morale and attracting and motivating and retaining management personnel and other key employees;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possibility of faulty assumptions underlying expectations regarding the integration process;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retaining existing business and operational relationships and attracting new business and operational relationships;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consolidating corporate and administrative infrastructures and eliminating duplicative operations;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coordinating geographically separate organizations;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unanticipated issues in integrating information technology, communications and other systems;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unanticipated changes in federal or state laws or regulations;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unforeseen expenses or delays associated with either of the Proposed Mergers.</w:t>
      </w:r>
    </w:p>
    <w:p>
      <w:pPr>
        <w:spacing w:after="0" w:line="190"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Many of these factors will be outside of our control and any one of them could result in delays, increased costs, decreases in the amount of expected revenues and diversion of management’s time and energy, which could materially affect our financial position, results of operations and cash flows.</w:t>
      </w:r>
    </w:p>
    <w:p>
      <w:pPr>
        <w:spacing w:after="0" w:line="17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Unlike new builds, existing vessels typically do not carry warranties as to their condition. If we inspect existing vessels prior to purchase, such an inspection would normally not provide us with as much knowledge of a vessel’s condition as we would possess if it had been built for us and operated only by us during its life. Repairs and maintenance costs for existing vessels are difficult to predict and may be substantially higher than for vessels we have operated since they were built. These costs could decrease our cash flow and reduce our liquidity and could have an adverse effect on our expected plans for growth.</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discovered undisclosed liabilities or other issues of either Hygo or GMLP during our due diligence process.</w:t>
      </w:r>
    </w:p>
    <w:p>
      <w:pPr>
        <w:spacing w:after="0" w:line="200"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In the course of the due diligence review of each of Hygo and GMLP that we conducted prior to the execution of each of the Merger Agreements, we may not have discovered, or may have been unable to quantify, undisclosed liabilities or other issues of Hygo or GMLP and their respective subsidiaries. Examples of such undisclosed liabilities or other issues may include, but are not limited to, pending or threatened litigation, regulatory matters, undisclosed counterparty termination rights, or undisclosed letter of credit or guarantee requirements. Any such undisclosed liabilities or other issues could have an adverse effect on our business, results of operations, financial condition and cash flows following the completion of the Proposed Mergers.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expect to incur a significant amount of additional debt to fund a portion of the purchase price for the GMLP Merger and as a result of the consummation of the Proposed Mergers.</w:t>
      </w:r>
    </w:p>
    <w:p>
      <w:pPr>
        <w:spacing w:after="0" w:line="223"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As of December 31, 2020 we had approximately $1,250 million aggregate principal amount of indebtedness outstanding. On an ongoing basis, we engage with lenders and other financial institutions in an effort to improve our liquidity and capital resources. We may incur additional debt to fund our business and strategic initiatives, and expect to incur additional debt to fund a portion of the purchase price for the GMLP Merger. On January 13, 2021, we obtained financing commitments from Morgan Stanley Senior Funding, Inc. and Goldman Sachs Bank USA to pay, subject to the terms and conditions set forth therein, a portion of the cash purchase price in connection with the GMLP Merger, to refinance certain debt of GMLP and its subsidiaries, to pay related fees and expenses and for general corporate purposes. If we incur additional debt and other obligations, the risks associated with our substantial leverage and the ability to service such debt would increase.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60" w:firstLine="526"/>
        <w:spacing w:after="0" w:line="253" w:lineRule="auto"/>
        <w:rPr>
          <w:sz w:val="20"/>
          <w:szCs w:val="20"/>
          <w:color w:val="auto"/>
        </w:rPr>
      </w:pPr>
      <w:r>
        <w:rPr>
          <w:rFonts w:ascii="Arial" w:cs="Arial" w:eastAsia="Arial" w:hAnsi="Arial"/>
          <w:sz w:val="15"/>
          <w:szCs w:val="15"/>
          <w:color w:val="auto"/>
        </w:rPr>
        <w:t>In addition, in connection with both the Hygo Merger and the GMLP Merger, we will be assuming a significant amount of indebtedness, including guarantees and preferred shares. As such, we will be subject to additional restrictive debt covenants that may limit our ability to finance future operations and capital needs and to pursue business opportunities and activities. In addition, if we fail to comply with any of these restrictions, it could have a material adverse effect on us.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have not yet completed contracting, construction and commissioning of all of our Facilities and Liquefaction Facilities. There can be no assurance that our Facilities and Liquefaction Facilities will operate as expected, or at all.</w:t>
      </w:r>
    </w:p>
    <w:p>
      <w:pPr>
        <w:spacing w:after="0" w:line="170" w:lineRule="exact"/>
        <w:rPr>
          <w:sz w:val="20"/>
          <w:szCs w:val="20"/>
          <w:color w:val="auto"/>
        </w:rPr>
      </w:pPr>
    </w:p>
    <w:p>
      <w:pPr>
        <w:jc w:val="both"/>
        <w:ind w:firstLine="526"/>
        <w:spacing w:after="0" w:line="264" w:lineRule="auto"/>
        <w:rPr>
          <w:sz w:val="20"/>
          <w:szCs w:val="20"/>
          <w:color w:val="auto"/>
        </w:rPr>
      </w:pPr>
      <w:r>
        <w:rPr>
          <w:rFonts w:ascii="Arial" w:cs="Arial" w:eastAsia="Arial" w:hAnsi="Arial"/>
          <w:sz w:val="14"/>
          <w:szCs w:val="14"/>
          <w:color w:val="auto"/>
        </w:rPr>
        <w:t>We have not yet entered into binding construction contracts, issued “final notice to proceed” or obtained all necessary environmental, regulatory, construction and zoning permissions for all of our Facilities (as defined herein) and Liquefaction Facilities. There can be no assurance that we will be able to enter into the contracts required for the development of our Facilities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Facilities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Facilities and Liquefaction Facilities as expected, or, when and if constructed, they do not accomplish our goals, or if we experience delays or cost overruns in construction, our business, operating results, cash flows and liquidity could be materially and adversely affected. Expenses related to our pursuit of contracts and regulatory approvals related to our Facilities and Liquefaction Facilities still under development may be significant and will be incurred by us regardless of whether these assets are ultimately constructed and operational.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70"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Development projects, including our Facilities,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w:t>
      </w:r>
    </w:p>
    <w:p>
      <w:pPr>
        <w:spacing w:after="0" w:line="185"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A primary focus of our business is the development of projects in foreign jurisdictions, including in locations where we have no prior development experience, and we expect to continue expanding into new jurisdictions in the future, including with our expansion by way of the Proposed Mergers.</w:t>
      </w:r>
    </w:p>
    <w:p>
      <w:pPr>
        <w:spacing w:after="0" w:line="170"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170"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San Juan Power Plant (as defined herein) in San Juan, Puerto Rico in the third quarter of 2019. However, due in part to the earthquakes that occurred near Puerto Rico in January 2020 and third-party delays, we began supplying natural gas to Units 5 and 6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implement our business strategy may be materially and adversely affected by many known and unknown factors.</w:t>
      </w:r>
    </w:p>
    <w:p>
      <w:pPr>
        <w:spacing w:after="0" w:line="200" w:lineRule="exact"/>
        <w:rPr>
          <w:sz w:val="20"/>
          <w:szCs w:val="20"/>
          <w:color w:val="auto"/>
        </w:rPr>
      </w:pPr>
    </w:p>
    <w:p>
      <w:pPr>
        <w:jc w:val="both"/>
        <w:ind w:firstLine="526"/>
        <w:spacing w:after="0" w:line="264" w:lineRule="auto"/>
        <w:rPr>
          <w:sz w:val="20"/>
          <w:szCs w:val="20"/>
          <w:color w:val="auto"/>
        </w:rPr>
      </w:pPr>
      <w:r>
        <w:rPr>
          <w:rFonts w:ascii="Arial" w:cs="Arial" w:eastAsia="Arial" w:hAnsi="Arial"/>
          <w:sz w:val="14"/>
          <w:szCs w:val="14"/>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Nicaragua, Brazil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(as defined herein),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78"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78" w:lineRule="exact"/>
        <w:rPr>
          <w:sz w:val="20"/>
          <w:szCs w:val="20"/>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inability to achieve our target costs for the purchase, liquefaction and export of natural gas and/or LNG and our target pricing for long-term contracts;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failure to develop cost-effective logistics solutions;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failure to manage expanding operations in the projected time frame;</w:t>
      </w:r>
    </w:p>
    <w:p>
      <w:pPr>
        <w:spacing w:after="0" w:line="2"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inability to structure innovative and profitable energy-related transactions as part of our sales and trading operations and to optimally price and manage position, performance and counterparty risks;</w:t>
      </w:r>
    </w:p>
    <w:p>
      <w:pPr>
        <w:jc w:val="both"/>
        <w:ind w:left="800" w:hanging="266"/>
        <w:spacing w:after="0" w:line="244"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inability, or failure, of any customer or contract counterparty to perform their contractual obligations to us (for further discussion of counterparty risk, see “—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inability to develop infrastructure, including our Facilities and Liquefaction Facilities, as well as other future projects, in a timely and cost-effective manner;</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inability to attract and retain personnel in a timely and cost-effective manner;</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failure of investments in technology and machinery, such as liquefaction technology or LNG tank truck technology, to perform as expected;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increases in competition which could increase our costs and undermine our profits;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inability to source LNG and/or natural gas in sufficient quantities and/or at economically attractive prices;</w:t>
      </w:r>
    </w:p>
    <w:p>
      <w:pPr>
        <w:spacing w:after="0" w:line="2"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failure to anticipate and adapt to new trends in the energy sector in the U.S., Jamaica, the Caribbean, Mexico, Ireland, Nicaragua, after the consummation of the Proposed Mergers, Brazil, and elsewhere;</w:t>
      </w:r>
    </w:p>
    <w:p>
      <w:pPr>
        <w:ind w:left="800" w:hanging="266"/>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increases in operating costs, including the need for capital improvements, insurance premiums, general taxes, real estate taxes and utilities, affecting our profit margins;</w:t>
      </w:r>
    </w:p>
    <w:p>
      <w:pPr>
        <w:spacing w:after="0" w:line="14" w:lineRule="exact"/>
        <w:rPr>
          <w:rFonts w:ascii="Arial" w:cs="Arial" w:eastAsia="Arial" w:hAnsi="Arial"/>
          <w:sz w:val="14"/>
          <w:szCs w:val="14"/>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inability to raise significant additional debt and equity capital in the future to implement our strategy as well as to operate and expand our business;</w:t>
      </w:r>
    </w:p>
    <w:p>
      <w:pPr>
        <w:spacing w:after="0" w:line="2" w:lineRule="exact"/>
        <w:rPr>
          <w:rFonts w:ascii="Arial" w:cs="Arial" w:eastAsia="Arial" w:hAnsi="Arial"/>
          <w:sz w:val="15"/>
          <w:szCs w:val="15"/>
          <w:color w:val="auto"/>
        </w:rPr>
      </w:pPr>
    </w:p>
    <w:p>
      <w:pPr>
        <w:ind w:left="800" w:right="20" w:hanging="266"/>
        <w:spacing w:after="0" w:line="244"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general economic, political and business conditions in the U.S., Jamaica, the Caribbean, Mexico, Ireland, Nicaragua, Brazil and in the other geographic areas in which we intend to operate;</w:t>
      </w:r>
    </w:p>
    <w:p>
      <w:pPr>
        <w:ind w:left="800" w:hanging="266"/>
        <w:spacing w:after="0" w:line="244"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severity and duration of world health events, including the recent COVID-19 pandemic and related economic and political impacts on our or our customers’ or suppliers’ operations and financial status;</w:t>
      </w: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inflation, depreciation of the currencies of the countries in which we operate and fluctuations in interest rates;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failure to win new bids or contracts on the terms, size and within the time frame we need to execute our business strategy;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21" w:name="page22"/>
    <w:bookmarkEnd w:id="2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800" w:hanging="266"/>
        <w:spacing w:after="0"/>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failure to obtain approvals from governmental regulators and relevant local authorities for the construction and operation of potential future projects and other relevant approvals;</w:t>
      </w:r>
    </w:p>
    <w:p>
      <w:pPr>
        <w:spacing w:after="0" w:line="36" w:lineRule="exact"/>
        <w:rPr>
          <w:rFonts w:ascii="Arial" w:cs="Arial" w:eastAsia="Arial" w:hAnsi="Arial"/>
          <w:sz w:val="13"/>
          <w:szCs w:val="13"/>
          <w:color w:val="auto"/>
        </w:rPr>
      </w:pPr>
    </w:p>
    <w:p>
      <w:pPr>
        <w:ind w:left="800" w:hanging="266"/>
        <w:spacing w:after="0" w:line="244" w:lineRule="auto"/>
        <w:tabs>
          <w:tab w:leader="none" w:pos="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uncertainty regarding the timing, pace and extent of an economic recovery in the United States, the other jurisdictions in which we operate and elsewhere, which in turn will likely affect demand for crude oil and natural gas; or</w:t>
      </w:r>
    </w:p>
    <w:p>
      <w:pPr>
        <w:ind w:left="800" w:hanging="266"/>
        <w:spacing w:after="0"/>
        <w:tabs>
          <w:tab w:leader="none" w:pos="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existing and future governmental laws and regulations.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we experience any of these failures, such failure may adversely affect our financial condition, results of operations and ability to execute our business strategy.</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70"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A key part of our business strategy is to attract new customers by agreeing to finance and develop new facilities,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facilities,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171"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not be sufficient to evaluate our business and prospects.</w:t>
      </w:r>
    </w:p>
    <w:p>
      <w:pPr>
        <w:spacing w:after="0" w:line="20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167"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We will continue to incur significant capital and operating expenditures while we develop infrastructure for our supply chain, including for the completion of our Facilities and Liquefaction Facilities under construction, as well as other future projects. We will need to invest significant amounts of additional capital to implement our strategy. We have not yet completed constructing all of our Facilities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Facilities and Liquefaction Facilities under construction, and fulfill our gas delivery obligations under our customer contracts.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22" w:name="page23"/>
    <w:bookmarkEnd w:id="2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dependent upon obtaining substantial additional funding from various sources, which may not be available or may only be available on unfavorable terms.</w:t>
      </w:r>
    </w:p>
    <w:p>
      <w:pPr>
        <w:spacing w:after="0" w:line="223" w:lineRule="exact"/>
        <w:rPr>
          <w:sz w:val="20"/>
          <w:szCs w:val="20"/>
          <w:color w:val="auto"/>
        </w:rPr>
      </w:pPr>
    </w:p>
    <w:p>
      <w:pPr>
        <w:jc w:val="both"/>
        <w:ind w:firstLine="526"/>
        <w:spacing w:after="0" w:line="287" w:lineRule="auto"/>
        <w:rPr>
          <w:sz w:val="20"/>
          <w:szCs w:val="20"/>
          <w:color w:val="auto"/>
        </w:rPr>
      </w:pPr>
      <w:r>
        <w:rPr>
          <w:rFonts w:ascii="Arial" w:cs="Arial" w:eastAsia="Arial" w:hAnsi="Arial"/>
          <w:sz w:val="13"/>
          <w:szCs w:val="13"/>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If we are unable to obtain additional funding, approvals or amendments to our financings outstanding from time to time,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Additional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161"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profitable for an indeterminate period of time.</w:t>
      </w:r>
    </w:p>
    <w:p>
      <w:pPr>
        <w:spacing w:after="0" w:line="200"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We have a limited operating history and did not commence revenue-generating activities until 2016, and did not achieve profitability as of December 31, 2020. We have made and will continue to make significant initial investments to complete construction and begin operations of each of our Facilities,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including in connection with the Proposed Mergers.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185"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heavily dependent upon our international operations, particularly in Jamaica and Puerto Rico, and any disruption to those operations would adversely affect us.</w:t>
      </w:r>
    </w:p>
    <w:p>
      <w:pPr>
        <w:spacing w:after="0" w:line="223"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3"/>
          <w:szCs w:val="13"/>
          <w:color w:val="auto"/>
        </w:rPr>
        <w:t>Our operations in Jamaica began in October 2016, when our Montego Bay Facility commenced commercial operations, and continue to grow, and our San Juan Facility became fully operational in the third quarter of 2020. Jamaica and Puerto Rico are subject to acts of terrorism or sabotage and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23" w:name="page24"/>
    <w:bookmarkEnd w:id="2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are currently dependent upon a limited number of customers, the loss of a significant customer could adversely affect our operating results.</w:t>
      </w:r>
    </w:p>
    <w:p>
      <w:pPr>
        <w:spacing w:after="0" w:line="200"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assuming the consummation of the Proposed Merger, the Sergipe Terminal and the Sergipe Power Plant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85" w:lineRule="exact"/>
        <w:rPr>
          <w:sz w:val="20"/>
          <w:szCs w:val="20"/>
          <w:color w:val="auto"/>
        </w:rPr>
      </w:pPr>
    </w:p>
    <w:p>
      <w:pPr>
        <w:jc w:val="both"/>
        <w:ind w:firstLine="526"/>
        <w:spacing w:after="0" w:line="293" w:lineRule="auto"/>
        <w:rPr>
          <w:sz w:val="20"/>
          <w:szCs w:val="20"/>
          <w:color w:val="auto"/>
        </w:rPr>
      </w:pPr>
      <w:r>
        <w:rPr>
          <w:rFonts w:ascii="Arial" w:cs="Arial" w:eastAsia="Arial" w:hAnsi="Arial"/>
          <w:sz w:val="13"/>
          <w:szCs w:val="13"/>
          <w:color w:val="auto"/>
        </w:rPr>
        <w:t xml:space="preserve">Assuming the consummation of the GMLP Merger and following such merger, if we lose any of our charterers and are unable to re-deploy the related vessel for an extended period of time, we will not receive any revenues from that vessel, but we will be required to pay expenses necessary to maintain the vessel in seaworthy operating condition and to service any associated debt. In addition, under the sale and leaseback arrangement in respect of the </w:t>
      </w:r>
      <w:r>
        <w:rPr>
          <w:rFonts w:ascii="Arial" w:cs="Arial" w:eastAsia="Arial" w:hAnsi="Arial"/>
          <w:sz w:val="13"/>
          <w:szCs w:val="13"/>
          <w:i w:val="1"/>
          <w:iCs w:val="1"/>
          <w:color w:val="auto"/>
        </w:rPr>
        <w:t>Golar Eskimo</w:t>
      </w:r>
      <w:r>
        <w:rPr>
          <w:rFonts w:ascii="Arial" w:cs="Arial" w:eastAsia="Arial" w:hAnsi="Arial"/>
          <w:sz w:val="13"/>
          <w:szCs w:val="13"/>
          <w:color w:val="auto"/>
        </w:rPr>
        <w:t xml:space="preserve">, if the time charter pursuant to which the </w:t>
      </w:r>
      <w:r>
        <w:rPr>
          <w:rFonts w:ascii="Arial" w:cs="Arial" w:eastAsia="Arial" w:hAnsi="Arial"/>
          <w:sz w:val="13"/>
          <w:szCs w:val="13"/>
          <w:i w:val="1"/>
          <w:iCs w:val="1"/>
          <w:color w:val="auto"/>
        </w:rPr>
        <w:t>Golar Eskimo</w:t>
      </w:r>
      <w:r>
        <w:rPr>
          <w:rFonts w:ascii="Arial" w:cs="Arial" w:eastAsia="Arial" w:hAnsi="Arial"/>
          <w:sz w:val="13"/>
          <w:szCs w:val="13"/>
          <w:color w:val="auto"/>
        </w:rPr>
        <w:t xml:space="preserve"> is operating is terminated, the owner of the </w:t>
      </w:r>
      <w:r>
        <w:rPr>
          <w:rFonts w:ascii="Arial" w:cs="Arial" w:eastAsia="Arial" w:hAnsi="Arial"/>
          <w:sz w:val="13"/>
          <w:szCs w:val="13"/>
          <w:i w:val="1"/>
          <w:iCs w:val="1"/>
          <w:color w:val="auto"/>
        </w:rPr>
        <w:t xml:space="preserve">Golar Eskimo </w:t>
      </w:r>
      <w:r>
        <w:rPr>
          <w:rFonts w:ascii="Arial" w:cs="Arial" w:eastAsia="Arial" w:hAnsi="Arial"/>
          <w:sz w:val="13"/>
          <w:szCs w:val="13"/>
          <w:color w:val="auto"/>
        </w:rPr>
        <w:t>(which is a wholly-owned subsidiary of China Merchants Bank Leasing) will have the right to require us to purchase the vessel from it unless we are able to place such vessel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under a suitable replacement charter within 24 months of the termination. We may not have, or be able to obtain, sufficient funds to make these accelerated payments or prepayments or be able to purchase the </w:t>
      </w:r>
      <w:r>
        <w:rPr>
          <w:rFonts w:ascii="Arial" w:cs="Arial" w:eastAsia="Arial" w:hAnsi="Arial"/>
          <w:sz w:val="13"/>
          <w:szCs w:val="13"/>
          <w:i w:val="1"/>
          <w:iCs w:val="1"/>
          <w:color w:val="auto"/>
        </w:rPr>
        <w:t>Golar Eskimo</w:t>
      </w:r>
      <w:r>
        <w:rPr>
          <w:rFonts w:ascii="Arial" w:cs="Arial" w:eastAsia="Arial" w:hAnsi="Arial"/>
          <w:sz w:val="13"/>
          <w:szCs w:val="13"/>
          <w:color w:val="auto"/>
        </w:rPr>
        <w:t>. In such a situation, the loss of a charterer could have a material adverse effect on our business, results of operations and financial condition.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78"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Our current results of operations and liquidity are, and will continue to be in the near future, substantially dependent upon performance by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While certain of our long-term contracts contain minimum volume commitments, our expected sales to customers under existing contracts are substantially in excess of such minimum volume commitments. Our near-term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172" w:lineRule="exact"/>
        <w:rPr>
          <w:sz w:val="20"/>
          <w:szCs w:val="20"/>
          <w:color w:val="auto"/>
        </w:rPr>
      </w:pPr>
    </w:p>
    <w:p>
      <w:pPr>
        <w:jc w:val="both"/>
        <w:ind w:firstLine="526"/>
        <w:spacing w:after="0" w:line="287" w:lineRule="auto"/>
        <w:rPr>
          <w:sz w:val="20"/>
          <w:szCs w:val="20"/>
          <w:color w:val="auto"/>
        </w:rPr>
      </w:pPr>
      <w:r>
        <w:rPr>
          <w:rFonts w:ascii="Arial" w:cs="Arial" w:eastAsia="Arial" w:hAnsi="Arial"/>
          <w:sz w:val="13"/>
          <w:szCs w:val="13"/>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 -19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third-party responses thereto, on our customers could enhance the risk of nonpayment by such customers under our contracts, which would negatively affect our business, results of operations and financial condition.</w:t>
      </w:r>
    </w:p>
    <w:p>
      <w:pPr>
        <w:spacing w:after="0" w:line="161" w:lineRule="exact"/>
        <w:rPr>
          <w:sz w:val="20"/>
          <w:szCs w:val="20"/>
          <w:color w:val="auto"/>
        </w:rPr>
      </w:pPr>
    </w:p>
    <w:p>
      <w:pPr>
        <w:jc w:val="both"/>
        <w:ind w:firstLine="526"/>
        <w:spacing w:after="0" w:line="264" w:lineRule="auto"/>
        <w:rPr>
          <w:sz w:val="20"/>
          <w:szCs w:val="20"/>
          <w:color w:val="auto"/>
        </w:rPr>
      </w:pPr>
      <w:r>
        <w:rPr>
          <w:rFonts w:ascii="Arial" w:cs="Arial" w:eastAsia="Arial" w:hAnsi="Arial"/>
          <w:sz w:val="14"/>
          <w:szCs w:val="14"/>
          <w:color w:val="auto"/>
        </w:rPr>
        <w:t>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ind w:right="20" w:firstLine="526"/>
        <w:spacing w:after="0" w:line="253" w:lineRule="auto"/>
        <w:rPr>
          <w:sz w:val="20"/>
          <w:szCs w:val="20"/>
          <w:color w:val="auto"/>
        </w:rPr>
      </w:pPr>
      <w:r>
        <w:rPr>
          <w:rFonts w:ascii="Arial" w:cs="Arial" w:eastAsia="Arial" w:hAnsi="Arial"/>
          <w:sz w:val="15"/>
          <w:szCs w:val="15"/>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contracts with our customers are subject to termination under certain circumstances.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contracts with our customers contain various termination rights. For example, each of our long-term customer contracts, including the contracts with JPS, SJPC, Jamalco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PREPA, contain various termination rights allowing our customers to terminate the contract, including, without limitation:</w:t>
      </w:r>
    </w:p>
    <w:p>
      <w:pPr>
        <w:spacing w:after="0" w:line="190" w:lineRule="exact"/>
        <w:rPr>
          <w:sz w:val="20"/>
          <w:szCs w:val="20"/>
          <w:color w:val="auto"/>
        </w:rPr>
      </w:pPr>
    </w:p>
    <w:p>
      <w:pPr>
        <w:ind w:left="800" w:hanging="266"/>
        <w:spacing w:after="0"/>
        <w:tabs>
          <w:tab w:leader="none" w:pos="8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upon the occurrence of certain events of force majeure;</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we fail to make available specified scheduled cargo quantities;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occurrence of certain uncured payment defaults;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occurrence of an insolvency event;</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occurrence of certain uncured, material breaches;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we fail to commence commercial operations or achieve financial close within the agreed timeframes.</w:t>
      </w:r>
    </w:p>
    <w:p>
      <w:pPr>
        <w:spacing w:after="0" w:line="19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70" w:lineRule="exact"/>
        <w:rPr>
          <w:sz w:val="20"/>
          <w:szCs w:val="20"/>
          <w:color w:val="auto"/>
        </w:rPr>
      </w:pPr>
    </w:p>
    <w:p>
      <w:pPr>
        <w:jc w:val="both"/>
        <w:ind w:firstLine="526"/>
        <w:spacing w:after="0" w:line="340" w:lineRule="auto"/>
        <w:rPr>
          <w:sz w:val="20"/>
          <w:szCs w:val="20"/>
          <w:color w:val="auto"/>
        </w:rPr>
      </w:pPr>
      <w:r>
        <w:rPr>
          <w:rFonts w:ascii="Arial" w:cs="Arial" w:eastAsia="Arial" w:hAnsi="Arial"/>
          <w:sz w:val="13"/>
          <w:szCs w:val="13"/>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25" w:lineRule="exact"/>
        <w:rPr>
          <w:sz w:val="20"/>
          <w:szCs w:val="20"/>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additions to competitive regasification capacity in North America, Europe, Asia and other markets, which could divert LNG or natural gas from our business;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imposition of tariffs by China or any other jurisdiction on imports of LNG from the United States;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insufficient or oversupply of natural gas liquefaction or export capacity worldwide;</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insufficient LNG tanker capacity;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weather conditions and natural disasters;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reduced demand and lower prices for natural gas;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increased natural gas production deliverable by pipelines, which could suppress demand for LNG;</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decreased oil and natural gas exploration activities, including shut-ins and possible proration, which have begun and may continue to decrease the production of natural gas;</w:t>
      </w:r>
    </w:p>
    <w:p>
      <w:pPr>
        <w:spacing w:after="0" w:line="25" w:lineRule="exact"/>
        <w:rPr>
          <w:rFonts w:ascii="Arial" w:cs="Arial" w:eastAsia="Arial" w:hAnsi="Arial"/>
          <w:sz w:val="13"/>
          <w:szCs w:val="13"/>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cost improvements that allow competitors to offer LNG regasification services at reduced prices;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supplies of, and prices for, alternative energy sources, such as coal, oil, nuclear, hydroelectric, wind and solar energy, which may reduce the demand for natural gas;</w:t>
      </w:r>
    </w:p>
    <w:p>
      <w:pPr>
        <w:spacing w:after="0" w:line="25" w:lineRule="exact"/>
        <w:rPr>
          <w:rFonts w:ascii="Arial" w:cs="Arial" w:eastAsia="Arial" w:hAnsi="Arial"/>
          <w:sz w:val="13"/>
          <w:szCs w:val="13"/>
          <w:color w:val="auto"/>
        </w:rPr>
      </w:pPr>
    </w:p>
    <w:p>
      <w:pPr>
        <w:ind w:left="800" w:hanging="266"/>
        <w:spacing w:after="0" w:line="244" w:lineRule="auto"/>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regulatory, tax or other governmental policies regarding imported or exported LNG, natural gas or alternative energy sources, which may reduce the demand for imported or exported LNG and/or natural gas;</w:t>
      </w: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political conditions in natural gas producing regions;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adverse relative demand for LNG compared to other markets, which may decrease LNG imports into or exports from North America;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cyclical trends in general business and economic conditions that cause changes in the demand for natural gas.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5" w:name="page26"/>
    <w:bookmarkEnd w:id="2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ind w:right="20" w:firstLine="526"/>
        <w:spacing w:after="0" w:line="286" w:lineRule="auto"/>
        <w:rPr>
          <w:sz w:val="20"/>
          <w:szCs w:val="20"/>
          <w:color w:val="auto"/>
        </w:rPr>
      </w:pPr>
      <w:r>
        <w:rPr>
          <w:rFonts w:ascii="Arial" w:cs="Arial" w:eastAsia="Arial" w:hAnsi="Arial"/>
          <w:sz w:val="13"/>
          <w:szCs w:val="13"/>
          <w:color w:val="auto"/>
        </w:rPr>
        <w:t>Adverse trends or developments affecting any of these factors, including the timing of the impact of these factors in relation to our purchases and sales of natural gas and LNG—in particular prior to our Pennsylvania Facility becoming operational—could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maintain sufficient working capital could limit our growth and harm our business, financial condition and results of operations.</w:t>
      </w:r>
    </w:p>
    <w:p>
      <w:pPr>
        <w:spacing w:after="0" w:line="200"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Operation of our LNG infrastructure and other facilities that we may construct involves significant risks.</w:t>
      </w:r>
    </w:p>
    <w:p>
      <w:pPr>
        <w:spacing w:after="0" w:line="20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Our existing Facilities and Liquefaction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of these risks could disrupt our operations and increase our costs, which would adversely affect our business, operating results, cash flows and liquidity.</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operation of the CHP Plant and other power plants will involve particular, significant risks.</w:t>
      </w:r>
    </w:p>
    <w:p>
      <w:pPr>
        <w:spacing w:after="0" w:line="200" w:lineRule="exact"/>
        <w:rPr>
          <w:sz w:val="20"/>
          <w:szCs w:val="20"/>
          <w:color w:val="auto"/>
        </w:rPr>
      </w:pPr>
    </w:p>
    <w:p>
      <w:pPr>
        <w:jc w:val="both"/>
        <w:ind w:firstLine="526"/>
        <w:spacing w:after="0" w:line="288" w:lineRule="auto"/>
        <w:rPr>
          <w:sz w:val="20"/>
          <w:szCs w:val="20"/>
          <w:color w:val="auto"/>
        </w:rPr>
      </w:pPr>
      <w:r>
        <w:rPr>
          <w:rFonts w:ascii="Arial" w:cs="Arial" w:eastAsia="Arial" w:hAnsi="Arial"/>
          <w:sz w:val="13"/>
          <w:szCs w:val="13"/>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6" w:name="page27"/>
    <w:bookmarkEnd w:id="2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460"/>
        <w:spacing w:after="0" w:line="263" w:lineRule="auto"/>
        <w:rPr>
          <w:sz w:val="20"/>
          <w:szCs w:val="20"/>
          <w:color w:val="auto"/>
        </w:rPr>
      </w:pPr>
      <w:r>
        <w:rPr>
          <w:rFonts w:ascii="Arial" w:cs="Arial" w:eastAsia="Arial" w:hAnsi="Arial"/>
          <w:sz w:val="15"/>
          <w:szCs w:val="15"/>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70"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3"/>
          <w:szCs w:val="13"/>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Facilities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common stock.</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70" w:lineRule="exact"/>
        <w:rPr>
          <w:sz w:val="20"/>
          <w:szCs w:val="20"/>
          <w:color w:val="auto"/>
        </w:rPr>
      </w:pPr>
    </w:p>
    <w:p>
      <w:pPr>
        <w:jc w:val="both"/>
        <w:ind w:firstLine="526"/>
        <w:spacing w:after="0" w:line="291" w:lineRule="auto"/>
        <w:rPr>
          <w:sz w:val="20"/>
          <w:szCs w:val="20"/>
          <w:color w:val="auto"/>
        </w:rPr>
      </w:pPr>
      <w:r>
        <w:rPr>
          <w:rFonts w:ascii="Arial" w:cs="Arial" w:eastAsia="Arial" w:hAnsi="Arial"/>
          <w:sz w:val="13"/>
          <w:szCs w:val="13"/>
          <w:color w:val="auto"/>
        </w:rPr>
        <w:t>Storms and related storm activity and collateral effects, or other disasters such as explosions, fires, seismic events, floods or accidents, could result in damage to, or interruption of operations in our supply chain, including at our Facilities, Liquefaction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157"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If one or more tankers, pipelines, Facilities, Liquefaction Facilities, equipment or electronic systems that we own, lease or operate or that deliver products to us or that supply our Facilities, Liquefaction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85"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technology failures and cyberattacks could affect us significantly.</w:t>
      </w:r>
    </w:p>
    <w:p>
      <w:pPr>
        <w:spacing w:after="0" w:line="200" w:lineRule="exact"/>
        <w:rPr>
          <w:sz w:val="20"/>
          <w:szCs w:val="20"/>
          <w:color w:val="auto"/>
        </w:rPr>
      </w:pPr>
    </w:p>
    <w:p>
      <w:pPr>
        <w:jc w:val="both"/>
        <w:ind w:firstLine="526"/>
        <w:spacing w:after="0" w:line="299" w:lineRule="auto"/>
        <w:rPr>
          <w:sz w:val="20"/>
          <w:szCs w:val="20"/>
          <w:color w:val="auto"/>
        </w:rPr>
      </w:pPr>
      <w:r>
        <w:rPr>
          <w:rFonts w:ascii="Arial" w:cs="Arial" w:eastAsia="Arial" w:hAnsi="Arial"/>
          <w:sz w:val="14"/>
          <w:szCs w:val="14"/>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147"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may be insufficient to cover losses that may occur to our property or result from our operations.</w:t>
      </w:r>
    </w:p>
    <w:p>
      <w:pPr>
        <w:spacing w:after="0" w:line="200" w:lineRule="exact"/>
        <w:rPr>
          <w:sz w:val="20"/>
          <w:szCs w:val="20"/>
          <w:color w:val="auto"/>
        </w:rPr>
      </w:pPr>
    </w:p>
    <w:p>
      <w:pPr>
        <w:jc w:val="both"/>
        <w:ind w:firstLine="526"/>
        <w:spacing w:after="0" w:line="291" w:lineRule="auto"/>
        <w:rPr>
          <w:sz w:val="20"/>
          <w:szCs w:val="20"/>
          <w:color w:val="auto"/>
        </w:rPr>
      </w:pPr>
      <w:r>
        <w:rPr>
          <w:rFonts w:ascii="Arial" w:cs="Arial" w:eastAsia="Arial" w:hAnsi="Arial"/>
          <w:sz w:val="13"/>
          <w:szCs w:val="13"/>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Liquefaction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157"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64"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183"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unable to predict the extent to which the global COVID-19 pandemic will negatively affect our operations, financial performance, nor our ability to achieve our strategic objectives.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also unable to predict how this global pandemic may affect our customers and suppliers.</w:t>
      </w:r>
    </w:p>
    <w:p>
      <w:pPr>
        <w:spacing w:after="0" w:line="190"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The COVID-19 pandemic has caused, and is expected to continue to cause, economic disruptions in various regions, disruptions in global supply chains, significant volatility and disruption of financial markets and in the price of oil. In addition, the pandemic has made travel and commercial activity significantly more cumbersome and less efficient compared to pre-pandemic conditions. 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171" w:lineRule="exact"/>
        <w:rPr>
          <w:sz w:val="20"/>
          <w:szCs w:val="20"/>
          <w:color w:val="auto"/>
        </w:rPr>
      </w:pPr>
    </w:p>
    <w:p>
      <w:pPr>
        <w:jc w:val="both"/>
        <w:ind w:firstLine="526"/>
        <w:spacing w:after="0" w:line="287" w:lineRule="auto"/>
        <w:rPr>
          <w:sz w:val="20"/>
          <w:szCs w:val="20"/>
          <w:color w:val="auto"/>
        </w:rPr>
      </w:pPr>
      <w:r>
        <w:rPr>
          <w:rFonts w:ascii="Arial" w:cs="Arial" w:eastAsia="Arial" w:hAnsi="Arial"/>
          <w:sz w:val="13"/>
          <w:szCs w:val="13"/>
          <w:color w:val="auto"/>
        </w:rPr>
        <w:t>The COVID-19 pandemic has subjected our operations, financial performance and financial condition to a number of operational financial risks. The COVID-19 pandemic has also affected Hygo and GMLP. For example, there is an increased risk that final investment decision of Hygo’s Barcarena Terminal (as defined herein) and Santa Catarina Terminal (as defined herein) may be delayed due to severe restrictions on travel within Brazil.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be involved in legal proceedings and may experience unfavorable outcomes.</w:t>
      </w:r>
    </w:p>
    <w:p>
      <w:pPr>
        <w:spacing w:after="0" w:line="20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In the future we may be subject to material legal proceedings in the course of our business, including, but not limited to, actions relating to contract disputes, business practices, intellectual property and other commercial tax and regulatory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an adverse effect on our business, financial position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on key members of our management, the loss of any of whom could disrupt our business operations.</w:t>
      </w:r>
    </w:p>
    <w:p>
      <w:pPr>
        <w:spacing w:after="0" w:line="20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“Risks Factors” section. We do not maintain key man insurance on Mr. Edens or any of our employees. As a result, we are not insured against any losses resulting from the death of our key employees.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70" w:lineRule="exact"/>
        <w:rPr>
          <w:sz w:val="20"/>
          <w:szCs w:val="20"/>
          <w:color w:val="auto"/>
        </w:rPr>
      </w:pPr>
    </w:p>
    <w:p>
      <w:pPr>
        <w:jc w:val="both"/>
        <w:ind w:firstLine="526"/>
        <w:spacing w:after="0" w:line="311" w:lineRule="auto"/>
        <w:rPr>
          <w:sz w:val="20"/>
          <w:szCs w:val="20"/>
          <w:color w:val="auto"/>
        </w:rPr>
      </w:pPr>
      <w:r>
        <w:rPr>
          <w:rFonts w:ascii="Arial" w:cs="Arial" w:eastAsia="Arial" w:hAnsi="Arial"/>
          <w:sz w:val="13"/>
          <w:szCs w:val="13"/>
          <w:color w:val="auto"/>
        </w:rPr>
        <w:t>The construction of energy-related infrastructure, including our Facilities and Liquefaction Facilities, assuming the consummation of the Hygo Merger, the Barcarena Terminal, the Santa Catarina Terminal and other assets in Brazil,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43" w:lineRule="exact"/>
        <w:rPr>
          <w:sz w:val="20"/>
          <w:szCs w:val="20"/>
          <w:color w:val="auto"/>
        </w:rPr>
      </w:pPr>
    </w:p>
    <w:p>
      <w:pPr>
        <w:ind w:left="800" w:hanging="266"/>
        <w:spacing w:after="0" w:line="251" w:lineRule="auto"/>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be unable to complete construction projects on schedule or at the budgeted cost due to the unavailability of required construction personnel or materials, accidents or weather conditions;</w:t>
      </w:r>
    </w:p>
    <w:p>
      <w:pPr>
        <w:ind w:left="800" w:hanging="266"/>
        <w:spacing w:after="0" w:line="244" w:lineRule="auto"/>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ind w:left="800" w:hanging="266"/>
        <w:spacing w:after="0" w:line="244" w:lineRule="auto"/>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will not receive any material increase in operating cash flows until a project is completed, even though we may have expended considerable funds during the construction phase, which may be prolonged;</w:t>
      </w:r>
    </w:p>
    <w:p>
      <w:pPr>
        <w:ind w:left="800" w:hanging="266"/>
        <w:spacing w:after="0"/>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construct facilities to capture anticipated future energy consumption growth in a region in which such growth does not materialize;</w:t>
      </w:r>
    </w:p>
    <w:p>
      <w:pPr>
        <w:spacing w:after="0" w:line="2"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ind w:left="800" w:hanging="266"/>
        <w:spacing w:after="0" w:line="261"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purchase of the project company holding the rights to develop and operate the Ireland Facility (as defined herein) is subject to a number of contingencies, many of which are beyond our control and could cause us not to acquire the remaining interests of the project company or cause a delay in the construction of our Ireland Facility;</w:t>
      </w:r>
    </w:p>
    <w:p>
      <w:pPr>
        <w:jc w:val="both"/>
        <w:ind w:left="800" w:hanging="266"/>
        <w:spacing w:after="0" w:line="244" w:lineRule="auto"/>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ind w:left="800" w:hanging="266"/>
        <w:spacing w:after="0" w:line="244" w:lineRule="auto"/>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be (and have been in select circumstances) subject to local opposition, including the efforts by environmental groups, which may attract negative publicity or have an adverse impact on our reputation; and</w:t>
      </w:r>
    </w:p>
    <w:p>
      <w:pPr>
        <w:ind w:left="800" w:hanging="266"/>
        <w:spacing w:after="0"/>
        <w:tabs>
          <w:tab w:leader="none" w:pos="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be unable to obtain rights-of-way to construct additional energy-related infrastructure or the cost to do so may be uneconomical.</w:t>
      </w:r>
    </w:p>
    <w:p>
      <w:pPr>
        <w:spacing w:after="0" w:line="190" w:lineRule="exact"/>
        <w:rPr>
          <w:sz w:val="20"/>
          <w:szCs w:val="20"/>
          <w:color w:val="auto"/>
        </w:rPr>
      </w:pPr>
    </w:p>
    <w:p>
      <w:pPr>
        <w:ind w:firstLine="526"/>
        <w:spacing w:after="0" w:line="263" w:lineRule="auto"/>
        <w:rPr>
          <w:sz w:val="20"/>
          <w:szCs w:val="20"/>
          <w:color w:val="auto"/>
        </w:rPr>
      </w:pPr>
      <w:r>
        <w:rPr>
          <w:rFonts w:ascii="Arial" w:cs="Arial" w:eastAsia="Arial" w:hAnsi="Arial"/>
          <w:sz w:val="15"/>
          <w:szCs w:val="15"/>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9" w:name="page30"/>
    <w:bookmarkEnd w:id="2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be dependent on our primary building contractor and other contractors for the successful completion of our energy-related infrastructure.</w:t>
      </w:r>
    </w:p>
    <w:p>
      <w:pPr>
        <w:spacing w:after="0" w:line="200"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Timely and cost-effective completion of our energy-related infrastructure, including our Facilities and Liquefaction Facilities, and, assuming the consummation of the Hygo Merger, the Sergipe Terminal, the Barcarena Terminal and the Santa Catarina Terminal,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64" w:lineRule="exact"/>
        <w:rPr>
          <w:sz w:val="20"/>
          <w:szCs w:val="20"/>
          <w:color w:val="auto"/>
        </w:rPr>
      </w:pPr>
    </w:p>
    <w:p>
      <w:pPr>
        <w:ind w:left="800" w:hanging="266"/>
        <w:spacing w:after="0"/>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design and engineer each of our facilities to operate in accordance with specifications;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engage and retain third-party subcontractors and procure equipment and supplies;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respond to difficulties such as equipment failure, delivery delays, schedule changes and failures to perform by subcontractors, some of which are beyond their control;</w:t>
      </w:r>
    </w:p>
    <w:p>
      <w:pPr>
        <w:spacing w:after="0" w:line="14" w:lineRule="exact"/>
        <w:rPr>
          <w:rFonts w:ascii="Arial" w:cs="Arial" w:eastAsia="Arial" w:hAnsi="Arial"/>
          <w:sz w:val="14"/>
          <w:szCs w:val="14"/>
          <w:color w:val="auto"/>
        </w:rPr>
      </w:pPr>
    </w:p>
    <w:p>
      <w:pPr>
        <w:ind w:left="800" w:hanging="266"/>
        <w:spacing w:after="0"/>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attract, develop and retain skilled personnel, including engineers;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post required construction bonds and comply with the terms thereof;</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manage the construction process generally, including coordinating with other contractors and regulatory agencies;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 their own financial condition, including adequate working capital.</w:t>
      </w:r>
    </w:p>
    <w:p>
      <w:pPr>
        <w:spacing w:after="0" w:line="190" w:lineRule="exact"/>
        <w:rPr>
          <w:sz w:val="20"/>
          <w:szCs w:val="20"/>
          <w:color w:val="auto"/>
        </w:rPr>
      </w:pPr>
    </w:p>
    <w:p>
      <w:pPr>
        <w:jc w:val="both"/>
        <w:ind w:firstLine="526"/>
        <w:spacing w:after="0" w:line="287" w:lineRule="auto"/>
        <w:rPr>
          <w:sz w:val="20"/>
          <w:szCs w:val="20"/>
          <w:color w:val="auto"/>
        </w:rPr>
      </w:pPr>
      <w:r>
        <w:rPr>
          <w:rFonts w:ascii="Arial" w:cs="Arial" w:eastAsia="Arial" w:hAnsi="Arial"/>
          <w:sz w:val="13"/>
          <w:szCs w:val="13"/>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61"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7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We are relying on third parties for the design and engineering services underlying our estimates of the future rated capacity and performance capabilities of our Facilities and Liquefaction Facilities, as well as other future projects. If any of these facilities, when actually constructed, fails to have the rated capacity and performance capabilities that we intend, our estimates may not be accurate. Failure of any of our existing Facilities, Liquefaction Facilities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0" w:name="page31"/>
    <w:bookmarkEnd w:id="3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perform development or construction services from time to time, which are subject to a variety of risks unique to these activities.</w:t>
      </w:r>
    </w:p>
    <w:p>
      <w:pPr>
        <w:spacing w:after="0" w:line="200"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San Juan Power Plant was delayed in part due to the earthquakes that occurred near Puerto Rico in January 2020 and third-party delays.</w:t>
      </w:r>
    </w:p>
    <w:p>
      <w:pPr>
        <w:spacing w:after="0" w:line="169"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any such excess costs or project delays were to be material, such events may adversely affect our cash flow and liquidity.</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7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Under the GSAs with JPS, SJPC and PREPA, we are required to deliver to JPS, SJPC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SJPC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183"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were to default on their obligations under our contracts or seek bankruptcy protection, we may not be able to replace such contracts or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73"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While we have entered into contracts with a third-party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78"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Liquefaction Facilities. Even if we do complete the Pennsylvania Facility, there can be no assurance that it will operate as we expect or that we will succeed in our goal of reducing the risk to our operations of future LNG price variations.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competition based upon the international market price for LNG or natural gas.</w:t>
      </w:r>
    </w:p>
    <w:p>
      <w:pPr>
        <w:spacing w:after="0" w:line="200"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800" w:hanging="266"/>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increases in worldwide LNG production capacity and availability of LNG for market supply;</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increases in demand for natural gas but at levels below those required to maintain current price equilibrium with respect to supply;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increases in the cost to supply natural gas feedstock to our liquefaction projects;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increases in the cost to supply LNG feedstock to our Facilities;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decreases in the cost of competing sources of natural gas, LNG or alternate fuels such as coal, heavy fuel oil and ADO;</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decreases in the price of LNG; and</w:t>
      </w:r>
    </w:p>
    <w:p>
      <w:pPr>
        <w:spacing w:after="0" w:line="2" w:lineRule="exact"/>
        <w:rPr>
          <w:rFonts w:ascii="Arial" w:cs="Arial" w:eastAsia="Arial" w:hAnsi="Arial"/>
          <w:sz w:val="15"/>
          <w:szCs w:val="15"/>
          <w:color w:val="auto"/>
        </w:rPr>
      </w:pPr>
    </w:p>
    <w:p>
      <w:pPr>
        <w:ind w:left="800" w:hanging="266"/>
        <w:spacing w:after="0" w:line="248" w:lineRule="auto"/>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81" w:lineRule="exact"/>
        <w:rPr>
          <w:sz w:val="20"/>
          <w:szCs w:val="20"/>
          <w:color w:val="auto"/>
        </w:rPr>
      </w:pPr>
    </w:p>
    <w:p>
      <w:pPr>
        <w:ind w:right="100" w:firstLine="526"/>
        <w:spacing w:after="0" w:line="253" w:lineRule="auto"/>
        <w:rPr>
          <w:sz w:val="20"/>
          <w:szCs w:val="20"/>
          <w:color w:val="auto"/>
        </w:rPr>
      </w:pPr>
      <w:r>
        <w:rPr>
          <w:rFonts w:ascii="Arial" w:cs="Arial" w:eastAsia="Arial" w:hAnsi="Arial"/>
          <w:sz w:val="15"/>
          <w:szCs w:val="15"/>
          <w:color w:val="auto"/>
        </w:rPr>
        <w:t>In addition, we may not be able to successfully execute on our strategy to supply our existing and future customers with LNG produced primarily at our own Liquefaction Facilities upon completion of the Pennsylvania Facility. See “—We have not yet completed contracting, construction and commissioning of all of our Facilities and Liquefaction Facilities. There can be no assurance that our Facilities and Liquefaction Facilities will operate as expected, or at all.”</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part of our business development, we enter into non-binding agreements, and may not agree final definitive documents on similar terms or at all.</w:t>
      </w:r>
    </w:p>
    <w:p>
      <w:pPr>
        <w:spacing w:after="0" w:line="20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Our business development process includes entering into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As part of our efforts to reduce global carbon emissions, we are making investments in green hydrogen energy technologies. The innovative nature of these projects entails the risk that we may never realize the anticipated benefits we hope to achieve for the planet.</w:t>
      </w:r>
    </w:p>
    <w:p>
      <w:pPr>
        <w:spacing w:after="0" w:line="170"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We are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our investment in H2Pro, an Israel-based company developing a novel, efficient, and low-cost green hydrogen production technology.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Technological innovation may impair the economic attractiveness of our projects.</w:t>
      </w:r>
    </w:p>
    <w:p>
      <w:pPr>
        <w:spacing w:after="0" w:line="200"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legislation and regulations could have a material adverse impact on our business, results of operations, financial condition, liquidity and prospects.</w:t>
      </w:r>
    </w:p>
    <w:p>
      <w:pPr>
        <w:spacing w:after="0" w:line="212" w:lineRule="exact"/>
        <w:rPr>
          <w:sz w:val="20"/>
          <w:szCs w:val="20"/>
          <w:color w:val="auto"/>
        </w:rPr>
      </w:pPr>
    </w:p>
    <w:p>
      <w:pPr>
        <w:jc w:val="both"/>
        <w:ind w:firstLine="526"/>
        <w:spacing w:after="0" w:line="265" w:lineRule="auto"/>
        <w:rPr>
          <w:sz w:val="20"/>
          <w:szCs w:val="20"/>
          <w:color w:val="auto"/>
        </w:rPr>
      </w:pPr>
      <w:r>
        <w:rPr>
          <w:rFonts w:ascii="Arial" w:cs="Arial" w:eastAsia="Arial" w:hAnsi="Arial"/>
          <w:sz w:val="14"/>
          <w:szCs w:val="14"/>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For example, in March 2021, an amendment to the Mexican Power Industry Law (</w:t>
      </w:r>
      <w:r>
        <w:rPr>
          <w:rFonts w:ascii="Arial" w:cs="Arial" w:eastAsia="Arial" w:hAnsi="Arial"/>
          <w:sz w:val="14"/>
          <w:szCs w:val="14"/>
          <w:i w:val="1"/>
          <w:iCs w:val="1"/>
          <w:color w:val="auto"/>
        </w:rPr>
        <w:t>Ley de la Industria Electrica</w:t>
      </w:r>
      <w:r>
        <w:rPr>
          <w:rFonts w:ascii="Arial" w:cs="Arial" w:eastAsia="Arial" w:hAnsi="Arial"/>
          <w:sz w:val="14"/>
          <w:szCs w:val="14"/>
          <w:color w:val="auto"/>
        </w:rPr>
        <w:t>) was published which would reduce the dispatch priority of privately-owned power plants compared to state-owned power plants in Mexico. The amendment is being challenged as unconstitutional, and a judge recently awarded a temporary injunction halting the implementation of the amendment. However, if the amendment is enforced against us, it could negatively affect our plant's dispatch and our revenue and results of operations.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Increasing trucking regulations may increase our costs and negatively impact our results of operations.</w:t>
      </w:r>
    </w:p>
    <w:p>
      <w:pPr>
        <w:spacing w:after="0" w:line="20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67" w:lineRule="exact"/>
        <w:rPr>
          <w:sz w:val="20"/>
          <w:szCs w:val="20"/>
          <w:color w:val="auto"/>
        </w:rPr>
      </w:pPr>
    </w:p>
    <w:p>
      <w:pPr>
        <w:jc w:val="both"/>
        <w:ind w:firstLine="526"/>
        <w:spacing w:after="0" w:line="293" w:lineRule="auto"/>
        <w:rPr>
          <w:sz w:val="20"/>
          <w:szCs w:val="20"/>
          <w:color w:val="auto"/>
        </w:rPr>
      </w:pPr>
      <w:r>
        <w:rPr>
          <w:rFonts w:ascii="Arial" w:cs="Arial" w:eastAsia="Arial" w:hAnsi="Arial"/>
          <w:sz w:val="13"/>
          <w:szCs w:val="13"/>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155"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246"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We have obtained long-term leases and corresponding rights-of-way agreements with respect to the land on which the Jamaica Facilities, the pipeline connecting the Montego Bay Facility to the Bogue Power Plant (as defined herein),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Facilities.</w:t>
      </w:r>
    </w:p>
    <w:p>
      <w:pPr>
        <w:spacing w:after="0" w:line="153"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223"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rely on the operation of tankers under our time charters and ship-to-ship kits to transfer LNG between ships. The operation of ocean-going tankers and kits carries inherent risks.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These risks include the possibility of:</w:t>
      </w:r>
    </w:p>
    <w:p>
      <w:pPr>
        <w:spacing w:after="0" w:line="190" w:lineRule="exact"/>
        <w:rPr>
          <w:sz w:val="20"/>
          <w:szCs w:val="20"/>
          <w:color w:val="auto"/>
        </w:rPr>
      </w:pPr>
    </w:p>
    <w:p>
      <w:pPr>
        <w:ind w:left="800" w:hanging="266"/>
        <w:spacing w:after="0"/>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natural disasters;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mechanical failures;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grounding, fire, explosions and collisions;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piracy;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human error;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war and terrorism.</w:t>
      </w:r>
    </w:p>
    <w:p>
      <w:pPr>
        <w:spacing w:after="0" w:line="19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80" w:lineRule="exact"/>
        <w:rPr>
          <w:sz w:val="20"/>
          <w:szCs w:val="20"/>
          <w:color w:val="auto"/>
        </w:rPr>
      </w:pPr>
    </w:p>
    <w:p>
      <w:pPr>
        <w:jc w:val="both"/>
        <w:ind w:right="20"/>
        <w:spacing w:after="0" w:line="263" w:lineRule="auto"/>
        <w:rPr>
          <w:sz w:val="20"/>
          <w:szCs w:val="20"/>
          <w:color w:val="auto"/>
        </w:rPr>
      </w:pPr>
      <w:r>
        <w:rPr>
          <w:rFonts w:ascii="Arial" w:cs="Arial" w:eastAsia="Arial" w:hAnsi="Arial"/>
          <w:sz w:val="15"/>
          <w:szCs w:val="15"/>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Cargoes of LNG and our chartered vessels are at risk of being damaged or lost because of events such as:</w:t>
      </w:r>
    </w:p>
    <w:p>
      <w:pPr>
        <w:spacing w:after="0" w:line="200" w:lineRule="exact"/>
        <w:rPr>
          <w:sz w:val="20"/>
          <w:szCs w:val="20"/>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marine disasters;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piracy;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bad weather;</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mechanical failures;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environmental accidents;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grounding, fire, explosions and collisions;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human error;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war and terrorism.</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 accident involving our cargoes or any of our chartered vessels could result in any of the following:</w:t>
      </w:r>
    </w:p>
    <w:p>
      <w:pPr>
        <w:spacing w:after="0" w:line="200" w:lineRule="exact"/>
        <w:rPr>
          <w:sz w:val="20"/>
          <w:szCs w:val="20"/>
          <w:color w:val="auto"/>
        </w:rPr>
      </w:pPr>
    </w:p>
    <w:p>
      <w:pPr>
        <w:ind w:left="800" w:hanging="266"/>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death or injury to persons, loss of property or environmental damage;</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delays in the delivery of cargo;</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loss of revenues;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termination of charter contracts;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governmental fines, penalties or restrictions on conducting business;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higher insurance rates;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damage to our reputation and customer relationships generally.</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of these circumstances or events could increase our costs or lower our revenues.</w:t>
      </w:r>
    </w:p>
    <w:p>
      <w:pPr>
        <w:spacing w:after="0" w:line="20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These risks also affect Hygo and GMLP and would remain relevant following the Proposed Mergers.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Our chartered vessels operating in certain jurisdictions including the United States, now or in the future, will be subject to cabotage laws including the Merchant Marine Act of 1920, as amended (the “Jones Act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w:t>
      </w:r>
    </w:p>
    <w:p>
      <w:pPr>
        <w:spacing w:after="0" w:line="170"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3"/>
          <w:szCs w:val="13"/>
          <w:color w:val="auto"/>
        </w:rPr>
        <w:t>Certain activities related to our logistics and shipping operations may constitute “coastwise trade” within the meaning of laws and regulations of the U.S. and other jurisdictions.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 These risks also affect Hygo and GMLP and would remain relevant following the Proposed Mergers.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4" w:name="page35"/>
    <w:bookmarkEnd w:id="3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720"/>
        <w:spacing w:after="0" w:line="263" w:lineRule="auto"/>
        <w:rPr>
          <w:sz w:val="20"/>
          <w:szCs w:val="20"/>
          <w:color w:val="auto"/>
        </w:rPr>
      </w:pPr>
      <w:r>
        <w:rPr>
          <w:rFonts w:ascii="Arial" w:cs="Arial" w:eastAsia="Arial" w:hAnsi="Arial"/>
          <w:sz w:val="15"/>
          <w:szCs w:val="15"/>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70" w:lineRule="exact"/>
        <w:rPr>
          <w:sz w:val="20"/>
          <w:szCs w:val="20"/>
          <w:color w:val="auto"/>
        </w:rPr>
      </w:pPr>
    </w:p>
    <w:p>
      <w:pPr>
        <w:jc w:val="both"/>
        <w:ind w:firstLine="526"/>
        <w:spacing w:after="0" w:line="265" w:lineRule="auto"/>
        <w:rPr>
          <w:sz w:val="20"/>
          <w:szCs w:val="20"/>
          <w:color w:val="auto"/>
        </w:rPr>
      </w:pPr>
      <w:r>
        <w:rPr>
          <w:rFonts w:ascii="Arial" w:cs="Arial" w:eastAsia="Arial" w:hAnsi="Arial"/>
          <w:sz w:val="14"/>
          <w:szCs w:val="14"/>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72"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53"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70"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164" w:lineRule="exact"/>
        <w:rPr>
          <w:sz w:val="20"/>
          <w:szCs w:val="20"/>
          <w:color w:val="auto"/>
        </w:rPr>
      </w:pPr>
    </w:p>
    <w:p>
      <w:pPr>
        <w:ind w:left="800" w:hanging="266"/>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inadequate number of shipyards constructing LNG tankers and a backlog of orders at these shipyards;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political or economic disturbances in the countries where the tankers are being constructed; changes in governmental regulations or maritime self-regulatory organizations;</w:t>
      </w:r>
    </w:p>
    <w:p>
      <w:pPr>
        <w:spacing w:after="0" w:line="25" w:lineRule="exact"/>
        <w:rPr>
          <w:rFonts w:ascii="Arial" w:cs="Arial" w:eastAsia="Arial" w:hAnsi="Arial"/>
          <w:sz w:val="13"/>
          <w:szCs w:val="13"/>
          <w:color w:val="auto"/>
        </w:rPr>
      </w:pPr>
    </w:p>
    <w:p>
      <w:pPr>
        <w:ind w:left="800" w:hanging="266"/>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work stoppages or other labor disturbances at the shipyards, including as a result of the COVID-19 pandemic;</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bankruptcy or other financial crisis of shipbuilders;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quality or engineering problems;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weather interference or a catastrophic event, such as a major earthquake, tsunami or fire; or</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shortages of or delays in the receipt of necessary construction materials.</w:t>
      </w:r>
    </w:p>
    <w:p>
      <w:pPr>
        <w:spacing w:after="0" w:line="19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5" w:name="page36"/>
    <w:bookmarkEnd w:id="3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Competition in the LNG industry is intense, and some of our competitors have greater financial, technological and other resources than we currently possess.</w:t>
      </w:r>
    </w:p>
    <w:p>
      <w:pPr>
        <w:spacing w:after="0" w:line="200"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7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facilities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of LNG to be a competitive source of energy in the markets in which we operate, and seek to operate, could adversely affect our expansion strategy.</w:t>
      </w:r>
    </w:p>
    <w:p>
      <w:pPr>
        <w:spacing w:after="0" w:line="20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OPEC have significantly impacted energy markets, and the price of oil has recently traded at historic low prices.</w:t>
      </w:r>
    </w:p>
    <w:p>
      <w:pPr>
        <w:spacing w:after="0" w:line="153"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164"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18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use of hedging arrangements may adversely affect our future operating results or liquidity.</w:t>
      </w:r>
    </w:p>
    <w:p>
      <w:pPr>
        <w:spacing w:after="0" w:line="20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78" w:lineRule="exact"/>
        <w:rPr>
          <w:sz w:val="20"/>
          <w:szCs w:val="20"/>
          <w:color w:val="auto"/>
        </w:rPr>
      </w:pPr>
    </w:p>
    <w:p>
      <w:pPr>
        <w:ind w:left="800" w:hanging="266"/>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expected supply is less than the amount hedged;</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counterparty to the hedging contract defaults on its contractual obligations; or</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there is a change in the expected differential between the underlying price in the hedging agreement and actual prices received.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6" w:name="page37"/>
    <w:bookmarkEnd w:id="3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180" w:firstLine="526"/>
        <w:spacing w:after="0" w:line="253" w:lineRule="auto"/>
        <w:rPr>
          <w:sz w:val="20"/>
          <w:szCs w:val="20"/>
          <w:color w:val="auto"/>
        </w:rPr>
      </w:pPr>
      <w:r>
        <w:rPr>
          <w:rFonts w:ascii="Arial" w:cs="Arial" w:eastAsia="Arial" w:hAnsi="Arial"/>
          <w:sz w:val="15"/>
          <w:szCs w:val="15"/>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0" w:lineRule="exact"/>
        <w:rPr>
          <w:sz w:val="20"/>
          <w:szCs w:val="20"/>
          <w:color w:val="auto"/>
        </w:rPr>
      </w:pPr>
    </w:p>
    <w:p>
      <w:pPr>
        <w:jc w:val="both"/>
        <w:ind w:firstLine="526"/>
        <w:spacing w:after="0" w:line="289" w:lineRule="auto"/>
        <w:rPr>
          <w:sz w:val="20"/>
          <w:szCs w:val="20"/>
          <w:color w:val="auto"/>
        </w:rPr>
      </w:pPr>
      <w:r>
        <w:rPr>
          <w:rFonts w:ascii="Arial" w:cs="Arial" w:eastAsia="Arial" w:hAnsi="Arial"/>
          <w:sz w:val="13"/>
          <w:szCs w:val="13"/>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 There can be no assurance that we will complete the Pennsylvania Facility or be able to supply our Facilities and the CHP Plant with LNG produced at our own Liquefaction Facilities. Even if we do complete the Pennsylvania Facility, there can be no assurance that it will operate as expected or that we will succeed in our goal of reducing the risk to our operations of future LNG price variations.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increased labor costs, and the unavailability of skilled workers or our failure to attract and retain qualified personnel could adversely affect us.</w:t>
      </w:r>
    </w:p>
    <w:p>
      <w:pPr>
        <w:spacing w:after="0" w:line="212"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246"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The substantial majority of our anticipated revenue in 2021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Facilities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impairments to long-lived assets.</w:t>
      </w:r>
    </w:p>
    <w:p>
      <w:pPr>
        <w:spacing w:after="0" w:line="20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jc w:val="both"/>
        <w:ind w:right="140"/>
        <w:spacing w:after="0" w:line="253" w:lineRule="auto"/>
        <w:rPr>
          <w:sz w:val="20"/>
          <w:szCs w:val="20"/>
          <w:color w:val="auto"/>
        </w:rPr>
      </w:pPr>
      <w:r>
        <w:rPr>
          <w:rFonts w:ascii="Arial" w:cs="Arial" w:eastAsia="Arial" w:hAnsi="Arial"/>
          <w:sz w:val="15"/>
          <w:szCs w:val="15"/>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78"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3"/>
          <w:szCs w:val="13"/>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70"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69"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until August 12, 2022, 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172"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173"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3"/>
          <w:szCs w:val="13"/>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8" w:name="page39"/>
    <w:bookmarkEnd w:id="3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40" w:firstLine="526"/>
        <w:spacing w:after="0" w:line="293" w:lineRule="auto"/>
        <w:rPr>
          <w:sz w:val="20"/>
          <w:szCs w:val="20"/>
          <w:color w:val="auto"/>
        </w:rPr>
      </w:pPr>
      <w:r>
        <w:rPr>
          <w:rFonts w:ascii="Arial" w:cs="Arial" w:eastAsia="Arial" w:hAnsi="Arial"/>
          <w:sz w:val="13"/>
          <w:szCs w:val="13"/>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55"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The European Market Infrastructure Regulation (“EMIR”)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167"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Our subsidiaries and affiliates operating in the Caribbean may be subject to the Regulation on Wholesale Energy Market Integrity and Transparency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70" w:lineRule="exact"/>
        <w:rPr>
          <w:sz w:val="20"/>
          <w:szCs w:val="20"/>
          <w:color w:val="auto"/>
        </w:rPr>
      </w:pPr>
    </w:p>
    <w:p>
      <w:pPr>
        <w:jc w:val="both"/>
        <w:ind w:firstLine="526"/>
        <w:spacing w:after="0" w:line="285" w:lineRule="auto"/>
        <w:rPr>
          <w:sz w:val="20"/>
          <w:szCs w:val="20"/>
          <w:color w:val="auto"/>
        </w:rPr>
      </w:pPr>
      <w:r>
        <w:rPr>
          <w:rFonts w:ascii="Arial" w:cs="Arial" w:eastAsia="Arial" w:hAnsi="Arial"/>
          <w:sz w:val="13"/>
          <w:szCs w:val="13"/>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NEPA regulations; however, the regulations, which would become effective 60 days after publication, have been challenged in court, and thus the impacts of any such revisions are uncertain at this time.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The matter was raised during a FERC open meeting held on January 19, 2021 but was not resolved, is on the agenda during the FERC open meeting to be held on March 18, 2021, and remains pending. We do not know if or when FERC will respond to our reply, or the outcome of any such response. Although FERC has civil penalty authority and the authority to authorize the siting, construction, and operation of jurisdictional LNG facilities, we do not know, nor has FERC indicated, what remedy FERC may require if FERC determines that our San Juan Facility is subject to FERC’s Section 3 jurisdiction. In addition, we may be subject to additional requirements and new regulations by relevant authorities in Jamaica, Mexico, Ireland, Nicaragua, Brazil or other jurisdictions, including with respect to land use approvals and permits needed to construct and operate our facilities and sell LNG and power.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40" w:firstLine="526"/>
        <w:spacing w:after="0" w:line="290" w:lineRule="auto"/>
        <w:rPr>
          <w:sz w:val="20"/>
          <w:szCs w:val="20"/>
          <w:color w:val="auto"/>
        </w:rPr>
      </w:pPr>
      <w:r>
        <w:rPr>
          <w:rFonts w:ascii="Arial" w:cs="Arial" w:eastAsia="Arial" w:hAnsi="Arial"/>
          <w:sz w:val="13"/>
          <w:szCs w:val="13"/>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246"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3"/>
          <w:szCs w:val="13"/>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156"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78"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72" w:lineRule="exact"/>
        <w:rPr>
          <w:sz w:val="20"/>
          <w:szCs w:val="20"/>
          <w:color w:val="auto"/>
        </w:rPr>
      </w:pPr>
    </w:p>
    <w:p>
      <w:pPr>
        <w:jc w:val="both"/>
        <w:ind w:firstLine="526"/>
        <w:spacing w:after="0" w:line="293" w:lineRule="auto"/>
        <w:rPr>
          <w:sz w:val="20"/>
          <w:szCs w:val="20"/>
          <w:color w:val="auto"/>
        </w:rPr>
      </w:pPr>
      <w:r>
        <w:rPr>
          <w:rFonts w:ascii="Arial" w:cs="Arial" w:eastAsia="Arial" w:hAnsi="Arial"/>
          <w:sz w:val="13"/>
          <w:szCs w:val="13"/>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55" w:lineRule="exact"/>
        <w:rPr>
          <w:sz w:val="20"/>
          <w:szCs w:val="20"/>
          <w:color w:val="auto"/>
        </w:rPr>
      </w:pPr>
    </w:p>
    <w:p>
      <w:pPr>
        <w:jc w:val="both"/>
        <w:ind w:firstLine="526"/>
        <w:spacing w:after="0" w:line="280" w:lineRule="auto"/>
        <w:rPr>
          <w:sz w:val="20"/>
          <w:szCs w:val="20"/>
          <w:color w:val="auto"/>
        </w:rPr>
      </w:pPr>
      <w:r>
        <w:rPr>
          <w:rFonts w:ascii="Arial" w:cs="Arial" w:eastAsia="Arial" w:hAnsi="Arial"/>
          <w:sz w:val="14"/>
          <w:szCs w:val="14"/>
          <w:i w:val="1"/>
          <w:iCs w:val="1"/>
          <w:color w:val="auto"/>
        </w:rPr>
        <w:t xml:space="preserve">Greenhouse Gases/Climate Change. </w:t>
      </w:r>
      <w:r>
        <w:rPr>
          <w:rFonts w:ascii="Arial" w:cs="Arial" w:eastAsia="Arial" w:hAnsi="Arial"/>
          <w:sz w:val="14"/>
          <w:szCs w:val="14"/>
          <w:color w:val="auto"/>
        </w:rPr>
        <w:t>The threat of climate change continues to attract considerable attention in the United States and in foreign countries. Numerous proposals have</w:t>
      </w:r>
      <w:r>
        <w:rPr>
          <w:rFonts w:ascii="Arial" w:cs="Arial" w:eastAsia="Arial" w:hAnsi="Arial"/>
          <w:sz w:val="14"/>
          <w:szCs w:val="14"/>
          <w:i w:val="1"/>
          <w:iCs w:val="1"/>
          <w:color w:val="auto"/>
        </w:rPr>
        <w:t xml:space="preserve"> </w:t>
      </w:r>
      <w:r>
        <w:rPr>
          <w:rFonts w:ascii="Arial" w:cs="Arial" w:eastAsia="Arial" w:hAnsi="Arial"/>
          <w:sz w:val="14"/>
          <w:szCs w:val="14"/>
          <w:color w:val="auto"/>
        </w:rPr>
        <w:t>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0" w:name="page41"/>
    <w:bookmarkEnd w:id="4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ind w:right="40" w:firstLine="526"/>
        <w:spacing w:after="0" w:line="269" w:lineRule="auto"/>
        <w:rPr>
          <w:sz w:val="20"/>
          <w:szCs w:val="20"/>
          <w:color w:val="auto"/>
        </w:rPr>
      </w:pPr>
      <w:r>
        <w:rPr>
          <w:rFonts w:ascii="Arial" w:cs="Arial" w:eastAsia="Arial" w:hAnsi="Arial"/>
          <w:sz w:val="14"/>
          <w:szCs w:val="14"/>
          <w:color w:val="auto"/>
        </w:rPr>
        <w:t>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Ireland, Mexico, and Nicaragua, have signed or acceded to this agreement. However, the scope of future climate and GHG emissions-focused regulatory requirements, if any, remain uncertain.</w:t>
      </w:r>
    </w:p>
    <w:p>
      <w:pPr>
        <w:spacing w:after="0" w:line="167"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Governmental, scientific, and public concern over the threat of climate change arising from GHG emissions has resulted in increasing political uncertainty in the United States.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although the U.S. has withdrawn from the Paris Agreement, President Biden has issued executive orders recommitting the U.S. to the Paris Agreement and calling for for the federal government to begin formulating the United States nationally determined emissions reductions goal under the agreement with the U.S. recommitting to the Paris Agreement, executive orders may be issued or federal legislation or regulatory initiatives may be adopted to achieve the Paris Agreement’s goals.</w:t>
      </w:r>
    </w:p>
    <w:p>
      <w:pPr>
        <w:spacing w:after="0" w:line="167"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64"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49"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183"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i w:val="1"/>
          <w:iCs w:val="1"/>
          <w:color w:val="auto"/>
        </w:rPr>
        <w:t xml:space="preserve">Fossil Fuels. </w:t>
      </w:r>
      <w:r>
        <w:rPr>
          <w:rFonts w:ascii="Arial" w:cs="Arial" w:eastAsia="Arial" w:hAnsi="Arial"/>
          <w:sz w:val="15"/>
          <w:szCs w:val="15"/>
          <w:color w:val="auto"/>
        </w:rPr>
        <w:t>Our business activities depend upon a sufficient and reliable supply of natural gas feedstock, and are therefore subject to concerns in certain sectors of the public about</w:t>
      </w:r>
      <w:r>
        <w:rPr>
          <w:rFonts w:ascii="Arial" w:cs="Arial" w:eastAsia="Arial" w:hAnsi="Arial"/>
          <w:sz w:val="15"/>
          <w:szCs w:val="15"/>
          <w:i w:val="1"/>
          <w:iCs w:val="1"/>
          <w:color w:val="auto"/>
        </w:rPr>
        <w:t xml:space="preserve"> </w:t>
      </w:r>
      <w:r>
        <w:rPr>
          <w:rFonts w:ascii="Arial" w:cs="Arial" w:eastAsia="Arial" w:hAnsi="Arial"/>
          <w:sz w:val="15"/>
          <w:szCs w:val="15"/>
          <w:color w:val="auto"/>
        </w:rPr>
        <w:t>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180" w:lineRule="exact"/>
        <w:rPr>
          <w:sz w:val="20"/>
          <w:szCs w:val="20"/>
          <w:color w:val="auto"/>
        </w:rPr>
      </w:pPr>
    </w:p>
    <w:p>
      <w:pPr>
        <w:jc w:val="both"/>
        <w:ind w:firstLine="526"/>
        <w:spacing w:after="0" w:line="299" w:lineRule="auto"/>
        <w:rPr>
          <w:sz w:val="20"/>
          <w:szCs w:val="20"/>
          <w:color w:val="auto"/>
        </w:rPr>
      </w:pPr>
      <w:r>
        <w:rPr>
          <w:rFonts w:ascii="Arial" w:cs="Arial" w:eastAsia="Arial" w:hAnsi="Arial"/>
          <w:sz w:val="14"/>
          <w:szCs w:val="14"/>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47" w:lineRule="exact"/>
        <w:rPr>
          <w:sz w:val="20"/>
          <w:szCs w:val="20"/>
          <w:color w:val="auto"/>
        </w:rPr>
      </w:pPr>
    </w:p>
    <w:p>
      <w:pPr>
        <w:jc w:val="both"/>
        <w:ind w:firstLine="526"/>
        <w:spacing w:after="0" w:line="288" w:lineRule="auto"/>
        <w:rPr>
          <w:sz w:val="20"/>
          <w:szCs w:val="20"/>
          <w:color w:val="auto"/>
        </w:rPr>
      </w:pPr>
      <w:r>
        <w:rPr>
          <w:rFonts w:ascii="Arial" w:cs="Arial" w:eastAsia="Arial" w:hAnsi="Arial"/>
          <w:sz w:val="13"/>
          <w:szCs w:val="13"/>
          <w:i w:val="1"/>
          <w:iCs w:val="1"/>
          <w:color w:val="auto"/>
        </w:rPr>
        <w:t xml:space="preserve">Hydraulic Fracturing. </w:t>
      </w:r>
      <w:r>
        <w:rPr>
          <w:rFonts w:ascii="Arial" w:cs="Arial" w:eastAsia="Arial" w:hAnsi="Arial"/>
          <w:sz w:val="13"/>
          <w:szCs w:val="13"/>
          <w:color w:val="auto"/>
        </w:rPr>
        <w:t>Certain of our suppliers of natural gas and LNG employ hydraulic fracturing techniques to stimulate natural gas production from unconventional geological</w:t>
      </w:r>
      <w:r>
        <w:rPr>
          <w:rFonts w:ascii="Arial" w:cs="Arial" w:eastAsia="Arial" w:hAnsi="Arial"/>
          <w:sz w:val="13"/>
          <w:szCs w:val="13"/>
          <w:i w:val="1"/>
          <w:iCs w:val="1"/>
          <w:color w:val="auto"/>
        </w:rPr>
        <w:t xml:space="preserve"> </w:t>
      </w:r>
      <w:r>
        <w:rPr>
          <w:rFonts w:ascii="Arial" w:cs="Arial" w:eastAsia="Arial" w:hAnsi="Arial"/>
          <w:sz w:val="13"/>
          <w:szCs w:val="13"/>
          <w:color w:val="auto"/>
        </w:rPr>
        <w:t>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considered adopting land use restrictions, such as city ordinances, that may restrict the performance of or prohibit the well drilling in general and/or hydraulic fracturing in particular.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1" w:name="page42"/>
    <w:bookmarkEnd w:id="4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firstLine="526"/>
        <w:spacing w:after="0" w:line="289" w:lineRule="auto"/>
        <w:rPr>
          <w:sz w:val="20"/>
          <w:szCs w:val="20"/>
          <w:color w:val="auto"/>
        </w:rPr>
      </w:pPr>
      <w:r>
        <w:rPr>
          <w:rFonts w:ascii="Arial" w:cs="Arial" w:eastAsia="Arial" w:hAnsi="Arial"/>
          <w:sz w:val="13"/>
          <w:szCs w:val="13"/>
          <w:color w:val="auto"/>
        </w:rPr>
        <w:t xml:space="preserve">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w:t>
      </w:r>
      <w:r>
        <w:rPr>
          <w:rFonts w:ascii="Arial" w:cs="Arial" w:eastAsia="Arial" w:hAnsi="Arial"/>
          <w:sz w:val="13"/>
          <w:szCs w:val="13"/>
          <w:i w:val="1"/>
          <w:iCs w:val="1"/>
          <w:color w:val="auto"/>
        </w:rPr>
        <w:t>de facto</w:t>
      </w:r>
      <w:r>
        <w:rPr>
          <w:rFonts w:ascii="Arial" w:cs="Arial" w:eastAsia="Arial" w:hAnsi="Arial"/>
          <w:sz w:val="13"/>
          <w:szCs w:val="13"/>
          <w:color w:val="auto"/>
        </w:rPr>
        <w:t xml:space="preserve">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70" w:lineRule="exact"/>
        <w:rPr>
          <w:sz w:val="20"/>
          <w:szCs w:val="20"/>
          <w:color w:val="auto"/>
        </w:rPr>
      </w:pPr>
    </w:p>
    <w:p>
      <w:pPr>
        <w:jc w:val="both"/>
        <w:ind w:firstLine="526"/>
        <w:spacing w:after="0" w:line="289" w:lineRule="auto"/>
        <w:rPr>
          <w:sz w:val="20"/>
          <w:szCs w:val="20"/>
          <w:color w:val="auto"/>
        </w:rPr>
      </w:pPr>
      <w:r>
        <w:rPr>
          <w:rFonts w:ascii="Arial" w:cs="Arial" w:eastAsia="Arial" w:hAnsi="Arial"/>
          <w:sz w:val="13"/>
          <w:szCs w:val="13"/>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156"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72"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60" w:firstLine="526"/>
        <w:spacing w:after="0" w:line="250" w:lineRule="auto"/>
        <w:rPr>
          <w:sz w:val="20"/>
          <w:szCs w:val="20"/>
          <w:color w:val="auto"/>
        </w:rPr>
      </w:pPr>
      <w:r>
        <w:rPr>
          <w:rFonts w:ascii="Arial" w:cs="Arial" w:eastAsia="Arial" w:hAnsi="Arial"/>
          <w:sz w:val="15"/>
          <w:szCs w:val="15"/>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Jurisdictions in Which We Operate</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70"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We currently conduct a meaningful portion of our business in Jamaica and Puerto Rico. As a result, our current business, results of operations, financial condition and prospects are materially dependent upon economic, political and other conditions and developments in Jamaica and Puerto Rico.</w:t>
      </w:r>
    </w:p>
    <w:p>
      <w:pPr>
        <w:spacing w:after="0" w:line="170" w:lineRule="exact"/>
        <w:rPr>
          <w:sz w:val="20"/>
          <w:szCs w:val="20"/>
          <w:color w:val="auto"/>
        </w:rPr>
      </w:pPr>
    </w:p>
    <w:p>
      <w:pPr>
        <w:jc w:val="both"/>
        <w:ind w:firstLine="526"/>
        <w:spacing w:after="0" w:line="288" w:lineRule="auto"/>
        <w:rPr>
          <w:sz w:val="20"/>
          <w:szCs w:val="20"/>
          <w:color w:val="auto"/>
        </w:rPr>
      </w:pPr>
      <w:r>
        <w:rPr>
          <w:rFonts w:ascii="Arial" w:cs="Arial" w:eastAsia="Arial" w:hAnsi="Arial"/>
          <w:sz w:val="13"/>
          <w:szCs w:val="13"/>
          <w:color w:val="auto"/>
        </w:rPr>
        <w:t>We currently have interests and operations in Jamaica and the United States (including Puerto Rico) and currently intend to expand into additional markets in the Caribbean, Mexico, Ireland,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w:t>
      </w:r>
    </w:p>
    <w:p>
      <w:pPr>
        <w:spacing w:after="0" w:line="158"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Puerto Rico or other jurisdictions in which we operate worsens because of, for example:</w:t>
      </w:r>
    </w:p>
    <w:p>
      <w:pPr>
        <w:spacing w:after="0" w:line="178" w:lineRule="exact"/>
        <w:rPr>
          <w:sz w:val="20"/>
          <w:szCs w:val="20"/>
          <w:color w:val="auto"/>
        </w:rPr>
      </w:pPr>
    </w:p>
    <w:p>
      <w:pPr>
        <w:ind w:left="800" w:hanging="266"/>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lower economic activity, including as a result of the COVID-19 pandemic which has significantly affected Jamaica’s and other jurisdictions’ tourism industries;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change in applicable laws;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increase in oil, natural gas or petrochemical prices;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devaluation of the applicable currency;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higher inflation; or</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increase in domestic interest rates,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then our business, results of operations, financial condition and prospects may also be significantly affected by actions taken by the government in the jurisdictions in which we operate. The COVID-19 pandemic has resulted in lower economic activity and a decrease in oil prices worldwide. Certain of the jurisdictions in which we operate have recently restricted travel, implemented workforce pressures, and experienced reduced business development, travel, hospitality and tourism due to COVID-19.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w:t>
      </w:r>
    </w:p>
    <w:p>
      <w:pPr>
        <w:spacing w:after="0" w:line="172"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For example, JPS and SJPC are subject to the mandate of the OUR. The OUR regulates the amount of money that power utilities in Jamaica, including JPS and SJPC,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development activities and future operations in Nicaragua may be materially affected by political, economic and other uncertainties.</w:t>
      </w:r>
    </w:p>
    <w:p>
      <w:pPr>
        <w:spacing w:after="0" w:line="20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Nicaragua has recently experienced political and economic challenges. Specifically, in 2018, U.S. legislation was approved to restrict U.S. aid to Nicaragua. In 2018, 2019 and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condition and operating results may be adversely affected by foreign exchange fluctuations.</w:t>
      </w:r>
    </w:p>
    <w:p>
      <w:pPr>
        <w:spacing w:after="0" w:line="200" w:lineRule="exact"/>
        <w:rPr>
          <w:sz w:val="20"/>
          <w:szCs w:val="20"/>
          <w:color w:val="auto"/>
        </w:rPr>
      </w:pPr>
    </w:p>
    <w:p>
      <w:pPr>
        <w:jc w:val="both"/>
        <w:ind w:firstLine="526"/>
        <w:spacing w:after="0" w:line="280" w:lineRule="auto"/>
        <w:rPr>
          <w:sz w:val="20"/>
          <w:szCs w:val="20"/>
          <w:color w:val="auto"/>
        </w:rPr>
      </w:pPr>
      <w:r>
        <w:rPr>
          <w:rFonts w:ascii="Arial" w:cs="Arial" w:eastAsia="Arial" w:hAnsi="Arial"/>
          <w:sz w:val="14"/>
          <w:szCs w:val="14"/>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6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53" w:lineRule="exact"/>
        <w:rPr>
          <w:sz w:val="20"/>
          <w:szCs w:val="20"/>
          <w:color w:val="auto"/>
        </w:rPr>
      </w:pPr>
    </w:p>
    <w:p>
      <w:pPr>
        <w:jc w:val="both"/>
        <w:spacing w:after="0" w:line="340" w:lineRule="auto"/>
        <w:rPr>
          <w:sz w:val="20"/>
          <w:szCs w:val="20"/>
          <w:color w:val="auto"/>
        </w:rPr>
      </w:pPr>
      <w:r>
        <w:rPr>
          <w:rFonts w:ascii="Arial" w:cs="Arial" w:eastAsia="Arial" w:hAnsi="Arial"/>
          <w:sz w:val="13"/>
          <w:szCs w:val="13"/>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125"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183"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change in tax laws in any country in which we operate could adversely affect us.</w:t>
      </w:r>
    </w:p>
    <w:p>
      <w:pPr>
        <w:spacing w:after="0" w:line="20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Hygo’s Business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Hygo has commenced commercial operations at one facility. Hygo’s other planned facilities are in various stages of contracting customers, construction, permitting and commissioning.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can be no assurance that Hygo’s planned facilities will commence operations timely, or at all.</w:t>
      </w:r>
    </w:p>
    <w:p>
      <w:pPr>
        <w:spacing w:after="0" w:line="19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 xml:space="preserve">Hygo’s Sergipe Facility commenced commercial operations in March 2020. However, Hygo has not yet commenced commercial operations or entered into binding construction contracts or obtained all necessary environmental, regulatory, construction and zoning permissions for any of its other facilities. Hygo may convert the </w:t>
      </w:r>
      <w:r>
        <w:rPr>
          <w:rFonts w:ascii="Arial" w:cs="Arial" w:eastAsia="Arial" w:hAnsi="Arial"/>
          <w:sz w:val="14"/>
          <w:szCs w:val="14"/>
          <w:i w:val="1"/>
          <w:iCs w:val="1"/>
          <w:color w:val="auto"/>
        </w:rPr>
        <w:t>Golar Celsius</w:t>
      </w:r>
      <w:r>
        <w:rPr>
          <w:rFonts w:ascii="Arial" w:cs="Arial" w:eastAsia="Arial" w:hAnsi="Arial"/>
          <w:sz w:val="14"/>
          <w:szCs w:val="14"/>
          <w:color w:val="auto"/>
        </w:rPr>
        <w:t xml:space="preserve"> or the </w:t>
      </w:r>
      <w:r>
        <w:rPr>
          <w:rFonts w:ascii="Arial" w:cs="Arial" w:eastAsia="Arial" w:hAnsi="Arial"/>
          <w:sz w:val="14"/>
          <w:szCs w:val="14"/>
          <w:i w:val="1"/>
          <w:iCs w:val="1"/>
          <w:color w:val="auto"/>
        </w:rPr>
        <w:t>Golar Penguin</w:t>
      </w:r>
      <w:r>
        <w:rPr>
          <w:rFonts w:ascii="Arial" w:cs="Arial" w:eastAsia="Arial" w:hAnsi="Arial"/>
          <w:sz w:val="14"/>
          <w:szCs w:val="14"/>
          <w:color w:val="auto"/>
        </w:rPr>
        <w:t xml:space="preserve"> into a FSRU to service its Barcarena Facility, but has not yet reached final investment decision for the deployment and conversion of such vessel. In addition, although Hygo has been awarded environmental and regulatory licenses for its Santa Catarina Facility, Hygo has not secured any commercial projects nor obtained all remaining necessary approvals. There can be no assurance that Hygo will be able to enter into the contracts required for the development of Hygo facilities on commercially favorable terms, if at all, or that Hygo will be able to obtain all of the environmental, regulatory, construction and zoning permissions Hygo needs in Brazil and elsewhere.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4" w:name="page45"/>
    <w:bookmarkEnd w:id="4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In particular, Hygo will require agreements with ports proximate to its facilities capable of handling the transload of LNG direct from its occupying vessel to its transportation assets. If Hygo is unable to enter into favorable contracts or to obtain the necessary regulatory and land use approvals on favorable terms, Hygo may not be able to construct and operate these assets as anticipated, or at all. In addition, to develop future projects Hygo will, in many cases, have to secure the use of suitable vessels and, as required, convert them. Finally, the construction of facilities is inherently subject to the risks of cost overruns and delays. For example, the construction of Hygo’s Sergipe Power Plant experienced a two-month delay related to the installation of various offshore equipment.</w:t>
      </w:r>
    </w:p>
    <w:p>
      <w:pPr>
        <w:spacing w:after="0" w:line="183"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If Hygo is unable to construct, commission and operate all of its facilities, or, when and if constructed, they do not accomplish their goals, or if Hygo experiences delays or cost overruns in construction, assuming the Hygo Merger has been consummated, our business, operating results, cash flows and liquidity could be materially and adversely affected. Expenses related to Hygo’s pursuit of contracts and regulatory approvals related to Hygo’s facilities still under development may be significant and will be incurred by Hygo regardless of whether these assets are ultimately constructed and operational.</w:t>
      </w:r>
    </w:p>
    <w:p>
      <w:pPr>
        <w:spacing w:after="0" w:line="180" w:lineRule="exact"/>
        <w:rPr>
          <w:sz w:val="20"/>
          <w:szCs w:val="20"/>
          <w:color w:val="auto"/>
        </w:rPr>
      </w:pPr>
    </w:p>
    <w:p>
      <w:pPr>
        <w:jc w:val="both"/>
        <w:spacing w:after="0" w:line="389" w:lineRule="auto"/>
        <w:rPr>
          <w:sz w:val="20"/>
          <w:szCs w:val="20"/>
          <w:color w:val="auto"/>
        </w:rPr>
      </w:pPr>
      <w:r>
        <w:rPr>
          <w:rFonts w:ascii="Arial" w:cs="Arial" w:eastAsia="Arial" w:hAnsi="Arial"/>
          <w:sz w:val="11"/>
          <w:szCs w:val="11"/>
          <w:b w:val="1"/>
          <w:bCs w:val="1"/>
          <w:i w:val="1"/>
          <w:iCs w:val="1"/>
          <w:color w:val="auto"/>
        </w:rPr>
        <w:t>There is no existing market in Brazil for the sale of LNG as a fuel source for trucking or vehicles generally. BR Distribuidora does not currently distribute, nor is obligated to commence distribution of, LNG through its distribution and fuel centers. Additionally, BR Distribuidora is not obligated to, and may not, convert any portion of its existing fleet of diesel trucks. Moreover, Hygo’s agreement with BR Distribuidora is subject to regulatory approval and other uncertainties. Hygo may be unable to realize the anticipated benefits of this partnership.</w:t>
      </w:r>
    </w:p>
    <w:p>
      <w:pPr>
        <w:spacing w:after="0" w:line="109"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The transportation industry in Brazil currently relies on traditional fuels such as gasoline and diesel. And although there is wide acknowledgement in the industry that LNG represents a less expensive and more environmentally friendly alternative to these fuels, no significant portion of the transportation industry is currently utilizing LNG. Hygo cannot predict when, or even if, any meaningful portion of the transportation industry within Brazil will convert to LNG powered vehicles. Hygo’s agreement with Petrobras Distribuidora S.A. (“BR Distribuidora”) does not contractually obligate it to convert any portion of its fleet of diesel trucks to LNG-powered vehicles. Unless and until there is a significant conversion to LNG-powered vehicles within Brazil, Hygo will not realize the anticipated benefits of Hygo’s partnership, which could adversely impact Hygo’s, and assuming the consummation of the Merger, our future revenues.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addition, Hygo’s activities with respect to the sale of LNG are subject to the approval of other regulatory authorities, including Agência Nacional de Petróleo, Gás Natural 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Biocombustíveis (“ANP”). There can be no assurance as to whether regulatory approvals will be received or that they will be granted in a timely manner. Until Hygo receives these approvals,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Hygo will be unable to make sales through BR Distribuidora’s distribution channels or other channels. Accordingly, Hygo has not yet made any sales pursuant to this arrangement.</w:t>
      </w: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Brazil and the Netherlands are conducting a joint investigation into allegations against Hygo’s former Chief Executive Officer, including allegations of improper payments made in Brazil.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outcome of this investigation could cause Hygo reputational harm or have a material adverse effect on Hygo’s business.</w:t>
      </w:r>
    </w:p>
    <w:p>
      <w:pPr>
        <w:spacing w:after="0" w:line="190" w:lineRule="exact"/>
        <w:rPr>
          <w:sz w:val="20"/>
          <w:szCs w:val="20"/>
          <w:color w:val="auto"/>
        </w:rPr>
      </w:pPr>
    </w:p>
    <w:p>
      <w:pPr>
        <w:jc w:val="both"/>
        <w:ind w:firstLine="526"/>
        <w:spacing w:after="0" w:line="289" w:lineRule="auto"/>
        <w:rPr>
          <w:sz w:val="20"/>
          <w:szCs w:val="20"/>
          <w:color w:val="auto"/>
        </w:rPr>
      </w:pPr>
      <w:r>
        <w:rPr>
          <w:rFonts w:ascii="Arial" w:cs="Arial" w:eastAsia="Arial" w:hAnsi="Arial"/>
          <w:sz w:val="13"/>
          <w:szCs w:val="13"/>
          <w:color w:val="auto"/>
        </w:rPr>
        <w:t>On September 23, 2020, Eduardo Antonello, Hygo’s former Chief Executive Officer, was named in a joint corruption investigation in Brazil and the Netherlands. Mauricio Carvalho, the majority shareholder of Evolution Power Partners S.A. (“Evolution”), Hygo’s joint venture partner in Centrais Elétricas Barcarena S.A. (“CELBA”), was also named in the investigation. In connection with the investigation, on September 23, 2020, Brazilian federal police executed search warrants on Hygo’s office in Brazil and certain of its joint ventures, and seized documents and electronic records and devices belonging to those entities relating to Mr. Antonello, Hygo and its joint ventures. On September 25, 2020, Hygo’s board of directors initiated an internal review with respect to Mr. Antonello’s conduct with respect to Hygo and its joint ventures. The board of directors was assisted in this review by outside counsel and accounting advisors. The review included forensic accounting work, review of certain contracts, interviews with certain company personnel and representatives, and review of internal audit material, certain corporate credit card expenses and Hygo’s anti-corruption policies. The board of directors of Hygo and its advisors did not identify any evidence establishing bribery or other corrupt conduct involving Hygo. In October 2020, before the review was completed, Mr. Antonello resigned as Chief Executive Officer and was replaced by Paul Hanrahan, who also joined the Hygo board of directors. The Hygo board of directors will continue its oversight and review of compliance procedures in accordance with the ethical and corporate governance standards established by applicable law.</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5" w:name="page46"/>
    <w:bookmarkEnd w:id="4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jc w:val="both"/>
        <w:ind w:firstLine="526"/>
        <w:spacing w:after="0" w:line="265" w:lineRule="auto"/>
        <w:rPr>
          <w:sz w:val="20"/>
          <w:szCs w:val="20"/>
          <w:color w:val="auto"/>
        </w:rPr>
      </w:pPr>
      <w:r>
        <w:rPr>
          <w:rFonts w:ascii="Arial" w:cs="Arial" w:eastAsia="Arial" w:hAnsi="Arial"/>
          <w:sz w:val="14"/>
          <w:szCs w:val="14"/>
          <w:color w:val="auto"/>
        </w:rPr>
        <w:t>The investigation is ongoing and Hygo will continue to monitor its progress. While Hygo has conducted its own internal investigation and did not identify evidence establishing bribery or other corrupt conduct involving Hygo, Hygo cannot predict when the investigation will be completed or the results of the investigation, including whether any litigation will arise out of, relating to, or in connection with the investigation or the extent of the impact that the investigation or any such litigation may have on Hygo’s business. Publicity or other events associating with Mr. Antonello or the investigation, regardless of their foundation or accuracy, could adversely affect Hygo’s and our reputation and Hygo’s ability to conduct Hygo’s business in Brazil and other jurisdictions. For example, Hygo may experience difficulties participating in public auctions and in some cases, may be disqualified, as was the case with respect to Hygo’s bid to lease Petrobras’s Bahìa Regasification Terminal (the “Bahìa Facility”). On September 30, 2020, Hygo’s subsidiary, Golar Power Comercializadora de Gás Natural Ltda. (“Golar Power Comercializadora”), participated in a public competitive bid process sponsored by Petrobras for the lease of the Bahìa Terminal. Although Golar Power Comercializadora was the only qualifying participant to submit a bid, in October 2020, Petrobras notified all participants that Golar Power Comercializadora was disqualified. Golar Power Comercializadora subsequently filed an administrative appeal before the Petrobras Bid Committee challenging the final result of the competitive process. In December 2020, Golar Power Comercializadora lost the appeal and was not awarded the bid for the Bahìa Facility.</w:t>
      </w:r>
    </w:p>
    <w:p>
      <w:pPr>
        <w:spacing w:after="0" w:line="17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Hygo’s cash flow will be dependent upon the ability of its operating subsidiaries and joint ventures to make cash distributions to Hygo, the amount of which will depend on various factors.</w:t>
      </w:r>
    </w:p>
    <w:p>
      <w:pPr>
        <w:spacing w:after="0" w:line="246"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Hygo currently anticipates that a major source of Hygo’s earnings will be cash distributions from Hygo’s operating subsidiaries and joint ventures. The amount of cash that Hygo’s operating subsidiaries and joint ventures can distribute each quarter to their owners, including Hygo, principally depends upon the amount of cash they generate from their operations, which will fluctuate from quarter to quarter based on, among other things:</w:t>
      </w:r>
    </w:p>
    <w:p>
      <w:pPr>
        <w:spacing w:after="0" w:line="178" w:lineRule="exact"/>
        <w:rPr>
          <w:sz w:val="20"/>
          <w:szCs w:val="20"/>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amount of LNG or natural gas sold to customers;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market price of LNG;</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level of dispatch of the Sergipe Power Plant and Hygo’s future power plants;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restrictions on the payment of distributions contained in covenants in their financing arrangements and joint venture agreements;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levels of investments in each of Hygo’s operating subsidiaries, which may be limited and disparate;</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levels of operating expenses, maintenance expenses and general and administrative expenses;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regulatory action affecting: (i) the supply of, or demand for electricity in Brazil, (ii) operating costs and operating flexibility;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prevailing economic conditions.</w:t>
      </w:r>
    </w:p>
    <w:p>
      <w:pPr>
        <w:spacing w:after="0" w:line="190" w:lineRule="exact"/>
        <w:rPr>
          <w:sz w:val="20"/>
          <w:szCs w:val="20"/>
          <w:color w:val="auto"/>
        </w:rPr>
      </w:pPr>
    </w:p>
    <w:p>
      <w:pPr>
        <w:jc w:val="both"/>
        <w:ind w:firstLine="526"/>
        <w:spacing w:after="0" w:line="280" w:lineRule="auto"/>
        <w:rPr>
          <w:sz w:val="20"/>
          <w:szCs w:val="20"/>
          <w:color w:val="auto"/>
        </w:rPr>
      </w:pPr>
      <w:r>
        <w:rPr>
          <w:rFonts w:ascii="Arial" w:cs="Arial" w:eastAsia="Arial" w:hAnsi="Arial"/>
          <w:sz w:val="14"/>
          <w:szCs w:val="14"/>
          <w:color w:val="auto"/>
        </w:rPr>
        <w:t>Hygo’s facilities may be impacted by operational issues and delays. For example, in September 2020, the Sergipe Power Plant experienced transformer failures impacting its ability to dispatch at 100%, which have not yet been resolved. In addition, Hygo does not wholly own all of its operating subsidiaries and joint ventures. As a result, if such operating subsidiaries and joint ventures make distributions, including tax distributions, they will also have to make distributions to their noncontrolling interest owners.</w:t>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Hygo may not be able to fully utilize the capacity of its facilities, which could impact its future revenues and materially harm Hygo’s business, financial condition and operating results.</w:t>
      </w:r>
    </w:p>
    <w:p>
      <w:pPr>
        <w:spacing w:after="0" w:line="246"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Hygo’s FSRU facilities have significant excess capacity that is currently not dedicated to a particular anchor customer. Part of Hygo’s business strategy is to utilize undedicated excess capacity of Hygo’s FSRU facilities to serve additional downstream customers in the regions in which Hygo operates. However, Hygo has not secured, and Hygo may be unable to secure, commitments for all of its excess capacity. Factors which could cause Hygo to contract less than full capacity include difficulties in negotiations with potential counterparties and factors outside of its control such as the price of and demand for LNG. Failure to secure commitments for less than full capacity could impact Hygo’s future revenues and materially harm Hygo’s business, financial condition and operating results.</w:t>
      </w:r>
    </w:p>
    <w:p>
      <w:pPr>
        <w:spacing w:after="0" w:line="183"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In addition, the operator of the Sergipe Facility, Centrais Elétricas de Sergipe S.A. (“CELSE”) (which is an entity wholly owned by Centrais Elétricas de Sergipe Participações S.A. (“CELSEPAR”), a 50/50 joint venture between Hygo and Ebrasil Energia Ltda. (“Ebrasil”)), has the right to utilize 100% of the capacity at Hygo’s Sergipe Facility pursuant to the Sergipe FSRU Charter. In order to utilize the excess capacity of the Sergipe Facility, Hygo will need the consent of CELSE and the senior lenders under CELSE’s financing arrangements. If Hygo is unable to obtain the necessary consents to utilize the excess capacity of the Sergipe Facility, Hygo’s business, financial condition and operating results may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of LNG to be a competitive source of energy in the markets in which Hygo operates, and seeks to operate, could adversely affect Hygo’s expansion strategy.</w:t>
      </w:r>
    </w:p>
    <w:p>
      <w:pPr>
        <w:spacing w:after="0" w:line="212"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Hygo’s operations are, and will be, dependent upon LNG being a competitive source of energy in the markets in which Hygo operates. In particular, hydroelectric power generation is the predominant source of electricity in Brazil and LNG is one of several other energy sources used to supplement hydroelectric generation. Potential expansion in other parts of world where Hygo may operate is primarily dependent upon LNG being a competitive source of energy in those geographical locations. Likewise, recent declines in the cost of crude oil, if sustained, will make crude oil and its derivatives a more competitive fuel source to LNG.</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6" w:name="page47"/>
    <w:bookmarkEnd w:id="4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right="440" w:firstLine="526"/>
        <w:spacing w:after="0" w:line="253" w:lineRule="auto"/>
        <w:rPr>
          <w:sz w:val="20"/>
          <w:szCs w:val="20"/>
          <w:color w:val="auto"/>
        </w:rPr>
      </w:pPr>
      <w:r>
        <w:rPr>
          <w:rFonts w:ascii="Arial" w:cs="Arial" w:eastAsia="Arial" w:hAnsi="Arial"/>
          <w:sz w:val="15"/>
          <w:szCs w:val="15"/>
          <w:color w:val="auto"/>
        </w:rPr>
        <w:t>As a result of these and other factors, natural gas may not be a competitive source of energy in the markets Hygo intends to serve or elsewhere. The failure of natural gas to be a competitive supply alternative to oil and other alternative energy sources could adversely affect Hygo’s ability to deliver LNG or natural gas to Hygo’s customers or other locations on a commercial basis.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CELSE is subject to risk of loss or damage to LNG that is processed and/or stored at its FSRUs and transported via pipeline.</w:t>
      </w:r>
    </w:p>
    <w:p>
      <w:pPr>
        <w:spacing w:after="0" w:line="200"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LNG processed and stored on FSRUs may be subject to loss or damage resulting from equipment malfunction, faulty handling, ageing or otherwise. For the period of time during which LNG is stored on an FSRU or is dispatched to a pipeline, CELSE, in the case of the Sergipe Facility, bears the risk of loss or damage to all such LNG. Any such disruption to the supply of LNG and natural gas may lead to delays, disruptions or curtailments in the production of power at the Sergipe Power Plant. If CELSE cannot generate energy at the Sergipe Power Plant by burning natural gas, Hygo’s, and, after consummation of the Hygo Merger, our revenues, financial condition and results of operations may be materially and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 has a limited operating history and anticipates significant capital expenditures.</w:t>
      </w:r>
    </w:p>
    <w:p>
      <w:pPr>
        <w:spacing w:after="0" w:line="200"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Hygo commenced operations in May 2016 and has a limited operating history and track record. As a result, its prior operating history and historical consolidated financial statements may not be a reliable basis for evaluating its business prospects. In addition, Hygo has historically derived its revenues from the operation of its vessels on short-term charters, but Hygo expects the majority of its future revenues to be derived from its LNG-to-power projects. Hygo’s strategy may not be successful, and if unsuccessful, it may be unable to modify it in a timely and successful manner. Hygo cannot give any assurance that it will be able to implement its strategy on a timely basis, if at all, or achieve its internal model or that its assumptions will be accurate. Hygo’s limited history also means that it continues to develop and implement various policies and procedures including those related to data privacy and other matters. Hygo will need to continue to build its team to implement its strategies.</w:t>
      </w:r>
    </w:p>
    <w:p>
      <w:pPr>
        <w:spacing w:after="0" w:line="185"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Hygo will continue to incur significant capital and operating expenditures while it develops its network of downstream LNG infrastructure, including for the completion of the Barcarena Facility, the Santa Catarina Facility and other projects in Brazil currently under construction, as well as other future projects. Hygo will need to invest significant amounts of additional capital to implement its strategy. Hygo has not completed constructing all of its facilities and its strategy includes the construction of additional facilities. Any delays beyond the expected development period for these assets would prolong, and could increase the level of, operating losses and negative operating cash flows. Hygo’s future liquidity may also be affected by the timing of construction financing availability in relation to the incurrence of construction costs and other outflows and by the timing of receipt of cash flows under its customer contracts in relation to the incurrence of project and operating expenses. Hygo’s ability to generate any positive operating cash flow and achieve profitability in the future is dependent on, among other things, its ability to successfully and timely complete necessary infrastructure, including its Barcarena and Santa Catarina Terminals and other projects in Brazil currently under construction, and fulfill its delivery obligations under its customer contracts.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Hygo’s power generation projects may depend on the construction and operation of transmission and interconnection facilities by third parties.</w:t>
      </w:r>
    </w:p>
    <w:p>
      <w:pPr>
        <w:spacing w:after="0" w:line="20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Hygo’s power generation projects must interconnect to Brazil’s transmission system and such projects may depend on the completion of new lines and/or increases in the capacity of existing facilities by the applicable power transmission concessionaires in order to interconnect and become fully operational. Delays from such concessionaires in the completion of the necessary interconnection and associated facilities may affect the ability of Hygo’s power generation projects to start commercial operation and/or fulfill power delivery commitments under the PPAs.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Hygo’s ability to dispatch electricity from its power plants is dependent upon hydrological and other grid conditions in Brazil.</w:t>
      </w:r>
    </w:p>
    <w:p>
      <w:pPr>
        <w:spacing w:after="0" w:line="200" w:lineRule="exact"/>
        <w:rPr>
          <w:sz w:val="20"/>
          <w:szCs w:val="20"/>
          <w:color w:val="auto"/>
        </w:rPr>
      </w:pPr>
    </w:p>
    <w:p>
      <w:pPr>
        <w:jc w:val="both"/>
        <w:ind w:firstLine="526"/>
        <w:spacing w:after="0" w:line="311" w:lineRule="auto"/>
        <w:rPr>
          <w:sz w:val="20"/>
          <w:szCs w:val="20"/>
          <w:color w:val="auto"/>
        </w:rPr>
      </w:pPr>
      <w:r>
        <w:rPr>
          <w:rFonts w:ascii="Arial" w:cs="Arial" w:eastAsia="Arial" w:hAnsi="Arial"/>
          <w:sz w:val="13"/>
          <w:szCs w:val="13"/>
          <w:color w:val="auto"/>
        </w:rPr>
        <w:t>Historically, Brazil’s electricity generation has been dominated by hydroelectricity plants. There are substantial seasonal variations in monthly and annual flows to the plants, which depend fundamentally on the volume of rain that falls in each rainy season. When hydrological conditions are poor, the National Electricity System Operator (Operador Nacional do Sistema, or “ONS”) dispatches thermoelectric power plants, including those that Hygo operates, to top up hydroelectric generation and maintain the electricity supply level.</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ONS Grid Code allows the ONS to dispatch thermoelectric power plants for the following reasons or under the following circumstances:</w:t>
      </w:r>
    </w:p>
    <w:p>
      <w:pPr>
        <w:spacing w:after="0" w:line="200" w:lineRule="exact"/>
        <w:rPr>
          <w:sz w:val="20"/>
          <w:szCs w:val="20"/>
          <w:color w:val="auto"/>
        </w:rPr>
      </w:pPr>
    </w:p>
    <w:p>
      <w:pPr>
        <w:ind w:left="800" w:hanging="266"/>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when marginal operation cost is the same as the variable unit cost of such power plant;</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due to inflexibility or necessity of the generator;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800" w:hanging="266"/>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when dispatch of such power plant is needed in order to maintain the stability of the system;</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as determined by the Energy Industry Monitoring Committee where extraordinary circumstances exist;</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due to accelerated and/or replacement generation as proposed by the generator in order to make up for the unavailability of fuel;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purposes of exportation of power to foreign markets.</w:t>
      </w:r>
    </w:p>
    <w:p>
      <w:pPr>
        <w:spacing w:after="0" w:line="19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As a result, the amount of electricity generated by thermoelectric power plants, including Hygo’s power plants that are already contracted and its power plants under development, can vary significantly in response to the hydrological and other grid conditions in Brazil. If Hygo’s power plants are not dispatched or are dispatched at levels lower than expected, its operations and financial results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 may not be profitable for an indeterminate period of time.</w:t>
      </w:r>
    </w:p>
    <w:p>
      <w:pPr>
        <w:spacing w:after="0" w:line="200" w:lineRule="exact"/>
        <w:rPr>
          <w:sz w:val="20"/>
          <w:szCs w:val="20"/>
          <w:color w:val="auto"/>
        </w:rPr>
      </w:pPr>
    </w:p>
    <w:p>
      <w:pPr>
        <w:jc w:val="both"/>
        <w:ind w:firstLine="526"/>
        <w:spacing w:after="0" w:line="293" w:lineRule="auto"/>
        <w:rPr>
          <w:sz w:val="20"/>
          <w:szCs w:val="20"/>
          <w:color w:val="auto"/>
        </w:rPr>
      </w:pPr>
      <w:r>
        <w:rPr>
          <w:rFonts w:ascii="Arial" w:cs="Arial" w:eastAsia="Arial" w:hAnsi="Arial"/>
          <w:sz w:val="13"/>
          <w:szCs w:val="13"/>
          <w:color w:val="auto"/>
        </w:rPr>
        <w:t>Hygo has a limited operating history and did not commence revenue-generating activities until 2016, and therefore did not achieve profitability as of December 31, 2020. Hygo will need to make a significant capital investment to construct and begin operations of the Barcarena Terminal, the Santa Catarina Terminal, its downstream distribution hubs and its other LNG-to-power projects in Brazil, and Hygo will need to make significant additional investments to develop, improve and operate them, as well as all related infrastructure. Hygo also expects to make significant expenditures and investments in identifying, acquiring and/or developing other future projects. Hygo also expects to incur significant expenses in connection with the launch and growth of its business, including costs for LNG purchases, rail and truck transportation, shipping and logistics and personnel. Hygo will need to raise significant additional debt and/or equity capital to achieve its goals. Hygo may not be able to achieve profitability, and if it does, Hygo cannot assure you that it would be able to sustain such profitability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Hygo’s operational and consolidated financial results are partially dependent on the results of the joint ventures, affiliates and special purpose entities in which it invests.</w:t>
      </w:r>
    </w:p>
    <w:p>
      <w:pPr>
        <w:spacing w:after="0" w:line="223"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Hygo conducts its business mainly through its operating subsidiaries. In addition, Hygo and its subsidiaries conduct some of their business through joint venture and other special purpose entities, which are created specifically to participate in public auctions for enterprises in the generation and transmission segments. Hygo’s ability to meet its financial obligations is therefore related in part to the cash flow and earnings of its subsidiaries and joint ventures and the distribution or other transfers of earnings to Hygo in the form of dividends, loans or other advances and payments that are governed by various joint venture financing and operating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Hygo has entered into joint ventures, and may in the future enter into additional or modify existing joint ventures, that might restrict its operational and corporate flexibility.</w:t>
      </w:r>
    </w:p>
    <w:p>
      <w:pPr>
        <w:spacing w:after="0" w:line="223" w:lineRule="exact"/>
        <w:rPr>
          <w:sz w:val="20"/>
          <w:szCs w:val="20"/>
          <w:color w:val="auto"/>
        </w:rPr>
      </w:pPr>
    </w:p>
    <w:p>
      <w:pPr>
        <w:jc w:val="both"/>
        <w:ind w:firstLine="526"/>
        <w:spacing w:after="0" w:line="289" w:lineRule="auto"/>
        <w:rPr>
          <w:sz w:val="20"/>
          <w:szCs w:val="20"/>
          <w:color w:val="auto"/>
        </w:rPr>
      </w:pPr>
      <w:r>
        <w:rPr>
          <w:rFonts w:ascii="Arial" w:cs="Arial" w:eastAsia="Arial" w:hAnsi="Arial"/>
          <w:sz w:val="13"/>
          <w:szCs w:val="13"/>
          <w:color w:val="auto"/>
        </w:rPr>
        <w:t>Hygo entered into joint ventures to acquire and develop LNG infrastructure projects and may in the future enter into additional joint venture arrangements with third parties. As Hygo does not operate the assets owned by these joint ventures, its control over their operations is limited by provisions of the agreements it has entered into with its joint venture partners and by its percentage ownership in such joint ventures. Because Hygo does not control all of the decisions of its joint ventures, it may be difficult or impossible for Hygo to cause the joint venture to take actions that Hygo believes would be in its or the joint venture’s best interests. For example, Hygo cannot unilaterally cause the distribution of cash by its joint ventures. Additionally, as the joint ventures are separate legal entities, any right Hygo may have to receive assets of any joint venture or other payments upon their liquidation or reorganization will be effectively subordinated to the claims of the creditors of that joint venture (including tax authorities and trade creditors). Moreover, joint venture arrangements involve various risks and uncertainties, such as committing Hygo to fund operating and/or capital expenditures, the timing and amount of which it may not control, and its joint venture partners may not satisfy their financial obligations to the joint venture. Hygo’s results of operations depend on the performance of these joint ventures and their ability to distribute funds to Hygo, and Hygo may be unable to control the amount of cash it will receive from their operations or the timing of capital expenditures, which could adversely affect its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 may guarantee the indebtedness of its joint ventures and/or affiliates.</w:t>
      </w:r>
    </w:p>
    <w:p>
      <w:pPr>
        <w:spacing w:after="0" w:line="20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Hygo may provide guarantees to certain banks with respect to commercial bank indebtedness of its joint ventures and/or affiliates. Failure by any of its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Hygo’s joint ventures, equity method investees and/or affiliates are unable to obtain a waiver or do not have enough cash on hand to repay the outstanding borrowings, the relevant lenders may foreclose their liens on the vessels securing the loans or seek repayment of the loan from Hygo, or both. Either of these possibilities could have a material adverse effect on Hygo’s business. Further, by virtue of Hygo’s guarantees with respect to Hygo’s joint ventures and/or affiliates, this may reduce its ability to gain future credit from certain lenders.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8" w:name="page49"/>
    <w:bookmarkEnd w:id="4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 is dependent upon GLNG and its affiliates for the operation and maintenance of its vessels.</w:t>
      </w:r>
    </w:p>
    <w:p>
      <w:pPr>
        <w:spacing w:after="0" w:line="200"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Each of Hygo’s vessels is operated and maintained by GLNG or its affiliates pursuant to ship management agreements. These agreements are the result of arms-length negotiations and subject to change. In addition, we expect to enter into management agreements with GLNG or its affiliates with respect to Hygo's vessels concurrently with the closing of the Hygo Merger. If GLNG or any of its affiliates that provide services to Hygo fails to perform these services satisfactorily or the terms of the ship management agreements change now or after the consummation of the Proposed Mergers, it could have a material adverse effect on Hygo’s or, after the consummation of the Hygo Merger, our, business, results of operations and financial condition.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Hygo may not be able to purchase or receive physical delivery of natural gas or LNG in sufficient quantities and/or at economically attractive prices to supply the Sergipe Power Plant and satisfy its delivery obligations under the PPAs, which could have a material adverse effect on Hygo.</w:t>
      </w:r>
    </w:p>
    <w:p>
      <w:pPr>
        <w:spacing w:after="0" w:line="17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Under the PPAs related to the Sergipe Power Plant and its other LNG-to-power facilities, Hygo is required to deliver power, which also requires Hygo to obtain sufficient amounts of LNG. However, Hygo may not be able to purchase or receive physical delivery of sufficient quantities of LNG to satisfy those delivery obligations, which may subject Hygo to certain penalties and provide its counterparties with the right to terminate their PPAs. With respect to the Sergipe Power Plant, Hygo has entered into a supply agreement with Ocean LNG, an affiliate of Qatar Petroleum. If Ocean LNG fails to deliver sufficient LNG to Sergipe, Hygo would be forced to purchase LNG on the spot market, which may be on less favorable terms. In addition, price fluctuations in natural gas and LNG may make it expensive or uneconomical for Hygo to acquire adequate supply of these items for its other customers.</w:t>
      </w:r>
    </w:p>
    <w:p>
      <w:pPr>
        <w:spacing w:after="0" w:line="153"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Hygo is dependent upon third party LNG suppliers and shippers and other tankers and facilities to provide delivery options to and from its tankers and energy-related infrastructure. If LNG were to become unavailable for current or future volumes of natural gas due to repairs or damage to supplier facilities or tankers, lack of capacity, impediments to international shipping or any other reason, Hygo’s ability to continue delivering natural gas, power or steam to end-users could be restricted, thereby reducing its revenues. Additionally, under tanker charters, Hygo will be obligated to make payments for its chartered tankers regardless of use. Hygo may not be able to enter into contracts with purchasers of LNG in quantities equivalent to or greater than the amount of tanker capacity it has purchased. If any third parties were to default on their obligations under Hygo’s contracts or seek bankruptcy protection, Hygo may not be able to purchase or receive a sufficient quantity of natural gas in order to supply the Sergipe Power Plant and satisfy its delivery obligations under its PPAs. Any permanent interruption at any key LNG supply chains that caused a material reduction in volumes transported to Hygo’s facilities could have a material adverse effect on its business, financial condition, operating results, cash flow, liquidity and prospects.</w:t>
      </w:r>
    </w:p>
    <w:p>
      <w:pPr>
        <w:spacing w:after="0" w:line="173" w:lineRule="exact"/>
        <w:rPr>
          <w:sz w:val="20"/>
          <w:szCs w:val="20"/>
          <w:color w:val="auto"/>
        </w:rPr>
      </w:pPr>
    </w:p>
    <w:p>
      <w:pPr>
        <w:jc w:val="both"/>
        <w:ind w:firstLine="526"/>
        <w:spacing w:after="0" w:line="340" w:lineRule="auto"/>
        <w:rPr>
          <w:sz w:val="20"/>
          <w:szCs w:val="20"/>
          <w:color w:val="auto"/>
        </w:rPr>
      </w:pPr>
      <w:r>
        <w:rPr>
          <w:rFonts w:ascii="Arial" w:cs="Arial" w:eastAsia="Arial" w:hAnsi="Arial"/>
          <w:sz w:val="13"/>
          <w:szCs w:val="13"/>
          <w:color w:val="auto"/>
        </w:rPr>
        <w:t>Recently, the LNG industry has experienced increased volatility. If market disruptions and bankruptcies of third party LNG suppliers and shippers negatively impacts Hygo’s ability to purchase a sufficient amount of LNG or significantly increases its costs for purchasing LNG, its business, operating results, cash flows and liquidity could be materially and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Under certain circumstances, Hygo may be required to make payments under its gas supply agreements.</w:t>
      </w:r>
    </w:p>
    <w:p>
      <w:pPr>
        <w:spacing w:after="0" w:line="20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If Hygo fails to take delivery of contracted volumes under its gas supply agreements, it may be required to make payments to counterparties under such agreements. For example, CELSE entered into a 25-year LNG supply agreement with Ocean LNG for the supply of LNG to the Sergipe Terminal. Pursuant to the terms of the Sergipe Supply Agreement, CELSE is required to take delivery of a specified base quantity of LNG each year, subject to certain adjustments. If CELSE takes less than the full number of scheduled cargoes per year under the Sergipe Supply Agreement, CELSE will be required to pay Ocean LNG a cancellation fee per cargo according to a formula based on the number of the cargoes not taken, subject to a cap over every five-year period and the full 25 year term.</w:t>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Hygo’s current lack of asset and geographic diversification could have an adverse effect on its business, contracts, financial condition, operating results, cash flow, liquidity and prospects.</w:t>
      </w:r>
    </w:p>
    <w:p>
      <w:pPr>
        <w:spacing w:after="0" w:line="246"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The substantial majority of Hygo’s anticipated revenue in the future will be dependent upon its assets and customers in Brazil. Brazil has historically experienced economic volatility and the general condition and performance of the Brazilian economy, over which Hygo has no control, may affect its business, financial condition and results of operations. Due to its current lack of asset and geographic diversification, an adverse development at any of its facilities in Brazil, in the energy industry or in the economic conditions in Brazil, would have a significantly greater impact on Hygo’s financial condition and operating results than if it maintained more diverse assets and operating areas.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9" w:name="page50"/>
    <w:bookmarkEnd w:id="4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480"/>
        <w:spacing w:after="0" w:line="340" w:lineRule="auto"/>
        <w:rPr>
          <w:sz w:val="20"/>
          <w:szCs w:val="20"/>
          <w:color w:val="auto"/>
        </w:rPr>
      </w:pPr>
      <w:r>
        <w:rPr>
          <w:rFonts w:ascii="Arial" w:cs="Arial" w:eastAsia="Arial" w:hAnsi="Arial"/>
          <w:sz w:val="13"/>
          <w:szCs w:val="13"/>
          <w:b w:val="1"/>
          <w:bCs w:val="1"/>
          <w:i w:val="1"/>
          <w:iCs w:val="1"/>
          <w:color w:val="auto"/>
        </w:rPr>
        <w:t>Hygo’s operations could be limited or restricted in order to comply with protections for indigenous populations located in the areas in which it operates, and could also be adversely impacted by any changes in Brazilian law to comply with certain requirements embodied in international treaties and other laws related to indigenous communities.</w:t>
      </w:r>
    </w:p>
    <w:p>
      <w:pPr>
        <w:spacing w:after="0" w:line="125"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Indigenous communities—including, in Brazil, Afro-indigenous (“Quilombola”) communities—are subject to certain protections under international and national laws. There are several indigenous communities that surround its operations in Brazil. Hygo has entered into agreements with some of these communities that mainly provide for the use of their land for its operations, and negotiations with other such communities are ongoing. In the event that Hygo is unable to reach an agreement with indigenous communities, that its relationship with these communities deteriorates in future, or that such communities do not comply with any existing agreements related to Hygo’s operations, it could have a material adverse effect on Hygo’s business and results of operations.</w:t>
      </w:r>
    </w:p>
    <w:p>
      <w:pPr>
        <w:spacing w:after="0" w:line="183"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Brazil has ratified the International Labor Organization’s Indigenous and Tribal Peoples Convention (“ILO Convention 169”), which is grounded on the principle of consultation and participation of indigenous and traditional communities under the basis of free, prior, and informed consent (“FPIC”). ILO Convention 169 sets forth that governments are to ensure that members of tribes directly affected by legislative or administrative measures, including the grant of government authorizations such as are required for Hygo’s operations, are consulted through appropriate procedures and through their representative institutions. ILO Convention 169 further states that the consultation must be undertaken aiming at achieving an agreement or consent to the proposed legislative or administrative measures.</w:t>
      </w:r>
    </w:p>
    <w:p>
      <w:pPr>
        <w:spacing w:after="0" w:line="183" w:lineRule="exact"/>
        <w:rPr>
          <w:sz w:val="20"/>
          <w:szCs w:val="20"/>
          <w:color w:val="auto"/>
        </w:rPr>
      </w:pPr>
    </w:p>
    <w:p>
      <w:pPr>
        <w:jc w:val="both"/>
        <w:ind w:firstLine="526"/>
        <w:spacing w:after="0" w:line="293" w:lineRule="auto"/>
        <w:rPr>
          <w:sz w:val="20"/>
          <w:szCs w:val="20"/>
          <w:color w:val="auto"/>
        </w:rPr>
      </w:pPr>
      <w:r>
        <w:rPr>
          <w:rFonts w:ascii="Arial" w:cs="Arial" w:eastAsia="Arial" w:hAnsi="Arial"/>
          <w:sz w:val="13"/>
          <w:szCs w:val="13"/>
          <w:color w:val="auto"/>
        </w:rPr>
        <w:t>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Hygo’s operations, Hygo is required to comply with the requirements of, consult with, and obtain certain authorizations from a number of institutions regarding the protection of indigenous interests: the National Congress (in specific cases), the Federal Public Prosecutor’s Office and the National Indian Foundation (Fundação Nacional do Índio or FUNAI) (for indigenous people) or Palmares Cultural Foundation (Fundação Cultural Palmares) (for Quilombola communities). If Hygo is not able to timely obtain the necessary authorizations or obtain them on favorable terms for its operations in areas where indigenous communities reside, Hygo could face construction delays, increased costs, or otherwise experience adverse impacts on its business and results of operations.</w:t>
      </w:r>
    </w:p>
    <w:p>
      <w:pPr>
        <w:spacing w:after="0" w:line="155" w:lineRule="exact"/>
        <w:rPr>
          <w:sz w:val="20"/>
          <w:szCs w:val="20"/>
          <w:color w:val="auto"/>
        </w:rPr>
      </w:pPr>
    </w:p>
    <w:p>
      <w:pPr>
        <w:jc w:val="both"/>
        <w:ind w:firstLine="526"/>
        <w:spacing w:after="0" w:line="264" w:lineRule="auto"/>
        <w:rPr>
          <w:sz w:val="20"/>
          <w:szCs w:val="20"/>
          <w:color w:val="auto"/>
        </w:rPr>
      </w:pPr>
      <w:r>
        <w:rPr>
          <w:rFonts w:ascii="Arial" w:cs="Arial" w:eastAsia="Arial" w:hAnsi="Arial"/>
          <w:sz w:val="14"/>
          <w:szCs w:val="14"/>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the third-parties from the indigenous territory. Hygo cannot predict whether this decision will result in challenges regarding the adequacy of existing Brazilian legal requirements related to the protection of indigenous rights, changes to the existing Brazilian government body consultation process, or impact its existing development agreements or its negotiations for outstanding development agreements with indigenous communities in the areas in which it operates. However, if the consultations with indigenous communities potentially impacted by Hygo’s operations are found to be insufficient, Hygo could experience a material adverse impact to its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 is subject to comprehensive regulation of its business, which fundamentally affects its financial performance.</w:t>
      </w:r>
    </w:p>
    <w:p>
      <w:pPr>
        <w:spacing w:after="0" w:line="20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Hygo’s business is subject to extensive regulation by various Brazilian regulatory authorities, particularly Agência Nacional de Energia Elétrica (“ANEEL”), ANP and Agência Nacional de Transportes Aquaviários (“ANTAQ”). ANEEL regulates and oversees various aspects of Hygo’s business and establishes its tariffs. If Hygo is obligated by ANEEL to make additional and unexpected capital investments and is not allowed to adjust its tariffs accordingly, if ANEEL does not authorize the recovery of all costs or if ANEEL modifies the regulations related to tariff adjustments, Hygo may be adversely affected. ANP regulates the import and export of LNG and the transportation and distribution of natural gas activities, including Hygo’s downstream distribution business. ANTAQ regulates and oversees port activities in Brazil.</w:t>
      </w:r>
    </w:p>
    <w:p>
      <w:pPr>
        <w:spacing w:after="0" w:line="183"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In addition, both the implementation of Hygo’s strategy for growth and its ordinary business may be adversely affected by governmental actions such as changes to current legislation, the termination of federal and state concession programs, creation of more rigid criteria for qualification in public energy auctions, or a delay in the revision and implementation of new annual tariffs.</w:t>
      </w:r>
    </w:p>
    <w:p>
      <w:pPr>
        <w:spacing w:after="0" w:line="178"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If regulatory changes require Hygo to conduct its business in a manner substantially different from its current operations, Hygo’s operations, financial results and its capacity to fulfill its contractual obligations may be adversely affected.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0" w:name="page51"/>
    <w:bookmarkEnd w:id="5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ind w:right="380"/>
        <w:spacing w:after="0" w:line="263" w:lineRule="auto"/>
        <w:rPr>
          <w:sz w:val="20"/>
          <w:szCs w:val="20"/>
          <w:color w:val="auto"/>
        </w:rPr>
      </w:pPr>
      <w:r>
        <w:rPr>
          <w:rFonts w:ascii="Arial" w:cs="Arial" w:eastAsia="Arial" w:hAnsi="Arial"/>
          <w:sz w:val="15"/>
          <w:szCs w:val="15"/>
          <w:b w:val="1"/>
          <w:bCs w:val="1"/>
          <w:i w:val="1"/>
          <w:iCs w:val="1"/>
          <w:color w:val="auto"/>
        </w:rPr>
        <w:t>CELSE and CELBA could be penalized by ANEEL for failing to comply with the terms of their respective authorizations and applicable legislation and CELSE and CELBA may not recover the full value of their respective investments if such authorizations are terminated.</w:t>
      </w:r>
    </w:p>
    <w:p>
      <w:pPr>
        <w:spacing w:after="0" w:line="17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CELSE and CELBA will carry out their respective power generation activities in accordance with the authorizations granted by the Brazilian government through the MME (the ‘‘MME Authorizations”). CELSE’s authorization expires in November 2050, and CELBA’s authorization, which is in the process of being granted, is expected to expire in 2055. ANEEL may impose penalties on CELSE and CELBA if they fail to comply with any provision of the MME Authorizations or with the legislation and regulations applicable to the Brazilian power industry. Depending on the extent of the non-compliance, these penalties could include:</w:t>
      </w:r>
    </w:p>
    <w:p>
      <w:pPr>
        <w:spacing w:after="0" w:line="180" w:lineRule="exact"/>
        <w:rPr>
          <w:sz w:val="20"/>
          <w:szCs w:val="20"/>
          <w:color w:val="auto"/>
        </w:rPr>
      </w:pPr>
    </w:p>
    <w:p>
      <w:pPr>
        <w:ind w:left="800" w:hanging="266"/>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warnings;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substantial fines (in some cases up to 2% of gross revenues arising from the generation activity in the 12-month period immediately preceding the assessment);</w:t>
      </w:r>
    </w:p>
    <w:p>
      <w:pPr>
        <w:spacing w:after="0" w:line="14" w:lineRule="exact"/>
        <w:rPr>
          <w:rFonts w:ascii="Arial" w:cs="Arial" w:eastAsia="Arial" w:hAnsi="Arial"/>
          <w:sz w:val="14"/>
          <w:szCs w:val="14"/>
          <w:color w:val="auto"/>
        </w:rPr>
      </w:pPr>
    </w:p>
    <w:p>
      <w:pPr>
        <w:ind w:left="800" w:hanging="266"/>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prohibition on operations;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bans on the construction of new facilities or the acquisition of new projects;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restrictions on the operation of existing facilities and projects; or</w:t>
      </w:r>
    </w:p>
    <w:p>
      <w:pPr>
        <w:spacing w:after="0" w:line="2" w:lineRule="exact"/>
        <w:rPr>
          <w:rFonts w:ascii="Arial" w:cs="Arial" w:eastAsia="Arial" w:hAnsi="Arial"/>
          <w:sz w:val="15"/>
          <w:szCs w:val="15"/>
          <w:color w:val="auto"/>
        </w:rPr>
      </w:pPr>
    </w:p>
    <w:p>
      <w:pPr>
        <w:ind w:left="800" w:hanging="266"/>
        <w:spacing w:after="0" w:line="248" w:lineRule="auto"/>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restrictions on operations (including the exclusion from participating in upcoming auctions), temporary suspension of participation in auctions and bidding processes for new concessions and authorizations.</w:t>
      </w:r>
    </w:p>
    <w:p>
      <w:pPr>
        <w:spacing w:after="0" w:line="181"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ANEEL may also terminate the MME Authorizations prior to their expiration in the event that CELSE or CELBA fails to comply with the provisions of the MME Authorizations, is declared bankrupt or is dissolved. In the event of non-compliance by CELSE and/or CELBA, ANEEL may also impose certain of the penalties (in particular, bans and restrictions) on affiliates of CELSE and CELBA.</w:t>
      </w:r>
    </w:p>
    <w:p>
      <w:pPr>
        <w:spacing w:after="0" w:line="178"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CELSE and CELBA are subject to extensive legislation and regulations imposed by the Brazilian government and ANEEL, and cannot predict the effect of any changes to the legislation or regulations currently in force regarding their respective businesses.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implementation of Hygo’s business strategy and its ability to carry out its activities may be adversely affected by certain governmental actions.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Hygo may be subject to new regulations enacted by the Brazilian government that could retroactively affect the rules for renewal of its concessions and authorizations.</w:t>
      </w:r>
    </w:p>
    <w:p>
      <w:pPr>
        <w:spacing w:after="0" w:line="212"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The non-renewal of any of Hygo’s authorizations, as well as the non-renewal of its energy supply contracts, could have a material adverse effect on its financial condition, results of operations and Hygo’s capacity to fulfill its contractual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framework under which Hygo operates is subject to legal challenge.</w:t>
      </w:r>
    </w:p>
    <w:p>
      <w:pPr>
        <w:spacing w:after="0" w:line="200"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15"/>
          <w:szCs w:val="15"/>
          <w:color w:val="auto"/>
        </w:rPr>
        <w:t>The Brazilian government implemented fundamental changes in the regulation of the power industry in legislation passed in 2004 known as the Lei do Novo Modelo do Setor Elétrico, or New Regulatory Framework. Challenges to the constitutionality of the New Regulatory Framework are still pending before the Brazilian Federal Supreme Court (Supremo Tribunal Federal), although preliminary injunctions have been dismissed. It is not possible to estimate when these proceedings will be finally decided. If all or part of the New Regulatory Framework were held to be unconstitutional, there would be uncertain consequences for the validity of existing regulation and the further development of the regulatory framework. The outcome of the legal proceedings is difficult to predict, but it could have an adverse impact on the entire energy sector, including Hygo’s business and results of operations. Due to the duration of the lawsuit, it is possible that the Brazilian Federal Supreme Court will not give retroactive effect to its decision, but rather preserve the validity of past acts applying a judicial practice known as modulation of effects.</w:t>
      </w:r>
    </w:p>
    <w:p>
      <w:pPr>
        <w:spacing w:after="0" w:line="183"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If the regulatory framework under which Hygo operates is revised in a way that results in Hygo being required to conduct its business in a manner substantially different from its current operations, Hygo’s operations, financial results and capacity to fulfill its contractual obligations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Commercialization activity is subject to potential losses due to short-term variations in energy prices on the spot market.</w:t>
      </w:r>
    </w:p>
    <w:p>
      <w:pPr>
        <w:spacing w:after="0" w:line="200"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Hygo’s sales on the spot market are subject to potential differences in the settlement between the energy delivered and the energy sold. The differences are settled by the Câmara de Comercialização de Energia Elétrica (the Electric Energy Trading Chamber) at the spot price, or the PLD. The PLD is based on the energy traded in the spot energy market. It is calculated for each submarket and load level on a weekly basis and is based on the marginal cost of operation. The maximum and the minimum value of the PLD are set every year by ANEEL. Short-term variations in energy prices on the spot energy market may lead to potential losses in Hygo’s commercialization activity.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1" w:name="page52"/>
    <w:bookmarkEnd w:id="5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 is uncertain as to the review of the Physical Guarantee of its generation power plants.</w:t>
      </w:r>
    </w:p>
    <w:p>
      <w:pPr>
        <w:spacing w:after="0" w:line="20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The “Physical Guarantee” is the amount of power that a plant is expected to contribute to the electricity grid over the life of a PPA. Hygo cannot be certain if future events could affect the Physical Guarantee of each of its individual power plants. When the Physical Guarantee of a power plant is decreased, Hygo’s ability to supply electricity under that plant’s PPAs is adversely affected, which can lead to a decrease in Hygo’s revenues and increase Hygo’s costs if its generation subsidiaries are required to purchase power elsewhere. Damage to the step up transformer and related equipment at the Sergipe Power Plant in September 2020 is expected to temporarily decrease the Sergipe Power Plant’s Physical Guarantee by 8.75 MWh per year. To the extent CELSE is required to dispatch before repairs to the transformer and related equipment are complete, CELSE could be required to purchase the difference between its committed output and the final available power for delivery to PPA customers for the length of the requested dispatch period.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Hygo is currently highly dependent upon economic, political, regulatory and other conditions and developments in Brazil.</w:t>
      </w:r>
    </w:p>
    <w:p>
      <w:pPr>
        <w:spacing w:after="0" w:line="200"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Hygo currently conducts a meaningful portion of its business in Brazil. As a result, Hygo’s current business, results of operations, financial condition and prospects are materially dependent upon economic, political and other conditions and developments in Brazil. For example, on July 8, 2019, Petróleo Brasileiro S.A. – Petrobras (“Petrobras”) the state-owned oil company in Brazil, entered into an agreement (Termo de Compromisso de Cessão de Prática) with Brazilian antitrust authorities (Conselho Administrativo de Defesa Econômica - CADE) pursuant to which it has agreed to divest its equity participation in the gas pipelines and state gas distribution companies in Brazil by December 31, 2021. Such divestment plan, intended to end Petrobras’s monopoly on the distribution of gas in Brazil, will increase competition and may affect Hygo’s business.</w:t>
      </w:r>
    </w:p>
    <w:p>
      <w:pPr>
        <w:spacing w:after="0" w:line="169"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In particular, the Brazilian economy has been characterized by frequent and occasionally extensive intervention by the Brazilian government and unstable economic cycles. The Brazilian government has often changed monetary, taxation, credit, tariff and other policies to influence the course of Brazil’s economy. The Brazilian government’s actions to control inflation and implement other policies have at times involved wage and price controls, blocking access to bank accounts, imposing capital controls and limiting imports into Brazil. In addition, Brazilian markets and politics have been characterized by considerable instability in recent years due to uncertainties derived from the ongoing corruption investigations such as Operation Car Wash, the conviction of Former President Luiz Inácio Lula da Silva, the impeachment of Former President Dilma Rousseff and the election of Congressman Jair Bolsonaro. The spread of COVID-19 in Brazil has resulted in heightened uncertainty and political instability as government officials debate appropriate response measures. These uncertainties and any measures adopted by the new administration may increase market volatility and political instability.</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Hygo’s sale and leaseback agreements contain restrictive covenants that may limit its liquidity and corporate activities, and could have an adverse effect on its financial condition and results of operations.</w:t>
      </w:r>
    </w:p>
    <w:p>
      <w:pPr>
        <w:spacing w:after="0" w:line="17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 xml:space="preserve">Hygo’s sale and leaseback agreements for the </w:t>
      </w:r>
      <w:r>
        <w:rPr>
          <w:rFonts w:ascii="Arial" w:cs="Arial" w:eastAsia="Arial" w:hAnsi="Arial"/>
          <w:sz w:val="14"/>
          <w:szCs w:val="14"/>
          <w:i w:val="1"/>
          <w:iCs w:val="1"/>
          <w:color w:val="auto"/>
        </w:rPr>
        <w:t>Golar Nanook</w:t>
      </w:r>
      <w:r>
        <w:rPr>
          <w:rFonts w:ascii="Arial" w:cs="Arial" w:eastAsia="Arial" w:hAnsi="Arial"/>
          <w:sz w:val="14"/>
          <w:szCs w:val="14"/>
          <w:color w:val="auto"/>
        </w:rPr>
        <w:t xml:space="preserve">, </w:t>
      </w:r>
      <w:r>
        <w:rPr>
          <w:rFonts w:ascii="Arial" w:cs="Arial" w:eastAsia="Arial" w:hAnsi="Arial"/>
          <w:sz w:val="14"/>
          <w:szCs w:val="14"/>
          <w:i w:val="1"/>
          <w:iCs w:val="1"/>
          <w:color w:val="auto"/>
        </w:rPr>
        <w:t>Golar Penguin</w:t>
      </w:r>
      <w:r>
        <w:rPr>
          <w:rFonts w:ascii="Arial" w:cs="Arial" w:eastAsia="Arial" w:hAnsi="Arial"/>
          <w:sz w:val="14"/>
          <w:szCs w:val="14"/>
          <w:color w:val="auto"/>
        </w:rPr>
        <w:t xml:space="preserve"> and </w:t>
      </w:r>
      <w:r>
        <w:rPr>
          <w:rFonts w:ascii="Arial" w:cs="Arial" w:eastAsia="Arial" w:hAnsi="Arial"/>
          <w:sz w:val="14"/>
          <w:szCs w:val="14"/>
          <w:i w:val="1"/>
          <w:iCs w:val="1"/>
          <w:color w:val="auto"/>
        </w:rPr>
        <w:t>Golar Celsius</w:t>
      </w:r>
      <w:r>
        <w:rPr>
          <w:rFonts w:ascii="Arial" w:cs="Arial" w:eastAsia="Arial" w:hAnsi="Arial"/>
          <w:sz w:val="14"/>
          <w:szCs w:val="14"/>
          <w:color w:val="auto"/>
        </w:rPr>
        <w:t xml:space="preserve"> contain, and any future sale and leaseback agreements it may enter into are expected to contain, customary covenants and event of default clauses, including cross-default provisions and restrictive covenants and performance requirements that may affect Hygo’s operational and financial flexibility. In addition, Hygo also assigns the shares in its subsidiaries which are the charterers of these vessels to the owners/lessors. Such restrictions could affect, and in many respects limit or prohibit, among other things, its ability to incur additional indebtedness, create liens, sell assets, or engage in mergers or acquisitions. These restrictions could also limit Hygo’s ability to plan for or react to market conditions or meet extraordinary capital needs or otherwise restrict corporate activities. There can be no assurance that such restrictions will not adversely affect its ability to finance its future operations or capital needs.</w:t>
      </w:r>
    </w:p>
    <w:p>
      <w:pPr>
        <w:spacing w:after="0" w:line="167"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Certain of Hygo’s sale and leaseback agreements contain cross-default clauses and require it to maintain specified financial ratios, satisfy certain financial covenants and/or assign equity interests in its subsidiaries to third parties, including, among others, the following requirements:</w:t>
      </w:r>
    </w:p>
    <w:p>
      <w:pPr>
        <w:spacing w:after="0" w:line="170" w:lineRule="exact"/>
        <w:rPr>
          <w:sz w:val="20"/>
          <w:szCs w:val="20"/>
          <w:color w:val="auto"/>
        </w:rPr>
      </w:pPr>
    </w:p>
    <w:p>
      <w:pPr>
        <w:ind w:left="800" w:hanging="266"/>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that Hygo maintains Free Liquid Assets (as defined in the Penguin Leaseback) of at least $50.0 million; and</w:t>
      </w:r>
    </w:p>
    <w:p>
      <w:pPr>
        <w:spacing w:after="0" w:line="13" w:lineRule="exact"/>
        <w:rPr>
          <w:rFonts w:ascii="Arial" w:cs="Arial" w:eastAsia="Arial" w:hAnsi="Arial"/>
          <w:sz w:val="15"/>
          <w:szCs w:val="15"/>
          <w:color w:val="auto"/>
        </w:rPr>
      </w:pPr>
    </w:p>
    <w:p>
      <w:pPr>
        <w:ind w:left="800" w:hanging="266"/>
        <w:spacing w:after="0" w:line="248" w:lineRule="auto"/>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that Hygo assigns the shares in each of Golar Hull M2026 Corp., Golar Hull M2023 Corp. and Golar FSRU 8 Corp., its subsidiaries that are the charterers under Hygo’s sale and leaseback agreements, to the applicable vessel owners.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As of December 31, 2020, Hygo was in compliance with the consolidated leverage ratio and the minimum free liquidity covenants in its sale and leaseback agreements.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2" w:name="page53"/>
    <w:bookmarkEnd w:id="5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right="120" w:firstLine="526"/>
        <w:spacing w:after="0" w:line="311" w:lineRule="auto"/>
        <w:rPr>
          <w:sz w:val="20"/>
          <w:szCs w:val="20"/>
          <w:color w:val="auto"/>
        </w:rPr>
      </w:pPr>
      <w:r>
        <w:rPr>
          <w:rFonts w:ascii="Arial" w:cs="Arial" w:eastAsia="Arial" w:hAnsi="Arial"/>
          <w:sz w:val="13"/>
          <w:szCs w:val="13"/>
          <w:color w:val="auto"/>
        </w:rPr>
        <w:t>As a result of the restrictions in its sale and leaseback agreements, or similar restrictions in future sale and leaseback agreements, Hygo may need to seek permission from the owners of its leased vessels in order to engage in certain corporate actions. Their interests may be different from Hygo’s and Hygo may not be able to obtain their permission when needed. This may prevent Hygo from taking actions that it believes are in its best interest, which may adversely impact Hygo’s revenues, results of operations and financial condition.</w:t>
      </w:r>
    </w:p>
    <w:p>
      <w:pPr>
        <w:spacing w:after="0" w:line="143"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A failure by Hygo to meet its payment and other obligations, including its financial covenant requirements, could lead to defaults under its sale and leaseback agreements or any future sale and leaseback agreements. If Hygo is not in compliance with its covenants and is not able to obtain covenant waivers or modifications, the current or future owners of its leased vessels, as appropriate, could retake possession of the vessels or require Hygo to pay down its indebtedness to a level where Hygo is in compliance with its covenants or sell vessels in its fleet. Hygo could lose its vessels if it defaults on its bareboat charters in connection with the sale and leaseback agreements, which would negatively affect Hygo’s revenues,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are risks and uncertainties relating to Hygo’s sale and leaseback transactions.</w:t>
      </w:r>
    </w:p>
    <w:p>
      <w:pPr>
        <w:spacing w:after="0" w:line="20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 xml:space="preserve">On closing of its sale and leaseback transactions, Hygo transferred its ownership interests in each of the </w:t>
      </w:r>
      <w:r>
        <w:rPr>
          <w:rFonts w:ascii="Arial" w:cs="Arial" w:eastAsia="Arial" w:hAnsi="Arial"/>
          <w:sz w:val="13"/>
          <w:szCs w:val="13"/>
          <w:i w:val="1"/>
          <w:iCs w:val="1"/>
          <w:color w:val="auto"/>
        </w:rPr>
        <w:t>Golar Nanook</w:t>
      </w:r>
      <w:r>
        <w:rPr>
          <w:rFonts w:ascii="Arial" w:cs="Arial" w:eastAsia="Arial" w:hAnsi="Arial"/>
          <w:sz w:val="13"/>
          <w:szCs w:val="13"/>
          <w:color w:val="auto"/>
        </w:rPr>
        <w:t xml:space="preserve">, the </w:t>
      </w:r>
      <w:r>
        <w:rPr>
          <w:rFonts w:ascii="Arial" w:cs="Arial" w:eastAsia="Arial" w:hAnsi="Arial"/>
          <w:sz w:val="13"/>
          <w:szCs w:val="13"/>
          <w:i w:val="1"/>
          <w:iCs w:val="1"/>
          <w:color w:val="auto"/>
        </w:rPr>
        <w:t>Golar Penguin</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Golar Celsius</w:t>
      </w:r>
      <w:r>
        <w:rPr>
          <w:rFonts w:ascii="Arial" w:cs="Arial" w:eastAsia="Arial" w:hAnsi="Arial"/>
          <w:sz w:val="13"/>
          <w:szCs w:val="13"/>
          <w:color w:val="auto"/>
        </w:rPr>
        <w:t xml:space="preserve">. Although the operation of these vessels is expected to continue in the ordinary course, the bareboat charters in connection with the sale and leaseback transactions may, in certain circumstances, be terminated. Any such termination could have a significant adverse effect on Hygo’s business, financial condition and results of operations of its vessels. The sale and leaseback agreements will also require significant periodic cash payments in respect of the required rent thereunder, which Hygo has not historically incurred for the </w:t>
      </w:r>
      <w:r>
        <w:rPr>
          <w:rFonts w:ascii="Arial" w:cs="Arial" w:eastAsia="Arial" w:hAnsi="Arial"/>
          <w:sz w:val="13"/>
          <w:szCs w:val="13"/>
          <w:i w:val="1"/>
          <w:iCs w:val="1"/>
          <w:color w:val="auto"/>
        </w:rPr>
        <w:t>Golar Celsius</w:t>
      </w:r>
      <w:r>
        <w:rPr>
          <w:rFonts w:ascii="Arial" w:cs="Arial" w:eastAsia="Arial" w:hAnsi="Arial"/>
          <w:sz w:val="13"/>
          <w:szCs w:val="13"/>
          <w:color w:val="auto"/>
        </w:rPr>
        <w:t xml:space="preserve"> or, prior to December 2019, the </w:t>
      </w:r>
      <w:r>
        <w:rPr>
          <w:rFonts w:ascii="Arial" w:cs="Arial" w:eastAsia="Arial" w:hAnsi="Arial"/>
          <w:sz w:val="13"/>
          <w:szCs w:val="13"/>
          <w:i w:val="1"/>
          <w:iCs w:val="1"/>
          <w:color w:val="auto"/>
        </w:rPr>
        <w:t>Golar</w:t>
      </w:r>
      <w:r>
        <w:rPr>
          <w:rFonts w:ascii="Arial" w:cs="Arial" w:eastAsia="Arial" w:hAnsi="Arial"/>
          <w:sz w:val="13"/>
          <w:szCs w:val="13"/>
          <w:color w:val="auto"/>
        </w:rPr>
        <w:t xml:space="preserve"> </w:t>
      </w:r>
      <w:r>
        <w:rPr>
          <w:rFonts w:ascii="Arial" w:cs="Arial" w:eastAsia="Arial" w:hAnsi="Arial"/>
          <w:sz w:val="13"/>
          <w:szCs w:val="13"/>
          <w:i w:val="1"/>
          <w:iCs w:val="1"/>
          <w:color w:val="auto"/>
        </w:rPr>
        <w:t>Penguin</w:t>
      </w:r>
      <w:r>
        <w:rPr>
          <w:rFonts w:ascii="Arial" w:cs="Arial" w:eastAsia="Arial" w:hAnsi="Arial"/>
          <w:sz w:val="13"/>
          <w:szCs w:val="13"/>
          <w:color w:val="auto"/>
        </w:rPr>
        <w:t>, and other allocated operating and maintenance costs. The increase in Hygo’s lease expense may have an adverse impact on its future operations and profitability.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GMLP Business Activities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GMLP currently derives all of its revenue from a limited number of customers. The loss of any of its customers would result in a significant loss of revenues and cash flow, if it is unable to re-charter a vessel to another customer for an extended period of time.</w:t>
      </w:r>
    </w:p>
    <w:p>
      <w:pPr>
        <w:spacing w:after="0" w:line="17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 xml:space="preserve">GMLP’s fleet consists of six FSRUs, four LNG carriers and an interest in the </w:t>
      </w:r>
      <w:r>
        <w:rPr>
          <w:rFonts w:ascii="Arial" w:cs="Arial" w:eastAsia="Arial" w:hAnsi="Arial"/>
          <w:sz w:val="14"/>
          <w:szCs w:val="14"/>
          <w:i w:val="1"/>
          <w:iCs w:val="1"/>
          <w:color w:val="auto"/>
        </w:rPr>
        <w:t>Hilli</w:t>
      </w:r>
      <w:r>
        <w:rPr>
          <w:rFonts w:ascii="Arial" w:cs="Arial" w:eastAsia="Arial" w:hAnsi="Arial"/>
          <w:sz w:val="14"/>
          <w:szCs w:val="14"/>
          <w:color w:val="auto"/>
        </w:rPr>
        <w:t>. GMLP has derived, and believes that it will continue to derive, all of its revenues and cash flow from a limited number of customers. The majority of its charters have fixed terms, but might nevertheless be lost in the event of unanticipated developments such as a customer’s breach. The ability of each of GMLP’s customers to perform its respective obligations under a charter with GMLP will depend on a number of factors that are beyond its control and may include, among other things, general economic conditions, the condition of the LNG shipping industry, prevailing prices for natural gas and LNG, the impact of COVID-19 and similar pandemics and epidemics and the overall financial condition of the counterparty. GMLP could also lose a customer or the benefits of a charter if the customer fails to make charter payments because of its financial inability, disagreements with GMLP or otherwise or the customer exercises its right to terminate the charter in certain circumstances.</w:t>
      </w:r>
    </w:p>
    <w:p>
      <w:pPr>
        <w:spacing w:after="0" w:line="167" w:lineRule="exact"/>
        <w:rPr>
          <w:sz w:val="20"/>
          <w:szCs w:val="20"/>
          <w:color w:val="auto"/>
        </w:rPr>
      </w:pPr>
    </w:p>
    <w:p>
      <w:pPr>
        <w:jc w:val="both"/>
        <w:ind w:firstLine="526"/>
        <w:spacing w:after="0" w:line="265" w:lineRule="auto"/>
        <w:rPr>
          <w:sz w:val="20"/>
          <w:szCs w:val="20"/>
          <w:color w:val="auto"/>
        </w:rPr>
      </w:pPr>
      <w:r>
        <w:rPr>
          <w:rFonts w:ascii="Arial" w:cs="Arial" w:eastAsia="Arial" w:hAnsi="Arial"/>
          <w:sz w:val="14"/>
          <w:szCs w:val="14"/>
          <w:color w:val="auto"/>
        </w:rPr>
        <w:t xml:space="preserve">If GMLP loses any of its charterers and are unable to re-deploy the related vessel for an extended period of time, it will not receive any revenues from that vessel, but it will be required to pay expenses necessary to maintain the vessel in seaworthy operating condition and to service any associated debt. In addition, it is an event of default under the credit facilities related to all of GMLP’s vessels if the time charter of any vessel related to any such credit facility is cancelled, rescinded or frustrated and it is unable to secure a suitable replacement charter, post additional security or make certain significant prepayments. Any event of default under GMLP’s credit facilities would result in acceleration of amounts due thereunder. GMLP will be required to provide additional security or make prepayments under its $800 million credit facility in the event that the charter in respect of the </w:t>
      </w:r>
      <w:r>
        <w:rPr>
          <w:rFonts w:ascii="Arial" w:cs="Arial" w:eastAsia="Arial" w:hAnsi="Arial"/>
          <w:sz w:val="14"/>
          <w:szCs w:val="14"/>
          <w:i w:val="1"/>
          <w:iCs w:val="1"/>
          <w:color w:val="auto"/>
        </w:rPr>
        <w:t>Golar Winter</w:t>
      </w:r>
      <w:r>
        <w:rPr>
          <w:rFonts w:ascii="Arial" w:cs="Arial" w:eastAsia="Arial" w:hAnsi="Arial"/>
          <w:sz w:val="14"/>
          <w:szCs w:val="14"/>
          <w:color w:val="auto"/>
        </w:rPr>
        <w:t xml:space="preserve"> is terminated early and it cannot find an alternative acceptable charter. In addition, under the sale and leaseback arrangement in respect of the </w:t>
      </w:r>
      <w:r>
        <w:rPr>
          <w:rFonts w:ascii="Arial" w:cs="Arial" w:eastAsia="Arial" w:hAnsi="Arial"/>
          <w:sz w:val="14"/>
          <w:szCs w:val="14"/>
          <w:i w:val="1"/>
          <w:iCs w:val="1"/>
          <w:color w:val="auto"/>
        </w:rPr>
        <w:t>Golar Eskimo</w:t>
      </w:r>
      <w:r>
        <w:rPr>
          <w:rFonts w:ascii="Arial" w:cs="Arial" w:eastAsia="Arial" w:hAnsi="Arial"/>
          <w:sz w:val="14"/>
          <w:szCs w:val="14"/>
          <w:color w:val="auto"/>
        </w:rPr>
        <w:t xml:space="preserve">, if the time charter pursuant to which the </w:t>
      </w:r>
      <w:r>
        <w:rPr>
          <w:rFonts w:ascii="Arial" w:cs="Arial" w:eastAsia="Arial" w:hAnsi="Arial"/>
          <w:sz w:val="14"/>
          <w:szCs w:val="14"/>
          <w:i w:val="1"/>
          <w:iCs w:val="1"/>
          <w:color w:val="auto"/>
        </w:rPr>
        <w:t>Golar Eskimo</w:t>
      </w:r>
      <w:r>
        <w:rPr>
          <w:rFonts w:ascii="Arial" w:cs="Arial" w:eastAsia="Arial" w:hAnsi="Arial"/>
          <w:sz w:val="14"/>
          <w:szCs w:val="14"/>
          <w:color w:val="auto"/>
        </w:rPr>
        <w:t xml:space="preserve"> is operating is terminated, the owner of the </w:t>
      </w:r>
      <w:r>
        <w:rPr>
          <w:rFonts w:ascii="Arial" w:cs="Arial" w:eastAsia="Arial" w:hAnsi="Arial"/>
          <w:sz w:val="14"/>
          <w:szCs w:val="14"/>
          <w:i w:val="1"/>
          <w:iCs w:val="1"/>
          <w:color w:val="auto"/>
        </w:rPr>
        <w:t>Golar Eskimo</w:t>
      </w:r>
      <w:r>
        <w:rPr>
          <w:rFonts w:ascii="Arial" w:cs="Arial" w:eastAsia="Arial" w:hAnsi="Arial"/>
          <w:sz w:val="14"/>
          <w:szCs w:val="14"/>
          <w:color w:val="auto"/>
        </w:rPr>
        <w:t xml:space="preserve"> (which is a wholly-owned subsidiary of China Merchants Bank Leasing) will have the right to require GMLP to purchase the vessel from it unless GMLP is able to place such vessel under a suitable replacement charter within 24 months of the termination. GMLP may not have, or be able to obtain, sufficient funds to make these accelerated payments or prepayments or be able to purchase the </w:t>
      </w:r>
      <w:r>
        <w:rPr>
          <w:rFonts w:ascii="Arial" w:cs="Arial" w:eastAsia="Arial" w:hAnsi="Arial"/>
          <w:sz w:val="14"/>
          <w:szCs w:val="14"/>
          <w:i w:val="1"/>
          <w:iCs w:val="1"/>
          <w:color w:val="auto"/>
        </w:rPr>
        <w:t>Golar Eskimo</w:t>
      </w:r>
      <w:r>
        <w:rPr>
          <w:rFonts w:ascii="Arial" w:cs="Arial" w:eastAsia="Arial" w:hAnsi="Arial"/>
          <w:sz w:val="14"/>
          <w:szCs w:val="14"/>
          <w:color w:val="auto"/>
        </w:rPr>
        <w:t>. In such a situation, the loss of a charterer could have a material adverse effect on GMLP’s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GMLP’s business strategy depends on its ability to expand relationships with existing customers and obtain new customers, for which it will face substantial competition.</w:t>
      </w:r>
    </w:p>
    <w:p>
      <w:pPr>
        <w:spacing w:after="0" w:line="223"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GMLP’s principal strategy is to provide steady and reliable shipping, regasification and liquefaction operations for its customers. The process of obtaining long-term charters for FSRUs and LNG carriers is highly competitive and generally involves an intensive screening process and competitive bids, and often extends for several months. GMLP believes FSRU and LNG carrier time charters are awarded based upon bid price as well as a variety of factors relating to the vessel operator, including: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3" w:name="page54"/>
    <w:bookmarkEnd w:id="5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left="800" w:hanging="266"/>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its FSRU and LNG shipping experience, technical ability and reputation for operation of highly specialized vessels;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its shipping industry relationships and reputation for customer service and safety;</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quality and experience of its seafaring crew;</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its financial stability and ability to finance FSRUs and LNG carriers at competitive rates;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its relationships with shipyards and construction management experience;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its willingness to accept operational risks pursuant to the charter.</w:t>
      </w:r>
    </w:p>
    <w:p>
      <w:pPr>
        <w:spacing w:after="0" w:line="19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GMLP faces substantial competition for providing FSRU and marine transportation services for potential LNG projects from a number of experienced companies, including state-sponsored entities and major energy companies. Many of these competitors have significantly greater financial resources and larger and more versatile fleets than GMLP. GMLP anticipates that an increasing number of marine transportation companies, including many with strong reputations and extensive resources and experience will enter the FSRU market and the LNG transportation market. This increased competition may cause greater price competition for time charters. As a result of these factors, GMLP may be unable to expand its relationships with existing customers or to obtain new customers on a favorable basis, if at all, which would have a material adverse effect on its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GMLP’s future long-term charter revenue depends on its competitive position and future hire rates for FSRUs and LNG carriers.</w:t>
      </w:r>
    </w:p>
    <w:p>
      <w:pPr>
        <w:spacing w:after="0" w:line="200"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One of GMLP’s principal strategies is to enter into new long-term FSRU and LNG carrier time charters and to replace expiring charters with similarly long-term contracts.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and propulsion technology together with an increasing desire by charterers to access modern tonnage could also reduce the appetite of charterers to commit to long-term charters that match their full requirement period. As a result, the duration of long-term charters could also decrease over time.</w:t>
      </w:r>
    </w:p>
    <w:p>
      <w:pPr>
        <w:spacing w:after="0" w:line="169"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GMLP may also face increased difficulty entering into long-term time charters upon the expiration or early termination of its contracts. If as a result GMLP contracts its vessels on short-term contracts, its earnings from these vessels are likely to become more volatile. An increasing emphasis on the short-term or spot LNG market may in the future require that GMLP enter into charters based on variable market prices, as opposed to contracts based on a fixed rate, which could result in a decrease in its cash flow in periods when the market price for shipping LNG is depressed or insufficient funds are available to cover its financing costs for related vessels.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Hire rates for FSRUs and LNG carriers may fluctuate substantially. If rates are lower when GMLP is seeking a new charter, its earnings may decline.</w:t>
      </w:r>
    </w:p>
    <w:p>
      <w:pPr>
        <w:spacing w:after="0" w:line="200"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Hire rates for FSRUs and LNG carriers fluctuate over time as a result of changes in the supply-demand balance relating to current and future FSRU and LNG carrier capacity. This supply-demand relationship largely depends on a number of factors outside GMLP’s control. For example, driven in part by an increase in LNG production capacity, the market supply particularly of LNG carriers has been increasing. As of March 2, 2021, the LNG carrier order book totaled 141 vessels. GMLP believes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including as a result of the spread of COVID-19, could adversely affect GMLP’s ability to charter or re-charter its vessels at acceptable rates or to acquire and profitably operate new vessels. Accordingly, this could have a material adverse effect on its earnings.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The charterers of two of GMLP’s vessels have the option to extend the charter at a rate lower than the existing hire rate. The exercise of these options could have a material adverse effect on its cash flow.</w:t>
      </w:r>
    </w:p>
    <w:p>
      <w:pPr>
        <w:spacing w:after="0" w:line="170" w:lineRule="exact"/>
        <w:rPr>
          <w:sz w:val="20"/>
          <w:szCs w:val="20"/>
          <w:color w:val="auto"/>
        </w:rPr>
      </w:pPr>
    </w:p>
    <w:p>
      <w:pPr>
        <w:jc w:val="both"/>
        <w:ind w:firstLine="526"/>
        <w:spacing w:after="0" w:line="311" w:lineRule="auto"/>
        <w:rPr>
          <w:sz w:val="20"/>
          <w:szCs w:val="20"/>
          <w:color w:val="auto"/>
        </w:rPr>
      </w:pPr>
      <w:r>
        <w:rPr>
          <w:rFonts w:ascii="Arial" w:cs="Arial" w:eastAsia="Arial" w:hAnsi="Arial"/>
          <w:sz w:val="13"/>
          <w:szCs w:val="13"/>
          <w:color w:val="auto"/>
        </w:rPr>
        <w:t xml:space="preserve">The charterers of the </w:t>
      </w:r>
      <w:r>
        <w:rPr>
          <w:rFonts w:ascii="Arial" w:cs="Arial" w:eastAsia="Arial" w:hAnsi="Arial"/>
          <w:sz w:val="13"/>
          <w:szCs w:val="13"/>
          <w:i w:val="1"/>
          <w:iCs w:val="1"/>
          <w:color w:val="auto"/>
        </w:rPr>
        <w:t>NR Satu</w:t>
      </w:r>
      <w:r>
        <w:rPr>
          <w:rFonts w:ascii="Arial" w:cs="Arial" w:eastAsia="Arial" w:hAnsi="Arial"/>
          <w:sz w:val="13"/>
          <w:szCs w:val="13"/>
          <w:color w:val="auto"/>
        </w:rPr>
        <w:t xml:space="preserve"> and </w:t>
      </w:r>
      <w:r>
        <w:rPr>
          <w:rFonts w:ascii="Arial" w:cs="Arial" w:eastAsia="Arial" w:hAnsi="Arial"/>
          <w:sz w:val="13"/>
          <w:szCs w:val="13"/>
          <w:i w:val="1"/>
          <w:iCs w:val="1"/>
          <w:color w:val="auto"/>
        </w:rPr>
        <w:t>Methane Princess</w:t>
      </w:r>
      <w:r>
        <w:rPr>
          <w:rFonts w:ascii="Arial" w:cs="Arial" w:eastAsia="Arial" w:hAnsi="Arial"/>
          <w:sz w:val="13"/>
          <w:szCs w:val="13"/>
          <w:color w:val="auto"/>
        </w:rPr>
        <w:t xml:space="preserve"> have options to extend their respective existing contracts. If they exercise these options, the hire rate for the </w:t>
      </w:r>
      <w:r>
        <w:rPr>
          <w:rFonts w:ascii="Arial" w:cs="Arial" w:eastAsia="Arial" w:hAnsi="Arial"/>
          <w:sz w:val="13"/>
          <w:szCs w:val="13"/>
          <w:i w:val="1"/>
          <w:iCs w:val="1"/>
          <w:color w:val="auto"/>
        </w:rPr>
        <w:t>NR Satu</w:t>
      </w:r>
      <w:r>
        <w:rPr>
          <w:rFonts w:ascii="Arial" w:cs="Arial" w:eastAsia="Arial" w:hAnsi="Arial"/>
          <w:sz w:val="13"/>
          <w:szCs w:val="13"/>
          <w:color w:val="auto"/>
        </w:rPr>
        <w:t xml:space="preserve"> will be reduced by approximately 12% per day for any day in the extension period falling in 2023, with a further 7% reduction for any day in the extension period falling in 2024 and 2025; and the hire rate for the </w:t>
      </w:r>
      <w:r>
        <w:rPr>
          <w:rFonts w:ascii="Arial" w:cs="Arial" w:eastAsia="Arial" w:hAnsi="Arial"/>
          <w:sz w:val="13"/>
          <w:szCs w:val="13"/>
          <w:i w:val="1"/>
          <w:iCs w:val="1"/>
          <w:color w:val="auto"/>
        </w:rPr>
        <w:t>Methane Princess</w:t>
      </w:r>
      <w:r>
        <w:rPr>
          <w:rFonts w:ascii="Arial" w:cs="Arial" w:eastAsia="Arial" w:hAnsi="Arial"/>
          <w:sz w:val="13"/>
          <w:szCs w:val="13"/>
          <w:color w:val="auto"/>
        </w:rPr>
        <w:t xml:space="preserve"> will be reduced by 37% from 2024. The exercise of these options could have a material adverse effect on GMLP’s results of operations and cash flows.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4" w:name="page55"/>
    <w:bookmarkEnd w:id="5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420"/>
        <w:spacing w:after="0" w:line="263" w:lineRule="auto"/>
        <w:rPr>
          <w:sz w:val="20"/>
          <w:szCs w:val="20"/>
          <w:color w:val="auto"/>
        </w:rPr>
      </w:pPr>
      <w:r>
        <w:rPr>
          <w:rFonts w:ascii="Arial" w:cs="Arial" w:eastAsia="Arial" w:hAnsi="Arial"/>
          <w:sz w:val="15"/>
          <w:szCs w:val="15"/>
          <w:b w:val="1"/>
          <w:bCs w:val="1"/>
          <w:i w:val="1"/>
          <w:iCs w:val="1"/>
          <w:color w:val="auto"/>
        </w:rPr>
        <w:t>GMLP’s equity investment in Golar Hilli LLC may not result in anticipated profitability or generate cash flow sufficient to justify its investment. In addition, this investment exposes GMLP to risks that may harm its business, financial condition and operating results.</w:t>
      </w:r>
    </w:p>
    <w:p>
      <w:pPr>
        <w:spacing w:after="0" w:line="170"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 xml:space="preserve">In July 2018, GMLP completed an acquisition of 50% of the common units in Hilli LLC (as defined here), the disponent owner of Hilli Corp. (as defined herein), the owner of the </w:t>
      </w:r>
      <w:r>
        <w:rPr>
          <w:rFonts w:ascii="Arial" w:cs="Arial" w:eastAsia="Arial" w:hAnsi="Arial"/>
          <w:sz w:val="14"/>
          <w:szCs w:val="14"/>
          <w:i w:val="1"/>
          <w:iCs w:val="1"/>
          <w:color w:val="auto"/>
        </w:rPr>
        <w:t>Hilli</w:t>
      </w:r>
      <w:r>
        <w:rPr>
          <w:rFonts w:ascii="Arial" w:cs="Arial" w:eastAsia="Arial" w:hAnsi="Arial"/>
          <w:sz w:val="14"/>
          <w:szCs w:val="14"/>
          <w:color w:val="auto"/>
        </w:rPr>
        <w:t>. The acquired interest in Hilli LLC represents the equivalent of 50% of the two liquefaction trains, out of a total of four, that have been contracted to Perenco Cameroon SA (“Perenco”)</w:t>
      </w:r>
      <w:r>
        <w:rPr>
          <w:rFonts w:ascii="Arial" w:cs="Arial" w:eastAsia="Arial" w:hAnsi="Arial"/>
          <w:sz w:val="14"/>
          <w:szCs w:val="14"/>
          <w:i w:val="1"/>
          <w:iCs w:val="1"/>
          <w:color w:val="auto"/>
        </w:rPr>
        <w:t xml:space="preserve"> </w:t>
      </w:r>
      <w:r>
        <w:rPr>
          <w:rFonts w:ascii="Arial" w:cs="Arial" w:eastAsia="Arial" w:hAnsi="Arial"/>
          <w:sz w:val="14"/>
          <w:szCs w:val="14"/>
          <w:color w:val="auto"/>
        </w:rPr>
        <w:t>and Société Nationale Des Hydrocarbures (“SNH” and, together with Perenco, the “Customer”) pursuant to a Liquefaction Tolling Agreement (“LTA”) with an 8 year term. The acquired interest is not exposed to the oil linked pricing elements of the tolling fee under the LTA. However, it exposes us to risks that GMLP may:</w:t>
      </w:r>
    </w:p>
    <w:p>
      <w:pPr>
        <w:spacing w:after="0" w:line="164" w:lineRule="exact"/>
        <w:rPr>
          <w:sz w:val="20"/>
          <w:szCs w:val="20"/>
          <w:color w:val="auto"/>
        </w:rPr>
      </w:pPr>
    </w:p>
    <w:p>
      <w:pPr>
        <w:ind w:left="800" w:hanging="266"/>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fail to realize anticipated benefits through cash distributions from Hilli LLC;</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fail to obtain the benefits of the LTA if the Customer exercises certain rights to terminate the charter upon the occurrence of specified events of default;</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 to obtain the benefits of the LTA if the Customer fails to make payments under the LTA because of its financial inability, disagreements with us or otherwise;</w:t>
      </w:r>
    </w:p>
    <w:p>
      <w:pPr>
        <w:spacing w:after="0" w:line="14" w:lineRule="exact"/>
        <w:rPr>
          <w:rFonts w:ascii="Arial" w:cs="Arial" w:eastAsia="Arial" w:hAnsi="Arial"/>
          <w:sz w:val="14"/>
          <w:szCs w:val="14"/>
          <w:color w:val="auto"/>
        </w:rPr>
      </w:pPr>
    </w:p>
    <w:p>
      <w:pPr>
        <w:ind w:left="800" w:hanging="266"/>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incur or assume unanticipated liabilities, losses or costs;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be required to pay damages to the Customer or suffer a reduction in the tolling fee in the event that the </w:t>
      </w:r>
      <w:r>
        <w:rPr>
          <w:rFonts w:ascii="Arial" w:cs="Arial" w:eastAsia="Arial" w:hAnsi="Arial"/>
          <w:sz w:val="15"/>
          <w:szCs w:val="15"/>
          <w:i w:val="1"/>
          <w:iCs w:val="1"/>
          <w:color w:val="auto"/>
        </w:rPr>
        <w:t>Hilli</w:t>
      </w:r>
      <w:r>
        <w:rPr>
          <w:rFonts w:ascii="Arial" w:cs="Arial" w:eastAsia="Arial" w:hAnsi="Arial"/>
          <w:sz w:val="15"/>
          <w:szCs w:val="15"/>
          <w:color w:val="auto"/>
        </w:rPr>
        <w:t xml:space="preserve"> fails to perform to certain specifications;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incur other significant charges, such as asset devaluation or restructuring charges; or</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be unable to re-charter the FLNG on another long-term charter at the end of the LTA.</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Due to the sophisticated technology utilized by the Hilli, operations are subject to risks that could negatively affect GMLP’s business and financial condition.</w:t>
      </w:r>
    </w:p>
    <w:p>
      <w:pPr>
        <w:spacing w:after="0" w:line="20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 xml:space="preserve">FLNG vessels are complex and their operations are technically challenging and subject to mechanical risks and problems. Unforeseen operational problems with the </w:t>
      </w:r>
      <w:r>
        <w:rPr>
          <w:rFonts w:ascii="Arial" w:cs="Arial" w:eastAsia="Arial" w:hAnsi="Arial"/>
          <w:sz w:val="15"/>
          <w:szCs w:val="15"/>
          <w:i w:val="1"/>
          <w:iCs w:val="1"/>
          <w:color w:val="auto"/>
        </w:rPr>
        <w:t>Hilli</w:t>
      </w:r>
      <w:r>
        <w:rPr>
          <w:rFonts w:ascii="Arial" w:cs="Arial" w:eastAsia="Arial" w:hAnsi="Arial"/>
          <w:sz w:val="15"/>
          <w:szCs w:val="15"/>
          <w:color w:val="auto"/>
        </w:rPr>
        <w:t xml:space="preserve"> may lead to Hilli LLC experiencing a loss of revenue or higher than anticipated operating expenses or require additional capital expenditures. Any of these results could harm GMLP’s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GMLP guarantees 50% of Hilli Corp’s indebtedness under the Hilli Facility.</w:t>
      </w:r>
    </w:p>
    <w:p>
      <w:pPr>
        <w:spacing w:after="0" w:line="20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 xml:space="preserve">Hilli Corp, a wholly owned subsidiary of Hilli LLC, is a party to a Memorandum of Agreement, dated September 9, 2015, with Fortune Lianjiang Shipping S.A., a subsidiary of China State Shipbuilding Corporation (“Fortune”), pursuant to which Hilli Corp has sold to and leased back from Fortune the </w:t>
      </w:r>
      <w:r>
        <w:rPr>
          <w:rFonts w:ascii="Arial" w:cs="Arial" w:eastAsia="Arial" w:hAnsi="Arial"/>
          <w:sz w:val="15"/>
          <w:szCs w:val="15"/>
          <w:i w:val="1"/>
          <w:iCs w:val="1"/>
          <w:color w:val="auto"/>
        </w:rPr>
        <w:t>Hilli</w:t>
      </w:r>
      <w:r>
        <w:rPr>
          <w:rFonts w:ascii="Arial" w:cs="Arial" w:eastAsia="Arial" w:hAnsi="Arial"/>
          <w:sz w:val="15"/>
          <w:szCs w:val="15"/>
          <w:color w:val="auto"/>
        </w:rPr>
        <w:t xml:space="preserve"> under a 10-year bareboat charter agreement (the “Hilli Facility”). The Hilli Facility provided for post-construction financing for the </w:t>
      </w:r>
      <w:r>
        <w:rPr>
          <w:rFonts w:ascii="Arial" w:cs="Arial" w:eastAsia="Arial" w:hAnsi="Arial"/>
          <w:sz w:val="15"/>
          <w:szCs w:val="15"/>
          <w:i w:val="1"/>
          <w:iCs w:val="1"/>
          <w:color w:val="auto"/>
        </w:rPr>
        <w:t>Hilli</w:t>
      </w:r>
      <w:r>
        <w:rPr>
          <w:rFonts w:ascii="Arial" w:cs="Arial" w:eastAsia="Arial" w:hAnsi="Arial"/>
          <w:sz w:val="15"/>
          <w:szCs w:val="15"/>
          <w:color w:val="auto"/>
        </w:rPr>
        <w:t xml:space="preserve"> in the amount of $960 million.</w:t>
      </w:r>
    </w:p>
    <w:p>
      <w:pPr>
        <w:spacing w:after="0" w:line="178"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In connection with the closing of the Hilli Acquisition, GMLP agreed to provide a several guarantee (the “GMLP Guarantee”) of 50% of the obligations of Hilli Corp under the Hilli Facility pursuant to a Deed of Amendment, Restatement and Accession relating to a guarantee between GLNG, Fortune and GMLP dated July 12, 2018. In the event that Hilli Corp fails to meet its payment obligations under the Hilli Facility or fails to comply with certain other covenants contained therein, GMLP may be required to make payments to Fortune under the GMLP Guarantee, and such payments may be substantial. The Hilli Facility and the GMLP Guarantee contain certain financial restrictions and other covenants that may restrict GMLP’s business and financing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GMLP may experience operational problems with its vessels that reduce revenue and increase costs.</w:t>
      </w:r>
    </w:p>
    <w:p>
      <w:pPr>
        <w:spacing w:after="0" w:line="200" w:lineRule="exact"/>
        <w:rPr>
          <w:sz w:val="20"/>
          <w:szCs w:val="20"/>
          <w:color w:val="auto"/>
        </w:rPr>
      </w:pPr>
    </w:p>
    <w:p>
      <w:pPr>
        <w:jc w:val="both"/>
        <w:ind w:firstLine="526"/>
        <w:spacing w:after="0" w:line="293" w:lineRule="auto"/>
        <w:rPr>
          <w:sz w:val="20"/>
          <w:szCs w:val="20"/>
          <w:color w:val="auto"/>
        </w:rPr>
      </w:pPr>
      <w:r>
        <w:rPr>
          <w:rFonts w:ascii="Arial" w:cs="Arial" w:eastAsia="Arial" w:hAnsi="Arial"/>
          <w:sz w:val="13"/>
          <w:szCs w:val="13"/>
          <w:color w:val="auto"/>
        </w:rPr>
        <w:t>FSRUs and LNG carriers are complex and their operations are technically challenging. Marine LNG operations are subject to mechanical risks and problems. GMLP’s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and affect the entire shipping industry. Factors such as increased cost of qualified and experienced seafaring crew and changes in regulatory requirements could also increase operating expenditures. Future increases to operational costs are likely to occur. If costs rise, they could materially and adversely affect GMLP’s results of operations. In addition, operational problems may lead to loss of revenue or higher than anticipated operating expenses or require additional capital expenditures. Any of these results could harm GMLP’s business, financial condition and results of operations.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380"/>
        <w:spacing w:after="0" w:line="263" w:lineRule="auto"/>
        <w:rPr>
          <w:sz w:val="20"/>
          <w:szCs w:val="20"/>
          <w:color w:val="auto"/>
        </w:rPr>
      </w:pPr>
      <w:r>
        <w:rPr>
          <w:rFonts w:ascii="Arial" w:cs="Arial" w:eastAsia="Arial" w:hAnsi="Arial"/>
          <w:sz w:val="15"/>
          <w:szCs w:val="15"/>
          <w:b w:val="1"/>
          <w:bCs w:val="1"/>
          <w:i w:val="1"/>
          <w:iCs w:val="1"/>
          <w:color w:val="auto"/>
        </w:rPr>
        <w:t>GMLP may be unable to obtain, maintain, and/or renew permits necessary for its operations or experience delays in obtaining such permits, which could have a material effect on its operations.</w:t>
      </w:r>
    </w:p>
    <w:p>
      <w:pPr>
        <w:spacing w:after="0" w:line="17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The design, construction and operation of FSRUs, FLNGs and LNG carriers and interconnecting pipelines require, and are subject to the terms of governmental approvals and permits. The permitting rules, and the interpretations of those rules, are complex, change frequently and are often subject to discretionary interpretations by regulators, all of which may make compliance more difficult or impractical, and may increase the length of time it takes to receive regulatory approval for offshore LNG operations. In the future, the relevant regulatory authorities may take actions to restrict or prohibit the access of FSRUs or LNG carriers to various ports or adopt new rules and regulations applicable to FSRUs and LNG carriers that will increase the time needed or affect GMLP’s ability to obtain necessary environmental permits.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A shortage of qualified officers and crew, including due to disruption caused by the outbreak of pandemic diseases, such as COVID-19, could have an adverse effect on GMLP’s business and financial condition.</w:t>
      </w:r>
    </w:p>
    <w:p>
      <w:pPr>
        <w:spacing w:after="0" w:line="17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FSRUs, FLNGs and LNG carriers require technically skilled officers and crews with specialized training. As the worldwide FSRU, FLNG and LNG carrier fleet has grown, the demand for technically skilled officers and crews has increased, which could lead to a shortage of such personnel. Increases in GMLP’s historical vessel operating expenses have been attributable primarily to the rising costs of recruiting and retaining officers for its fleet. If GMLP’s vessel managers are unable to employ technically skilled staff and crew, they will not be able to adequately staff its vessels. A material decrease in the supply of technically skilled officers or an inability of GLNG or its vessel managers to attract and retain such qualified officers could impair its ability to operate or increase the cost of crewing its vessels, which would materially adversely affect GMLP’s business, financial condition and results of operations.</w:t>
      </w:r>
    </w:p>
    <w:p>
      <w:pPr>
        <w:spacing w:after="0" w:line="153"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 xml:space="preserve">In addition, the </w:t>
      </w:r>
      <w:r>
        <w:rPr>
          <w:rFonts w:ascii="Arial" w:cs="Arial" w:eastAsia="Arial" w:hAnsi="Arial"/>
          <w:sz w:val="15"/>
          <w:szCs w:val="15"/>
          <w:i w:val="1"/>
          <w:iCs w:val="1"/>
          <w:color w:val="auto"/>
        </w:rPr>
        <w:t>Golar Winter</w:t>
      </w:r>
      <w:r>
        <w:rPr>
          <w:rFonts w:ascii="Arial" w:cs="Arial" w:eastAsia="Arial" w:hAnsi="Arial"/>
          <w:sz w:val="15"/>
          <w:szCs w:val="15"/>
          <w:color w:val="auto"/>
        </w:rPr>
        <w:t xml:space="preserve"> is employed by Petrobras in Brazil. As a result, GMLP is required to hire a certain portion of Brazilian personnel to crew this vessel in accordance with Brazilian law. Also, the </w:t>
      </w:r>
      <w:r>
        <w:rPr>
          <w:rFonts w:ascii="Arial" w:cs="Arial" w:eastAsia="Arial" w:hAnsi="Arial"/>
          <w:sz w:val="15"/>
          <w:szCs w:val="15"/>
          <w:i w:val="1"/>
          <w:iCs w:val="1"/>
          <w:color w:val="auto"/>
        </w:rPr>
        <w:t>NR Satu</w:t>
      </w:r>
      <w:r>
        <w:rPr>
          <w:rFonts w:ascii="Arial" w:cs="Arial" w:eastAsia="Arial" w:hAnsi="Arial"/>
          <w:sz w:val="15"/>
          <w:szCs w:val="15"/>
          <w:color w:val="auto"/>
        </w:rPr>
        <w:t xml:space="preserve"> is employed by PT Nusantara Regas, in Indonesia. As a result, GMLP is required to hire a certain portion of Indonesian personnel to crew the NR Satu in accordance with Indonesian law. Any inability to attract and retain qualified Brazilian and Indonesian crew members could adversely affect its business, results of operations and financial condition.</w:t>
      </w:r>
    </w:p>
    <w:p>
      <w:pPr>
        <w:spacing w:after="0" w:line="180"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Furthermore, should there be an outbreak of COVID-19 on board one of GMLP’s vessels, adequate crewing may not be available to fulfill the obligations under its contracts. Due to COVID-19, GMLP could face (i) difficulty in finding healthy qualified replacement officers and crew; (ii) local or international transport or quarantine restrictions limiting the ability to transfer infected crew members off the vessel or bring new crew on board, and (iii) restrictions in availability of supplies needed on board due to disruptions to third-party suppliers or transportation alternatives. Any inability GLNG or its affiliates experiences in the future to attract, hire, train and retain a sufficient number of qualified employees could impair GMLP’s ability to manage, maintain and grow its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Due to the locations in which GMLP operate, GMLP is subject to political and security risks.</w:t>
      </w:r>
    </w:p>
    <w:p>
      <w:pPr>
        <w:spacing w:after="0" w:line="200"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5"/>
          <w:szCs w:val="15"/>
          <w:color w:val="auto"/>
        </w:rPr>
        <w:t>GMLP’s operations may be affected by economic, political and governmental conditions in the countries where GMLP is engaged in business or where its vessels are registered. Any disruption caused by these factors could harm its business. In particular:</w:t>
      </w:r>
    </w:p>
    <w:p>
      <w:pPr>
        <w:spacing w:after="0" w:line="170" w:lineRule="exact"/>
        <w:rPr>
          <w:sz w:val="20"/>
          <w:szCs w:val="20"/>
          <w:color w:val="auto"/>
        </w:rPr>
      </w:pPr>
    </w:p>
    <w:p>
      <w:pPr>
        <w:jc w:val="both"/>
        <w:ind w:left="800" w:hanging="266"/>
        <w:spacing w:after="0" w:line="246" w:lineRule="auto"/>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GMLP derives a substantial portion of its revenues from shipping LNG from politically unstable regions, particularly the Arabian Gulf, Brazil, Indonesia and West Africa.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Future hostilities or other political instability in the regions in which GMLP operates or may operate could have a material adverse effect on the growth of its business, results of operations and financial condition and its ability to make cash distributions. In addition, tariffs, trade embargoes and other economic sanctions by the United States or other countries against countries in the Middle East, Southeast Asia, Africa or elsewhere as a result of terrorist attacks, hostilities or otherwise may limit trading activities with those countries, which could also harm GMLP’s business and ability to make cash distributions.</w:t>
      </w:r>
    </w:p>
    <w:p>
      <w:pPr>
        <w:spacing w:after="0" w:line="1" w:lineRule="exact"/>
        <w:rPr>
          <w:rFonts w:ascii="Arial" w:cs="Arial" w:eastAsia="Arial" w:hAnsi="Arial"/>
          <w:sz w:val="15"/>
          <w:szCs w:val="15"/>
          <w:color w:val="auto"/>
        </w:rPr>
      </w:pPr>
    </w:p>
    <w:p>
      <w:pPr>
        <w:jc w:val="both"/>
        <w:ind w:left="800" w:hanging="266"/>
        <w:spacing w:after="0" w:line="244" w:lineRule="auto"/>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operations of Hilli Corp in Cameroon under the LTA are subject to higher political and security risks than operations in other areas of the world. Recently, Cameroon has experienced instability in its socio-political environment. Any extreme levels of political instability resulting in changes of governments, internal conflict, unrest and violence, especially from terrorist organizations prevalent in the region, such as Boko Haram, could lead to economic disruptions and shutdowns in industrial activities. In addition, corruption and bribery are a serious concern in the region. The operations of Hilli Corp in Cameroon are subject to these risks, which could materially adversely affect GMLP’s revenues, its ability to perform under the LTA and its financial condition.</w:t>
      </w:r>
    </w:p>
    <w:p>
      <w:pPr>
        <w:jc w:val="both"/>
        <w:ind w:left="800" w:hanging="266"/>
        <w:spacing w:after="0" w:line="245" w:lineRule="auto"/>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addition, Hilli Corp maintains insurance coverage for only a portion of the risks incidental to doing business in Cameroon. There also may be certain risks covered by insurance where the policy does not reimburse Hilli Corp for all of the costs related to a loss. For example, any claims covered by insurance will be subject to deductibles, which may be significant. In the event that Hilli Corp incurs business interruption losses with respect to one or more incidents, they could have a material adverse effect on GMLP’s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6" w:name="page57"/>
    <w:bookmarkEnd w:id="5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Vessel values may fluctuate substantially and, if these values are lower at a time when GMLP is attempting to dispose of vessels, GMLP may incur a loss.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Vessel values can fluctuate substantially over time due to a number of different factors, including:</w:t>
      </w:r>
    </w:p>
    <w:p>
      <w:pPr>
        <w:spacing w:after="0" w:line="200" w:lineRule="exact"/>
        <w:rPr>
          <w:sz w:val="20"/>
          <w:szCs w:val="20"/>
          <w:color w:val="auto"/>
        </w:rPr>
      </w:pPr>
    </w:p>
    <w:p>
      <w:pPr>
        <w:ind w:left="800" w:hanging="266"/>
        <w:spacing w:after="0"/>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prevailing economic conditions in the natural gas and energy markets;</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substantial or extended decline in demand for LNG;</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increases in the supply of vessel capacity without a commensurate increase in demand;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size and age of a vessel; and</w:t>
      </w:r>
    </w:p>
    <w:p>
      <w:pPr>
        <w:spacing w:after="0" w:line="2" w:lineRule="exact"/>
        <w:rPr>
          <w:rFonts w:ascii="Arial" w:cs="Arial" w:eastAsia="Arial" w:hAnsi="Arial"/>
          <w:sz w:val="15"/>
          <w:szCs w:val="15"/>
          <w:color w:val="auto"/>
        </w:rPr>
      </w:pPr>
    </w:p>
    <w:p>
      <w:pPr>
        <w:ind w:left="800" w:hanging="266"/>
        <w:spacing w:after="0" w:line="248" w:lineRule="auto"/>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cost of retrofitting or modifying existing vessels, as a result of technological advances in vessel design or equipment, changes in applicable environmental or other regulations or standards, customer requirements or otherwise.</w:t>
      </w:r>
    </w:p>
    <w:p>
      <w:pPr>
        <w:spacing w:after="0" w:line="181" w:lineRule="exact"/>
        <w:rPr>
          <w:sz w:val="20"/>
          <w:szCs w:val="20"/>
          <w:color w:val="auto"/>
        </w:rPr>
      </w:pPr>
    </w:p>
    <w:p>
      <w:pPr>
        <w:jc w:val="both"/>
        <w:ind w:firstLine="526"/>
        <w:spacing w:after="0" w:line="299" w:lineRule="auto"/>
        <w:rPr>
          <w:sz w:val="20"/>
          <w:szCs w:val="20"/>
          <w:color w:val="auto"/>
        </w:rPr>
      </w:pPr>
      <w:r>
        <w:rPr>
          <w:rFonts w:ascii="Arial" w:cs="Arial" w:eastAsia="Arial" w:hAnsi="Arial"/>
          <w:sz w:val="14"/>
          <w:szCs w:val="14"/>
          <w:color w:val="auto"/>
        </w:rPr>
        <w:t>As GMLP’s vessels age, the expenses associated with maintaining and operating them are expected to increase, which could have an adverse effect on its business and operations if GMLP do not maintain sufficient cash reserves for maintenance and replacement capital expenditures. Moreover, the cost of a replacement vessel would be significant.</w:t>
      </w:r>
    </w:p>
    <w:p>
      <w:pPr>
        <w:spacing w:after="0" w:line="147"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During the period a vessel is subject to a charter, GMLP will not be permitted to sell it to take advantage of increases in vessel values without the charterers’ consent. If a charter terminates, GMLP may be unable to re-deploy the affected vessels at attractive rates and, rather than continue to incur costs to maintain and finance them, GMLP may seek to dispose of them. When vessel values are low, GMLP may not be able to dispose of vessels at a reasonable price when GMLP wish to sell vessels, and conversely, when vessel values are elevated, GMLP may not be able to acquire additional vessels at attractive prices when GMLP wish to acquire additional vessels, which could adversely affect GMLP’s business, results of operations, cash flow, financial condition and ability to make distributions to unitholders.</w:t>
      </w:r>
    </w:p>
    <w:p>
      <w:pPr>
        <w:spacing w:after="0" w:line="183"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The carrying values of GMLP’s vessels may not represent their fair market value at any point in time because the market prices of secondhand vessels tend to fluctuate with changes in charter rates and the cost of new build vessels. GMLP’s vessels are reviewed for impairment whenever events or changes in circumstances indicate that the carrying amount may not be recoverable. Although GMLP did not recognize an impairment charge on any of its vessels for the year ended December 31, 2020, GMLP cannot assure you that GMLP will not recognize impairment losses on its vessels in future years. Any impairment charges incurred as a result of declines in charter rates could negatively affect GMLP’s business, financial condition, operating results or the trading price of GMLP’s common and preferred units.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GMLP vessels may call on ports located in countries that are subject to restrictions imposed by the U.S. or other governments, which could adversely affect its business.</w:t>
      </w:r>
    </w:p>
    <w:p>
      <w:pPr>
        <w:spacing w:after="0" w:line="223"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Although no vessels operated by GMLP have called on ports located in countries subject to comprehensive sanctions and embargoes imposed by the U.S. government or countries identified by the U.S. government as state sponsors of terrorism, in the future GMLP’s vessels may call on ports in these countries from time to time on its charterers’ instructions.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180"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3"/>
          <w:szCs w:val="13"/>
          <w:color w:val="auto"/>
        </w:rPr>
        <w:t>Although GMLP believes that it has been in compliance with all applicable sanctions and embargo laws and regulations, and intends to maintain such compliance, there can be no assurance that GMLP will be in compliance in the future, particularly as the scope of certain laws may be unclear and may be subject to changing interpretations. Any such violation could result in fines, penalties or other sanctions that could severely impact GMLP’s ability to access U.S. capital markets and conduct its business. In addition, certain financial institutions may have policies against lending or extending credit to companies that have contracts with U.S. embargoed countries or countries identified by the U.S. government as state sponsors of terrorism. Moreover, GMLP charterers may violate applicable sanctions and embargo laws and regulations as a result of actions that do not involve GMLP or its vessels, and those violations could in turn negatively affect GMLP’s reputation. In addition, GMLP’s reputation may be adversely affected if it engages in certain other activities, such as entering into charters with individuals or entities in countries subject to U.S. sanctions and embargo laws that are not controlled by the governments of those countries, or engaging in operations associated with those countries pursuant to contracts with third parties that are unrelated to those countries or entities controlled by their governments.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7" w:name="page58"/>
    <w:bookmarkEnd w:id="5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Maritime claimants could arrest GMLP’s vessels, which could interrupt its cash flow.</w:t>
      </w:r>
    </w:p>
    <w:p>
      <w:pPr>
        <w:spacing w:after="0" w:line="200" w:lineRule="exact"/>
        <w:rPr>
          <w:sz w:val="20"/>
          <w:szCs w:val="20"/>
          <w:color w:val="auto"/>
        </w:rPr>
      </w:pPr>
    </w:p>
    <w:p>
      <w:pPr>
        <w:jc w:val="both"/>
        <w:ind w:firstLine="526"/>
        <w:spacing w:after="0" w:line="269" w:lineRule="auto"/>
        <w:rPr>
          <w:sz w:val="20"/>
          <w:szCs w:val="20"/>
          <w:color w:val="auto"/>
        </w:rPr>
      </w:pPr>
      <w:r>
        <w:rPr>
          <w:rFonts w:ascii="Arial" w:cs="Arial" w:eastAsia="Arial" w:hAnsi="Arial"/>
          <w:sz w:val="14"/>
          <w:szCs w:val="14"/>
          <w:color w:val="auto"/>
        </w:rPr>
        <w:t>If GMLP is in default on certain kinds of obligations, such as those to its lenders, crew members, suppliers of goods and services to its vessels or shippers of cargo, these parties may be entitled to a maritime lien against one or more of GMLP’s vessels. In many jurisdictions, a maritime lien holder may enforce its lien by arresting a vessel through foreclosure proceedings. In a few jurisdictions, claimants could try to assert “sister ship” liability against one vessel in GMLP’s fleet for claims relating to another of its vessels. The arrest or attachment of one or more of GMLP’s vessels could interrupt its cash flow and require it to pay to have the arrest lifted. Under some of GMLP’s present charters, if the vessel is arrested or detained (for as few as 14 days in the case of one of our charters) as a result of a claim against it, GMLP may be in default of its charter and the charterer may terminate the charter. This would negatively impact GMLP’s revenues and reduce its cash available for distribution to unitholders.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Ownership of Our Class A Common Stock</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The Proposed Mergers may not occur, and if they do, they may not be accretive and may cause dilution to our earnings per share, which may negatively affect the market price of our common stock.</w:t>
      </w:r>
    </w:p>
    <w:p>
      <w:pPr>
        <w:spacing w:after="0" w:line="170"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Although we currently anticipate that the Proposed Mergers will occur and will be accretive to earnings per share (on an as adjusted earnings basis that is not pursuant to GAAP) from and after the Proposed Mergers, this expectation is based on assumptions about our, Hygo’s and GMLP’s business and preliminary estimates, which may change materially. As a result, should the Proposed Mergers occur, certain other amounts to be paid in connection with the Proposed Mergers may cause dilution to our earnings per share or decrease or delay the expected accretive effect of the Proposed Mergers and cause a decrease in the market price of our common stock. The Proposed Mergers may not occur as a result. See “—Risks Related to the Proposed Mergers.” In addition, we could also encounter additional transaction-related costs or other factors such as the failure to realize all of the benefits anticipated in the Proposed Mergers, including cost and revenue synergies. All of these factors could cause dilution to our earnings per share or decrease or delay the expected accretive effect of the Proposed Mergers and cause a decrease in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and trading volume of our Class A common stock may be volatile, which could result in rapid and substantial losses for our stockholders.</w:t>
      </w:r>
    </w:p>
    <w:p>
      <w:pPr>
        <w:spacing w:after="0" w:line="20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180" w:lineRule="exact"/>
        <w:rPr>
          <w:sz w:val="20"/>
          <w:szCs w:val="20"/>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shift in our investor base;</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quarterly or annual earnings, or those of other comparable companies;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actual or anticipated fluctuations in our operating results;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changes in accounting standards, policies, guidance, interpretations or principles;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investments, acquisitions or dispositions;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failure of securities analysts to cover our Class A common stock;</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changes in earnings estimates by securities analysts or our ability to meet those estimates;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operating and share price performance of other comparable companies;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overall market fluctuations;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general economic conditions; and</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developments in the markets and market sectors in which we participate.</w:t>
      </w:r>
    </w:p>
    <w:p>
      <w:pPr>
        <w:spacing w:after="0" w:line="190" w:lineRule="exact"/>
        <w:rPr>
          <w:sz w:val="20"/>
          <w:szCs w:val="20"/>
          <w:color w:val="auto"/>
        </w:rPr>
      </w:pPr>
    </w:p>
    <w:p>
      <w:pPr>
        <w:jc w:val="both"/>
        <w:ind w:firstLine="526"/>
        <w:spacing w:after="0" w:line="299" w:lineRule="auto"/>
        <w:rPr>
          <w:sz w:val="20"/>
          <w:szCs w:val="20"/>
          <w:color w:val="auto"/>
        </w:rPr>
      </w:pPr>
      <w:r>
        <w:rPr>
          <w:rFonts w:ascii="Arial" w:cs="Arial" w:eastAsia="Arial" w:hAnsi="Arial"/>
          <w:sz w:val="14"/>
          <w:szCs w:val="14"/>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47" w:lineRule="exact"/>
        <w:rPr>
          <w:sz w:val="20"/>
          <w:szCs w:val="20"/>
          <w:color w:val="auto"/>
        </w:rPr>
      </w:pPr>
    </w:p>
    <w:p>
      <w:pPr>
        <w:jc w:val="both"/>
        <w:ind w:firstLine="526"/>
        <w:spacing w:after="0" w:line="267" w:lineRule="auto"/>
        <w:rPr>
          <w:sz w:val="20"/>
          <w:szCs w:val="20"/>
          <w:color w:val="auto"/>
        </w:rPr>
      </w:pPr>
      <w:r>
        <w:rPr>
          <w:rFonts w:ascii="Arial" w:cs="Arial" w:eastAsia="Arial" w:hAnsi="Arial"/>
          <w:sz w:val="14"/>
          <w:szCs w:val="14"/>
          <w:color w:val="auto"/>
        </w:rPr>
        <w:t>Furthermore, the market price of our common stock may fluctuate significantly following consummation of the Proposed Mergers if, among other things, the combined company is unable to achieve the expected growth in earnings, or if the operational cost savings estimates in connection with the integration of our, Hygo’s and GMLP’s businesses are not realized, or if the transaction costs relating to the Proposed Mergers are greater than expected, or if the financing relating to the transaction is on unfavorable terms. The market price also may decline if the combined company does not achieve the perceived benefits of the Proposed Mergers as rapidly or to the extent anticipated by financial or industry analysts or if the effect of the Proposed Mergers on the combined company’s financial position, results of operations or cash flows is not consistent with the expectations of financial or industry analysts. In addition, the results of operations of the combined company and the market price of our common stock after the completion of the Proposed Mergers may be affected by factors different from those currently affecting the independent results of operations of each of our, Hygo’s and GMLP’s and business.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8" w:name="page59"/>
    <w:bookmarkEnd w:id="5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a “controlled company” within the meaning of Nasdaq rules and, as a result, qualify for and intend to rely on exemptions from certain corporate governance requirements.</w:t>
      </w:r>
    </w:p>
    <w:p>
      <w:pPr>
        <w:spacing w:after="0" w:line="223"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Affiliates of certain entities controlled by Wesley R. Edens and Randal A. Nardone (“Founder Entities”)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Fortress Investment Group LLC and NFE SMRS Holdings LLC are parties to the Shareholders’ Agreement and as of March 15, 2021 collectively hold approximately 27%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73" w:lineRule="exact"/>
        <w:rPr>
          <w:sz w:val="20"/>
          <w:szCs w:val="20"/>
          <w:color w:val="auto"/>
        </w:rPr>
      </w:pPr>
    </w:p>
    <w:p>
      <w:pPr>
        <w:ind w:left="800" w:hanging="266"/>
        <w:spacing w:after="0"/>
        <w:tabs>
          <w:tab w:leader="none" w:pos="8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 as defined under the rules of Nasdaq;</w:t>
      </w:r>
    </w:p>
    <w:p>
      <w:pPr>
        <w:spacing w:after="0" w:line="13" w:lineRule="exact"/>
        <w:rPr>
          <w:rFonts w:ascii="Arial" w:cs="Arial" w:eastAsia="Arial" w:hAnsi="Arial"/>
          <w:sz w:val="15"/>
          <w:szCs w:val="15"/>
          <w:color w:val="auto"/>
        </w:rPr>
      </w:pPr>
    </w:p>
    <w:p>
      <w:pPr>
        <w:ind w:left="800" w:hanging="266"/>
        <w:spacing w:after="0"/>
        <w:tabs>
          <w:tab w:leader="none" w:pos="8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nominating and governance committee be composed entirely of independent directors with a written charter addressing the committee’s purpose and responsibilities; and</w:t>
      </w:r>
    </w:p>
    <w:p>
      <w:pPr>
        <w:spacing w:after="0" w:line="25" w:lineRule="exact"/>
        <w:rPr>
          <w:rFonts w:ascii="Arial" w:cs="Arial" w:eastAsia="Arial" w:hAnsi="Arial"/>
          <w:sz w:val="13"/>
          <w:szCs w:val="13"/>
          <w:color w:val="auto"/>
        </w:rPr>
      </w:pPr>
    </w:p>
    <w:p>
      <w:pPr>
        <w:ind w:left="800" w:hanging="266"/>
        <w:spacing w:after="0"/>
        <w:tabs>
          <w:tab w:leader="none" w:pos="8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with a written charter addressing the committee’s purpose and responsibilities.</w:t>
      </w:r>
    </w:p>
    <w:p>
      <w:pPr>
        <w:spacing w:after="0" w:line="19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small number of our original investors have the ability to direct the voting of a majority of our stock, and their interests may conflict with those of our other stockholders.</w:t>
      </w:r>
    </w:p>
    <w:p>
      <w:pPr>
        <w:spacing w:after="0" w:line="223" w:lineRule="exact"/>
        <w:rPr>
          <w:sz w:val="20"/>
          <w:szCs w:val="20"/>
          <w:color w:val="auto"/>
        </w:rPr>
      </w:pPr>
    </w:p>
    <w:p>
      <w:pPr>
        <w:jc w:val="both"/>
        <w:ind w:firstLine="526"/>
        <w:spacing w:after="0" w:line="291" w:lineRule="auto"/>
        <w:rPr>
          <w:sz w:val="20"/>
          <w:szCs w:val="20"/>
          <w:color w:val="auto"/>
        </w:rPr>
      </w:pPr>
      <w:r>
        <w:rPr>
          <w:rFonts w:ascii="Arial" w:cs="Arial" w:eastAsia="Arial" w:hAnsi="Arial"/>
          <w:sz w:val="13"/>
          <w:szCs w:val="13"/>
          <w:color w:val="auto"/>
        </w:rPr>
        <w:t>As of March 15, 2021, affiliates of the Founder Entities own an aggregate of approximately 98,824,301 shares of Class A common stock, representing 56.2% of our voting power. As of March 15, 2021, Wesley R. Edens and Randal A. Nardone directly or indirectly own 72,627,775 shares and 26,196,526 shares, respectively, of our Class A common stock, representing 41.3% and 14.9% of the voting power of the Class A common stock, respectively. The beneficial ownership of greater than 50% of our voting stock means affiliates of the Founder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Founder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157"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3"/>
          <w:szCs w:val="13"/>
          <w:color w:val="auto"/>
        </w:rPr>
        <w:t>Given this concentrated ownership, the affiliates of the Founder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may adversely affect the trading price of our securities, including our Class A common stock, to the extent investors perceive a disadvantage in owning securities of a company with a significant stockholder.</w:t>
      </w:r>
    </w:p>
    <w:p>
      <w:pPr>
        <w:spacing w:after="0" w:line="149" w:lineRule="exact"/>
        <w:rPr>
          <w:sz w:val="20"/>
          <w:szCs w:val="20"/>
          <w:color w:val="auto"/>
        </w:rPr>
      </w:pPr>
    </w:p>
    <w:p>
      <w:pPr>
        <w:jc w:val="both"/>
        <w:ind w:firstLine="526"/>
        <w:spacing w:after="0" w:line="293" w:lineRule="auto"/>
        <w:rPr>
          <w:sz w:val="20"/>
          <w:szCs w:val="20"/>
          <w:color w:val="auto"/>
        </w:rPr>
      </w:pPr>
      <w:r>
        <w:rPr>
          <w:rFonts w:ascii="Arial" w:cs="Arial" w:eastAsia="Arial" w:hAnsi="Arial"/>
          <w:sz w:val="13"/>
          <w:szCs w:val="13"/>
          <w:color w:val="auto"/>
        </w:rPr>
        <w:t>Furthermore, in connection with the IPO, we entered into a shareholders’ agreement (the “Shareholders’ Agreement”) with New Fortress Energy Holdings and its affiliates, and in connection with the Exchange Transactions (as defined herein), New Fortress Energy Holdings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320"/>
        <w:spacing w:after="0" w:line="340" w:lineRule="auto"/>
        <w:rPr>
          <w:sz w:val="20"/>
          <w:szCs w:val="20"/>
          <w:color w:val="auto"/>
        </w:rPr>
      </w:pPr>
      <w:r>
        <w:rPr>
          <w:rFonts w:ascii="Arial" w:cs="Arial" w:eastAsia="Arial" w:hAnsi="Arial"/>
          <w:sz w:val="13"/>
          <w:szCs w:val="13"/>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25"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third-party to acquire us. In addition, some provisions of our Certificate of Incorporation and By-Laws could make it more difficult for a third-party to acquire control of us, even if the change of control would be beneficial to our securityholders. These provisions include:</w:t>
      </w:r>
    </w:p>
    <w:p>
      <w:pPr>
        <w:spacing w:after="0" w:line="183" w:lineRule="exact"/>
        <w:rPr>
          <w:sz w:val="20"/>
          <w:szCs w:val="20"/>
          <w:color w:val="auto"/>
        </w:rPr>
      </w:pPr>
    </w:p>
    <w:p>
      <w:pPr>
        <w:ind w:left="800" w:hanging="266"/>
        <w:spacing w:after="0"/>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dividing our board of directors into three classes of directors, with each class serving staggered three-year terms;</w:t>
      </w:r>
    </w:p>
    <w:p>
      <w:pPr>
        <w:spacing w:after="0" w:line="13" w:lineRule="exact"/>
        <w:rPr>
          <w:rFonts w:ascii="Arial" w:cs="Arial" w:eastAsia="Arial" w:hAnsi="Arial"/>
          <w:sz w:val="15"/>
          <w:szCs w:val="15"/>
          <w:color w:val="auto"/>
        </w:rPr>
      </w:pPr>
    </w:p>
    <w:p>
      <w:pPr>
        <w:ind w:left="800" w:hanging="266"/>
        <w:spacing w:after="0" w:line="244" w:lineRule="auto"/>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w:t>
      </w:r>
    </w:p>
    <w:p>
      <w:pPr>
        <w:ind w:left="800" w:hanging="266"/>
        <w:spacing w:after="0" w:line="244" w:lineRule="auto"/>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ind w:left="800" w:hanging="266"/>
        <w:spacing w:after="0"/>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2" w:lineRule="exact"/>
        <w:rPr>
          <w:rFonts w:ascii="Arial" w:cs="Arial" w:eastAsia="Arial" w:hAnsi="Arial"/>
          <w:sz w:val="15"/>
          <w:szCs w:val="15"/>
          <w:color w:val="auto"/>
        </w:rPr>
      </w:pPr>
    </w:p>
    <w:p>
      <w:pPr>
        <w:ind w:left="800" w:hanging="266"/>
        <w:spacing w:after="0"/>
        <w:tabs>
          <w:tab w:leader="none" w:pos="8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establishing advance notice provisions for stockholder proposals and nominations for elections to the board of directors to be acted upon at meetings of the stockholders; and</w:t>
      </w:r>
    </w:p>
    <w:p>
      <w:pPr>
        <w:spacing w:after="0" w:line="25" w:lineRule="exact"/>
        <w:rPr>
          <w:rFonts w:ascii="Arial" w:cs="Arial" w:eastAsia="Arial" w:hAnsi="Arial"/>
          <w:sz w:val="13"/>
          <w:szCs w:val="13"/>
          <w:color w:val="auto"/>
        </w:rPr>
      </w:pPr>
    </w:p>
    <w:p>
      <w:pPr>
        <w:ind w:left="800" w:hanging="266"/>
        <w:spacing w:after="0"/>
        <w:tabs>
          <w:tab w:leader="none" w:pos="8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providing that the board of directors is expressly authorized to adopt, or to alter or repeal our certain provisions of our organizational documents to the extent permitted by law.</w:t>
      </w:r>
    </w:p>
    <w:p>
      <w:pPr>
        <w:spacing w:after="0" w:line="213" w:lineRule="exact"/>
        <w:rPr>
          <w:sz w:val="20"/>
          <w:szCs w:val="20"/>
          <w:color w:val="auto"/>
        </w:rPr>
      </w:pPr>
    </w:p>
    <w:p>
      <w:pPr>
        <w:jc w:val="both"/>
        <w:ind w:firstLine="526"/>
        <w:spacing w:after="0" w:line="291" w:lineRule="auto"/>
        <w:rPr>
          <w:sz w:val="20"/>
          <w:szCs w:val="20"/>
          <w:color w:val="auto"/>
        </w:rPr>
      </w:pPr>
      <w:r>
        <w:rPr>
          <w:rFonts w:ascii="Arial" w:cs="Arial" w:eastAsia="Arial" w:hAnsi="Arial"/>
          <w:sz w:val="13"/>
          <w:szCs w:val="13"/>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NFE SMRS Holdings LLC (except in the context of a public offering) or any person whose ownership of stock in excess of 15% of our outstanding voting stock is the result of any action taken solely by us. Our Certificate of Incorporation provides that the Founder Entities and NFE SMRS Holdings LLC and any of their respective direct or indirect transferees, and any group as to which such persons are a party, do not constitute “interested stockholders” for purposes of this provision.</w:t>
      </w:r>
    </w:p>
    <w:p>
      <w:pPr>
        <w:spacing w:after="0" w:line="157" w:lineRule="exact"/>
        <w:rPr>
          <w:sz w:val="20"/>
          <w:szCs w:val="20"/>
          <w:color w:val="auto"/>
        </w:rPr>
      </w:pPr>
    </w:p>
    <w:p>
      <w:pPr>
        <w:jc w:val="both"/>
        <w:spacing w:after="0" w:line="446" w:lineRule="auto"/>
        <w:rPr>
          <w:sz w:val="20"/>
          <w:szCs w:val="20"/>
          <w:color w:val="auto"/>
        </w:rPr>
      </w:pPr>
      <w:r>
        <w:rPr>
          <w:rFonts w:ascii="Arial" w:cs="Arial" w:eastAsia="Arial" w:hAnsi="Arial"/>
          <w:sz w:val="11"/>
          <w:szCs w:val="11"/>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78" w:lineRule="exact"/>
        <w:rPr>
          <w:sz w:val="20"/>
          <w:szCs w:val="20"/>
          <w:color w:val="auto"/>
        </w:rPr>
      </w:pPr>
    </w:p>
    <w:p>
      <w:pPr>
        <w:jc w:val="both"/>
        <w:ind w:firstLine="526"/>
        <w:spacing w:after="0" w:line="288" w:lineRule="auto"/>
        <w:rPr>
          <w:sz w:val="20"/>
          <w:szCs w:val="20"/>
          <w:color w:val="auto"/>
        </w:rPr>
      </w:pPr>
      <w:r>
        <w:rPr>
          <w:rFonts w:ascii="Arial" w:cs="Arial" w:eastAsia="Arial" w:hAnsi="Arial"/>
          <w:sz w:val="13"/>
          <w:szCs w:val="13"/>
          <w:color w:val="auto"/>
        </w:rPr>
        <w:t>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7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53" w:lineRule="exact"/>
        <w:rPr>
          <w:sz w:val="20"/>
          <w:szCs w:val="20"/>
          <w:color w:val="auto"/>
        </w:rPr>
      </w:pPr>
    </w:p>
    <w:p>
      <w:pPr>
        <w:jc w:val="both"/>
        <w:spacing w:after="0" w:line="311" w:lineRule="auto"/>
        <w:rPr>
          <w:sz w:val="20"/>
          <w:szCs w:val="20"/>
          <w:color w:val="auto"/>
        </w:rPr>
      </w:pPr>
      <w:r>
        <w:rPr>
          <w:rFonts w:ascii="Arial" w:cs="Arial" w:eastAsia="Arial" w:hAnsi="Arial"/>
          <w:sz w:val="13"/>
          <w:szCs w:val="13"/>
          <w:b w:val="1"/>
          <w:bCs w:val="1"/>
          <w:i w:val="1"/>
          <w:iCs w:val="1"/>
          <w:color w:val="auto"/>
        </w:rPr>
        <w:t>The incurrence or issuance of debt which ranks senior to our Class A common stock upon our liquidation, including any debt issued in connection with the financing of the Proposed Mergers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43" w:lineRule="exact"/>
        <w:rPr>
          <w:sz w:val="20"/>
          <w:szCs w:val="20"/>
          <w:color w:val="auto"/>
        </w:rPr>
      </w:pPr>
    </w:p>
    <w:p>
      <w:pPr>
        <w:jc w:val="both"/>
        <w:ind w:firstLine="526"/>
        <w:spacing w:after="0" w:line="288" w:lineRule="auto"/>
        <w:rPr>
          <w:sz w:val="20"/>
          <w:szCs w:val="20"/>
          <w:color w:val="auto"/>
        </w:rPr>
      </w:pPr>
      <w:r>
        <w:rPr>
          <w:rFonts w:ascii="Arial" w:cs="Arial" w:eastAsia="Arial" w:hAnsi="Arial"/>
          <w:sz w:val="13"/>
          <w:szCs w:val="13"/>
          <w:color w:val="auto"/>
        </w:rPr>
        <w:t>We have incurred and may in the future incur or issue debt, including any debt issued in connection with the financing of the Proposed Mergers,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issue preferred stock, the terms of which could adversely affect the voting power or value of our Class A common stock.</w:t>
      </w:r>
    </w:p>
    <w:p>
      <w:pPr>
        <w:spacing w:after="0" w:line="200" w:lineRule="exact"/>
        <w:rPr>
          <w:sz w:val="20"/>
          <w:szCs w:val="20"/>
          <w:color w:val="auto"/>
        </w:rPr>
      </w:pPr>
    </w:p>
    <w:p>
      <w:pPr>
        <w:jc w:val="both"/>
        <w:ind w:firstLine="526"/>
        <w:spacing w:after="0" w:line="270" w:lineRule="auto"/>
        <w:rPr>
          <w:sz w:val="20"/>
          <w:szCs w:val="20"/>
          <w:color w:val="auto"/>
        </w:rPr>
      </w:pPr>
      <w:r>
        <w:rPr>
          <w:rFonts w:ascii="Arial" w:cs="Arial" w:eastAsia="Arial" w:hAnsi="Arial"/>
          <w:sz w:val="14"/>
          <w:szCs w:val="14"/>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or issuances of our Class A common stock could adversely affect the market price of our Class A common stock.</w:t>
      </w:r>
    </w:p>
    <w:p>
      <w:pPr>
        <w:spacing w:after="0" w:line="20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active, liquid and orderly trading market for our Class A common stock may not be maintained and the price of our Class A common stock may fluctuate significantly.</w:t>
      </w:r>
    </w:p>
    <w:p>
      <w:pPr>
        <w:spacing w:after="0" w:line="212"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5"/>
          <w:szCs w:val="15"/>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1" w:name="page62"/>
    <w:bookmarkEnd w:id="6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70" w:lineRule="exact"/>
        <w:rPr>
          <w:sz w:val="20"/>
          <w:szCs w:val="20"/>
          <w:color w:val="auto"/>
        </w:rPr>
      </w:pPr>
    </w:p>
    <w:p>
      <w:pPr>
        <w:jc w:val="both"/>
        <w:ind w:firstLine="526"/>
        <w:spacing w:after="0" w:line="264" w:lineRule="auto"/>
        <w:rPr>
          <w:sz w:val="20"/>
          <w:szCs w:val="20"/>
          <w:color w:val="auto"/>
        </w:rPr>
      </w:pPr>
      <w:r>
        <w:rPr>
          <w:rFonts w:ascii="Arial" w:cs="Arial" w:eastAsia="Arial" w:hAnsi="Arial"/>
          <w:sz w:val="14"/>
          <w:szCs w:val="14"/>
          <w:color w:val="auto"/>
        </w:rPr>
        <w:t>The Jumpstart Our Business Startups Act of 2012, or “JOBS Act”, contains provisions that, among other things, relax certain reporting requirements for “emerging growth companies,” including certain requirements relating to auditing standards and compensation disclosure. Prior to September 2, 2020,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78"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15"/>
          <w:szCs w:val="15"/>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 As a public company, we are required to report any control deficiencies that constitute a “material weakness” in our internal control over financial reporting, and doing so could impair our ability to raise capital and otherwise adversely affect the value of our securities.</w:t>
      </w:r>
    </w:p>
    <w:p>
      <w:pPr>
        <w:spacing w:after="0" w:line="18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47"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3"/>
          <w:szCs w:val="13"/>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178" w:lineRule="exact"/>
        <w:rPr>
          <w:sz w:val="20"/>
          <w:szCs w:val="20"/>
          <w:color w:val="auto"/>
        </w:rPr>
      </w:pPr>
    </w:p>
    <w:p>
      <w:pPr>
        <w:jc w:val="both"/>
        <w:ind w:firstLine="526"/>
        <w:spacing w:after="0" w:line="266" w:lineRule="auto"/>
        <w:rPr>
          <w:sz w:val="20"/>
          <w:szCs w:val="20"/>
          <w:color w:val="auto"/>
        </w:rPr>
      </w:pPr>
      <w:r>
        <w:rPr>
          <w:rFonts w:ascii="Arial" w:cs="Arial" w:eastAsia="Arial" w:hAnsi="Arial"/>
          <w:sz w:val="14"/>
          <w:szCs w:val="14"/>
          <w:color w:val="auto"/>
        </w:rPr>
        <w:t>As a public company with stock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 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62" w:name="page63"/>
    <w:bookmarkEnd w:id="6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320"/>
        <w:spacing w:after="0" w:line="263"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70"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7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Class A common stock.</w:t>
      </w:r>
    </w:p>
    <w:p>
      <w:pPr>
        <w:spacing w:after="0" w:line="147"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5"/>
          <w:szCs w:val="15"/>
          <w:color w:val="auto"/>
        </w:rPr>
        <w:t>We expect the Exchange Transactions and the Conversion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w:t>
      </w:r>
    </w:p>
    <w:p>
      <w:pPr>
        <w:spacing w:after="0" w:line="178" w:lineRule="exact"/>
        <w:rPr>
          <w:sz w:val="20"/>
          <w:szCs w:val="20"/>
          <w:color w:val="auto"/>
        </w:rPr>
      </w:pPr>
    </w:p>
    <w:p>
      <w:pPr>
        <w:jc w:val="both"/>
        <w:ind w:firstLine="526"/>
        <w:spacing w:after="0" w:line="311" w:lineRule="auto"/>
        <w:rPr>
          <w:sz w:val="20"/>
          <w:szCs w:val="20"/>
          <w:color w:val="auto"/>
        </w:rPr>
      </w:pPr>
      <w:r>
        <w:rPr>
          <w:rFonts w:ascii="Arial" w:cs="Arial" w:eastAsia="Arial" w:hAnsi="Arial"/>
          <w:sz w:val="13"/>
          <w:szCs w:val="13"/>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Class A common stock.</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We are not currently a party to any material legal proceedings. In the ordinary course of business, various legal and regulatory claims and proceedings may be pending or threatened against us.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If we become a party to proceedings in the future, we may be unable to predict with certainty the ultimate outcome of such claims and proceedings.</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200"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color w:val="auto"/>
        </w:rPr>
        <w:t>Market for the Registrant’s Common Equity, Related Shareholder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204" w:lineRule="exact"/>
        <w:rPr>
          <w:sz w:val="20"/>
          <w:szCs w:val="20"/>
          <w:color w:val="auto"/>
        </w:rPr>
      </w:pPr>
    </w:p>
    <w:p>
      <w:pPr>
        <w:ind w:right="60" w:firstLine="263"/>
        <w:spacing w:after="0" w:line="253" w:lineRule="auto"/>
        <w:rPr>
          <w:sz w:val="20"/>
          <w:szCs w:val="20"/>
          <w:color w:val="auto"/>
        </w:rPr>
      </w:pPr>
      <w:r>
        <w:rPr>
          <w:rFonts w:ascii="Arial" w:cs="Arial" w:eastAsia="Arial" w:hAnsi="Arial"/>
          <w:sz w:val="15"/>
          <w:szCs w:val="15"/>
          <w:color w:val="auto"/>
        </w:rPr>
        <w:t>Our Class A common stock is traded on the NASDAQ Global Select Market under the symbol “NFE.” On March 15, 2021, there were eight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04" w:lineRule="exact"/>
        <w:rPr>
          <w:sz w:val="20"/>
          <w:szCs w:val="20"/>
          <w:color w:val="auto"/>
        </w:rPr>
      </w:pPr>
    </w:p>
    <w:p>
      <w:pPr>
        <w:ind w:right="320" w:firstLine="263"/>
        <w:spacing w:after="0" w:line="250" w:lineRule="auto"/>
        <w:rPr>
          <w:sz w:val="20"/>
          <w:szCs w:val="20"/>
          <w:color w:val="auto"/>
        </w:rPr>
      </w:pPr>
      <w:r>
        <w:rPr>
          <w:rFonts w:ascii="Arial" w:cs="Arial" w:eastAsia="Arial" w:hAnsi="Arial"/>
          <w:sz w:val="15"/>
          <w:szCs w:val="15"/>
          <w:color w:val="auto"/>
        </w:rPr>
        <w:t>We declared dividends of $0.10 per share in August and October 2020, totaling $33,742 in dividend payments during the year ended December 31, 2020.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204" w:lineRule="exact"/>
        <w:rPr>
          <w:sz w:val="20"/>
          <w:szCs w:val="20"/>
          <w:color w:val="auto"/>
        </w:rPr>
      </w:pPr>
    </w:p>
    <w:p>
      <w:pPr>
        <w:ind w:right="60" w:firstLine="263"/>
        <w:spacing w:after="0" w:line="263" w:lineRule="auto"/>
        <w:rPr>
          <w:sz w:val="20"/>
          <w:szCs w:val="20"/>
          <w:color w:val="auto"/>
        </w:rPr>
      </w:pPr>
      <w:r>
        <w:rPr>
          <w:rFonts w:ascii="Arial" w:cs="Arial" w:eastAsia="Arial" w:hAnsi="Arial"/>
          <w:sz w:val="15"/>
          <w:szCs w:val="15"/>
          <w:color w:val="auto"/>
        </w:rPr>
        <w:t>The information required by this Item is set forth in the Company’s Proxy Statement to be filed with the SEC within 120 days after December 31, 2020 in connection with our 2021 annual meeting of shareholders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Performance Graph</w:t>
      </w:r>
    </w:p>
    <w:p>
      <w:pPr>
        <w:spacing w:after="0" w:line="204" w:lineRule="exact"/>
        <w:rPr>
          <w:sz w:val="20"/>
          <w:szCs w:val="20"/>
          <w:color w:val="auto"/>
        </w:rPr>
      </w:pPr>
    </w:p>
    <w:p>
      <w:pPr>
        <w:ind w:right="60" w:firstLine="263"/>
        <w:spacing w:after="0" w:line="247" w:lineRule="auto"/>
        <w:rPr>
          <w:sz w:val="20"/>
          <w:szCs w:val="20"/>
          <w:color w:val="auto"/>
        </w:rPr>
      </w:pPr>
      <w:r>
        <w:rPr>
          <w:rFonts w:ascii="Arial" w:cs="Arial" w:eastAsia="Arial" w:hAnsi="Arial"/>
          <w:sz w:val="15"/>
          <w:szCs w:val="15"/>
          <w:color w:val="auto"/>
        </w:rPr>
        <w:t>The following graph compares the cumulative total return to shareholders on our Class A common stock relative to the S&amp;P 500, Alerian Midstream Index (“AMNA”) and Vanguard Energy ETF (“VDE”), including reinvestment of dividends. 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spacing w:after="0" w:line="3" w:lineRule="exact"/>
        <w:rPr>
          <w:sz w:val="20"/>
          <w:szCs w:val="20"/>
          <w:color w:val="auto"/>
        </w:rPr>
      </w:pPr>
    </w:p>
    <w:p>
      <w:pPr>
        <w:ind w:right="640" w:firstLine="263"/>
        <w:spacing w:after="0" w:line="323" w:lineRule="auto"/>
        <w:rPr>
          <w:sz w:val="20"/>
          <w:szCs w:val="20"/>
          <w:color w:val="auto"/>
        </w:rPr>
      </w:pPr>
      <w:r>
        <w:rPr>
          <w:rFonts w:ascii="Arial" w:cs="Arial" w:eastAsia="Arial" w:hAnsi="Arial"/>
          <w:sz w:val="13"/>
          <w:szCs w:val="13"/>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08520" cy="2854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8520" cy="285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Cumulative Total Return Percentage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Borders>
              <w:top w:val="single" w:sz="8" w:color="auto"/>
            </w:tcBorders>
          </w:tcPr>
          <w:p>
            <w:pPr>
              <w:spacing w:after="0"/>
              <w:rPr>
                <w:sz w:val="15"/>
                <w:szCs w:val="15"/>
                <w:color w:val="auto"/>
              </w:rPr>
            </w:pPr>
          </w:p>
        </w:tc>
        <w:tc>
          <w:tcPr>
            <w:tcW w:w="2140" w:type="dxa"/>
            <w:vAlign w:val="bottom"/>
            <w:tcBorders>
              <w:top w:val="single" w:sz="8" w:color="auto"/>
              <w:right w:val="single" w:sz="8" w:color="auto"/>
            </w:tcBorders>
            <w:shd w:val="clear" w:color="auto" w:fill="CCEEFF"/>
          </w:tcPr>
          <w:p>
            <w:pPr>
              <w:spacing w:after="0"/>
              <w:rPr>
                <w:sz w:val="15"/>
                <w:szCs w:val="15"/>
                <w:color w:val="auto"/>
              </w:rPr>
            </w:pPr>
          </w:p>
        </w:tc>
        <w:tc>
          <w:tcPr>
            <w:tcW w:w="120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4"/>
              </w:rPr>
              <w:t>January 31,</w:t>
            </w:r>
          </w:p>
        </w:tc>
        <w:tc>
          <w:tcPr>
            <w:tcW w:w="820" w:type="dxa"/>
            <w:vAlign w:val="bottom"/>
            <w:tcBorders>
              <w:top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March</w:t>
            </w:r>
          </w:p>
        </w:tc>
        <w:tc>
          <w:tcPr>
            <w:tcW w:w="820" w:type="dxa"/>
            <w:vAlign w:val="bottom"/>
            <w:tcBorders>
              <w:top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June</w:t>
            </w:r>
          </w:p>
        </w:tc>
        <w:tc>
          <w:tcPr>
            <w:tcW w:w="1100" w:type="dxa"/>
            <w:vAlign w:val="bottom"/>
            <w:tcBorders>
              <w:top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Sepember</w:t>
            </w:r>
          </w:p>
        </w:tc>
        <w:tc>
          <w:tcPr>
            <w:tcW w:w="1100" w:type="dxa"/>
            <w:vAlign w:val="bottom"/>
            <w:tcBorders>
              <w:top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December</w:t>
            </w:r>
          </w:p>
        </w:tc>
        <w:tc>
          <w:tcPr>
            <w:tcW w:w="820" w:type="dxa"/>
            <w:vAlign w:val="bottom"/>
            <w:tcBorders>
              <w:top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March</w:t>
            </w:r>
          </w:p>
        </w:tc>
        <w:tc>
          <w:tcPr>
            <w:tcW w:w="940" w:type="dxa"/>
            <w:vAlign w:val="bottom"/>
            <w:tcBorders>
              <w:top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June</w:t>
            </w:r>
          </w:p>
        </w:tc>
        <w:tc>
          <w:tcPr>
            <w:tcW w:w="1100" w:type="dxa"/>
            <w:vAlign w:val="bottom"/>
            <w:tcBorders>
              <w:top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Sepember</w:t>
            </w:r>
          </w:p>
        </w:tc>
        <w:tc>
          <w:tcPr>
            <w:tcW w:w="12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December</w:t>
            </w:r>
          </w:p>
        </w:tc>
        <w:tc>
          <w:tcPr>
            <w:tcW w:w="20" w:type="dxa"/>
            <w:vAlign w:val="bottom"/>
            <w:tcBorders>
              <w:top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Company / Index</w:t>
            </w:r>
          </w:p>
        </w:tc>
        <w:tc>
          <w:tcPr>
            <w:tcW w:w="1200" w:type="dxa"/>
            <w:vAlign w:val="bottom"/>
            <w:tcBorders>
              <w:bottom w:val="single" w:sz="8" w:color="auto"/>
              <w:right w:val="single" w:sz="8" w:color="auto"/>
            </w:tcBorders>
            <w:shd w:val="clear" w:color="auto" w:fill="CCEEFF"/>
          </w:tcPr>
          <w:p>
            <w:pPr>
              <w:jc w:val="center"/>
              <w:spacing w:after="0" w:line="209" w:lineRule="exact"/>
              <w:rPr>
                <w:sz w:val="20"/>
                <w:szCs w:val="20"/>
                <w:color w:val="auto"/>
              </w:rPr>
            </w:pPr>
            <w:r>
              <w:rPr>
                <w:rFonts w:ascii="Arial" w:cs="Arial" w:eastAsia="Arial" w:hAnsi="Arial"/>
                <w:sz w:val="15"/>
                <w:szCs w:val="15"/>
                <w:color w:val="auto"/>
                <w:w w:val="79"/>
              </w:rPr>
              <w:t>2019</w:t>
            </w:r>
            <w:r>
              <w:rPr>
                <w:rFonts w:ascii="Arial" w:cs="Arial" w:eastAsia="Arial" w:hAnsi="Arial"/>
                <w:sz w:val="24"/>
                <w:szCs w:val="24"/>
                <w:color w:val="auto"/>
                <w:w w:val="79"/>
                <w:vertAlign w:val="superscript"/>
              </w:rPr>
              <w:t>(1)</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2019(2)</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2019(2)</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2019(2)</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2019(2)</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6"/>
              </w:rPr>
              <w:t>2020(2)</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6"/>
              </w:rPr>
              <w:t>2020(2)</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6"/>
              </w:rPr>
              <w:t>2020(2)</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6"/>
              </w:rPr>
              <w:t>2020(2)</w:t>
            </w:r>
          </w:p>
        </w:tc>
        <w:tc>
          <w:tcPr>
            <w:tcW w:w="20" w:type="dxa"/>
            <w:vAlign w:val="bottom"/>
            <w:tcBorders>
              <w:bottom w:val="single" w:sz="8" w:color="auto"/>
            </w:tcBorders>
          </w:tcPr>
          <w:p>
            <w:pPr>
              <w:spacing w:after="0"/>
              <w:rPr>
                <w:sz w:val="18"/>
                <w:szCs w:val="18"/>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NFE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(10.6)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37.9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19.9</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(25.1)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(0.8)</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5"/>
              </w:rPr>
              <w:t>237.9</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312.4</w:t>
            </w:r>
          </w:p>
        </w:tc>
        <w:tc>
          <w:tcPr>
            <w:tcW w:w="20" w:type="dxa"/>
            <w:vAlign w:val="bottom"/>
            <w:tcBorders>
              <w:bottom w:val="single" w:sz="8" w:color="auto"/>
            </w:tcBorders>
          </w:tcPr>
          <w:p>
            <w:pPr>
              <w:spacing w:after="0"/>
              <w:rPr>
                <w:sz w:val="15"/>
                <w:szCs w:val="15"/>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S&amp;P 500</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100</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6"/>
              </w:rPr>
              <w:t>4.8</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6"/>
              </w:rPr>
              <w:t>8.8</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10.1</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19.5</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(4.4)</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2"/>
              </w:rPr>
              <w:t>14.7</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2"/>
              </w:rPr>
              <w:t>24.4</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2"/>
              </w:rPr>
              <w:t>38.9</w:t>
            </w:r>
          </w:p>
        </w:tc>
        <w:tc>
          <w:tcPr>
            <w:tcW w:w="20" w:type="dxa"/>
            <w:vAlign w:val="bottom"/>
            <w:tcBorders>
              <w:bottom w:val="single" w:sz="8" w:color="auto"/>
            </w:tcBorders>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2140" w:type="dxa"/>
            <w:vAlign w:val="bottom"/>
            <w:tcBorders>
              <w:right w:val="single" w:sz="8" w:color="auto"/>
            </w:tcBorders>
          </w:tcPr>
          <w:p>
            <w:pPr>
              <w:spacing w:after="0" w:line="165" w:lineRule="exact"/>
              <w:rPr>
                <w:sz w:val="20"/>
                <w:szCs w:val="20"/>
                <w:color w:val="auto"/>
              </w:rPr>
            </w:pPr>
            <w:r>
              <w:rPr>
                <w:rFonts w:ascii="Arial" w:cs="Arial" w:eastAsia="Arial" w:hAnsi="Arial"/>
                <w:sz w:val="15"/>
                <w:szCs w:val="15"/>
                <w:color w:val="auto"/>
              </w:rPr>
              <w:t>Alerian Midstream Index</w:t>
            </w:r>
          </w:p>
        </w:tc>
        <w:tc>
          <w:tcPr>
            <w:tcW w:w="12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(“AMNA”)</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0.6</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(6.4)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(12.3)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(63.3)</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(46.5)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(56.6)</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(44.2)</w:t>
            </w:r>
          </w:p>
        </w:tc>
        <w:tc>
          <w:tcPr>
            <w:tcW w:w="20" w:type="dxa"/>
            <w:vAlign w:val="bottom"/>
            <w:tcBorders>
              <w:bottom w:val="single" w:sz="8" w:color="auto"/>
            </w:tcBorders>
          </w:tcPr>
          <w:p>
            <w:pPr>
              <w:spacing w:after="0"/>
              <w:rPr>
                <w:sz w:val="16"/>
                <w:szCs w:val="16"/>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Vanguard Energy ETF (“VDE”)</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100</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6"/>
              </w:rPr>
              <w:t>4.5</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6"/>
              </w:rPr>
              <w:t>0.2</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(7.2)</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(2.2)</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(53.5)</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(38.0)</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(49.7)</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(34.5)</w:t>
            </w:r>
          </w:p>
        </w:tc>
        <w:tc>
          <w:tcPr>
            <w:tcW w:w="20" w:type="dxa"/>
            <w:vAlign w:val="bottom"/>
            <w:tcBorders>
              <w:bottom w:val="single" w:sz="8" w:color="auto"/>
            </w:tcBorders>
          </w:tcPr>
          <w:p>
            <w:pPr>
              <w:spacing w:after="0"/>
              <w:rPr>
                <w:sz w:val="15"/>
                <w:szCs w:val="15"/>
                <w:color w:val="auto"/>
              </w:rPr>
            </w:pPr>
          </w:p>
        </w:tc>
      </w:tr>
    </w:tbl>
    <w:p>
      <w:pPr>
        <w:ind w:left="280" w:hanging="272"/>
        <w:spacing w:after="0"/>
        <w:tabs>
          <w:tab w:leader="none" w:pos="2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Date of the IPO</w:t>
      </w:r>
    </w:p>
    <w:p>
      <w:pPr>
        <w:spacing w:after="0" w:line="3" w:lineRule="exact"/>
        <w:rPr>
          <w:rFonts w:ascii="Arial" w:cs="Arial" w:eastAsia="Arial" w:hAnsi="Arial"/>
          <w:sz w:val="15"/>
          <w:szCs w:val="15"/>
          <w:color w:val="auto"/>
        </w:rPr>
      </w:pPr>
    </w:p>
    <w:p>
      <w:pPr>
        <w:ind w:left="280" w:hanging="272"/>
        <w:spacing w:after="0"/>
        <w:tabs>
          <w:tab w:leader="none" w:pos="2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Last trading day of the month</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4" w:name="page65"/>
    <w:bookmarkEnd w:id="6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 from Registered Securities</w:t>
      </w:r>
    </w:p>
    <w:p>
      <w:pPr>
        <w:spacing w:after="0" w:line="204" w:lineRule="exact"/>
        <w:rPr>
          <w:sz w:val="20"/>
          <w:szCs w:val="20"/>
          <w:color w:val="auto"/>
        </w:rPr>
      </w:pPr>
    </w:p>
    <w:p>
      <w:pPr>
        <w:ind w:right="100" w:firstLine="263"/>
        <w:spacing w:after="0" w:line="289" w:lineRule="auto"/>
        <w:rPr>
          <w:sz w:val="20"/>
          <w:szCs w:val="20"/>
          <w:color w:val="auto"/>
        </w:rPr>
      </w:pPr>
      <w:r>
        <w:rPr>
          <w:rFonts w:ascii="Arial" w:cs="Arial" w:eastAsia="Arial" w:hAnsi="Arial"/>
          <w:sz w:val="13"/>
          <w:szCs w:val="13"/>
          <w:color w:val="auto"/>
        </w:rPr>
        <w:t>On February 4, 2019, we completed the IPO of 20,000,000 Class A shares pursuant to our registration statement on Form S-1 (File No. 333-228339) (the “Registration Statement”) declared effective by the SEC on January 30, 2019. In connection with the IPO, Morgan Stanley &amp; Co. LLC, Barclays Capital Inc., Citigroup Global Markets Inc. and Credit Suisse Securities (USA) LLC acted as representatives of the underwriters; Evercore Group L.L.C. and Allen &amp; Company LLC acted as joint book-running managers; and JMP Securities LLC and Stifel, Nicolaus &amp; Company Incorporated acted as co-managers. The gross proceeds of the IPO, based on a public offering price of $14.00 per Class A share, were $280.0 million, which resulted in net proceeds to us of $257.0 million, after deducting underwriting discounts and commissions and transaction costs. In addition, on March 1, 2019, the underwriters exercised their option to purchase an additional 837,272 Class A shares at the initial offering price of $14.00 per share, less underwriting discounts, which resulted in $11.0 million in additional net proceeds after deducting underwriting discounts and commissions, such that there were 20,837,272 outstanding Class A shares. We contributed the net proceeds of the IPO to NFI in exchange for NFI’s issuance to us of 20,837,272 NFI LLC Units. NFI used the net proceeds in connection with the construction of our Facilities, as well as for working capital and general corporate purposes, including the development of future projects. No fees or expenses were paid, directly or indirectly, to any officer, director, 10% unitholder or other affiliate.</w:t>
      </w:r>
    </w:p>
    <w:p>
      <w:pPr>
        <w:spacing w:after="0" w:line="156" w:lineRule="exact"/>
        <w:rPr>
          <w:sz w:val="20"/>
          <w:szCs w:val="20"/>
          <w:color w:val="auto"/>
        </w:rPr>
      </w:pPr>
    </w:p>
    <w:p>
      <w:pPr>
        <w:ind w:firstLine="263"/>
        <w:spacing w:after="0" w:line="263" w:lineRule="auto"/>
        <w:rPr>
          <w:sz w:val="20"/>
          <w:szCs w:val="20"/>
          <w:color w:val="auto"/>
        </w:rPr>
      </w:pPr>
      <w:r>
        <w:rPr>
          <w:rFonts w:ascii="Arial" w:cs="Arial" w:eastAsia="Arial" w:hAnsi="Arial"/>
          <w:sz w:val="15"/>
          <w:szCs w:val="15"/>
          <w:color w:val="auto"/>
        </w:rPr>
        <w:t>In December 2020, NFE issued 5,882,352 shares of Class A common stock and received proceeds of $290.8 million, net of $1.2 million in issuance costs. The use of these proceeds will be for general corporate purposes.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65" w:name="page66"/>
    <w:bookmarkEnd w:id="6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204" w:lineRule="exact"/>
        <w:rPr>
          <w:sz w:val="20"/>
          <w:szCs w:val="20"/>
          <w:color w:val="auto"/>
        </w:rPr>
      </w:pPr>
    </w:p>
    <w:p>
      <w:pPr>
        <w:ind w:right="20" w:firstLine="263"/>
        <w:spacing w:after="0" w:line="248" w:lineRule="auto"/>
        <w:rPr>
          <w:sz w:val="20"/>
          <w:szCs w:val="20"/>
          <w:color w:val="auto"/>
        </w:rPr>
      </w:pPr>
      <w:r>
        <w:rPr>
          <w:rFonts w:ascii="Arial" w:cs="Arial" w:eastAsia="Arial" w:hAnsi="Arial"/>
          <w:sz w:val="15"/>
          <w:szCs w:val="15"/>
          <w:color w:val="auto"/>
        </w:rPr>
        <w:t>The following table presents our selected historical consolidated financial and operating data. NFE was formed on August 6, 2018 and did not have historical financial results. The selected historical financial data as of December 31, 2018, 2017 and 2016 and for the years ended December 31, 2018, 2017 and 2016, prior to the IPO, was derived from the audited historical consolidated financial statements of New Fortress Energy Holdings, our predecessor for financial reporting purposes. Due to the change in organization structure as a result of reorganization transactions completed at the time of our IPO in 2019, the net loss per share and weighted average number of shares outstanding are not presented for the years ended December 31, 2018, 2017 and 2016.</w:t>
      </w:r>
    </w:p>
    <w:p>
      <w:pPr>
        <w:spacing w:after="0" w:line="183" w:lineRule="exact"/>
        <w:rPr>
          <w:sz w:val="20"/>
          <w:szCs w:val="20"/>
          <w:color w:val="auto"/>
        </w:rPr>
      </w:pPr>
    </w:p>
    <w:p>
      <w:pPr>
        <w:jc w:val="both"/>
        <w:ind w:right="240" w:firstLine="263"/>
        <w:spacing w:after="0" w:line="340" w:lineRule="auto"/>
        <w:rPr>
          <w:sz w:val="20"/>
          <w:szCs w:val="20"/>
          <w:color w:val="auto"/>
        </w:rPr>
      </w:pPr>
      <w:r>
        <w:rPr>
          <w:rFonts w:ascii="Arial" w:cs="Arial" w:eastAsia="Arial" w:hAnsi="Arial"/>
          <w:sz w:val="13"/>
          <w:szCs w:val="13"/>
          <w:color w:val="auto"/>
        </w:rPr>
        <w:t>You should read the information set forth below together with “Item 7. Management’s Discussion and Analysis of Financial Condition and Results of Operations” and our consolidated financial statements and related notes included elsewhere in this Annual Report. The historical financial results are not necessarily indicative of results to be expected for any future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40" w:type="dxa"/>
            <w:vAlign w:val="bottom"/>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w w:val="91"/>
              </w:rPr>
              <w:t>(In thousands,</w:t>
            </w: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w w:val="87"/>
              </w:rPr>
              <w:t>except share and per</w:t>
            </w:r>
          </w:p>
        </w:tc>
        <w:tc>
          <w:tcPr>
            <w:tcW w:w="1340" w:type="dxa"/>
            <w:vAlign w:val="bottom"/>
            <w:gridSpan w:val="3"/>
          </w:tcPr>
          <w:p>
            <w:pPr>
              <w:jc w:val="right"/>
              <w:ind w:right="247"/>
              <w:spacing w:after="0"/>
              <w:rPr>
                <w:sz w:val="20"/>
                <w:szCs w:val="20"/>
                <w:color w:val="auto"/>
              </w:rPr>
            </w:pPr>
            <w:r>
              <w:rPr>
                <w:rFonts w:ascii="Arial" w:cs="Arial" w:eastAsia="Arial" w:hAnsi="Arial"/>
                <w:sz w:val="15"/>
                <w:szCs w:val="15"/>
                <w:b w:val="1"/>
                <w:bCs w:val="1"/>
                <w:color w:val="auto"/>
                <w:w w:val="89"/>
              </w:rPr>
              <w:t>share amounts)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64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318,311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7"/>
              <w:spacing w:after="0"/>
              <w:rPr>
                <w:sz w:val="20"/>
                <w:szCs w:val="20"/>
                <w:color w:val="auto"/>
              </w:rPr>
            </w:pPr>
            <w:r>
              <w:rPr>
                <w:rFonts w:ascii="Arial" w:cs="Arial" w:eastAsia="Arial" w:hAnsi="Arial"/>
                <w:sz w:val="15"/>
                <w:szCs w:val="15"/>
                <w:color w:val="auto"/>
              </w:rPr>
              <w:t>96,906</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82,104</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18,615</w:t>
            </w:r>
          </w:p>
        </w:tc>
        <w:tc>
          <w:tcPr>
            <w:tcW w:w="0" w:type="dxa"/>
            <w:vAlign w:val="bottom"/>
          </w:tcPr>
          <w:p>
            <w:pPr>
              <w:spacing w:after="0"/>
              <w:rPr>
                <w:sz w:val="1"/>
                <w:szCs w:val="1"/>
                <w:color w:val="auto"/>
              </w:rPr>
            </w:pPr>
          </w:p>
        </w:tc>
      </w:tr>
      <w:tr>
        <w:trPr>
          <w:trHeight w:val="177"/>
        </w:trPr>
        <w:tc>
          <w:tcPr>
            <w:tcW w:w="4640" w:type="dxa"/>
            <w:vAlign w:val="bottom"/>
          </w:tcPr>
          <w:p>
            <w:pPr>
              <w:spacing w:after="0"/>
              <w:rPr>
                <w:sz w:val="20"/>
                <w:szCs w:val="20"/>
                <w:color w:val="auto"/>
              </w:rPr>
            </w:pPr>
            <w:r>
              <w:rPr>
                <w:rFonts w:ascii="Arial" w:cs="Arial" w:eastAsia="Arial" w:hAnsi="Arial"/>
                <w:sz w:val="15"/>
                <w:szCs w:val="15"/>
                <w:color w:val="auto"/>
              </w:rPr>
              <w:t>Other revenue</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133,339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47"/>
              <w:spacing w:after="0"/>
              <w:rPr>
                <w:sz w:val="20"/>
                <w:szCs w:val="20"/>
                <w:color w:val="auto"/>
              </w:rPr>
            </w:pPr>
            <w:r>
              <w:rPr>
                <w:rFonts w:ascii="Arial" w:cs="Arial" w:eastAsia="Arial" w:hAnsi="Arial"/>
                <w:sz w:val="15"/>
                <w:szCs w:val="15"/>
                <w:color w:val="auto"/>
              </w:rPr>
              <w:t>43,625</w:t>
            </w:r>
          </w:p>
        </w:tc>
        <w:tc>
          <w:tcPr>
            <w:tcW w:w="24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Arial" w:cs="Arial" w:eastAsia="Arial" w:hAnsi="Arial"/>
                <w:sz w:val="15"/>
                <w:szCs w:val="15"/>
                <w:color w:val="auto"/>
              </w:rPr>
              <w:t>15,395</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15,158</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451,650</w:t>
            </w: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189,125</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112,301</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97,262</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278,767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183,359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Arial" w:cs="Arial" w:eastAsia="Arial" w:hAnsi="Arial"/>
                <w:sz w:val="15"/>
                <w:szCs w:val="15"/>
                <w:color w:val="auto"/>
              </w:rPr>
              <w:t>95,742</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78,692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22,747</w:t>
            </w: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Operations and maintenance</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47,581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7"/>
              <w:spacing w:after="0"/>
              <w:rPr>
                <w:sz w:val="20"/>
                <w:szCs w:val="20"/>
                <w:color w:val="auto"/>
              </w:rPr>
            </w:pPr>
            <w:r>
              <w:rPr>
                <w:rFonts w:ascii="Arial" w:cs="Arial" w:eastAsia="Arial" w:hAnsi="Arial"/>
                <w:sz w:val="15"/>
                <w:szCs w:val="15"/>
                <w:color w:val="auto"/>
              </w:rPr>
              <w:t>26,899</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124,170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152,922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Arial" w:cs="Arial" w:eastAsia="Arial" w:hAnsi="Arial"/>
                <w:sz w:val="15"/>
                <w:szCs w:val="15"/>
                <w:color w:val="auto"/>
              </w:rPr>
              <w:t>62,137</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33,343</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18,160</w:t>
            </w: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Contract termination charges and loss on mitigation sales</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124,114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4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32,376</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607,008</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376,400</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170,789</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122,252</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48,453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b w:val="1"/>
                <w:bCs w:val="1"/>
                <w:color w:val="auto"/>
              </w:rPr>
              <w:t>Operating loss</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(155,358)</w:t>
            </w:r>
          </w:p>
        </w:tc>
        <w:tc>
          <w:tcPr>
            <w:tcW w:w="180" w:type="dxa"/>
            <w:vAlign w:val="bottom"/>
          </w:tcPr>
          <w:p>
            <w:pPr>
              <w:spacing w:after="0"/>
              <w:rPr>
                <w:sz w:val="15"/>
                <w:szCs w:val="15"/>
                <w:color w:val="auto"/>
              </w:rPr>
            </w:pPr>
          </w:p>
        </w:tc>
        <w:tc>
          <w:tcPr>
            <w:tcW w:w="1180" w:type="dxa"/>
            <w:vAlign w:val="bottom"/>
            <w:gridSpan w:val="2"/>
          </w:tcPr>
          <w:p>
            <w:pPr>
              <w:jc w:val="right"/>
              <w:ind w:right="107"/>
              <w:spacing w:after="0"/>
              <w:rPr>
                <w:sz w:val="20"/>
                <w:szCs w:val="20"/>
                <w:color w:val="auto"/>
              </w:rPr>
            </w:pPr>
            <w:r>
              <w:rPr>
                <w:rFonts w:ascii="Arial" w:cs="Arial" w:eastAsia="Arial" w:hAnsi="Arial"/>
                <w:sz w:val="15"/>
                <w:szCs w:val="15"/>
                <w:color w:val="auto"/>
              </w:rPr>
              <w:t>(187,275)</w:t>
            </w:r>
          </w:p>
        </w:tc>
        <w:tc>
          <w:tcPr>
            <w:tcW w:w="240" w:type="dxa"/>
            <w:vAlign w:val="bottom"/>
          </w:tcPr>
          <w:p>
            <w:pPr>
              <w:spacing w:after="0"/>
              <w:rPr>
                <w:sz w:val="15"/>
                <w:szCs w:val="15"/>
                <w:color w:val="auto"/>
              </w:rPr>
            </w:pPr>
          </w:p>
        </w:tc>
        <w:tc>
          <w:tcPr>
            <w:tcW w:w="1100" w:type="dxa"/>
            <w:vAlign w:val="bottom"/>
            <w:gridSpan w:val="2"/>
          </w:tcPr>
          <w:p>
            <w:pPr>
              <w:jc w:val="right"/>
              <w:ind w:right="107"/>
              <w:spacing w:after="0"/>
              <w:rPr>
                <w:sz w:val="20"/>
                <w:szCs w:val="20"/>
                <w:color w:val="auto"/>
              </w:rPr>
            </w:pPr>
            <w:r>
              <w:rPr>
                <w:rFonts w:ascii="Arial" w:cs="Arial" w:eastAsia="Arial" w:hAnsi="Arial"/>
                <w:sz w:val="15"/>
                <w:szCs w:val="15"/>
                <w:color w:val="auto"/>
              </w:rPr>
              <w:t>(58,488)</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(24,990)</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(27,058)</w:t>
            </w: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65,723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7"/>
              <w:spacing w:after="0"/>
              <w:rPr>
                <w:sz w:val="20"/>
                <w:szCs w:val="20"/>
                <w:color w:val="auto"/>
              </w:rPr>
            </w:pPr>
            <w:r>
              <w:rPr>
                <w:rFonts w:ascii="Arial" w:cs="Arial" w:eastAsia="Arial" w:hAnsi="Arial"/>
                <w:sz w:val="15"/>
                <w:szCs w:val="15"/>
                <w:color w:val="auto"/>
              </w:rPr>
              <w:t>19,412</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Other expense (income), net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07"/>
              <w:spacing w:after="0"/>
              <w:rPr>
                <w:sz w:val="20"/>
                <w:szCs w:val="20"/>
                <w:color w:val="auto"/>
              </w:rPr>
            </w:pPr>
            <w:r>
              <w:rPr>
                <w:rFonts w:ascii="Arial" w:cs="Arial" w:eastAsia="Arial" w:hAnsi="Arial"/>
                <w:sz w:val="15"/>
                <w:szCs w:val="15"/>
                <w:color w:val="auto"/>
              </w:rPr>
              <w:t>(2,807)</w:t>
            </w:r>
          </w:p>
        </w:tc>
        <w:tc>
          <w:tcPr>
            <w:tcW w:w="240" w:type="dxa"/>
            <w:vAlign w:val="bottom"/>
          </w:tcPr>
          <w:p>
            <w:pPr>
              <w:spacing w:after="0"/>
              <w:rPr>
                <w:sz w:val="15"/>
                <w:szCs w:val="15"/>
                <w:color w:val="auto"/>
              </w:rPr>
            </w:pPr>
          </w:p>
        </w:tc>
        <w:tc>
          <w:tcPr>
            <w:tcW w:w="1100" w:type="dxa"/>
            <w:vAlign w:val="bottom"/>
            <w:gridSpan w:val="2"/>
          </w:tcPr>
          <w:p>
            <w:pPr>
              <w:jc w:val="right"/>
              <w:ind w:right="107"/>
              <w:spacing w:after="0"/>
              <w:rPr>
                <w:sz w:val="20"/>
                <w:szCs w:val="20"/>
                <w:color w:val="auto"/>
              </w:rPr>
            </w:pPr>
            <w:r>
              <w:rPr>
                <w:rFonts w:ascii="Arial" w:cs="Arial" w:eastAsia="Arial" w:hAnsi="Arial"/>
                <w:sz w:val="15"/>
                <w:szCs w:val="15"/>
                <w:color w:val="auto"/>
              </w:rPr>
              <w:t>(784)</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(301)</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7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Loss on extinguishment of debt, net</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33,062</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9,568</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1,177</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b w:val="1"/>
                <w:bCs w:val="1"/>
                <w:color w:val="auto"/>
              </w:rPr>
              <w:t>Loss before taxes</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(259,148)</w:t>
            </w:r>
          </w:p>
        </w:tc>
        <w:tc>
          <w:tcPr>
            <w:tcW w:w="180" w:type="dxa"/>
            <w:vAlign w:val="bottom"/>
          </w:tcPr>
          <w:p>
            <w:pPr>
              <w:spacing w:after="0"/>
              <w:rPr>
                <w:sz w:val="15"/>
                <w:szCs w:val="15"/>
                <w:color w:val="auto"/>
              </w:rPr>
            </w:pPr>
          </w:p>
        </w:tc>
        <w:tc>
          <w:tcPr>
            <w:tcW w:w="1180" w:type="dxa"/>
            <w:vAlign w:val="bottom"/>
            <w:gridSpan w:val="2"/>
          </w:tcPr>
          <w:p>
            <w:pPr>
              <w:jc w:val="right"/>
              <w:ind w:right="107"/>
              <w:spacing w:after="0"/>
              <w:rPr>
                <w:sz w:val="20"/>
                <w:szCs w:val="20"/>
                <w:color w:val="auto"/>
              </w:rPr>
            </w:pPr>
            <w:r>
              <w:rPr>
                <w:rFonts w:ascii="Arial" w:cs="Arial" w:eastAsia="Arial" w:hAnsi="Arial"/>
                <w:sz w:val="15"/>
                <w:szCs w:val="15"/>
                <w:color w:val="auto"/>
              </w:rPr>
              <w:t>(203,880)</w:t>
            </w:r>
          </w:p>
        </w:tc>
        <w:tc>
          <w:tcPr>
            <w:tcW w:w="240" w:type="dxa"/>
            <w:vAlign w:val="bottom"/>
          </w:tcPr>
          <w:p>
            <w:pPr>
              <w:spacing w:after="0"/>
              <w:rPr>
                <w:sz w:val="15"/>
                <w:szCs w:val="15"/>
                <w:color w:val="auto"/>
              </w:rPr>
            </w:pPr>
          </w:p>
        </w:tc>
        <w:tc>
          <w:tcPr>
            <w:tcW w:w="1100" w:type="dxa"/>
            <w:vAlign w:val="bottom"/>
            <w:gridSpan w:val="2"/>
          </w:tcPr>
          <w:p>
            <w:pPr>
              <w:jc w:val="right"/>
              <w:ind w:right="107"/>
              <w:spacing w:after="0"/>
              <w:rPr>
                <w:sz w:val="20"/>
                <w:szCs w:val="20"/>
                <w:color w:val="auto"/>
              </w:rPr>
            </w:pPr>
            <w:r>
              <w:rPr>
                <w:rFonts w:ascii="Arial" w:cs="Arial" w:eastAsia="Arial" w:hAnsi="Arial"/>
                <w:sz w:val="15"/>
                <w:szCs w:val="15"/>
                <w:color w:val="auto"/>
              </w:rPr>
              <w:t>(78,520)</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(31,145)</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(33,287)</w:t>
            </w: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Tax expense (benefit)</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4,817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rPr>
              <w:t>(338)</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526</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22"/>
        </w:trPr>
        <w:tc>
          <w:tcPr>
            <w:tcW w:w="4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b w:val="1"/>
                <w:bCs w:val="1"/>
                <w:color w:val="auto"/>
              </w:rPr>
              <w:t>Net loss</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(263,965)</w:t>
            </w:r>
          </w:p>
        </w:tc>
        <w:tc>
          <w:tcPr>
            <w:tcW w:w="180" w:type="dxa"/>
            <w:vAlign w:val="bottom"/>
          </w:tcPr>
          <w:p>
            <w:pPr>
              <w:spacing w:after="0"/>
              <w:rPr>
                <w:sz w:val="15"/>
                <w:szCs w:val="15"/>
                <w:color w:val="auto"/>
              </w:rPr>
            </w:pPr>
          </w:p>
        </w:tc>
        <w:tc>
          <w:tcPr>
            <w:tcW w:w="1180" w:type="dxa"/>
            <w:vAlign w:val="bottom"/>
            <w:gridSpan w:val="2"/>
          </w:tcPr>
          <w:p>
            <w:pPr>
              <w:jc w:val="right"/>
              <w:ind w:right="107"/>
              <w:spacing w:after="0"/>
              <w:rPr>
                <w:sz w:val="20"/>
                <w:szCs w:val="20"/>
                <w:color w:val="auto"/>
              </w:rPr>
            </w:pPr>
            <w:r>
              <w:rPr>
                <w:rFonts w:ascii="Arial" w:cs="Arial" w:eastAsia="Arial" w:hAnsi="Arial"/>
                <w:sz w:val="15"/>
                <w:szCs w:val="15"/>
                <w:color w:val="auto"/>
              </w:rPr>
              <w:t>(204,319)</w:t>
            </w:r>
          </w:p>
        </w:tc>
        <w:tc>
          <w:tcPr>
            <w:tcW w:w="240" w:type="dxa"/>
            <w:vAlign w:val="bottom"/>
          </w:tcPr>
          <w:p>
            <w:pPr>
              <w:spacing w:after="0"/>
              <w:rPr>
                <w:sz w:val="15"/>
                <w:szCs w:val="15"/>
                <w:color w:val="auto"/>
              </w:rPr>
            </w:pPr>
          </w:p>
        </w:tc>
        <w:tc>
          <w:tcPr>
            <w:tcW w:w="1100" w:type="dxa"/>
            <w:vAlign w:val="bottom"/>
            <w:gridSpan w:val="2"/>
          </w:tcPr>
          <w:p>
            <w:pPr>
              <w:jc w:val="right"/>
              <w:ind w:right="107"/>
              <w:spacing w:after="0"/>
              <w:rPr>
                <w:sz w:val="20"/>
                <w:szCs w:val="20"/>
                <w:color w:val="auto"/>
              </w:rPr>
            </w:pPr>
            <w:r>
              <w:rPr>
                <w:rFonts w:ascii="Arial" w:cs="Arial" w:eastAsia="Arial" w:hAnsi="Arial"/>
                <w:sz w:val="15"/>
                <w:szCs w:val="15"/>
                <w:color w:val="auto"/>
              </w:rPr>
              <w:t>(78,182)</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(31,671)</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(32,926)</w:t>
            </w:r>
          </w:p>
        </w:tc>
        <w:tc>
          <w:tcPr>
            <w:tcW w:w="0" w:type="dxa"/>
            <w:vAlign w:val="bottom"/>
          </w:tcPr>
          <w:p>
            <w:pPr>
              <w:spacing w:after="0"/>
              <w:rPr>
                <w:sz w:val="1"/>
                <w:szCs w:val="1"/>
                <w:color w:val="auto"/>
              </w:rPr>
            </w:pPr>
          </w:p>
        </w:tc>
      </w:tr>
      <w:tr>
        <w:trPr>
          <w:trHeight w:val="17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81,818</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170,510</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b w:val="1"/>
                <w:bCs w:val="1"/>
                <w:color w:val="auto"/>
              </w:rPr>
              <w:t>Net loss atrributable to stockholders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(182,147)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7"/>
              <w:spacing w:after="0"/>
              <w:rPr>
                <w:sz w:val="20"/>
                <w:szCs w:val="20"/>
                <w:color w:val="auto"/>
              </w:rPr>
            </w:pPr>
            <w:r>
              <w:rPr>
                <w:rFonts w:ascii="Arial" w:cs="Arial" w:eastAsia="Arial" w:hAnsi="Arial"/>
                <w:sz w:val="15"/>
                <w:szCs w:val="15"/>
                <w:color w:val="auto"/>
              </w:rPr>
              <w:t>(33,809)</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7"/>
              <w:spacing w:after="0"/>
              <w:rPr>
                <w:sz w:val="20"/>
                <w:szCs w:val="20"/>
                <w:color w:val="auto"/>
              </w:rPr>
            </w:pPr>
            <w:r>
              <w:rPr>
                <w:rFonts w:ascii="Arial" w:cs="Arial" w:eastAsia="Arial" w:hAnsi="Arial"/>
                <w:sz w:val="15"/>
                <w:szCs w:val="15"/>
                <w:color w:val="auto"/>
              </w:rPr>
              <w:t>(78,076)</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(31,671)</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(32,926)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Net loss per share - basic and 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(1.71)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7"/>
              <w:spacing w:after="0"/>
              <w:rPr>
                <w:sz w:val="20"/>
                <w:szCs w:val="20"/>
                <w:color w:val="auto"/>
              </w:rPr>
            </w:pPr>
            <w:r>
              <w:rPr>
                <w:rFonts w:ascii="Arial" w:cs="Arial" w:eastAsia="Arial" w:hAnsi="Arial"/>
                <w:sz w:val="15"/>
                <w:szCs w:val="15"/>
                <w:color w:val="auto"/>
              </w:rPr>
              <w:t>(1.62)</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4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5"/>
                <w:szCs w:val="15"/>
                <w:color w:val="auto"/>
              </w:rPr>
              <w:t>Weighted average number of shares outstanding - basic and diluted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106,654,918</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20,862,555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rPr>
              <w:t>As of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4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5"/>
                <w:szCs w:val="15"/>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b w:val="1"/>
                <w:bCs w:val="1"/>
                <w:color w:val="auto"/>
              </w:rPr>
              <w:t>Balance Sheet Data (at period end):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Property, plant and equipment, net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614,206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192,222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94,040</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69,350</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70,633</w:t>
            </w: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color w:val="auto"/>
              </w:rPr>
              <w:t>Construction in progress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234,037</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466,587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254,700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35,413</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4,668</w:t>
            </w: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assets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1,908,091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1,123,814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699,402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381,190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389,054</w:t>
            </w:r>
          </w:p>
        </w:tc>
        <w:tc>
          <w:tcPr>
            <w:tcW w:w="100" w:type="dxa"/>
            <w:vAlign w:val="bottom"/>
            <w:shd w:val="clear" w:color="auto" w:fill="CCEEFF"/>
          </w:tcPr>
          <w:p>
            <w:pPr>
              <w:spacing w:after="0"/>
              <w:rPr>
                <w:sz w:val="15"/>
                <w:szCs w:val="15"/>
                <w:color w:val="auto"/>
              </w:rPr>
            </w:pP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color w:val="auto"/>
              </w:rPr>
              <w:t>Long-term debt (includes current portion)</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1,239,561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619,057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272,192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75,253</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80,385</w:t>
            </w:r>
          </w:p>
        </w:tc>
      </w:tr>
      <w:tr>
        <w:trPr>
          <w:trHeight w:val="175"/>
        </w:trPr>
        <w:tc>
          <w:tcPr>
            <w:tcW w:w="4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liabilities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1,533,005</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736,490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416,755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102,280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99,684</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4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5"/>
                <w:szCs w:val="15"/>
                <w:color w:val="auto"/>
              </w:rPr>
            </w:pPr>
          </w:p>
        </w:tc>
      </w:tr>
      <w:tr>
        <w:trPr>
          <w:trHeight w:val="165"/>
        </w:trPr>
        <w:tc>
          <w:tcPr>
            <w:tcW w:w="4640" w:type="dxa"/>
            <w:vAlign w:val="bottom"/>
          </w:tcPr>
          <w:p>
            <w:pPr>
              <w:spacing w:after="0" w:line="165" w:lineRule="exact"/>
              <w:rPr>
                <w:sz w:val="20"/>
                <w:szCs w:val="20"/>
                <w:color w:val="auto"/>
              </w:rPr>
            </w:pPr>
            <w:r>
              <w:rPr>
                <w:rFonts w:ascii="Arial" w:cs="Arial" w:eastAsia="Arial" w:hAnsi="Arial"/>
                <w:sz w:val="15"/>
                <w:szCs w:val="15"/>
                <w:b w:val="1"/>
                <w:bCs w:val="1"/>
                <w:color w:val="auto"/>
              </w:rPr>
              <w:t>Statements of Cash Flow Data:</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640" w:type="dxa"/>
            <w:vAlign w:val="bottom"/>
          </w:tcPr>
          <w:p>
            <w:pPr>
              <w:spacing w:after="0"/>
              <w:rPr>
                <w:sz w:val="20"/>
                <w:szCs w:val="20"/>
                <w:color w:val="auto"/>
              </w:rPr>
            </w:pPr>
            <w:r>
              <w:rPr>
                <w:rFonts w:ascii="Arial" w:cs="Arial" w:eastAsia="Arial" w:hAnsi="Arial"/>
                <w:sz w:val="15"/>
                <w:szCs w:val="15"/>
                <w:color w:val="auto"/>
              </w:rPr>
              <w:t>Net cash provided by (used in):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4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activities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(125,566)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(234,261)</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(93,227)</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(54,892)</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(43,493)</w:t>
            </w: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color w:val="auto"/>
              </w:rPr>
              <w:t>Investing activities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(157,631)</w:t>
            </w:r>
          </w:p>
        </w:tc>
        <w:tc>
          <w:tcPr>
            <w:tcW w:w="26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(376,164)</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(184,455)</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(29,858)</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(98,325)</w:t>
            </w:r>
          </w:p>
        </w:tc>
      </w:tr>
      <w:tr>
        <w:trPr>
          <w:trHeight w:val="175"/>
        </w:trPr>
        <w:tc>
          <w:tcPr>
            <w:tcW w:w="4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Financing activities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819,498</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602,607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260,204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13,960</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275,936</w:t>
            </w:r>
          </w:p>
        </w:tc>
        <w:tc>
          <w:tcPr>
            <w:tcW w:w="100" w:type="dxa"/>
            <w:vAlign w:val="bottom"/>
            <w:shd w:val="clear" w:color="auto" w:fill="CCEEFF"/>
          </w:tcPr>
          <w:p>
            <w:pPr>
              <w:spacing w:after="0"/>
              <w:rPr>
                <w:sz w:val="15"/>
                <w:szCs w:val="15"/>
                <w:color w:val="auto"/>
              </w:rPr>
            </w:pPr>
          </w:p>
        </w:tc>
      </w:tr>
      <w:tr>
        <w:trPr>
          <w:trHeight w:val="484"/>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2"/>
                <w:szCs w:val="12"/>
                <w:color w:val="auto"/>
              </w:rPr>
              <w:t>64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4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6" w:right="319" w:bottom="1440" w:gutter="0" w:footer="0" w:header="0"/>
        </w:sectPr>
      </w:pPr>
    </w:p>
    <w:bookmarkStart w:id="66" w:name="page67"/>
    <w:bookmarkEnd w:id="6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04" w:lineRule="exact"/>
        <w:rPr>
          <w:sz w:val="20"/>
          <w:szCs w:val="20"/>
          <w:color w:val="auto"/>
        </w:rPr>
      </w:pPr>
    </w:p>
    <w:p>
      <w:pPr>
        <w:ind w:right="200" w:firstLine="263"/>
        <w:spacing w:after="0" w:line="270" w:lineRule="auto"/>
        <w:rPr>
          <w:sz w:val="20"/>
          <w:szCs w:val="20"/>
          <w:color w:val="auto"/>
        </w:rPr>
      </w:pPr>
      <w:r>
        <w:rPr>
          <w:rFonts w:ascii="Arial" w:cs="Arial" w:eastAsia="Arial" w:hAnsi="Arial"/>
          <w:sz w:val="14"/>
          <w:szCs w:val="14"/>
          <w:i w:val="1"/>
          <w:iCs w:val="1"/>
          <w:color w:val="auto"/>
        </w:rPr>
        <w:t>Certain information contained in this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69" w:lineRule="exact"/>
        <w:rPr>
          <w:sz w:val="20"/>
          <w:szCs w:val="20"/>
          <w:color w:val="auto"/>
        </w:rPr>
      </w:pPr>
    </w:p>
    <w:p>
      <w:pPr>
        <w:ind w:right="60" w:firstLine="263"/>
        <w:spacing w:after="0" w:line="181" w:lineRule="exact"/>
        <w:rPr>
          <w:sz w:val="20"/>
          <w:szCs w:val="20"/>
          <w:color w:val="auto"/>
        </w:rPr>
      </w:pPr>
      <w:r>
        <w:rPr>
          <w:rFonts w:ascii="Arial" w:cs="Arial" w:eastAsia="Arial" w:hAnsi="Arial"/>
          <w:sz w:val="15"/>
          <w:szCs w:val="15"/>
          <w:i w:val="1"/>
          <w:iCs w:val="1"/>
          <w:color w:val="auto"/>
        </w:rPr>
        <w:t>The comparison of the years ended December 31, 2019 and 2018 can be found in our Annual Report on Form 10</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K for the year ended December 31, 2019 located within “Part II, Item 7. Management’s Discussion and Analysis of Financial Condition and Results of Operations.”</w:t>
      </w:r>
    </w:p>
    <w:p>
      <w:pPr>
        <w:spacing w:after="0" w:line="187" w:lineRule="exact"/>
        <w:rPr>
          <w:sz w:val="20"/>
          <w:szCs w:val="20"/>
          <w:color w:val="auto"/>
        </w:rPr>
      </w:pPr>
    </w:p>
    <w:p>
      <w:pPr>
        <w:ind w:right="100" w:firstLine="263"/>
        <w:spacing w:after="0" w:line="250" w:lineRule="auto"/>
        <w:rPr>
          <w:sz w:val="20"/>
          <w:szCs w:val="20"/>
          <w:color w:val="auto"/>
        </w:rPr>
      </w:pPr>
      <w:r>
        <w:rPr>
          <w:rFonts w:ascii="Arial" w:cs="Arial" w:eastAsia="Arial" w:hAnsi="Arial"/>
          <w:sz w:val="15"/>
          <w:szCs w:val="15"/>
          <w:i w:val="1"/>
          <w:iCs w:val="1"/>
          <w:color w:val="auto"/>
        </w:rPr>
        <w:t>The following information should be read in conjunction with our audited consolidated financial statements and accompanying notes included elsewhere in this Annual Report.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180" w:lineRule="exact"/>
        <w:rPr>
          <w:sz w:val="20"/>
          <w:szCs w:val="20"/>
          <w:color w:val="auto"/>
        </w:rPr>
      </w:pPr>
    </w:p>
    <w:p>
      <w:pPr>
        <w:ind w:right="60" w:firstLine="263"/>
        <w:spacing w:after="0" w:line="274" w:lineRule="auto"/>
        <w:rPr>
          <w:sz w:val="20"/>
          <w:szCs w:val="20"/>
          <w:color w:val="auto"/>
        </w:rPr>
      </w:pPr>
      <w:r>
        <w:rPr>
          <w:rFonts w:ascii="Arial" w:cs="Arial" w:eastAsia="Arial" w:hAnsi="Arial"/>
          <w:sz w:val="14"/>
          <w:szCs w:val="14"/>
          <w:i w:val="1"/>
          <w:iCs w:val="1"/>
          <w:color w:val="auto"/>
        </w:rPr>
        <w:t>Unless the context otherwise requires, references to “Company,” “NFE,” “we,” “our,” “us” or like terms refer to (i) prior to our conversion from a limited liability company to a corporation, New Fortress Energy LLC and its subsidiaries and (ii) following the conversion from a limited liability company to a corporation, New Fortress Energy Inc.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4" w:lineRule="exact"/>
        <w:rPr>
          <w:sz w:val="20"/>
          <w:szCs w:val="20"/>
          <w:color w:val="auto"/>
        </w:rPr>
      </w:pPr>
    </w:p>
    <w:p>
      <w:pPr>
        <w:ind w:right="80" w:firstLine="263"/>
        <w:spacing w:after="0" w:line="248" w:lineRule="auto"/>
        <w:rPr>
          <w:sz w:val="20"/>
          <w:szCs w:val="20"/>
          <w:color w:val="auto"/>
        </w:rPr>
      </w:pPr>
      <w:r>
        <w:rPr>
          <w:rFonts w:ascii="Arial" w:cs="Arial" w:eastAsia="Arial" w:hAnsi="Arial"/>
          <w:sz w:val="15"/>
          <w:szCs w:val="15"/>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“Items 1 and 2: Business and Properties” under “Toward a Carbon-Free Future”.</w:t>
      </w:r>
    </w:p>
    <w:p>
      <w:pPr>
        <w:spacing w:after="0" w:line="183" w:lineRule="exact"/>
        <w:rPr>
          <w:sz w:val="20"/>
          <w:szCs w:val="20"/>
          <w:color w:val="auto"/>
        </w:rPr>
      </w:pPr>
    </w:p>
    <w:p>
      <w:pPr>
        <w:ind w:firstLine="263"/>
        <w:spacing w:after="0" w:line="247" w:lineRule="auto"/>
        <w:rPr>
          <w:sz w:val="20"/>
          <w:szCs w:val="20"/>
          <w:color w:val="auto"/>
        </w:rPr>
      </w:pPr>
      <w:r>
        <w:rPr>
          <w:rFonts w:ascii="Arial" w:cs="Arial" w:eastAsia="Arial" w:hAnsi="Arial"/>
          <w:sz w:val="15"/>
          <w:szCs w:val="15"/>
          <w:color w:val="auto"/>
        </w:rPr>
        <w:t>As an integrated gas-to-power energy infrastructure company, our business model spans the entire production and delivery chain from natural gas procurement and liquefaction to logistics, shipping, facilities and conversion or development of natural gas-fired power generation. We currently source LNG from long-term supply agreements with third party suppliers and from our own liquefaction facility in Miami, Florida. We expect that control of our vertical supply chain, from procurement to delivery of LNG, will help to reduce our exposure to future LNG price variations and enable us to supply our existing and future customers with LNG at a price that reinforces our competitive standing in the LNG market. Our strategy is simple: we seek to procure LNG at attractive prices using long-term agreements and through our own production, and we seek to sell natural gas (delivered through LNG infrastructure) or gas-fired power to customers that sign long-term, take-or-pay contracts.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Current Operations</w:t>
      </w:r>
    </w:p>
    <w:p>
      <w:pPr>
        <w:spacing w:after="0" w:line="204" w:lineRule="exact"/>
        <w:rPr>
          <w:sz w:val="20"/>
          <w:szCs w:val="20"/>
          <w:color w:val="auto"/>
        </w:rPr>
      </w:pPr>
    </w:p>
    <w:p>
      <w:pPr>
        <w:ind w:right="80" w:firstLine="263"/>
        <w:spacing w:after="0" w:line="250" w:lineRule="auto"/>
        <w:rPr>
          <w:sz w:val="20"/>
          <w:szCs w:val="20"/>
          <w:color w:val="auto"/>
        </w:rPr>
      </w:pPr>
      <w:r>
        <w:rPr>
          <w:rFonts w:ascii="Arial" w:cs="Arial" w:eastAsia="Arial" w:hAnsi="Arial"/>
          <w:sz w:val="15"/>
          <w:szCs w:val="15"/>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production in Jamaica, and the Puerto Rico Electric Power Authority (“PREPA”), each of which is described in more detail below. Our assets built to service these significant customers have been designed with capacity to service other customers.</w:t>
      </w:r>
    </w:p>
    <w:p>
      <w:pPr>
        <w:spacing w:after="0" w:line="180" w:lineRule="exact"/>
        <w:rPr>
          <w:sz w:val="20"/>
          <w:szCs w:val="20"/>
          <w:color w:val="auto"/>
        </w:rPr>
      </w:pPr>
    </w:p>
    <w:p>
      <w:pPr>
        <w:jc w:val="both"/>
        <w:ind w:right="100" w:firstLine="263"/>
        <w:spacing w:after="0" w:line="253" w:lineRule="auto"/>
        <w:rPr>
          <w:sz w:val="20"/>
          <w:szCs w:val="20"/>
          <w:color w:val="auto"/>
        </w:rPr>
      </w:pPr>
      <w:r>
        <w:rPr>
          <w:rFonts w:ascii="Arial" w:cs="Arial" w:eastAsia="Arial" w:hAnsi="Arial"/>
          <w:sz w:val="15"/>
          <w:szCs w:val="15"/>
          <w:color w:val="auto"/>
        </w:rPr>
        <w:t>We currently procure our LNG either by purchasing from a supplier or by manufacturing it in our natural gas liquefaction and storage facility located in Miami-Dade County, Florida (the “Miami Facility”). Our long-term goal is to develop the infrastructure necessary to supply our existing and future customers with LNG produced primarily at our own facilities, including our expanded delivery logistics chain in Northern Pennsylvania (the “Pennsylvania Facility”).</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67" w:name="page68"/>
    <w:bookmarkEnd w:id="6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Montego Bay Facility</w:t>
      </w:r>
    </w:p>
    <w:p>
      <w:pPr>
        <w:spacing w:after="0" w:line="200" w:lineRule="exact"/>
        <w:rPr>
          <w:sz w:val="20"/>
          <w:szCs w:val="20"/>
          <w:color w:val="auto"/>
        </w:rPr>
      </w:pPr>
    </w:p>
    <w:p>
      <w:pPr>
        <w:ind w:firstLine="263"/>
        <w:spacing w:after="0" w:line="250" w:lineRule="auto"/>
        <w:rPr>
          <w:sz w:val="20"/>
          <w:szCs w:val="20"/>
          <w:color w:val="auto"/>
        </w:rPr>
      </w:pPr>
      <w:r>
        <w:rPr>
          <w:rFonts w:ascii="Arial" w:cs="Arial" w:eastAsia="Arial" w:hAnsi="Arial"/>
          <w:sz w:val="15"/>
          <w:szCs w:val="15"/>
          <w:color w:val="auto"/>
        </w:rPr>
        <w:t>Our storage and regasification terminal in Montego Bay, Jamaica (the “Montego Bay Facility”) serves as our supply hub for the north side of Jamaica, providing natural gas to JPS to fuel the 145MW Bogue Power Plant in Montego Bay, Jamaica. Our Montego Bay Facility commenced commercial operations in October 2016 and is capable of processing up to 740,000 gallons of LNG (61,000 MMBtu) per day and features approximately 7,000 cubic meters of onsite storage. The Montego Bay Facility also consists of an ISO loading facility that can transport LNG to numerous on-island industrial users.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Old Harbour Facility</w:t>
      </w:r>
    </w:p>
    <w:p>
      <w:pPr>
        <w:spacing w:after="0" w:line="200" w:lineRule="exact"/>
        <w:rPr>
          <w:sz w:val="20"/>
          <w:szCs w:val="20"/>
          <w:color w:val="auto"/>
        </w:rPr>
      </w:pPr>
    </w:p>
    <w:p>
      <w:pPr>
        <w:ind w:right="80" w:firstLine="263"/>
        <w:spacing w:after="0" w:line="247" w:lineRule="auto"/>
        <w:rPr>
          <w:sz w:val="20"/>
          <w:szCs w:val="20"/>
          <w:color w:val="auto"/>
        </w:rPr>
      </w:pPr>
      <w:r>
        <w:rPr>
          <w:rFonts w:ascii="Arial" w:cs="Arial" w:eastAsia="Arial" w:hAnsi="Arial"/>
          <w:sz w:val="15"/>
          <w:szCs w:val="15"/>
          <w:color w:val="auto"/>
        </w:rPr>
        <w:t>Our marine LNG storage and regasification facility in Old Harbour, Jamaica (the “Old Harbour Facility”) commenced commercial operations in June 2019 and is capable of processing approximately six million gallons of LNG (500,000 MMBtu) per day. The Old Harbour Facility supplies natural gas to the new 190MW Old Harbour power plant (the “Old Harbour Power Plant”) operated by SJPC. The Old Harbour Facility is also supplying natural gas to our dual-fired combined heat and power facility in Clarendon, Jamaica (the “CHP Plant”). The CHP Plant supplies electricity to JPS under a long-term power purchase agreement. The CHP Plant also provides steam to Jamalco under a long-term take-or-pay steam supply agreement. On March 3, 2020, the CHP Plant commenced commercial operation under both the PPA and the SSA and began supplying power and steam to JPS and Jamalco, respectively. In August 2020, we began to deliver gas to Jamalco to utilize in their gas-fired boilers.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San Juan Facility</w:t>
      </w:r>
    </w:p>
    <w:p>
      <w:pPr>
        <w:spacing w:after="0" w:line="200" w:lineRule="exact"/>
        <w:rPr>
          <w:sz w:val="20"/>
          <w:szCs w:val="20"/>
          <w:color w:val="auto"/>
        </w:rPr>
      </w:pPr>
    </w:p>
    <w:p>
      <w:pPr>
        <w:jc w:val="both"/>
        <w:ind w:right="220" w:firstLine="263"/>
        <w:spacing w:after="0" w:line="253" w:lineRule="auto"/>
        <w:rPr>
          <w:sz w:val="20"/>
          <w:szCs w:val="20"/>
          <w:color w:val="auto"/>
        </w:rPr>
      </w:pPr>
      <w:r>
        <w:rPr>
          <w:rFonts w:ascii="Arial" w:cs="Arial" w:eastAsia="Arial" w:hAnsi="Arial"/>
          <w:sz w:val="15"/>
          <w:szCs w:val="15"/>
          <w:color w:val="auto"/>
        </w:rPr>
        <w:t>In July 2020, we finalized the development of the micro-fuel handling facility in the Port of San Juan, Puerto Rico (the “San Juan Facility”). The San Juan Facility is near the San Juan Power Plant and serves as our supply hub for the San Juan Power Plant and other industrial end-user customers in Puerto Rico. We have delivered natural gas used for the commissioning of PREPA’s power plant under the Fuel Sale and Purchase Agreement with PREPA since April 2020.</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Miami Facility</w:t>
      </w:r>
    </w:p>
    <w:p>
      <w:pPr>
        <w:spacing w:after="0" w:line="200" w:lineRule="exact"/>
        <w:rPr>
          <w:sz w:val="20"/>
          <w:szCs w:val="20"/>
          <w:color w:val="auto"/>
        </w:rPr>
      </w:pPr>
    </w:p>
    <w:p>
      <w:pPr>
        <w:ind w:right="120" w:firstLine="263"/>
        <w:spacing w:after="0" w:line="253" w:lineRule="auto"/>
        <w:rPr>
          <w:sz w:val="20"/>
          <w:szCs w:val="20"/>
          <w:color w:val="auto"/>
        </w:rPr>
      </w:pPr>
      <w:r>
        <w:rPr>
          <w:rFonts w:ascii="Arial" w:cs="Arial" w:eastAsia="Arial" w:hAnsi="Arial"/>
          <w:sz w:val="15"/>
          <w:szCs w:val="15"/>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Development Projects</w:t>
      </w:r>
    </w:p>
    <w:p>
      <w:pPr>
        <w:spacing w:after="0" w:line="200" w:lineRule="exact"/>
        <w:rPr>
          <w:sz w:val="20"/>
          <w:szCs w:val="20"/>
          <w:color w:val="auto"/>
        </w:rPr>
      </w:pPr>
    </w:p>
    <w:p>
      <w:pPr>
        <w:ind w:firstLine="263"/>
        <w:spacing w:after="0" w:line="248" w:lineRule="auto"/>
        <w:rPr>
          <w:sz w:val="20"/>
          <w:szCs w:val="20"/>
          <w:color w:val="auto"/>
        </w:rPr>
      </w:pPr>
      <w:r>
        <w:rPr>
          <w:rFonts w:ascii="Arial" w:cs="Arial" w:eastAsia="Arial" w:hAnsi="Arial"/>
          <w:sz w:val="15"/>
          <w:szCs w:val="15"/>
          <w:color w:val="auto"/>
        </w:rPr>
        <w:t>We are in the process of developing an LNG regasification facility and power plant at the Port of Pichilingue in Baja California Sur, Mexico (the “La Paz Facility”). Initially, the La Paz Facility is expected to supply approximately 270,000 gallons of LNG (22,300 MMBtu) per day under an intercompany GSA for approximately 100 MW of power supplied by gas-fired modular power units that we plan to develop, own and operated, which may be increased to 350,000 gallons (29,000 MMBtu) of LNG per day for up to 135 MW of power. In addition, we were declared the winner of a bid with CFEnergia for the supply of natural gas to power plants located in Punta Prieta and Coromuel for an estimated 250,000 gallons of LNG (20,700 MMBtu) per day and are in the process of finalizing definitive agreements for this supply.</w:t>
      </w:r>
    </w:p>
    <w:p>
      <w:pPr>
        <w:spacing w:after="0" w:line="183" w:lineRule="exact"/>
        <w:rPr>
          <w:sz w:val="20"/>
          <w:szCs w:val="20"/>
          <w:color w:val="auto"/>
        </w:rPr>
      </w:pPr>
    </w:p>
    <w:p>
      <w:pPr>
        <w:jc w:val="both"/>
        <w:ind w:right="80" w:firstLine="263"/>
        <w:spacing w:after="0" w:line="253" w:lineRule="auto"/>
        <w:rPr>
          <w:sz w:val="20"/>
          <w:szCs w:val="20"/>
          <w:color w:val="auto"/>
        </w:rPr>
      </w:pPr>
      <w:r>
        <w:rPr>
          <w:rFonts w:ascii="Arial" w:cs="Arial" w:eastAsia="Arial" w:hAnsi="Arial"/>
          <w:sz w:val="15"/>
          <w:szCs w:val="15"/>
          <w:color w:val="auto"/>
        </w:rPr>
        <w:t>We are also in the process of developing an LNG regasification facility and power plant in Puerto Sandino, Nicaragua (the “Puerto Sandino Facility”). In February 2020, we entered into a 25-year power purchase agreement with Nicaragua’s electricity distribution companies, and we are in the process of constructing an approximately 300 MW natural gas-fired power plant that will consume approximately 700,000 gallons of LNG (57,500 MMBtus) per day.</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 Hygo and GMLP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Hygo Acquisition</w:t>
      </w:r>
    </w:p>
    <w:p>
      <w:pPr>
        <w:spacing w:after="0" w:line="200" w:lineRule="exact"/>
        <w:rPr>
          <w:sz w:val="20"/>
          <w:szCs w:val="20"/>
          <w:color w:val="auto"/>
        </w:rPr>
      </w:pPr>
    </w:p>
    <w:p>
      <w:pPr>
        <w:ind w:firstLine="263"/>
        <w:spacing w:after="0" w:line="266" w:lineRule="auto"/>
        <w:rPr>
          <w:sz w:val="20"/>
          <w:szCs w:val="20"/>
          <w:color w:val="auto"/>
        </w:rPr>
      </w:pPr>
      <w:r>
        <w:rPr>
          <w:rFonts w:ascii="Arial" w:cs="Arial" w:eastAsia="Arial" w:hAnsi="Arial"/>
          <w:sz w:val="14"/>
          <w:szCs w:val="14"/>
          <w:color w:val="auto"/>
        </w:rPr>
        <w:t>On January 13, 2021, NFE and Lobos Acquisition Ltd., a Bermuda exempted company and our wholly-owned subsidiary (“Hygo Merger Sub”), entered into an Agreement and Plan of Merger (the “Hygo Merger Agreement”) with Hygo Energy Transition Ltd., a Bermuda exempted company (“Hygo”), Golar LNG Limited, a Bermuda exempted company (“GLNG”) and Stonepeak Infrastructure Fund II Cayman (G) Ltd. (“Stonepeak”), pursuant to which Hygo Merger Sub will merge with and into Hygo (the “Hygo Merger”), with Hygo surviving the Hygo Merger as a wholly owned subsidiary of NFE. As of the date of the Hygo Merger Agreement, each of GLNG and Stonepeak owned 50% of the outstanding common shares, par value $1.00 per share, of Hygo, and Stonepeak owned all of Hygo’s outstanding redeemable preferred shares, par value $5.00 per share. At the effective time of the Hygo Merger: (i) GLNG will receive 18.6 million shares of NFE Class A common stock and an aggregate of $50 million in cash and (ii) Stonepeak will receive 12.7 million shares of NFE Class A common stock and an aggregate of $530 million in cash. The Hygo Merger Agreement may be terminated by NFE or Hygo under certain circumstances, including, among others, by either NFE or Hygo if the closing of the Hygo Merger has not occurred on or before July 12, 2021.</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68" w:name="page69"/>
    <w:bookmarkEnd w:id="6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Hygo Merger is expected to close in the first half of 2021, subject to receipt of applicable regulatory approvals and other customary closing conditions.</w:t>
      </w:r>
    </w:p>
    <w:p>
      <w:pPr>
        <w:spacing w:after="0" w:line="200" w:lineRule="exact"/>
        <w:rPr>
          <w:sz w:val="20"/>
          <w:szCs w:val="20"/>
          <w:color w:val="auto"/>
        </w:rPr>
      </w:pPr>
    </w:p>
    <w:p>
      <w:pPr>
        <w:ind w:firstLine="263"/>
        <w:spacing w:after="0" w:line="250" w:lineRule="auto"/>
        <w:rPr>
          <w:sz w:val="20"/>
          <w:szCs w:val="20"/>
          <w:color w:val="auto"/>
        </w:rPr>
      </w:pPr>
      <w:r>
        <w:rPr>
          <w:rFonts w:ascii="Arial" w:cs="Arial" w:eastAsia="Arial" w:hAnsi="Arial"/>
          <w:sz w:val="15"/>
          <w:szCs w:val="15"/>
          <w:color w:val="auto"/>
        </w:rPr>
        <w:t xml:space="preserve">Upon completion of the acquisition of Hygo, we expect to acquire one operating FSRU terminal in Sergipe, Brazil (the “Sergipe Terminal”) a 50% interest in a 1.5 GW power plant in Sergipe, Brazil (the “Sergipe Power Plant”), as well as two other FSRU terminals in development in Pará, Brazil (the “Barcarena Terminal”) and Santa Catarina, Brazil (the “Santa Catarina Terminal”). In addition, we expect to acquire Hygo’s vessel fleet, which consists of the </w:t>
      </w:r>
      <w:r>
        <w:rPr>
          <w:rFonts w:ascii="Arial" w:cs="Arial" w:eastAsia="Arial" w:hAnsi="Arial"/>
          <w:sz w:val="15"/>
          <w:szCs w:val="15"/>
          <w:i w:val="1"/>
          <w:iCs w:val="1"/>
          <w:color w:val="auto"/>
        </w:rPr>
        <w:t>Golar Nanook</w:t>
      </w:r>
      <w:r>
        <w:rPr>
          <w:rFonts w:ascii="Arial" w:cs="Arial" w:eastAsia="Arial" w:hAnsi="Arial"/>
          <w:sz w:val="15"/>
          <w:szCs w:val="15"/>
          <w:color w:val="auto"/>
        </w:rPr>
        <w:t xml:space="preserve">, a newbuild FSRU moored and in service at the Sergipe Terminal, and two operating LNG carriers, the </w:t>
      </w:r>
      <w:r>
        <w:rPr>
          <w:rFonts w:ascii="Arial" w:cs="Arial" w:eastAsia="Arial" w:hAnsi="Arial"/>
          <w:sz w:val="15"/>
          <w:szCs w:val="15"/>
          <w:i w:val="1"/>
          <w:iCs w:val="1"/>
          <w:color w:val="auto"/>
        </w:rPr>
        <w:t>Golar Celsius</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Golar Penguin</w:t>
      </w:r>
      <w:r>
        <w:rPr>
          <w:rFonts w:ascii="Arial" w:cs="Arial" w:eastAsia="Arial" w:hAnsi="Arial"/>
          <w:sz w:val="15"/>
          <w:szCs w:val="15"/>
          <w:color w:val="auto"/>
        </w:rPr>
        <w:t>, which may be converted into FSRUs.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GMLP Acquisition</w:t>
      </w:r>
    </w:p>
    <w:p>
      <w:pPr>
        <w:spacing w:after="0" w:line="200" w:lineRule="exact"/>
        <w:rPr>
          <w:sz w:val="20"/>
          <w:szCs w:val="20"/>
          <w:color w:val="auto"/>
        </w:rPr>
      </w:pPr>
    </w:p>
    <w:p>
      <w:pPr>
        <w:ind w:right="120" w:firstLine="263"/>
        <w:spacing w:after="0" w:line="248" w:lineRule="auto"/>
        <w:rPr>
          <w:sz w:val="20"/>
          <w:szCs w:val="20"/>
          <w:color w:val="auto"/>
        </w:rPr>
      </w:pPr>
      <w:r>
        <w:rPr>
          <w:rFonts w:ascii="Arial" w:cs="Arial" w:eastAsia="Arial" w:hAnsi="Arial"/>
          <w:sz w:val="15"/>
          <w:szCs w:val="15"/>
          <w:color w:val="auto"/>
        </w:rPr>
        <w:t>On January 13, 2021, we entered into an Agreement and Plan of Merger (the “GMLP Merger Agreement) with Golar LNG Partners LP, a Marshall Islands limited partnership (“GMLP”), Golar GP LLC, a Marshall Islands limited liability company and the general partner of GMLP (the “General Partner”), Lobos Acquisition LLC, a Marshall Islands limited liability company and an indirect subsidiary of NFE (“GMLP Merger Sub”), and NFE International Holdings Limited, a private limited company incorporated under the laws of England and Wales and an indirect subsidiary of NFE (“GP Buyer”), pursuant to which GMLP Merger Sub will merge with and into GMLP, with GMLP surviving the merger as an indirect subsidiary of NFE (the “GMLP Merger”).</w:t>
      </w:r>
    </w:p>
    <w:p>
      <w:pPr>
        <w:spacing w:after="0" w:line="183" w:lineRule="exact"/>
        <w:rPr>
          <w:sz w:val="20"/>
          <w:szCs w:val="20"/>
          <w:color w:val="auto"/>
        </w:rPr>
      </w:pPr>
    </w:p>
    <w:p>
      <w:pPr>
        <w:ind w:right="100" w:firstLine="263"/>
        <w:spacing w:after="0" w:line="247" w:lineRule="auto"/>
        <w:rPr>
          <w:sz w:val="20"/>
          <w:szCs w:val="20"/>
          <w:color w:val="auto"/>
        </w:rPr>
      </w:pPr>
      <w:r>
        <w:rPr>
          <w:rFonts w:ascii="Arial" w:cs="Arial" w:eastAsia="Arial" w:hAnsi="Arial"/>
          <w:sz w:val="15"/>
          <w:szCs w:val="15"/>
          <w:color w:val="auto"/>
        </w:rPr>
        <w:t>At the effective time of the GMLP Merger (the “GMLP Effective Time”), each common unit representing a limited partner interest in GMLP that is issued and outstanding as of immediately prior to the GMLP Effective Time will automatically be converted into the right to receive $3.55 in cash. At the GMLP Effective Time, each of the incentive distribution rights of GMLP will be canceled and cease to exist, and no consideration shall be delivered in respect thereof. Each 8.75% Series A Cumulative Redeemable Preferred Unit of GMLP issued and outstanding immediately prior to the GMLP Effective Time will be unaffected by the GMLP Merger and will remain outstanding, and no consideration shall be delivered in respect thereof. Each outstanding unit representing a general partner interest of GMLP that is issued and outstanding immediately prior to the GMLP Effective Time will remain issued and outstanding immediately following the GMLP Effective Time.</w:t>
      </w:r>
    </w:p>
    <w:p>
      <w:pPr>
        <w:spacing w:after="0" w:line="185" w:lineRule="exact"/>
        <w:rPr>
          <w:sz w:val="20"/>
          <w:szCs w:val="20"/>
          <w:color w:val="auto"/>
        </w:rPr>
      </w:pPr>
    </w:p>
    <w:p>
      <w:pPr>
        <w:ind w:right="120" w:firstLine="263"/>
        <w:spacing w:after="0" w:line="299" w:lineRule="auto"/>
        <w:rPr>
          <w:sz w:val="20"/>
          <w:szCs w:val="20"/>
          <w:color w:val="auto"/>
        </w:rPr>
      </w:pPr>
      <w:r>
        <w:rPr>
          <w:rFonts w:ascii="Arial" w:cs="Arial" w:eastAsia="Arial" w:hAnsi="Arial"/>
          <w:sz w:val="14"/>
          <w:szCs w:val="14"/>
          <w:color w:val="auto"/>
        </w:rPr>
        <w:t>Concurrently with the consummation of the GMLP Merger, GP Buyer will purchase from GLNG all of the outstanding membership interests of the General Partner pursuant to a Transfer Agreement dated as of January 13, 2021 for a purchase price of approximately $5 million, which is equivalent to $3.55 per general partner unit of GMLP.</w:t>
      </w:r>
    </w:p>
    <w:p>
      <w:pPr>
        <w:spacing w:after="0" w:line="147"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The GMLP Merger Agreement may be terminated by NFE or GMLP (which, in the case of GMLP, must be approved by GMLP’s Conflicts Committee) under certain circumstances, including, among others, by either NFE or GMLP if the closing of the GMLP Merger has not occurred on or before July 13, 2021, and further provides that, upon termination of the GMLP Merger Agreement under certain circumstances, GMLP may be required to pay NFE a termination fee equal to approximately $9.4 million.</w:t>
      </w:r>
    </w:p>
    <w:p>
      <w:pPr>
        <w:spacing w:after="0" w:line="178" w:lineRule="exact"/>
        <w:rPr>
          <w:sz w:val="20"/>
          <w:szCs w:val="20"/>
          <w:color w:val="auto"/>
        </w:rPr>
      </w:pPr>
    </w:p>
    <w:p>
      <w:pPr>
        <w:ind w:right="140" w:firstLine="263"/>
        <w:spacing w:after="0" w:line="263" w:lineRule="auto"/>
        <w:rPr>
          <w:sz w:val="20"/>
          <w:szCs w:val="20"/>
          <w:color w:val="auto"/>
        </w:rPr>
      </w:pPr>
      <w:r>
        <w:rPr>
          <w:rFonts w:ascii="Arial" w:cs="Arial" w:eastAsia="Arial" w:hAnsi="Arial"/>
          <w:sz w:val="15"/>
          <w:szCs w:val="15"/>
          <w:color w:val="auto"/>
        </w:rPr>
        <w:t>The GMLP Merger is expected to close in the first half of 2021, subject to receipt of applicable regulatory approvals, the approval of the GMLP Merger Agreement by the majority of the holders of GMLP common units and other customary closing conditions.</w:t>
      </w:r>
    </w:p>
    <w:p>
      <w:pPr>
        <w:spacing w:after="0" w:line="170" w:lineRule="exact"/>
        <w:rPr>
          <w:sz w:val="20"/>
          <w:szCs w:val="20"/>
          <w:color w:val="auto"/>
        </w:rPr>
      </w:pPr>
    </w:p>
    <w:p>
      <w:pPr>
        <w:ind w:right="240" w:firstLine="263"/>
        <w:spacing w:after="0" w:line="250" w:lineRule="auto"/>
        <w:rPr>
          <w:sz w:val="20"/>
          <w:szCs w:val="20"/>
          <w:color w:val="auto"/>
        </w:rPr>
      </w:pPr>
      <w:r>
        <w:rPr>
          <w:rFonts w:ascii="Arial" w:cs="Arial" w:eastAsia="Arial" w:hAnsi="Arial"/>
          <w:sz w:val="15"/>
          <w:szCs w:val="15"/>
          <w:color w:val="auto"/>
        </w:rPr>
        <w:t>Upon completion of the acquisition of GMLP, we expect to acquire a fleet of six FSRUs, four LNG carriers and an interest in a floating liquefaction vessel, the Hilli, which receives, liquefies and stores LNG at sea and transfers it to LNG carriers that berth while offshore, each of which are expected to help support our existing facilities and international project pipeline. The majority of the FSRUs in GMLP’s fleet are operating in Brazil, Kuwait, Indonesia, Jamaica and Jordan under time charters. GMLP’s uncontracted vessels are available for short term employment in the spot market.</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Suape Development</w:t>
      </w:r>
    </w:p>
    <w:p>
      <w:pPr>
        <w:spacing w:after="0" w:line="200" w:lineRule="exact"/>
        <w:rPr>
          <w:sz w:val="20"/>
          <w:szCs w:val="20"/>
          <w:color w:val="auto"/>
        </w:rPr>
      </w:pPr>
    </w:p>
    <w:p>
      <w:pPr>
        <w:ind w:right="80" w:firstLine="263"/>
        <w:spacing w:after="0" w:line="290" w:lineRule="auto"/>
        <w:rPr>
          <w:sz w:val="20"/>
          <w:szCs w:val="20"/>
          <w:color w:val="auto"/>
        </w:rPr>
      </w:pPr>
      <w:r>
        <w:rPr>
          <w:rFonts w:ascii="Arial" w:cs="Arial" w:eastAsia="Arial" w:hAnsi="Arial"/>
          <w:sz w:val="13"/>
          <w:szCs w:val="13"/>
          <w:color w:val="auto"/>
        </w:rPr>
        <w:t>On January 12, 2021, we acquired CH4 Energia Ltda., an entity that owns key permits and authorizations to develop an LNG terminal and up to 1.37GW of gas-fired power at the Port of Suape in the city of Ipojuca, State of Pernambuco, Brazil. On March 11, 2021, we acquired 100% of the outstanding shares of Pecém Energia S.A.(“ Pecém”) and Energética Camaçari Muricy</w:t>
      </w:r>
    </w:p>
    <w:p>
      <w:pPr>
        <w:ind w:right="160" w:firstLine="8"/>
        <w:spacing w:after="0" w:line="295" w:lineRule="auto"/>
        <w:tabs>
          <w:tab w:leader="none" w:pos="134" w:val="left"/>
        </w:tabs>
        <w:numPr>
          <w:ilvl w:val="0"/>
          <w:numId w:val="43"/>
        </w:numPr>
        <w:rPr>
          <w:rFonts w:ascii="Arial" w:cs="Arial" w:eastAsia="Arial" w:hAnsi="Arial"/>
          <w:sz w:val="13"/>
          <w:szCs w:val="13"/>
          <w:color w:val="auto"/>
        </w:rPr>
      </w:pPr>
      <w:r>
        <w:rPr>
          <w:rFonts w:ascii="Arial" w:cs="Arial" w:eastAsia="Arial" w:hAnsi="Arial"/>
          <w:sz w:val="13"/>
          <w:szCs w:val="13"/>
          <w:color w:val="auto"/>
        </w:rPr>
        <w:t>S.A (“Muricy”). These companies collectively hold certain 15-year power purchase agreements totaling 288 MW for the development of the thermoelectric power plants in the State of Bahia, Brazil. We will seek to obtain the necessary approvals from the Agência Nacional de Energia Elétrica (“ANEEL”) and other relevant regulatory authorities in Brazil to transfer the site for the power purchase agreements to the Port of Suape and update the technical characteristics in order to develop and plan to construct a 288MW gas-fired power plant and LNG import terminal at the Port of Suape to provide LNG and natural gas to major energy consumers within the port complex and across the greater Northeast region of Brazil.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9" w:name="page70"/>
    <w:bookmarkEnd w:id="6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COVID-19 Pandemic</w:t>
      </w:r>
    </w:p>
    <w:p>
      <w:pPr>
        <w:spacing w:after="0" w:line="200" w:lineRule="exact"/>
        <w:rPr>
          <w:sz w:val="20"/>
          <w:szCs w:val="20"/>
          <w:color w:val="auto"/>
        </w:rPr>
      </w:pPr>
    </w:p>
    <w:p>
      <w:pPr>
        <w:ind w:right="140" w:firstLine="263"/>
        <w:spacing w:after="0" w:line="250" w:lineRule="auto"/>
        <w:rPr>
          <w:sz w:val="20"/>
          <w:szCs w:val="20"/>
          <w:color w:val="auto"/>
        </w:rPr>
      </w:pPr>
      <w:r>
        <w:rPr>
          <w:rFonts w:ascii="Arial" w:cs="Arial" w:eastAsia="Arial" w:hAnsi="Arial"/>
          <w:sz w:val="15"/>
          <w:szCs w:val="15"/>
          <w:color w:val="auto"/>
        </w:rPr>
        <w:t>We are closely monitoring the impact of the novel coronavirus (“COVID-19”) pandemic on all aspects of our operations and development projects. We primarily operate under long-term contracts with customers, many of which contain fixed minimum volumes that must be purchased on a “take-or-pay” basis. We have continued to invoice our customers for these fixed minimum volumes even in cases when our customer’s consumption has decreased. We have not changed our payment terms with these customers, and there has not been deterioration in the timing or volume of collections.</w:t>
      </w:r>
    </w:p>
    <w:p>
      <w:pPr>
        <w:spacing w:after="0" w:line="180" w:lineRule="exact"/>
        <w:rPr>
          <w:sz w:val="20"/>
          <w:szCs w:val="20"/>
          <w:color w:val="auto"/>
        </w:rPr>
      </w:pPr>
    </w:p>
    <w:p>
      <w:pPr>
        <w:ind w:right="20" w:firstLine="526"/>
        <w:spacing w:after="0" w:line="274" w:lineRule="auto"/>
        <w:rPr>
          <w:sz w:val="20"/>
          <w:szCs w:val="20"/>
          <w:color w:val="auto"/>
        </w:rPr>
      </w:pPr>
      <w:r>
        <w:rPr>
          <w:rFonts w:ascii="Arial" w:cs="Arial" w:eastAsia="Arial" w:hAnsi="Arial"/>
          <w:sz w:val="14"/>
          <w:szCs w:val="14"/>
          <w:color w:val="auto"/>
        </w:rPr>
        <w:t>Based on the essential nature of the services we provide to support power generation facilities, our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For the year ended December 31, 2020, we have incurred approximately $1.2 million for safety measures introduced into our operations and other responses to the COVID-19 pandemic.</w:t>
      </w:r>
    </w:p>
    <w:p>
      <w:pPr>
        <w:spacing w:after="0" w:line="164" w:lineRule="exact"/>
        <w:rPr>
          <w:sz w:val="20"/>
          <w:szCs w:val="20"/>
          <w:color w:val="auto"/>
        </w:rPr>
      </w:pPr>
    </w:p>
    <w:p>
      <w:pPr>
        <w:jc w:val="both"/>
        <w:ind w:right="260" w:firstLine="526"/>
        <w:spacing w:after="0" w:line="301" w:lineRule="auto"/>
        <w:rPr>
          <w:sz w:val="20"/>
          <w:szCs w:val="20"/>
          <w:color w:val="auto"/>
        </w:rPr>
      </w:pPr>
      <w:r>
        <w:rPr>
          <w:rFonts w:ascii="Arial" w:cs="Arial" w:eastAsia="Arial" w:hAnsi="Arial"/>
          <w:sz w:val="13"/>
          <w:szCs w:val="13"/>
          <w:color w:val="auto"/>
        </w:rPr>
        <w:t>We are actively monitoring the spread of the pandemic and the actions that governments and regulatory agencies are taking to fight the spread. We have not experienced significant disruptions in development projects and daily operations during the year ended December 31, 2020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Matters</w:t>
      </w:r>
    </w:p>
    <w:p>
      <w:pPr>
        <w:spacing w:after="0" w:line="204" w:lineRule="exact"/>
        <w:rPr>
          <w:sz w:val="20"/>
          <w:szCs w:val="20"/>
          <w:color w:val="auto"/>
        </w:rPr>
      </w:pPr>
    </w:p>
    <w:p>
      <w:pPr>
        <w:jc w:val="both"/>
        <w:ind w:firstLine="526"/>
        <w:spacing w:after="0" w:line="274" w:lineRule="auto"/>
        <w:rPr>
          <w:sz w:val="20"/>
          <w:szCs w:val="20"/>
          <w:color w:val="auto"/>
        </w:rPr>
      </w:pPr>
      <w:r>
        <w:rPr>
          <w:rFonts w:ascii="Arial" w:cs="Arial" w:eastAsia="Arial" w:hAnsi="Arial"/>
          <w:sz w:val="14"/>
          <w:szCs w:val="14"/>
          <w:color w:val="auto"/>
        </w:rPr>
        <w:t>We received an order from the Federal Energy Regulatory Commission (“FERC”) on June 18, 2020, which asked us to explain why our San Juan Facility is not subject to FERC’s jurisdiction under section 3 of the Natural Gas Act. While we do not believe that the San Juan Facility is jurisdictional, we provided our reply to FERC on July 20, 2020 and requested that FERC act expeditiously. The matter was raised during a FERC open meeting held on January 19, 2021 but was not resolved, is on the agenda during the FERC open meeting to be held on March 18, 2021, and remains pending. We do not know if or when FERC will respond to our reply, or the outcome of any such response.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7"/>
        </w:trPr>
        <w:tc>
          <w:tcPr>
            <w:tcW w:w="7260" w:type="dxa"/>
            <w:vAlign w:val="bottom"/>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6"/>
        </w:trPr>
        <w:tc>
          <w:tcPr>
            <w:tcW w:w="7260" w:type="dxa"/>
            <w:vAlign w:val="bottom"/>
          </w:tcPr>
          <w:p>
            <w:pPr>
              <w:spacing w:after="0"/>
              <w:rPr>
                <w:sz w:val="20"/>
                <w:szCs w:val="20"/>
                <w:color w:val="auto"/>
              </w:rPr>
            </w:pPr>
            <w:r>
              <w:rPr>
                <w:rFonts w:ascii="Arial" w:cs="Arial" w:eastAsia="Arial" w:hAnsi="Arial"/>
                <w:sz w:val="15"/>
                <w:szCs w:val="15"/>
                <w:b w:val="1"/>
                <w:bCs w:val="1"/>
                <w:color w:val="auto"/>
                <w:w w:val="88"/>
              </w:rPr>
              <w:t>Results of Operations – Year Ended December 31, 2020 compared to Year Ended December 31, 2019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7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2019</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r>
      <w:tr>
        <w:trPr>
          <w:trHeight w:val="175"/>
        </w:trPr>
        <w:tc>
          <w:tcPr>
            <w:tcW w:w="726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318,311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172,811</w:t>
            </w:r>
          </w:p>
        </w:tc>
      </w:tr>
      <w:tr>
        <w:trPr>
          <w:trHeight w:val="177"/>
        </w:trPr>
        <w:tc>
          <w:tcPr>
            <w:tcW w:w="7260" w:type="dxa"/>
            <w:vAlign w:val="bottom"/>
          </w:tcPr>
          <w:p>
            <w:pPr>
              <w:spacing w:after="0"/>
              <w:rPr>
                <w:sz w:val="20"/>
                <w:szCs w:val="20"/>
                <w:color w:val="auto"/>
              </w:rPr>
            </w:pPr>
            <w:r>
              <w:rPr>
                <w:rFonts w:ascii="Arial" w:cs="Arial" w:eastAsia="Arial" w:hAnsi="Arial"/>
                <w:sz w:val="15"/>
                <w:szCs w:val="15"/>
                <w:color w:val="auto"/>
              </w:rPr>
              <w:t>Other revenue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133,339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43,625</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89,714</w:t>
            </w:r>
          </w:p>
        </w:tc>
      </w:tr>
      <w:tr>
        <w:trPr>
          <w:trHeight w:val="177"/>
        </w:trPr>
        <w:tc>
          <w:tcPr>
            <w:tcW w:w="7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 revenues</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451,650</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189,125</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262,525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726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278,767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183,359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95,408</w:t>
            </w:r>
          </w:p>
        </w:tc>
      </w:tr>
      <w:tr>
        <w:trPr>
          <w:trHeight w:val="175"/>
        </w:trPr>
        <w:tc>
          <w:tcPr>
            <w:tcW w:w="7260" w:type="dxa"/>
            <w:vAlign w:val="bottom"/>
          </w:tcPr>
          <w:p>
            <w:pPr>
              <w:spacing w:after="0"/>
              <w:rPr>
                <w:sz w:val="20"/>
                <w:szCs w:val="20"/>
                <w:color w:val="auto"/>
              </w:rPr>
            </w:pPr>
            <w:r>
              <w:rPr>
                <w:rFonts w:ascii="Arial" w:cs="Arial" w:eastAsia="Arial" w:hAnsi="Arial"/>
                <w:sz w:val="15"/>
                <w:szCs w:val="15"/>
                <w:color w:val="auto"/>
              </w:rPr>
              <w:t>Operations and maintenance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47,581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26,899</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20,682</w:t>
            </w:r>
          </w:p>
        </w:tc>
      </w:tr>
      <w:tr>
        <w:trPr>
          <w:trHeight w:val="175"/>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124,170</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152,922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(28,752)</w:t>
            </w:r>
          </w:p>
        </w:tc>
      </w:tr>
      <w:tr>
        <w:trPr>
          <w:trHeight w:val="175"/>
        </w:trPr>
        <w:tc>
          <w:tcPr>
            <w:tcW w:w="7260" w:type="dxa"/>
            <w:vAlign w:val="bottom"/>
          </w:tcPr>
          <w:p>
            <w:pPr>
              <w:spacing w:after="0"/>
              <w:rPr>
                <w:sz w:val="20"/>
                <w:szCs w:val="20"/>
                <w:color w:val="auto"/>
              </w:rPr>
            </w:pPr>
            <w:r>
              <w:rPr>
                <w:rFonts w:ascii="Arial" w:cs="Arial" w:eastAsia="Arial" w:hAnsi="Arial"/>
                <w:sz w:val="15"/>
                <w:szCs w:val="15"/>
                <w:color w:val="auto"/>
              </w:rPr>
              <w:t>Contract termination charges and loss on mitigation sales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124,114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5,280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118,834</w:t>
            </w:r>
          </w:p>
        </w:tc>
      </w:tr>
      <w:tr>
        <w:trPr>
          <w:trHeight w:val="17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32,376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24,436</w:t>
            </w:r>
          </w:p>
        </w:tc>
      </w:tr>
      <w:tr>
        <w:trPr>
          <w:trHeight w:val="177"/>
        </w:trPr>
        <w:tc>
          <w:tcPr>
            <w:tcW w:w="7260" w:type="dxa"/>
            <w:vAlign w:val="bottom"/>
            <w:tcBorders>
              <w:top w:val="single" w:sz="8" w:color="CCEEFF"/>
            </w:tcBorders>
          </w:tcPr>
          <w:p>
            <w:pPr>
              <w:ind w:left="120"/>
              <w:spacing w:after="0"/>
              <w:rPr>
                <w:sz w:val="20"/>
                <w:szCs w:val="20"/>
                <w:color w:val="auto"/>
              </w:rPr>
            </w:pPr>
            <w:r>
              <w:rPr>
                <w:rFonts w:ascii="Arial" w:cs="Arial" w:eastAsia="Arial" w:hAnsi="Arial"/>
                <w:sz w:val="15"/>
                <w:szCs w:val="15"/>
                <w:b w:val="1"/>
                <w:bCs w:val="1"/>
                <w:color w:val="auto"/>
              </w:rPr>
              <w:t>Total operating expenses</w:t>
            </w: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607,008</w:t>
            </w: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376,400</w:t>
            </w: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230,608</w:t>
            </w:r>
          </w:p>
        </w:tc>
        <w:tc>
          <w:tcPr>
            <w:tcW w:w="100" w:type="dxa"/>
            <w:vAlign w:val="bottom"/>
            <w:tcBorders>
              <w:top w:val="single" w:sz="8" w:color="CCEEFF"/>
            </w:tcBorders>
          </w:tcPr>
          <w:p>
            <w:pPr>
              <w:spacing w:after="0"/>
              <w:rPr>
                <w:sz w:val="15"/>
                <w:szCs w:val="15"/>
                <w:color w:val="auto"/>
              </w:rPr>
            </w:pPr>
          </w:p>
        </w:tc>
      </w:tr>
      <w:tr>
        <w:trPr>
          <w:trHeight w:val="175"/>
        </w:trPr>
        <w:tc>
          <w:tcPr>
            <w:tcW w:w="72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Operating loss</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(155,358)</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(187,275)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31,917</w:t>
            </w:r>
          </w:p>
        </w:tc>
        <w:tc>
          <w:tcPr>
            <w:tcW w:w="100" w:type="dxa"/>
            <w:vAlign w:val="bottom"/>
            <w:shd w:val="clear" w:color="auto" w:fill="CCEEFF"/>
          </w:tcPr>
          <w:p>
            <w:pPr>
              <w:spacing w:after="0"/>
              <w:rPr>
                <w:sz w:val="15"/>
                <w:szCs w:val="15"/>
                <w:color w:val="auto"/>
              </w:rPr>
            </w:pPr>
          </w:p>
        </w:tc>
      </w:tr>
      <w:tr>
        <w:trPr>
          <w:trHeight w:val="175"/>
        </w:trPr>
        <w:tc>
          <w:tcPr>
            <w:tcW w:w="7260" w:type="dxa"/>
            <w:vAlign w:val="bottom"/>
          </w:tcPr>
          <w:p>
            <w:pPr>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65,723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19,412</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46,311</w:t>
            </w:r>
          </w:p>
        </w:tc>
        <w:tc>
          <w:tcPr>
            <w:tcW w:w="100" w:type="dxa"/>
            <w:vAlign w:val="bottom"/>
          </w:tcPr>
          <w:p>
            <w:pPr>
              <w:spacing w:after="0"/>
              <w:rPr>
                <w:sz w:val="15"/>
                <w:szCs w:val="15"/>
                <w:color w:val="auto"/>
              </w:rPr>
            </w:pPr>
          </w:p>
        </w:tc>
      </w:tr>
      <w:tr>
        <w:trPr>
          <w:trHeight w:val="175"/>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Other expense (income), net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5,005</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(2,807)</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7,812</w:t>
            </w:r>
          </w:p>
        </w:tc>
        <w:tc>
          <w:tcPr>
            <w:tcW w:w="100" w:type="dxa"/>
            <w:vAlign w:val="bottom"/>
            <w:shd w:val="clear" w:color="auto" w:fill="CCEEFF"/>
          </w:tcPr>
          <w:p>
            <w:pPr>
              <w:spacing w:after="0"/>
              <w:rPr>
                <w:sz w:val="15"/>
                <w:szCs w:val="15"/>
                <w:color w:val="auto"/>
              </w:rPr>
            </w:pPr>
          </w:p>
        </w:tc>
      </w:tr>
      <w:tr>
        <w:trPr>
          <w:trHeight w:val="177"/>
        </w:trPr>
        <w:tc>
          <w:tcPr>
            <w:tcW w:w="7260" w:type="dxa"/>
            <w:vAlign w:val="bottom"/>
          </w:tcPr>
          <w:p>
            <w:pPr>
              <w:spacing w:after="0"/>
              <w:rPr>
                <w:sz w:val="20"/>
                <w:szCs w:val="20"/>
                <w:color w:val="auto"/>
              </w:rPr>
            </w:pPr>
            <w:r>
              <w:rPr>
                <w:rFonts w:ascii="Arial" w:cs="Arial" w:eastAsia="Arial" w:hAnsi="Arial"/>
                <w:sz w:val="15"/>
                <w:szCs w:val="15"/>
                <w:color w:val="auto"/>
              </w:rPr>
              <w:t>Loss on extinguishment of debt, net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33,062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33,062</w:t>
            </w:r>
          </w:p>
        </w:tc>
      </w:tr>
      <w:tr>
        <w:trPr>
          <w:trHeight w:val="175"/>
        </w:trPr>
        <w:tc>
          <w:tcPr>
            <w:tcW w:w="72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Loss before taxes</w:t>
            </w:r>
          </w:p>
        </w:tc>
        <w:tc>
          <w:tcPr>
            <w:tcW w:w="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(259,148)</w:t>
            </w:r>
          </w:p>
        </w:tc>
        <w:tc>
          <w:tcPr>
            <w:tcW w:w="2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(203,880)</w:t>
            </w: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(55,268)</w:t>
            </w:r>
          </w:p>
        </w:tc>
        <w:tc>
          <w:tcPr>
            <w:tcW w:w="100" w:type="dxa"/>
            <w:vAlign w:val="bottom"/>
            <w:shd w:val="clear" w:color="auto" w:fill="CCEEFF"/>
          </w:tcPr>
          <w:p>
            <w:pPr>
              <w:spacing w:after="0"/>
              <w:rPr>
                <w:sz w:val="15"/>
                <w:szCs w:val="15"/>
                <w:color w:val="auto"/>
              </w:rPr>
            </w:pPr>
          </w:p>
        </w:tc>
      </w:tr>
      <w:tr>
        <w:trPr>
          <w:trHeight w:val="177"/>
        </w:trPr>
        <w:tc>
          <w:tcPr>
            <w:tcW w:w="7260" w:type="dxa"/>
            <w:vAlign w:val="bottom"/>
          </w:tcPr>
          <w:p>
            <w:pPr>
              <w:spacing w:after="0"/>
              <w:rPr>
                <w:sz w:val="20"/>
                <w:szCs w:val="20"/>
                <w:color w:val="auto"/>
              </w:rPr>
            </w:pPr>
            <w:r>
              <w:rPr>
                <w:rFonts w:ascii="Arial" w:cs="Arial" w:eastAsia="Arial" w:hAnsi="Arial"/>
                <w:sz w:val="15"/>
                <w:szCs w:val="15"/>
                <w:color w:val="auto"/>
              </w:rPr>
              <w:t>Tax expense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4,817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439</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4,378</w:t>
            </w:r>
          </w:p>
        </w:tc>
        <w:tc>
          <w:tcPr>
            <w:tcW w:w="100" w:type="dxa"/>
            <w:vAlign w:val="bottom"/>
          </w:tcPr>
          <w:p>
            <w:pPr>
              <w:spacing w:after="0"/>
              <w:rPr>
                <w:sz w:val="15"/>
                <w:szCs w:val="15"/>
                <w:color w:val="auto"/>
              </w:rPr>
            </w:pPr>
          </w:p>
        </w:tc>
      </w:tr>
      <w:tr>
        <w:trPr>
          <w:trHeight w:val="215"/>
        </w:trPr>
        <w:tc>
          <w:tcPr>
            <w:tcW w:w="7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Net loss</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(263,965)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(204,319)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(59,646)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200" w:lineRule="exact"/>
        <w:rPr>
          <w:sz w:val="20"/>
          <w:szCs w:val="20"/>
          <w:color w:val="auto"/>
        </w:rPr>
      </w:pPr>
    </w:p>
    <w:p>
      <w:pPr>
        <w:jc w:val="both"/>
        <w:ind w:right="40" w:firstLine="263"/>
        <w:spacing w:after="0" w:line="253" w:lineRule="auto"/>
        <w:rPr>
          <w:sz w:val="20"/>
          <w:szCs w:val="20"/>
          <w:color w:val="auto"/>
        </w:rPr>
      </w:pPr>
      <w:r>
        <w:rPr>
          <w:rFonts w:ascii="Arial" w:cs="Arial" w:eastAsia="Arial" w:hAnsi="Arial"/>
          <w:sz w:val="15"/>
          <w:szCs w:val="15"/>
          <w:color w:val="auto"/>
        </w:rPr>
        <w:t>Operating revenue from the sale of LNG, natural gas or outputs from our natural gas-fired power generation facilities for the year ended December 31, 2020 was $318,311 which increased by $172,811 from $145,500 for the year ended December 31, 2019. The increase was primarily driven by volumes sold from the Old Harbour Terminal, including volumes utilized in the CHP Plant which commenced commercial operations during March 2020:</w:t>
      </w:r>
    </w:p>
    <w:p>
      <w:pPr>
        <w:spacing w:after="0" w:line="178" w:lineRule="exact"/>
        <w:rPr>
          <w:sz w:val="20"/>
          <w:szCs w:val="20"/>
          <w:color w:val="auto"/>
        </w:rPr>
      </w:pPr>
    </w:p>
    <w:p>
      <w:pPr>
        <w:ind w:left="540" w:hanging="269"/>
        <w:spacing w:after="0" w:line="248" w:lineRule="auto"/>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For the year ended December 31, 2020, we recognized $189,196 of revenue from volumes sold at the Old Harbour Facility, as compared to $41,229 for the year ended December 31, 2019. Revenue recognized for the year ended December 31, 2020 included $112,334 from sales to the Old Harbour Power Plant and $76,862 from natural gas utilized in the CHP Plant and Jamalco’s boilers. For the year ended December 31, 2020, the volume delivered to the Old Harbour Power Plant was 96.0 million gallons (8.0 TBtu) and the volume utilized in the CHP Plant and Jamalco’s boilers was 96.2 million gallons (7.9 TBtu). For the year ended December 31, 2019, the volume delivered to the Old Harbour Power Plant was 22.2 million gallons (1.9 TBtu).</w:t>
      </w:r>
    </w:p>
    <w:p>
      <w:pPr>
        <w:spacing w:after="0" w:line="183" w:lineRule="exact"/>
        <w:rPr>
          <w:rFonts w:ascii="Arial" w:cs="Arial" w:eastAsia="Arial" w:hAnsi="Arial"/>
          <w:sz w:val="15"/>
          <w:szCs w:val="15"/>
          <w:color w:val="auto"/>
        </w:rPr>
      </w:pPr>
    </w:p>
    <w:p>
      <w:pPr>
        <w:ind w:left="540" w:right="240" w:hanging="269"/>
        <w:spacing w:after="0" w:line="263" w:lineRule="auto"/>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Additional revenue from the delivery of power and steam, which began during March 2020, under our contracts with JPS and Jamalco added $23,062 in revenue for the year ended December 31, 2020.</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Operating revenue was also impacted by operations at our Montego Bay Facility, including the following:</w:t>
      </w:r>
    </w:p>
    <w:p>
      <w:pPr>
        <w:spacing w:after="0" w:line="200" w:lineRule="exact"/>
        <w:rPr>
          <w:sz w:val="20"/>
          <w:szCs w:val="20"/>
          <w:color w:val="auto"/>
        </w:rPr>
      </w:pPr>
    </w:p>
    <w:p>
      <w:pPr>
        <w:ind w:left="540" w:right="320" w:hanging="269"/>
        <w:spacing w:after="0" w:line="311" w:lineRule="auto"/>
        <w:tabs>
          <w:tab w:leader="none" w:pos="5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connection with the adoption of ASC 842, we no longer identify a lease of the Montego Bay Facility in our gas sale agreement with our customer. Accordingly, interest income associated with the direct financing lease of the Montego Bay Facility is no longer recognized within Other revenue, and all amounts recognized as revenue for activities at the Montego Bay Facility were included in Operating revenue for the year ended December 31, 2020, resulting in an increase of $15,771 to Operating revenue.</w:t>
      </w:r>
    </w:p>
    <w:p>
      <w:pPr>
        <w:spacing w:after="0" w:line="142" w:lineRule="exact"/>
        <w:rPr>
          <w:rFonts w:ascii="Arial" w:cs="Arial" w:eastAsia="Arial" w:hAnsi="Arial"/>
          <w:sz w:val="13"/>
          <w:szCs w:val="13"/>
          <w:color w:val="auto"/>
        </w:rPr>
      </w:pPr>
    </w:p>
    <w:p>
      <w:pPr>
        <w:ind w:left="540" w:right="60" w:hanging="269"/>
        <w:spacing w:after="0" w:line="274"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increase in Operating revenue is partially offset by a decrease in sales at the Montego Bay Facility. The decrease in sales at the Montego Bay Facility was primarily due to a decrease in sales volume delivered to the Bogue Power Plant. Revenue from sales at the Montego Bay Facility decreased $14,399 to $77,464 for the year ended December 31, 2020 as compared to $91,863 for the year ended December 31, 2019. The delivered volume at the Montego Bay Facility decreased by 16.3 million gallons (1.2 TBtu) from 110.5 million gallons (9.1 TBtu) during the year ended December 31, 2019 to 94.2 million gallons (7.9 TBtu) during the year ended December 31, 2020.</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1" w:name="page72"/>
    <w:bookmarkEnd w:id="7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jc w:val="both"/>
        <w:ind w:right="100" w:firstLine="263"/>
        <w:spacing w:after="0" w:line="250" w:lineRule="auto"/>
        <w:rPr>
          <w:sz w:val="20"/>
          <w:szCs w:val="20"/>
          <w:color w:val="auto"/>
        </w:rPr>
      </w:pPr>
      <w:r>
        <w:rPr>
          <w:rFonts w:ascii="Arial" w:cs="Arial" w:eastAsia="Arial" w:hAnsi="Arial"/>
          <w:sz w:val="15"/>
          <w:szCs w:val="15"/>
          <w:color w:val="auto"/>
        </w:rPr>
        <w:t>Other revenue includes revenue from development services, which is recognized from the construction, installation and commissioning of equipment to transform customers’ facilities to operate utilizing natural gas or to allow customers to receive power or other outputs from our power generation facilities, and such services are included within certain long-term contracts to supply these customers with natural gas or outputs from our natural gas-fired facilities. Other revenue increased $89,714 for the year ended December 31, 2020 as compared to the year ended December 31, 2019, and the increases were due to the following:</w:t>
      </w:r>
    </w:p>
    <w:p>
      <w:pPr>
        <w:spacing w:after="0" w:line="180" w:lineRule="exact"/>
        <w:rPr>
          <w:sz w:val="20"/>
          <w:szCs w:val="20"/>
          <w:color w:val="auto"/>
        </w:rPr>
      </w:pPr>
    </w:p>
    <w:p>
      <w:pPr>
        <w:jc w:val="both"/>
        <w:ind w:left="540" w:right="40" w:hanging="269"/>
        <w:spacing w:after="0" w:line="280"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Increase of $113,777 for development services in Puerto Rico for the year ended December 31, 2020, including conversion of the customer’s infrastructure within the San Juan Power Plant and gas used by our customer for testing and commissioning their assets. Development services revenue recognized in the year ended December 31, 2020 included $118,757 for the customer’s use of 129.5 million gallons (10.7 TBtu) of natural gas as part of commissioning their assets.</w:t>
      </w:r>
    </w:p>
    <w:p>
      <w:pPr>
        <w:spacing w:after="0" w:line="160" w:lineRule="exact"/>
        <w:rPr>
          <w:rFonts w:ascii="Arial" w:cs="Arial" w:eastAsia="Arial" w:hAnsi="Arial"/>
          <w:sz w:val="14"/>
          <w:szCs w:val="14"/>
          <w:color w:val="auto"/>
        </w:rPr>
      </w:pPr>
    </w:p>
    <w:p>
      <w:pPr>
        <w:ind w:left="540" w:right="660" w:hanging="269"/>
        <w:spacing w:after="0" w:line="263"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Lower revenue recognized for the infrastructure projects for customers of the CHP Plant. For the year ended December 31, 2020, we recognized $601 for the completion of infrastructure projects for customers of the CHP Plant, as compared to $11,933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sales</w:t>
      </w:r>
    </w:p>
    <w:p>
      <w:pPr>
        <w:spacing w:after="0" w:line="200" w:lineRule="exact"/>
        <w:rPr>
          <w:sz w:val="20"/>
          <w:szCs w:val="20"/>
          <w:color w:val="auto"/>
        </w:rPr>
      </w:pPr>
    </w:p>
    <w:p>
      <w:pPr>
        <w:ind w:right="180" w:firstLine="263"/>
        <w:spacing w:after="0" w:line="253" w:lineRule="auto"/>
        <w:rPr>
          <w:sz w:val="20"/>
          <w:szCs w:val="20"/>
          <w:color w:val="auto"/>
        </w:rPr>
      </w:pPr>
      <w:r>
        <w:rPr>
          <w:rFonts w:ascii="Arial" w:cs="Arial" w:eastAsia="Arial" w:hAnsi="Arial"/>
          <w:sz w:val="15"/>
          <w:szCs w:val="15"/>
          <w:color w:val="auto"/>
        </w:rPr>
        <w:t>Cost of sales includes the procurement of feedgas or LNG, as well as shipping and logistics costs to deliver LNG or natural gas to our facilities, power generation facilities or to our customers.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Cost of sales for the year ended December 31, 2020 was $278,767 which increased $95,408 from $183,359 for the year ended December 31, 2019.</w:t>
      </w:r>
    </w:p>
    <w:p>
      <w:pPr>
        <w:spacing w:after="0" w:line="200" w:lineRule="exact"/>
        <w:rPr>
          <w:sz w:val="20"/>
          <w:szCs w:val="20"/>
          <w:color w:val="auto"/>
        </w:rPr>
      </w:pPr>
    </w:p>
    <w:p>
      <w:pPr>
        <w:ind w:firstLine="263"/>
        <w:spacing w:after="0" w:line="270" w:lineRule="auto"/>
        <w:rPr>
          <w:sz w:val="20"/>
          <w:szCs w:val="20"/>
          <w:color w:val="auto"/>
        </w:rPr>
      </w:pPr>
      <w:r>
        <w:rPr>
          <w:rFonts w:ascii="Arial" w:cs="Arial" w:eastAsia="Arial" w:hAnsi="Arial"/>
          <w:sz w:val="14"/>
          <w:szCs w:val="14"/>
          <w:color w:val="auto"/>
        </w:rPr>
        <w:t>Cost of LNG purchased from third parties for sale to our customers or delivered for commissioning of our customer’s assets in Puerto Rico increased $92,433 for the year ended December 31, 2020 as compared to the year ended December 31, 2019. The increase was primarily attributable to the increase in volumes delivered of approximately 200% compared to the year ended December 31, 2019, partially offset by the decrease in LNG cost. The weighted-average cost of LNG purchased from third parties decreased from $0.73 per gallon ($8.81 per MMBtu) for the year ended December 31, 2019 to $0.46 per gallon ($5.58 per MMBtu) for the year ended December 31, 2020. The weighted-average cost of our inventory balance as of December 31, 2020 and 2019 was $0.40 per gallon ($4.81 per MMBtu) and $0.64 per gallon ($7.70 per MMBtu), respectively.</w:t>
      </w:r>
    </w:p>
    <w:p>
      <w:pPr>
        <w:spacing w:after="0" w:line="169" w:lineRule="exact"/>
        <w:rPr>
          <w:sz w:val="20"/>
          <w:szCs w:val="20"/>
          <w:color w:val="auto"/>
        </w:rPr>
      </w:pPr>
    </w:p>
    <w:p>
      <w:pPr>
        <w:ind w:firstLine="263"/>
        <w:spacing w:after="0" w:line="299" w:lineRule="auto"/>
        <w:rPr>
          <w:sz w:val="20"/>
          <w:szCs w:val="20"/>
          <w:color w:val="auto"/>
        </w:rPr>
      </w:pPr>
      <w:r>
        <w:rPr>
          <w:rFonts w:ascii="Arial" w:cs="Arial" w:eastAsia="Arial" w:hAnsi="Arial"/>
          <w:sz w:val="14"/>
          <w:szCs w:val="14"/>
          <w:color w:val="auto"/>
        </w:rPr>
        <w:t>Charter costs associated with our expanded fleet increased Cost of sales by $5,763 for the year ended December 31, 2020. The increase was attributable to a full year of charter costs of the Old Harbour Facility in 2020 as well as additional costs associated with our San Juan Facility after the assets were placed in service in the third quarter of 2020.</w:t>
      </w:r>
    </w:p>
    <w:p>
      <w:pPr>
        <w:spacing w:after="0" w:line="147" w:lineRule="exact"/>
        <w:rPr>
          <w:sz w:val="20"/>
          <w:szCs w:val="20"/>
          <w:color w:val="auto"/>
        </w:rPr>
      </w:pPr>
    </w:p>
    <w:p>
      <w:pPr>
        <w:ind w:right="500" w:firstLine="263"/>
        <w:spacing w:after="0" w:line="263" w:lineRule="auto"/>
        <w:rPr>
          <w:sz w:val="20"/>
          <w:szCs w:val="20"/>
          <w:color w:val="auto"/>
        </w:rPr>
      </w:pPr>
      <w:r>
        <w:rPr>
          <w:rFonts w:ascii="Arial" w:cs="Arial" w:eastAsia="Arial" w:hAnsi="Arial"/>
          <w:sz w:val="15"/>
          <w:szCs w:val="15"/>
          <w:color w:val="auto"/>
        </w:rPr>
        <w:t>The increase in Cost of sales was partially offset by a decrease in costs associated with the infrastructure projects for customers of the CHP Plant and conversion of our customer’s infrastructure within the San Juan Power Plant of $11,482 as compared to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 and maintenance</w:t>
      </w:r>
    </w:p>
    <w:p>
      <w:pPr>
        <w:spacing w:after="0" w:line="200" w:lineRule="exact"/>
        <w:rPr>
          <w:sz w:val="20"/>
          <w:szCs w:val="20"/>
          <w:color w:val="auto"/>
        </w:rPr>
      </w:pPr>
    </w:p>
    <w:p>
      <w:pPr>
        <w:ind w:firstLine="263"/>
        <w:spacing w:after="0" w:line="248" w:lineRule="auto"/>
        <w:rPr>
          <w:sz w:val="20"/>
          <w:szCs w:val="20"/>
          <w:color w:val="auto"/>
        </w:rPr>
      </w:pPr>
      <w:r>
        <w:rPr>
          <w:rFonts w:ascii="Arial" w:cs="Arial" w:eastAsia="Arial" w:hAnsi="Arial"/>
          <w:sz w:val="15"/>
          <w:szCs w:val="15"/>
          <w:color w:val="auto"/>
        </w:rPr>
        <w:t>Operations and maintenance includes costs of operating our Facilities, exclusive of costs to convert that are reflected in Cost of sales. Operations and maintenance for the year ended December 31, 2020 was $47,581, which increased $20,682 from $26,899 for the year ended December 31, 2019. The increase is primarily a result of higher logistics costs of $9,727 for the year ended December 31, 2020, primarily associated with the operations of additional charter vessels deployed. Operations and maintenance also increased by $5,425 for the year ended December 31, 2020 for costs of operating the CHP Plant for the period after commencement of commercial operations in March 2020 and by $5,698 for costs of operating the San Juan Facility after our assets were placed in service in the third quarter of 2020.</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w:t>
      </w:r>
    </w:p>
    <w:p>
      <w:pPr>
        <w:spacing w:after="0" w:line="200" w:lineRule="exact"/>
        <w:rPr>
          <w:sz w:val="20"/>
          <w:szCs w:val="20"/>
          <w:color w:val="auto"/>
        </w:rPr>
      </w:pPr>
    </w:p>
    <w:p>
      <w:pPr>
        <w:ind w:right="100" w:firstLine="263"/>
        <w:spacing w:after="0" w:line="263" w:lineRule="auto"/>
        <w:rPr>
          <w:sz w:val="20"/>
          <w:szCs w:val="20"/>
          <w:color w:val="auto"/>
        </w:rPr>
      </w:pPr>
      <w:r>
        <w:rPr>
          <w:rFonts w:ascii="Arial" w:cs="Arial" w:eastAsia="Arial" w:hAnsi="Arial"/>
          <w:sz w:val="15"/>
          <w:szCs w:val="15"/>
          <w:color w:val="auto"/>
        </w:rPr>
        <w:t>Selling, general and administrative includes compensation expenses for our corporate employees, employee travel costs, insurance, professional fees for our advisors and costs associated with development activities for projects that are in initial stages and development is not yet probable.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72" w:name="page73"/>
    <w:bookmarkEnd w:id="7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160" w:firstLine="263"/>
        <w:spacing w:after="0" w:line="253" w:lineRule="auto"/>
        <w:rPr>
          <w:sz w:val="20"/>
          <w:szCs w:val="20"/>
          <w:color w:val="auto"/>
        </w:rPr>
      </w:pPr>
      <w:r>
        <w:rPr>
          <w:rFonts w:ascii="Arial" w:cs="Arial" w:eastAsia="Arial" w:hAnsi="Arial"/>
          <w:sz w:val="15"/>
          <w:szCs w:val="15"/>
          <w:color w:val="auto"/>
        </w:rPr>
        <w:t>Selling, general and administrative for the year ended December 31, 2020, was $124,170 which decreased $28,752 from $152,922 for the year ended December 31, 2019. The decrease was primarily attributable to decreased share-based compensation expense of $32,651, as well as decreases to professional fees of $3,743, as compared to the year ended December 31, 2019. These decreases were partially offset by $8,344 of higher payroll costs associated with increased headcount.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 termination charges and loss on mitigation sales</w:t>
      </w:r>
    </w:p>
    <w:p>
      <w:pPr>
        <w:spacing w:after="0" w:line="200" w:lineRule="exact"/>
        <w:rPr>
          <w:sz w:val="20"/>
          <w:szCs w:val="20"/>
          <w:color w:val="auto"/>
        </w:rPr>
      </w:pPr>
    </w:p>
    <w:p>
      <w:pPr>
        <w:ind w:right="20" w:firstLine="263"/>
        <w:spacing w:after="0" w:line="269" w:lineRule="auto"/>
        <w:rPr>
          <w:sz w:val="20"/>
          <w:szCs w:val="20"/>
          <w:color w:val="auto"/>
        </w:rPr>
      </w:pPr>
      <w:r>
        <w:rPr>
          <w:rFonts w:ascii="Arial" w:cs="Arial" w:eastAsia="Arial" w:hAnsi="Arial"/>
          <w:sz w:val="14"/>
          <w:szCs w:val="14"/>
          <w:color w:val="auto"/>
        </w:rPr>
        <w:t>Contract termination charges and loss on mitigation sales for the years ended December 31, 2020 and 2019 was $124,114 and $5,280, respectively. Through 2020, the pricing of LNG in the open market was significantly lower than the pricing in our LNG supply agreement with Centrica. In June 2020, we executed an agreement to terminate our obligation to purchase LNG from Centrica for the remainder of 2020 in exchange for a payment of $105,000, and we recognized this cancellation charge during the second quarter of 2020. We terminated our obligation in the second quarter of 2020 to, among other reasons, take advantage of the low pricing in the open market and to align future deliveries of LNG with our expected needs. We purchased LNG in the open market for the remainder of our needs in 2020, significantly reducing our LNG supply cost from $0.73 per gallon ($8.81 per MMBtu) for the year ended December 31, 2019 to $0.46 per gallon ($5.58 per MMBtu) for the year ended December 31, 2020.</w:t>
      </w:r>
    </w:p>
    <w:p>
      <w:pPr>
        <w:spacing w:after="0" w:line="167" w:lineRule="exact"/>
        <w:rPr>
          <w:sz w:val="20"/>
          <w:szCs w:val="20"/>
          <w:color w:val="auto"/>
        </w:rPr>
      </w:pPr>
    </w:p>
    <w:p>
      <w:pPr>
        <w:ind w:right="200" w:firstLine="263"/>
        <w:spacing w:after="0" w:line="253" w:lineRule="auto"/>
        <w:rPr>
          <w:sz w:val="20"/>
          <w:szCs w:val="20"/>
          <w:color w:val="auto"/>
        </w:rPr>
      </w:pPr>
      <w:r>
        <w:rPr>
          <w:rFonts w:ascii="Arial" w:cs="Arial" w:eastAsia="Arial" w:hAnsi="Arial"/>
          <w:sz w:val="15"/>
          <w:szCs w:val="15"/>
          <w:color w:val="auto"/>
        </w:rPr>
        <w:t>We experienced lower than expected consumption by some of our customers in the second quarter of 2020, primarily as a result of unplanned maintenance at one of our customer’s facilities in Jamaica. As a result, we were unable to utilize a firm cargo purchased under our LNG supply agreement, incurring a loss of $18,906 on the sale of this cargo that was recognized during the second quarter of 2020.</w:t>
      </w:r>
    </w:p>
    <w:p>
      <w:pPr>
        <w:spacing w:after="0" w:line="178" w:lineRule="exact"/>
        <w:rPr>
          <w:sz w:val="20"/>
          <w:szCs w:val="20"/>
          <w:color w:val="auto"/>
        </w:rPr>
      </w:pPr>
    </w:p>
    <w:p>
      <w:pPr>
        <w:ind w:right="200" w:firstLine="263"/>
        <w:spacing w:after="0" w:line="263" w:lineRule="auto"/>
        <w:rPr>
          <w:sz w:val="20"/>
          <w:szCs w:val="20"/>
          <w:color w:val="auto"/>
        </w:rPr>
      </w:pPr>
      <w:r>
        <w:rPr>
          <w:rFonts w:ascii="Arial" w:cs="Arial" w:eastAsia="Arial" w:hAnsi="Arial"/>
          <w:sz w:val="15"/>
          <w:szCs w:val="15"/>
          <w:color w:val="auto"/>
        </w:rPr>
        <w:t>Loss on mitigation sales for the year ended December 31, 2019 was $5,280 which was attributable to losses incurred associated with undelivered quantities of LNG under firm purchase commitments due to storage capacity constraints.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w:t>
      </w:r>
    </w:p>
    <w:p>
      <w:pPr>
        <w:spacing w:after="0" w:line="200" w:lineRule="exact"/>
        <w:rPr>
          <w:sz w:val="20"/>
          <w:szCs w:val="20"/>
          <w:color w:val="auto"/>
        </w:rPr>
      </w:pPr>
    </w:p>
    <w:p>
      <w:pPr>
        <w:ind w:right="500" w:firstLine="263"/>
        <w:spacing w:after="0" w:line="263" w:lineRule="auto"/>
        <w:rPr>
          <w:sz w:val="20"/>
          <w:szCs w:val="20"/>
          <w:color w:val="auto"/>
        </w:rPr>
      </w:pPr>
      <w:r>
        <w:rPr>
          <w:rFonts w:ascii="Arial" w:cs="Arial" w:eastAsia="Arial" w:hAnsi="Arial"/>
          <w:sz w:val="15"/>
          <w:szCs w:val="15"/>
          <w:color w:val="auto"/>
        </w:rPr>
        <w:t>Depreciation and amortization for the year ended December 31, 2020 was $32,376, which increased $24,436 from $7,940 for the year ended December 31, 2019. The increase was primarily due to the following:</w:t>
      </w:r>
    </w:p>
    <w:p>
      <w:pPr>
        <w:spacing w:after="0" w:line="170" w:lineRule="exact"/>
        <w:rPr>
          <w:sz w:val="20"/>
          <w:szCs w:val="20"/>
          <w:color w:val="auto"/>
        </w:rPr>
      </w:pPr>
    </w:p>
    <w:p>
      <w:pPr>
        <w:ind w:left="540" w:hanging="269"/>
        <w:spacing w:after="0"/>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Increase in depreciation of $3,582 for our Old Harbour Facility that went into service in June 2019;</w:t>
      </w:r>
    </w:p>
    <w:p>
      <w:pPr>
        <w:spacing w:after="0" w:line="200" w:lineRule="exact"/>
        <w:rPr>
          <w:rFonts w:ascii="Arial" w:cs="Arial" w:eastAsia="Arial" w:hAnsi="Arial"/>
          <w:sz w:val="15"/>
          <w:szCs w:val="15"/>
          <w:color w:val="auto"/>
        </w:rPr>
      </w:pPr>
    </w:p>
    <w:p>
      <w:pPr>
        <w:ind w:left="540" w:hanging="269"/>
        <w:spacing w:after="0"/>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Increase in depreciation of $9,515 for the CHP Plant that went into service in March 2020;</w:t>
      </w:r>
    </w:p>
    <w:p>
      <w:pPr>
        <w:spacing w:after="0" w:line="200" w:lineRule="exact"/>
        <w:rPr>
          <w:rFonts w:ascii="Arial" w:cs="Arial" w:eastAsia="Arial" w:hAnsi="Arial"/>
          <w:sz w:val="15"/>
          <w:szCs w:val="15"/>
          <w:color w:val="auto"/>
        </w:rPr>
      </w:pPr>
    </w:p>
    <w:p>
      <w:pPr>
        <w:ind w:left="540" w:hanging="269"/>
        <w:spacing w:after="0"/>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Increase in depreciation of $4,484 for the San Juan Facility that went into service in July 2020;</w:t>
      </w:r>
    </w:p>
    <w:p>
      <w:pPr>
        <w:spacing w:after="0" w:line="200" w:lineRule="exact"/>
        <w:rPr>
          <w:rFonts w:ascii="Arial" w:cs="Arial" w:eastAsia="Arial" w:hAnsi="Arial"/>
          <w:sz w:val="15"/>
          <w:szCs w:val="15"/>
          <w:color w:val="auto"/>
        </w:rPr>
      </w:pPr>
    </w:p>
    <w:p>
      <w:pPr>
        <w:ind w:left="540" w:right="200" w:hanging="269"/>
        <w:spacing w:after="0" w:line="263" w:lineRule="auto"/>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Additional depreciation of $4,499 recognized on our Montego Bay Facility during the year. These assets were presented as direct financing leases prior to the adoption of ASC 842, and no depreciation for such assets was previously recorded.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w:t>
      </w:r>
    </w:p>
    <w:p>
      <w:pPr>
        <w:spacing w:after="0" w:line="200" w:lineRule="exact"/>
        <w:rPr>
          <w:sz w:val="20"/>
          <w:szCs w:val="20"/>
          <w:color w:val="auto"/>
        </w:rPr>
      </w:pPr>
    </w:p>
    <w:p>
      <w:pPr>
        <w:ind w:right="40" w:firstLine="263"/>
        <w:spacing w:after="0" w:line="248" w:lineRule="auto"/>
        <w:rPr>
          <w:sz w:val="20"/>
          <w:szCs w:val="20"/>
          <w:color w:val="auto"/>
        </w:rPr>
      </w:pPr>
      <w:r>
        <w:rPr>
          <w:rFonts w:ascii="Arial" w:cs="Arial" w:eastAsia="Arial" w:hAnsi="Arial"/>
          <w:sz w:val="15"/>
          <w:szCs w:val="15"/>
          <w:color w:val="auto"/>
        </w:rPr>
        <w:t>Interest expense for the year ended December 31, 2020 was $65,723, which increased $46,311 from $19,412 for the year ended December 31, 2019, primarily as a result of the additional principal balances outstanding during 2020 under the Credit Agreement, Senior Secured Bonds and Senior Unsecured Bonds, as compared to the Term Loan Facility (all defined below). When the Credit Agreement, Senior Secured Bonds and Senior Unsecured Bonds were replaced by the Senior Secured Notes in September 2020, the outstanding principal balances totaled $980,000, as compared to the Term Loan Facility principal amount as of December 31, 2019 of $495,000, which had been extinguished in January 2020. As of December 31, 2020, we have issued $1,250,000 of Senior Secured Notes.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expense (income), net</w:t>
      </w:r>
    </w:p>
    <w:p>
      <w:pPr>
        <w:spacing w:after="0" w:line="200" w:lineRule="exact"/>
        <w:rPr>
          <w:sz w:val="20"/>
          <w:szCs w:val="20"/>
          <w:color w:val="auto"/>
        </w:rPr>
      </w:pPr>
    </w:p>
    <w:p>
      <w:pPr>
        <w:ind w:right="160" w:firstLine="263"/>
        <w:spacing w:after="0" w:line="253" w:lineRule="auto"/>
        <w:rPr>
          <w:sz w:val="20"/>
          <w:szCs w:val="20"/>
          <w:color w:val="auto"/>
        </w:rPr>
      </w:pPr>
      <w:r>
        <w:rPr>
          <w:rFonts w:ascii="Arial" w:cs="Arial" w:eastAsia="Arial" w:hAnsi="Arial"/>
          <w:sz w:val="15"/>
          <w:szCs w:val="15"/>
          <w:color w:val="auto"/>
        </w:rPr>
        <w:t>Other expense (income), net for the year ended December 31, 2020 was $5,005, which increased $7,812 from income of ($2,807) for the year ended December 31, 2019, primarily as a result of the change in fair value of the derivative liability and equity agreement associated with our acquisition of Shannon LNG, a decrease in interest income, and an increase in unrealized loss on our investment in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Loss on extinguishment of debt, net</w:t>
      </w:r>
    </w:p>
    <w:p>
      <w:pPr>
        <w:spacing w:after="0" w:line="200" w:lineRule="exact"/>
        <w:rPr>
          <w:sz w:val="20"/>
          <w:szCs w:val="20"/>
          <w:color w:val="auto"/>
        </w:rPr>
      </w:pPr>
    </w:p>
    <w:p>
      <w:pPr>
        <w:ind w:firstLine="263"/>
        <w:spacing w:after="0" w:line="253" w:lineRule="auto"/>
        <w:rPr>
          <w:sz w:val="20"/>
          <w:szCs w:val="20"/>
          <w:color w:val="auto"/>
        </w:rPr>
      </w:pPr>
      <w:r>
        <w:rPr>
          <w:rFonts w:ascii="Arial" w:cs="Arial" w:eastAsia="Arial" w:hAnsi="Arial"/>
          <w:sz w:val="15"/>
          <w:szCs w:val="15"/>
          <w:color w:val="auto"/>
        </w:rPr>
        <w:t>Loss on extinguishment of debt was $33,062 for the year ended December 31, 2020 as a result of the extinguishment of the Credit Agreement, Senior Secured Bonds and Senior Unsecured Bonds in September 2020, as well as the loss recognized upon the extinguishment of the Term Loan Facility in January 2020. Loss on extinguishment of debt for the year ended December 31, 2019 was $0 as we did not have any such transactions during the year.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73" w:name="page74"/>
    <w:bookmarkEnd w:id="7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 expense</w:t>
      </w:r>
    </w:p>
    <w:p>
      <w:pPr>
        <w:spacing w:after="0" w:line="200" w:lineRule="exact"/>
        <w:rPr>
          <w:sz w:val="20"/>
          <w:szCs w:val="20"/>
          <w:color w:val="auto"/>
        </w:rPr>
      </w:pPr>
    </w:p>
    <w:p>
      <w:pPr>
        <w:ind w:right="60" w:firstLine="263"/>
        <w:spacing w:after="0" w:line="248" w:lineRule="auto"/>
        <w:rPr>
          <w:sz w:val="20"/>
          <w:szCs w:val="20"/>
          <w:color w:val="auto"/>
        </w:rPr>
      </w:pPr>
      <w:r>
        <w:rPr>
          <w:rFonts w:ascii="Arial" w:cs="Arial" w:eastAsia="Arial" w:hAnsi="Arial"/>
          <w:sz w:val="15"/>
          <w:szCs w:val="15"/>
          <w:color w:val="auto"/>
        </w:rPr>
        <w:t>Tax expense for the year ended December 31, 2020 was $4,817, which increased $4,378 from a tax expense of $439 for the year ended December 31, 2019. During 2020, the CHP Plant began operations and we placed our assets at the San Juan Facility in service. Certain of our Jamaican operations had increased earnings for the year ended December 31, 2020 without any historical net operating losses to offset additional tax expense. We have recognized tax expense in Puerto Rico at a preferential tax rate due to our tax decree resulting in an effective tax rate lower than the U.S. federal income tax rate. We continue to have valuation allowances in many of our foreign jurisdictions and tax expense for earnings generated in many foreign jurisdictions has been limited.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Factors Impacting Comparability of Our Financial Results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historical results of operations and cash flows are not indicative of results of operations and cash flows to be expected in the future, principally for the following reasons:</w:t>
      </w:r>
    </w:p>
    <w:p>
      <w:pPr>
        <w:spacing w:after="0" w:line="212" w:lineRule="exact"/>
        <w:rPr>
          <w:sz w:val="20"/>
          <w:szCs w:val="20"/>
          <w:color w:val="auto"/>
        </w:rPr>
      </w:pPr>
    </w:p>
    <w:p>
      <w:pPr>
        <w:ind w:left="540" w:hanging="269"/>
        <w:spacing w:after="0" w:line="247" w:lineRule="auto"/>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historical financial results do not include significant projects that have recently been completed or are near completion. </w:t>
      </w:r>
      <w:r>
        <w:rPr>
          <w:rFonts w:ascii="Arial" w:cs="Arial" w:eastAsia="Arial" w:hAnsi="Arial"/>
          <w:sz w:val="15"/>
          <w:szCs w:val="15"/>
          <w:color w:val="auto"/>
        </w:rPr>
        <w:t>Our results of operations for the year ended December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31, 2020 include our Montego Bay Facility, Miami Facility, sales from our Old Harbour Facility to SJPC, and certain industrial end-users. The CHP Plant commenced commercial operations during March 2020, and our results now include revenue and results operations from sales of gas, power and steam from the CHP Plant. We also completed the development of our San Juan Facility in third quarter of 2020, and in the second quarter of 2020, we began to deliver natural gas to the San Juan Power Plant for PREPA to use in the commissioning of their assets. Our current results do not include revenue and operating results from other projects under development including the La Paz Facility, the Puerto Sandino Facility, or the Ireland Facility.</w:t>
      </w:r>
    </w:p>
    <w:p>
      <w:pPr>
        <w:spacing w:after="0" w:line="184" w:lineRule="exact"/>
        <w:rPr>
          <w:rFonts w:ascii="Arial" w:cs="Arial" w:eastAsia="Arial" w:hAnsi="Arial"/>
          <w:sz w:val="15"/>
          <w:szCs w:val="15"/>
          <w:color w:val="auto"/>
        </w:rPr>
      </w:pPr>
    </w:p>
    <w:p>
      <w:pPr>
        <w:ind w:left="540" w:hanging="269"/>
        <w:spacing w:after="0" w:line="267"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historical financial results do not reflect changes to our current long-term LNG supply agreement as well as new LNG supply agreements that will lower the cost of our LNG supply through 2030. </w:t>
      </w:r>
      <w:r>
        <w:rPr>
          <w:rFonts w:ascii="Arial" w:cs="Arial" w:eastAsia="Arial" w:hAnsi="Arial"/>
          <w:sz w:val="14"/>
          <w:szCs w:val="14"/>
          <w:color w:val="auto"/>
        </w:rPr>
        <w:t>We currently purchase the majority of our supply of LNG from third parties, sourcing approximately 97% of our LNG volumes from third parties for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December 31, 2020. In June 2020, we entered into an agreement to terminate our obligation to purchase LNG from our supplier for the remainder of 2020 in exchange for a payment of $105,000, and for the remainder of 2020, we purchased all volumes needed for our operations on the open market, significantly reducing our LNG supply costs from $0.73 per gallon ($8.81 per MMBtu) for the year ended December 31, 2019 to $0.46 per gallon ($5.58 per MMBtu) for the year ended December 31, 2020. During 2020, we also entered into four LNG supply agreements for the purchase of approximately 415 TBtu of LNG at a price indexed to Henry Hub from 2021 and 2030, resulting in expected pricing below the pricing in our previous long-term supply agreement.</w:t>
      </w:r>
    </w:p>
    <w:p>
      <w:pPr>
        <w:spacing w:after="0" w:line="171" w:lineRule="exact"/>
        <w:rPr>
          <w:rFonts w:ascii="Arial" w:cs="Arial" w:eastAsia="Arial" w:hAnsi="Arial"/>
          <w:sz w:val="14"/>
          <w:szCs w:val="14"/>
          <w:color w:val="auto"/>
        </w:rPr>
      </w:pPr>
    </w:p>
    <w:p>
      <w:pPr>
        <w:ind w:left="540" w:right="60" w:hanging="269"/>
        <w:spacing w:after="0" w:line="247" w:lineRule="auto"/>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historical financial results do not include the anticipated acquisitions of Hygo and GMLP as well as transaction and integration costs expected to be incurred associated with these acquisitions. </w:t>
      </w:r>
      <w:r>
        <w:rPr>
          <w:rFonts w:ascii="Arial" w:cs="Arial" w:eastAsia="Arial" w:hAnsi="Arial"/>
          <w:sz w:val="15"/>
          <w:szCs w:val="15"/>
          <w:color w:val="auto"/>
        </w:rPr>
        <w:t>Upon completion of the acquisition of Hygo, we expect to acquire the Sergipe Terminal, a 50% interest in the Sergipe Power Plant, as well as the Barcarena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Terminal and the Santa Catarina Terminal that are currently in development. In addition, we expect to acquire one FSRU in service at the Sergipe Terminal and two operating LNG carriers which may be converted into FSRUs. Upon completion of the acquisition of GMLP, we expect to acquire a fleet of six FSRUs, four LNG carriers and an interest in a floating liquefaction vessel. The results of operations of Hygo and GMLP will begin to be included in our financial statements upon the closing of the acquisitions, expected in the first half of 2021. Our results of operations in 2021 will also include transaction costs associated with these acquisitions as well as costs incurred to integrate the operations of Hygo and GMLP into our business.</w:t>
      </w:r>
    </w:p>
    <w:p>
      <w:pPr>
        <w:spacing w:after="0" w:line="182" w:lineRule="exact"/>
        <w:rPr>
          <w:rFonts w:ascii="Arial" w:cs="Arial" w:eastAsia="Arial" w:hAnsi="Arial"/>
          <w:sz w:val="15"/>
          <w:szCs w:val="15"/>
          <w:color w:val="auto"/>
        </w:rPr>
      </w:pPr>
    </w:p>
    <w:p>
      <w:pPr>
        <w:ind w:left="540" w:right="100" w:hanging="269"/>
        <w:spacing w:after="0" w:line="248" w:lineRule="auto"/>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We no longer qualify as an emerging growth company or “EGC”. </w:t>
      </w:r>
      <w:r>
        <w:rPr>
          <w:rFonts w:ascii="Arial" w:cs="Arial" w:eastAsia="Arial" w:hAnsi="Arial"/>
          <w:sz w:val="15"/>
          <w:szCs w:val="15"/>
          <w:color w:val="auto"/>
        </w:rPr>
        <w:t>As an EGC we were able to take advantage of an exemption from providing an auditor’s attestation on our system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internal controls over financial reporting pursuant to Section 404(b) of the Sarbanes Oxley Act. Following the issuance of Senior Secured Notes in September 2020, we ceased to qualify as an EGC and can no longer take advantage of this exemption. We are also now required to accelerate the adoption of certain new or revised accounting pronouncements. Starting in 2020, we will incur additional costs associated with providing an auditor’s attestation report, adoption of accounting standards on an accelerated timeline, as well as additional audit costs resulting from PCAOB requirements</w:t>
      </w:r>
      <w:r>
        <w:rPr>
          <w:rFonts w:ascii="Arial" w:cs="Arial" w:eastAsia="Arial" w:hAnsi="Arial"/>
          <w:sz w:val="15"/>
          <w:szCs w:val="15"/>
          <w:b w:val="1"/>
          <w:bCs w:val="1"/>
          <w:i w:val="1"/>
          <w:i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4" w:lineRule="exact"/>
        <w:rPr>
          <w:sz w:val="20"/>
          <w:szCs w:val="20"/>
          <w:color w:val="auto"/>
        </w:rPr>
      </w:pPr>
    </w:p>
    <w:p>
      <w:pPr>
        <w:ind w:right="100" w:firstLine="263"/>
        <w:spacing w:after="0" w:line="250" w:lineRule="auto"/>
        <w:rPr>
          <w:sz w:val="20"/>
          <w:szCs w:val="20"/>
          <w:color w:val="auto"/>
        </w:rPr>
      </w:pPr>
      <w:r>
        <w:rPr>
          <w:rFonts w:ascii="Arial" w:cs="Arial" w:eastAsia="Arial" w:hAnsi="Arial"/>
          <w:sz w:val="15"/>
          <w:szCs w:val="15"/>
          <w:color w:val="auto"/>
        </w:rPr>
        <w:t>We believe we will have sufficient liquidity from proceeds from recent borrowings, access to additional capital sources and cash flow from operations to fund our capital expenditures and working capital needs for the next 12 months. We expect to fund our current operations and continued development of additional facilities through cash on hand and cash generated from operations. We may also elect to generate additional liquidity through future debt or equity issuances to fund developments and transactions. We have historically funded our developments through proceeds from our IPO and debt and equity financing as follows: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4" w:name="page75"/>
    <w:bookmarkEnd w:id="7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ind w:left="540" w:right="300" w:hanging="269"/>
        <w:spacing w:after="0" w:line="263" w:lineRule="auto"/>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Our IPO was completed on February 4, 2019, and we raised net proceeds of $268,010, inclusive of additional net proceeds raised from the exercise of the underwriter’s option to purchase additional shares and after deducting underwriting discounts and commissions and transaction costs.</w:t>
      </w:r>
    </w:p>
    <w:p>
      <w:pPr>
        <w:spacing w:after="0" w:line="170" w:lineRule="exact"/>
        <w:rPr>
          <w:rFonts w:ascii="Arial" w:cs="Arial" w:eastAsia="Arial" w:hAnsi="Arial"/>
          <w:sz w:val="15"/>
          <w:szCs w:val="15"/>
          <w:color w:val="auto"/>
        </w:rPr>
      </w:pPr>
    </w:p>
    <w:p>
      <w:pPr>
        <w:ind w:left="540" w:hanging="269"/>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March 2019, we drew the remaining availability on our Term Loan Facility and had $495,000 of outstanding principal as of December 31, 2019.</w:t>
      </w:r>
    </w:p>
    <w:p>
      <w:pPr>
        <w:spacing w:after="0" w:line="200" w:lineRule="exact"/>
        <w:rPr>
          <w:rFonts w:ascii="Arial" w:cs="Arial" w:eastAsia="Arial" w:hAnsi="Arial"/>
          <w:sz w:val="15"/>
          <w:szCs w:val="15"/>
          <w:color w:val="auto"/>
        </w:rPr>
      </w:pPr>
    </w:p>
    <w:p>
      <w:pPr>
        <w:ind w:left="540" w:right="300" w:hanging="269"/>
        <w:spacing w:after="0" w:line="263" w:lineRule="auto"/>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September 2019, we issued approximately $117,000 in Senior Secured Bonds and Senior Unsecured Bonds, and in December 2019, we issued an additional $63,000 in Senior Secured Bonds, which was fully funded by January 2020.</w:t>
      </w:r>
    </w:p>
    <w:p>
      <w:pPr>
        <w:spacing w:after="0" w:line="170" w:lineRule="exact"/>
        <w:rPr>
          <w:rFonts w:ascii="Arial" w:cs="Arial" w:eastAsia="Arial" w:hAnsi="Arial"/>
          <w:sz w:val="15"/>
          <w:szCs w:val="15"/>
          <w:color w:val="auto"/>
        </w:rPr>
      </w:pPr>
    </w:p>
    <w:p>
      <w:pPr>
        <w:ind w:left="540" w:hanging="269"/>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January 2020, we borrowed $800,000 under the Credit Agreement and repaid the Term Loan Facility in full.</w:t>
      </w:r>
    </w:p>
    <w:p>
      <w:pPr>
        <w:spacing w:after="0" w:line="200" w:lineRule="exact"/>
        <w:rPr>
          <w:rFonts w:ascii="Arial" w:cs="Arial" w:eastAsia="Arial" w:hAnsi="Arial"/>
          <w:sz w:val="15"/>
          <w:szCs w:val="15"/>
          <w:color w:val="auto"/>
        </w:rPr>
      </w:pPr>
    </w:p>
    <w:p>
      <w:pPr>
        <w:ind w:left="540" w:right="80" w:hanging="269"/>
        <w:spacing w:after="0" w:line="263" w:lineRule="auto"/>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September 2020, we issued $1,000,000 of Senior Secured Notes and repaid in full amounts due on the Credit Agreement, Senior Secured Bonds and Senior Unsecured Bonds. No principal payments are due on the Senior Secured Notes until maturity in 2025.</w:t>
      </w:r>
    </w:p>
    <w:p>
      <w:pPr>
        <w:spacing w:after="0" w:line="170" w:lineRule="exact"/>
        <w:rPr>
          <w:rFonts w:ascii="Arial" w:cs="Arial" w:eastAsia="Arial" w:hAnsi="Arial"/>
          <w:sz w:val="15"/>
          <w:szCs w:val="15"/>
          <w:color w:val="auto"/>
        </w:rPr>
      </w:pPr>
    </w:p>
    <w:p>
      <w:pPr>
        <w:ind w:left="540" w:right="100" w:hanging="269"/>
        <w:spacing w:after="0" w:line="263" w:lineRule="auto"/>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December 2020, we received proceeds of $263,500 from the issuance of $250,000 of additional notes on the same terms as the Senior Secured Notes (subsequent to this issuance, these additional notes are included in the definition of Senior Secured Notes herein).</w:t>
      </w:r>
    </w:p>
    <w:p>
      <w:pPr>
        <w:spacing w:after="0" w:line="170" w:lineRule="exact"/>
        <w:rPr>
          <w:rFonts w:ascii="Arial" w:cs="Arial" w:eastAsia="Arial" w:hAnsi="Arial"/>
          <w:sz w:val="15"/>
          <w:szCs w:val="15"/>
          <w:color w:val="auto"/>
        </w:rPr>
      </w:pPr>
    </w:p>
    <w:p>
      <w:pPr>
        <w:ind w:left="540" w:hanging="269"/>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December 2020, we issued 5,882,352 shares of Class A common stock and received proceeds of $290,771, net of $1,221 in issuance costs.</w:t>
      </w:r>
    </w:p>
    <w:p>
      <w:pPr>
        <w:spacing w:after="0" w:line="200" w:lineRule="exact"/>
        <w:rPr>
          <w:sz w:val="20"/>
          <w:szCs w:val="20"/>
          <w:color w:val="auto"/>
        </w:rPr>
      </w:pPr>
    </w:p>
    <w:p>
      <w:pPr>
        <w:ind w:firstLine="263"/>
        <w:spacing w:after="0" w:line="269" w:lineRule="auto"/>
        <w:rPr>
          <w:sz w:val="20"/>
          <w:szCs w:val="20"/>
          <w:color w:val="auto"/>
        </w:rPr>
      </w:pPr>
      <w:r>
        <w:rPr>
          <w:rFonts w:ascii="Arial" w:cs="Arial" w:eastAsia="Arial" w:hAnsi="Arial"/>
          <w:sz w:val="14"/>
          <w:szCs w:val="14"/>
          <w:color w:val="auto"/>
        </w:rPr>
        <w:t>We have assumed total expenditures for all completed and existing projects to be approximately $1,181 million, with approximately $789 million having already been spent through December 31, 2020. This estimate represents the expenditures necessary to complete the La Paz Facility and the Puerto Sandino Facility, expected expenditures to serve new industrial end-users and other planned capital expenditures. We expect to be able to fund all such committed projects with a combination of cash on hand and cash flows from operations. Through December 31, 2020, we have spent approximately $159 million to develop the Pennsylvania Facility. Approximately $20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$139 million, has been capitalized.</w:t>
      </w:r>
    </w:p>
    <w:p>
      <w:pPr>
        <w:spacing w:after="0" w:line="167" w:lineRule="exact"/>
        <w:rPr>
          <w:sz w:val="20"/>
          <w:szCs w:val="20"/>
          <w:color w:val="auto"/>
        </w:rPr>
      </w:pPr>
    </w:p>
    <w:p>
      <w:pPr>
        <w:ind w:right="20" w:firstLine="263"/>
        <w:spacing w:after="0" w:line="269" w:lineRule="auto"/>
        <w:rPr>
          <w:sz w:val="20"/>
          <w:szCs w:val="20"/>
          <w:color w:val="auto"/>
        </w:rPr>
      </w:pPr>
      <w:r>
        <w:rPr>
          <w:rFonts w:ascii="Arial" w:cs="Arial" w:eastAsia="Arial" w:hAnsi="Arial"/>
          <w:sz w:val="14"/>
          <w:szCs w:val="14"/>
          <w:color w:val="auto"/>
        </w:rPr>
        <w:t>We have obtained debt financing commitments from Morgan Stanley Senior Funding, Inc. and Goldman Sachs Bank USA for loans in an aggregate principal amount of $1.7 billion, consisting of a $1.5 billion senior secured bridge facility (the “Bridge Loan”) and a $200 million senior secured revolving facility to pay, subject to the terms and conditions set forth therein, a portion of the cash purchase price in connection with the GMLP Merger, to refinance certain debt of GMLP and its subsidiaries, to pay related fees and expenses and for general corporate purposes. If NFE utilizes the Bridge Loan, the facility will bear a fixed interest rate of 6.25%, subject to a step-up of 50 basis points every three months. The Bridge Loan has a one-year term, is pre-payable without penalty and will automatically be converted into a seven-year term loan if it is not repaid in full at maturity. The senior secured revolving facility has a term of approximately five years and bears interest based on the three-month LIBOR rate plus certain margins.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00"/>
          </w:cols>
          <w:pgMar w:left="300" w:top="126" w:right="399" w:bottom="1440" w:gutter="0" w:footer="0" w:header="0"/>
        </w:sectPr>
      </w:pPr>
    </w:p>
    <w:bookmarkStart w:id="75" w:name="page76"/>
    <w:bookmarkEnd w:id="7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changes to our cash flows for the years ended December 31, 2020 and 2019,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7340" w:type="dxa"/>
            <w:vAlign w:val="bottom"/>
          </w:tcPr>
          <w:p>
            <w:pPr>
              <w:spacing w:after="0"/>
              <w:rPr>
                <w:sz w:val="20"/>
                <w:szCs w:val="20"/>
                <w:color w:val="auto"/>
              </w:rPr>
            </w:pPr>
            <w:r>
              <w:rPr>
                <w:rFonts w:ascii="Arial" w:cs="Arial" w:eastAsia="Arial" w:hAnsi="Arial"/>
                <w:sz w:val="15"/>
                <w:szCs w:val="15"/>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r>
      <w:tr>
        <w:trPr>
          <w:trHeight w:val="175"/>
        </w:trPr>
        <w:tc>
          <w:tcPr>
            <w:tcW w:w="7340" w:type="dxa"/>
            <w:vAlign w:val="bottom"/>
          </w:tcPr>
          <w:p>
            <w:pPr>
              <w:spacing w:after="0"/>
              <w:rPr>
                <w:sz w:val="20"/>
                <w:szCs w:val="20"/>
                <w:color w:val="auto"/>
              </w:rPr>
            </w:pPr>
            <w:r>
              <w:rPr>
                <w:rFonts w:ascii="Arial" w:cs="Arial" w:eastAsia="Arial" w:hAnsi="Arial"/>
                <w:sz w:val="15"/>
                <w:szCs w:val="15"/>
                <w:color w:val="auto"/>
              </w:rPr>
              <w:t>Cash flows from:</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(125,566)</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(234,261)</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108,695</w:t>
            </w:r>
          </w:p>
        </w:tc>
        <w:tc>
          <w:tcPr>
            <w:tcW w:w="100" w:type="dxa"/>
            <w:vAlign w:val="bottom"/>
            <w:shd w:val="clear" w:color="auto" w:fill="CCEEFF"/>
          </w:tcPr>
          <w:p>
            <w:pPr>
              <w:spacing w:after="0"/>
              <w:rPr>
                <w:sz w:val="15"/>
                <w:szCs w:val="15"/>
                <w:color w:val="auto"/>
              </w:rPr>
            </w:pPr>
          </w:p>
        </w:tc>
      </w:tr>
      <w:tr>
        <w:trPr>
          <w:trHeight w:val="175"/>
        </w:trPr>
        <w:tc>
          <w:tcPr>
            <w:tcW w:w="7340" w:type="dxa"/>
            <w:vAlign w:val="bottom"/>
          </w:tcPr>
          <w:p>
            <w:pPr>
              <w:spacing w:after="0"/>
              <w:rPr>
                <w:sz w:val="20"/>
                <w:szCs w:val="20"/>
                <w:color w:val="auto"/>
              </w:rPr>
            </w:pPr>
            <w:r>
              <w:rPr>
                <w:rFonts w:ascii="Arial" w:cs="Arial" w:eastAsia="Arial" w:hAnsi="Arial"/>
                <w:sz w:val="15"/>
                <w:szCs w:val="15"/>
                <w:color w:val="auto"/>
              </w:rPr>
              <w:t>Investing activities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(157,631)</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(376,164)</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218,533</w:t>
            </w:r>
          </w:p>
        </w:tc>
        <w:tc>
          <w:tcPr>
            <w:tcW w:w="100" w:type="dxa"/>
            <w:vAlign w:val="bottom"/>
          </w:tcPr>
          <w:p>
            <w:pPr>
              <w:spacing w:after="0"/>
              <w:rPr>
                <w:sz w:val="15"/>
                <w:szCs w:val="15"/>
                <w:color w:val="auto"/>
              </w:rPr>
            </w:pPr>
          </w:p>
        </w:tc>
      </w:tr>
      <w:tr>
        <w:trPr>
          <w:trHeight w:val="17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819,498</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602,607</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216,891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7340" w:type="dxa"/>
            <w:vAlign w:val="bottom"/>
          </w:tcPr>
          <w:p>
            <w:pPr>
              <w:spacing w:after="0"/>
              <w:rPr>
                <w:sz w:val="20"/>
                <w:szCs w:val="20"/>
                <w:color w:val="auto"/>
              </w:rPr>
            </w:pPr>
            <w:r>
              <w:rPr>
                <w:rFonts w:ascii="Arial" w:cs="Arial" w:eastAsia="Arial" w:hAnsi="Arial"/>
                <w:sz w:val="15"/>
                <w:szCs w:val="15"/>
                <w:color w:val="auto"/>
              </w:rPr>
              <w:t>Net increase (decrease ) in cash, cash equivalents, and restricted cash</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536,301</w:t>
            </w:r>
          </w:p>
        </w:tc>
        <w:tc>
          <w:tcPr>
            <w:tcW w:w="240" w:type="dxa"/>
            <w:vAlign w:val="bottom"/>
          </w:tcPr>
          <w:p>
            <w:pPr>
              <w:spacing w:after="0"/>
              <w:rPr>
                <w:sz w:val="15"/>
                <w:szCs w:val="15"/>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(7,818)</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544,119</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(used in) operating activities</w:t>
      </w:r>
    </w:p>
    <w:p>
      <w:pPr>
        <w:spacing w:after="0" w:line="200" w:lineRule="exact"/>
        <w:rPr>
          <w:sz w:val="20"/>
          <w:szCs w:val="20"/>
          <w:color w:val="auto"/>
        </w:rPr>
      </w:pPr>
    </w:p>
    <w:p>
      <w:pPr>
        <w:ind w:right="40" w:firstLine="263"/>
        <w:spacing w:after="0" w:line="248" w:lineRule="auto"/>
        <w:rPr>
          <w:sz w:val="20"/>
          <w:szCs w:val="20"/>
          <w:color w:val="auto"/>
        </w:rPr>
      </w:pPr>
      <w:r>
        <w:rPr>
          <w:rFonts w:ascii="Arial" w:cs="Arial" w:eastAsia="Arial" w:hAnsi="Arial"/>
          <w:sz w:val="15"/>
          <w:szCs w:val="15"/>
          <w:color w:val="auto"/>
        </w:rPr>
        <w:t>Our cash flow used in operating activities was $125,566 for the year ended December 31, 2020, which decreased by $108,695 from $234,261 for the year ended December 31, 2019. The reduction in cash flow used in operating activities for the year ended December 31, 2020 was due to more favorable changes in working capital accounts. Fluctuations in inventory balances led to an increase in operating cash flows of $23,230 for the year ended December 31, 2020 compared to a $50,345 decrease in operating cash flows for the year ended December 31, 2019. The impact of increasing accounts payable and accrued liabilities on cash flows from operations was $55,514 for the year ended December 31, 2020 compared to $3,036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(used in) investing activities</w:t>
      </w:r>
    </w:p>
    <w:p>
      <w:pPr>
        <w:spacing w:after="0" w:line="200" w:lineRule="exact"/>
        <w:rPr>
          <w:sz w:val="20"/>
          <w:szCs w:val="20"/>
          <w:color w:val="auto"/>
        </w:rPr>
      </w:pPr>
    </w:p>
    <w:p>
      <w:pPr>
        <w:ind w:right="100" w:firstLine="263"/>
        <w:spacing w:after="0" w:line="253" w:lineRule="auto"/>
        <w:rPr>
          <w:sz w:val="20"/>
          <w:szCs w:val="20"/>
          <w:color w:val="auto"/>
        </w:rPr>
      </w:pPr>
      <w:r>
        <w:rPr>
          <w:rFonts w:ascii="Arial" w:cs="Arial" w:eastAsia="Arial" w:hAnsi="Arial"/>
          <w:sz w:val="15"/>
          <w:szCs w:val="15"/>
          <w:color w:val="auto"/>
        </w:rPr>
        <w:t>Our cash flow used in investing activities was $157,631 for the year ended December 31, 2020, which decreased by $218,533 from $376,164 for the year ended December 31, 2019. Cash outflows for investing activities during the year ended December 31, 2020 were primarily used to complete the CHP Plant and the San Juan Facility, as well as construction of the La Paz Facility.</w:t>
      </w:r>
    </w:p>
    <w:p>
      <w:pPr>
        <w:spacing w:after="0" w:line="178" w:lineRule="exact"/>
        <w:rPr>
          <w:sz w:val="20"/>
          <w:szCs w:val="20"/>
          <w:color w:val="auto"/>
        </w:rPr>
      </w:pPr>
    </w:p>
    <w:p>
      <w:pPr>
        <w:ind w:right="100" w:firstLine="263"/>
        <w:spacing w:after="0" w:line="263" w:lineRule="auto"/>
        <w:rPr>
          <w:sz w:val="20"/>
          <w:szCs w:val="20"/>
          <w:color w:val="auto"/>
        </w:rPr>
      </w:pPr>
      <w:r>
        <w:rPr>
          <w:rFonts w:ascii="Arial" w:cs="Arial" w:eastAsia="Arial" w:hAnsi="Arial"/>
          <w:sz w:val="15"/>
          <w:szCs w:val="15"/>
          <w:color w:val="auto"/>
        </w:rPr>
        <w:t>Cash used in investing activities during the year ended December 31, 2019 significant capital expenditures for development of our Old Harbour Facility, CHP Plant, San Juan Facility and Pennsylvania Facility, as well as payments for significant outstanding amounts to our suppliers that were accrued as of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200" w:lineRule="exact"/>
        <w:rPr>
          <w:sz w:val="20"/>
          <w:szCs w:val="20"/>
          <w:color w:val="auto"/>
        </w:rPr>
      </w:pPr>
    </w:p>
    <w:p>
      <w:pPr>
        <w:ind w:firstLine="263"/>
        <w:spacing w:after="0" w:line="247" w:lineRule="auto"/>
        <w:rPr>
          <w:sz w:val="20"/>
          <w:szCs w:val="20"/>
          <w:color w:val="auto"/>
        </w:rPr>
      </w:pPr>
      <w:r>
        <w:rPr>
          <w:rFonts w:ascii="Arial" w:cs="Arial" w:eastAsia="Arial" w:hAnsi="Arial"/>
          <w:sz w:val="15"/>
          <w:szCs w:val="15"/>
          <w:color w:val="auto"/>
        </w:rPr>
        <w:t>Our cash flow provided by financing activities was $819,498 for the year ended December 31, 2020, which increased by $216,891 from $602,607 for the year ended December 31, 2019. Cash provided by financing activities during the year ended December 31, 2020 was due to proceeds received from the borrowings under the Senior Secured Notes of $1,250,000, the Credit Agreement of $800,000 and Senior Secured Bonds of $52,144. A portion of these proceeds from the Senior Secured Notes were used to fund the repayment of the Credit Agreement of $800,000, the Senior Secured Bonds and Senior Unsecured Bonds of $183,600 and the Term Loan Facility of $506,402. The proceeds received were further offset by transaction costs and other fees incurred to obtain the borrowings. In 2020, we also received proceeds from the issuance of Class A common stock of $291,922, offset by stock issuance costs of $1,107. Cash dividends of $33,742 were paid, partially offsetting financing inflows.</w:t>
      </w:r>
    </w:p>
    <w:p>
      <w:pPr>
        <w:spacing w:after="0" w:line="185" w:lineRule="exact"/>
        <w:rPr>
          <w:sz w:val="20"/>
          <w:szCs w:val="20"/>
          <w:color w:val="auto"/>
        </w:rPr>
      </w:pPr>
    </w:p>
    <w:p>
      <w:pPr>
        <w:ind w:right="260" w:firstLine="263"/>
        <w:spacing w:after="0" w:line="340" w:lineRule="auto"/>
        <w:rPr>
          <w:sz w:val="20"/>
          <w:szCs w:val="20"/>
          <w:color w:val="auto"/>
        </w:rPr>
      </w:pPr>
      <w:r>
        <w:rPr>
          <w:rFonts w:ascii="Arial" w:cs="Arial" w:eastAsia="Arial" w:hAnsi="Arial"/>
          <w:sz w:val="13"/>
          <w:szCs w:val="13"/>
          <w:color w:val="auto"/>
        </w:rPr>
        <w:t>Cash flow provided by financing activities during the year ended December 31, 2019 were primarily consisted of the issuance of Senior Secured Bonds and Senior Unsecured Bonds of $117,000 in September 2019, additional borrowings under the Term Loan Facility of $220,000 in March 2019 and proceeds received from our IPO of $274,948 in February 2019.</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Senior Secured Notes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On September 2, 2020, the Company issued $1,000,000 of 6.75% senior secured notes in a private offering pursuant to Rule 144A under the Securities Act (the “Senior Secured Notes”).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Interest is payable semi-annually in arrears on March 15 and September 15 of each year, commencing on March 15, 2021; no principal payments are due until maturity on September 15, 2025.</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The Company may redeem the Senior Secured Notes, in whole or in part, at any time prior to maturity, subject to certain make-whole premiums.</w:t>
      </w:r>
    </w:p>
    <w:p>
      <w:pPr>
        <w:spacing w:after="0" w:line="190" w:lineRule="exact"/>
        <w:rPr>
          <w:sz w:val="20"/>
          <w:szCs w:val="20"/>
          <w:color w:val="auto"/>
        </w:rPr>
      </w:pPr>
    </w:p>
    <w:p>
      <w:pPr>
        <w:ind w:right="100" w:firstLine="263"/>
        <w:spacing w:after="0" w:line="253" w:lineRule="auto"/>
        <w:rPr>
          <w:sz w:val="20"/>
          <w:szCs w:val="20"/>
          <w:color w:val="auto"/>
        </w:rPr>
      </w:pPr>
      <w:r>
        <w:rPr>
          <w:rFonts w:ascii="Arial" w:cs="Arial" w:eastAsia="Arial" w:hAnsi="Arial"/>
          <w:sz w:val="15"/>
          <w:szCs w:val="15"/>
          <w:color w:val="auto"/>
        </w:rPr>
        <w:t>The Senior Secured Notes are guaranteed, jointly and severally, by certain of our subsidiaries, in addition to other collateral. The Senior Secured Notes may limit our ability to incur additional indebtedness or issue certain preferred shares, make certain payments, and sell or transfer certain assets subject to certain financial covenants and qualifications. The Senior Secured Notes also provide for customary events of default and prepayment provisions.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6" w:name="page77"/>
    <w:bookmarkEnd w:id="7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260" w:firstLine="263"/>
        <w:spacing w:after="0" w:line="250" w:lineRule="auto"/>
        <w:rPr>
          <w:sz w:val="20"/>
          <w:szCs w:val="20"/>
          <w:color w:val="auto"/>
        </w:rPr>
      </w:pPr>
      <w:r>
        <w:rPr>
          <w:rFonts w:ascii="Arial" w:cs="Arial" w:eastAsia="Arial" w:hAnsi="Arial"/>
          <w:sz w:val="15"/>
          <w:szCs w:val="15"/>
          <w:color w:val="auto"/>
        </w:rPr>
        <w:t>We used a portion of the net cash proceeds received from the Senior Secured Notes to repay in full the outstanding principal and interest under the Credit Agreement, including related costs and expenses. We also used the remaining net proceeds, together with cash on hand, to redeem in full the outstanding Senior Secured Bonds and Senior Unsecured Bonds, including related premiums, costs and expenses, terminating the Senior Secured Bonds and Senior Unsecured Bonds. The redemption of the Senior Secured Bonds and Senior Unsecured Bonds was completed on September 21, 2020.</w:t>
      </w:r>
    </w:p>
    <w:p>
      <w:pPr>
        <w:spacing w:after="0" w:line="180" w:lineRule="exact"/>
        <w:rPr>
          <w:sz w:val="20"/>
          <w:szCs w:val="20"/>
          <w:color w:val="auto"/>
        </w:rPr>
      </w:pPr>
    </w:p>
    <w:p>
      <w:pPr>
        <w:ind w:firstLine="263"/>
        <w:spacing w:after="0" w:line="248" w:lineRule="auto"/>
        <w:rPr>
          <w:sz w:val="20"/>
          <w:szCs w:val="20"/>
          <w:color w:val="auto"/>
        </w:rPr>
      </w:pPr>
      <w:r>
        <w:rPr>
          <w:rFonts w:ascii="Arial" w:cs="Arial" w:eastAsia="Arial" w:hAnsi="Arial"/>
          <w:sz w:val="15"/>
          <w:szCs w:val="15"/>
          <w:color w:val="auto"/>
        </w:rPr>
        <w:t>In connection with the issuance of the Senior Secured Notes, we incurred $17,937 in origination, structuring and other fees. Issuance costs of 13,909 were deferred as a reduction of the principal balance of the Senior Secured Notes on the consolidated balance sheets; unamortized deferred financing costs related to lenders in the Credit Agreement that participated in the Senior Secured Notes were $6,501 and such unamortized costs were also included as a reduction of the principal balance of the Senior Secured Notes and will be amortized over the remaining term of the Senior Secured Notes. As a portion of the repayment of the Credit Agreement was a modification, we recorded $4,028 of third-party fees in Selling, general and administrative in the consolidated statements of operations and comprehensive loss.</w:t>
      </w:r>
    </w:p>
    <w:p>
      <w:pPr>
        <w:spacing w:after="0" w:line="183" w:lineRule="exact"/>
        <w:rPr>
          <w:sz w:val="20"/>
          <w:szCs w:val="20"/>
          <w:color w:val="auto"/>
        </w:rPr>
      </w:pPr>
    </w:p>
    <w:p>
      <w:pPr>
        <w:jc w:val="both"/>
        <w:ind w:right="100" w:firstLine="263"/>
        <w:spacing w:after="0" w:line="280" w:lineRule="auto"/>
        <w:rPr>
          <w:sz w:val="20"/>
          <w:szCs w:val="20"/>
          <w:color w:val="auto"/>
        </w:rPr>
      </w:pPr>
      <w:r>
        <w:rPr>
          <w:rFonts w:ascii="Arial" w:cs="Arial" w:eastAsia="Arial" w:hAnsi="Arial"/>
          <w:sz w:val="14"/>
          <w:szCs w:val="14"/>
          <w:color w:val="auto"/>
        </w:rPr>
        <w:t>On December 17, 2020, the Company issued $250,000 of additional notes on the same terms as the Senior Secured Notes in a private offering pursuant to Rule 144A under the Securities Act (subsequent to this issuance, these additional notes are included in the definition of Senior Secured Notes herein). Proceeds received included a premium of $13,125, which was offset by additional financing costs incurred of $4,188. As of December 31, 2020, total remaining unamortized deferred financing costs were $10,439.</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Credit Agreement</w:t>
      </w:r>
    </w:p>
    <w:p>
      <w:pPr>
        <w:spacing w:after="0" w:line="200" w:lineRule="exact"/>
        <w:rPr>
          <w:sz w:val="20"/>
          <w:szCs w:val="20"/>
          <w:color w:val="auto"/>
        </w:rPr>
      </w:pPr>
    </w:p>
    <w:p>
      <w:pPr>
        <w:ind w:right="20" w:firstLine="263"/>
        <w:spacing w:after="0" w:line="290" w:lineRule="auto"/>
        <w:rPr>
          <w:sz w:val="20"/>
          <w:szCs w:val="20"/>
          <w:color w:val="auto"/>
        </w:rPr>
      </w:pPr>
      <w:r>
        <w:rPr>
          <w:rFonts w:ascii="Arial" w:cs="Arial" w:eastAsia="Arial" w:hAnsi="Arial"/>
          <w:sz w:val="13"/>
          <w:szCs w:val="13"/>
          <w:color w:val="auto"/>
        </w:rPr>
        <w:t>On January 10, 2020, the Company entered into a credit agreement to borrow $800,000 in term loans (the “Credit Agreement”). The Credit Agreement was to mature in January 2023 with the full principal balance due upon maturity. Interest was payable quarterly and was based on a LIBOR rate divided by one minus the applicable reserve requirement, subject to a floor of</w:t>
      </w:r>
    </w:p>
    <w:p>
      <w:pPr>
        <w:ind w:right="40"/>
        <w:spacing w:after="0" w:line="248" w:lineRule="auto"/>
        <w:rPr>
          <w:sz w:val="20"/>
          <w:szCs w:val="20"/>
          <w:color w:val="auto"/>
        </w:rPr>
      </w:pPr>
      <w:r>
        <w:rPr>
          <w:rFonts w:ascii="Arial" w:cs="Arial" w:eastAsia="Arial" w:hAnsi="Arial"/>
          <w:sz w:val="15"/>
          <w:szCs w:val="15"/>
          <w:color w:val="auto"/>
        </w:rPr>
        <w:t>1.50%, plus a margin of 6.25%. The interest rate margin was to increase each year of the term by 1.50%. Outstanding balances could be prepaid at our option at any time without premium. We used a portion of the proceeds received to extinguish the Term Loan Facility.</w:t>
      </w:r>
    </w:p>
    <w:p>
      <w:pPr>
        <w:spacing w:after="0" w:line="181" w:lineRule="exact"/>
        <w:rPr>
          <w:sz w:val="20"/>
          <w:szCs w:val="20"/>
          <w:color w:val="auto"/>
        </w:rPr>
      </w:pPr>
    </w:p>
    <w:p>
      <w:pPr>
        <w:ind w:right="260" w:firstLine="263"/>
        <w:spacing w:after="0" w:line="263" w:lineRule="auto"/>
        <w:rPr>
          <w:sz w:val="20"/>
          <w:szCs w:val="20"/>
          <w:color w:val="auto"/>
        </w:rPr>
      </w:pPr>
      <w:r>
        <w:rPr>
          <w:rFonts w:ascii="Arial" w:cs="Arial" w:eastAsia="Arial" w:hAnsi="Arial"/>
          <w:sz w:val="15"/>
          <w:szCs w:val="15"/>
          <w:color w:val="auto"/>
        </w:rPr>
        <w:t>We were required to comply with certain financial covenants as well as usual and customary affirmative and negative covenants, including limitations on liens and incurring additional indebtedness. The facility also provided for customary events of default and cure provisions.</w:t>
      </w:r>
    </w:p>
    <w:p>
      <w:pPr>
        <w:spacing w:after="0" w:line="170" w:lineRule="exact"/>
        <w:rPr>
          <w:sz w:val="20"/>
          <w:szCs w:val="20"/>
          <w:color w:val="auto"/>
        </w:rPr>
      </w:pPr>
    </w:p>
    <w:p>
      <w:pPr>
        <w:ind w:right="60" w:firstLine="263"/>
        <w:spacing w:after="0" w:line="247" w:lineRule="auto"/>
        <w:rPr>
          <w:sz w:val="20"/>
          <w:szCs w:val="20"/>
          <w:color w:val="auto"/>
        </w:rPr>
      </w:pPr>
      <w:r>
        <w:rPr>
          <w:rFonts w:ascii="Arial" w:cs="Arial" w:eastAsia="Arial" w:hAnsi="Arial"/>
          <w:sz w:val="15"/>
          <w:szCs w:val="15"/>
          <w:color w:val="auto"/>
        </w:rPr>
        <w:t>In connection with obtaining the Credit Agreement and the extinguishment of the Term Loan Facility, the Company incurred $37,051 in origination, structuring and other fees which were recognized as a reduction of the principal balance of the Credit Agreement on the consolidated balance sheets. On September 2, 2020, we repaid the full amount outstanding using proceeds from the Senior Secured Notes. Certain holders of the Credit Agreement participated in the issuance of Senior Secured Notes, and a portion of the repayment of the Credit Agreement was treated as a debt modification. For the portion of the Credit Agreement that was considered extinguished, $16,310 of unamortized deferred debt issuance costs was recognized as a loss on extinguishment of debt in the consolidated statements of operations and comprehensive loss. The remaining unamortized deferred debt issuance costs of $6,501 will be amortized over the remaining term of the Senior Secured Notes.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 Loan Facility</w:t>
      </w:r>
    </w:p>
    <w:p>
      <w:pPr>
        <w:spacing w:after="0" w:line="200" w:lineRule="exact"/>
        <w:rPr>
          <w:sz w:val="20"/>
          <w:szCs w:val="20"/>
          <w:color w:val="auto"/>
        </w:rPr>
      </w:pPr>
    </w:p>
    <w:p>
      <w:pPr>
        <w:ind w:right="40" w:firstLine="263"/>
        <w:spacing w:after="0" w:line="248" w:lineRule="auto"/>
        <w:rPr>
          <w:sz w:val="20"/>
          <w:szCs w:val="20"/>
          <w:color w:val="auto"/>
        </w:rPr>
      </w:pPr>
      <w:r>
        <w:rPr>
          <w:rFonts w:ascii="Arial" w:cs="Arial" w:eastAsia="Arial" w:hAnsi="Arial"/>
          <w:sz w:val="15"/>
          <w:szCs w:val="15"/>
          <w:color w:val="auto"/>
        </w:rPr>
        <w:t>On August 16, 2018, the Company entered into a credit agreement with a syndicate of two lenders to borrow up to an aggregate principal amount of $240,000. On December 31, 2018, the Company amended this credit agreement (as amended, the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IPO. As of December 31, 2018, the outstanding principal balance under the Term Loan Facility was $280,000.</w:t>
      </w:r>
    </w:p>
    <w:p>
      <w:pPr>
        <w:spacing w:after="0" w:line="183" w:lineRule="exact"/>
        <w:rPr>
          <w:sz w:val="20"/>
          <w:szCs w:val="20"/>
          <w:color w:val="auto"/>
        </w:rPr>
      </w:pPr>
    </w:p>
    <w:p>
      <w:pPr>
        <w:ind w:right="240" w:firstLine="263"/>
        <w:spacing w:after="0" w:line="263" w:lineRule="auto"/>
        <w:rPr>
          <w:sz w:val="20"/>
          <w:szCs w:val="20"/>
          <w:color w:val="auto"/>
        </w:rPr>
      </w:pPr>
      <w:r>
        <w:rPr>
          <w:rFonts w:ascii="Arial" w:cs="Arial" w:eastAsia="Arial" w:hAnsi="Arial"/>
          <w:sz w:val="15"/>
          <w:szCs w:val="15"/>
          <w:color w:val="auto"/>
        </w:rPr>
        <w:t>On March 21, 2019, the Company drew an additional $220,000, bringing our total outstanding borrowings to $500,000 under the Term Loan Facility, and as of December 31, 2019, the total principal amount outstanding under the Term Loan Facility was $495,000.</w:t>
      </w:r>
    </w:p>
    <w:p>
      <w:pPr>
        <w:spacing w:after="0" w:line="170" w:lineRule="exact"/>
        <w:rPr>
          <w:sz w:val="20"/>
          <w:szCs w:val="20"/>
          <w:color w:val="auto"/>
        </w:rPr>
      </w:pPr>
    </w:p>
    <w:p>
      <w:pPr>
        <w:jc w:val="both"/>
        <w:ind w:right="60" w:firstLine="263"/>
        <w:spacing w:after="0" w:line="253" w:lineRule="auto"/>
        <w:rPr>
          <w:sz w:val="20"/>
          <w:szCs w:val="20"/>
          <w:color w:val="auto"/>
        </w:rPr>
      </w:pPr>
      <w:r>
        <w:rPr>
          <w:rFonts w:ascii="Arial" w:cs="Arial" w:eastAsia="Arial" w:hAnsi="Arial"/>
          <w:sz w:val="15"/>
          <w:szCs w:val="15"/>
          <w:color w:val="auto"/>
        </w:rPr>
        <w:t>All borrowings under the Term Loan Facility bore interest at a rate selected by us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7" w:name="page78"/>
    <w:bookmarkEnd w:id="7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40" w:firstLine="263"/>
        <w:spacing w:after="0" w:line="280" w:lineRule="auto"/>
        <w:rPr>
          <w:sz w:val="20"/>
          <w:szCs w:val="20"/>
          <w:color w:val="auto"/>
        </w:rPr>
      </w:pPr>
      <w:r>
        <w:rPr>
          <w:rFonts w:ascii="Arial" w:cs="Arial" w:eastAsia="Arial" w:hAnsi="Arial"/>
          <w:sz w:val="14"/>
          <w:szCs w:val="14"/>
          <w:color w:val="auto"/>
        </w:rPr>
        <w:t>The Term Loan Facility was secured by mortgages on certain properties owned by our subsidiaries, in addition to other collateral. The Term Loan Facility was amended in the third quarter of 2019 to allow certain properties of a consolidated subsidiary to secure the Senior Secured Bonds. We were also required to comply with certain financial covenants and other restrictive covenants customary for facilities of this type, including restrictions on indebtedness, liens, acquisitions and investments, restricted payments and dispositions.</w:t>
      </w:r>
    </w:p>
    <w:p>
      <w:pPr>
        <w:spacing w:after="0" w:line="160" w:lineRule="exact"/>
        <w:rPr>
          <w:sz w:val="20"/>
          <w:szCs w:val="20"/>
          <w:color w:val="auto"/>
        </w:rPr>
      </w:pPr>
    </w:p>
    <w:p>
      <w:pPr>
        <w:ind w:right="180" w:firstLine="263"/>
        <w:spacing w:after="0" w:line="311" w:lineRule="auto"/>
        <w:rPr>
          <w:sz w:val="20"/>
          <w:szCs w:val="20"/>
          <w:color w:val="auto"/>
        </w:rPr>
      </w:pPr>
      <w:r>
        <w:rPr>
          <w:rFonts w:ascii="Arial" w:cs="Arial" w:eastAsia="Arial" w:hAnsi="Arial"/>
          <w:sz w:val="13"/>
          <w:szCs w:val="13"/>
          <w:color w:val="auto"/>
        </w:rPr>
        <w:t>We incurred costs in connection with obtaining the Term Loan Facility, the extinguishment of our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143" w:lineRule="exact"/>
        <w:rPr>
          <w:sz w:val="20"/>
          <w:szCs w:val="20"/>
          <w:color w:val="auto"/>
        </w:rPr>
      </w:pPr>
    </w:p>
    <w:p>
      <w:pPr>
        <w:ind w:right="100" w:firstLine="263"/>
        <w:spacing w:after="0" w:line="250" w:lineRule="auto"/>
        <w:rPr>
          <w:sz w:val="20"/>
          <w:szCs w:val="20"/>
          <w:color w:val="auto"/>
        </w:rPr>
      </w:pPr>
      <w:r>
        <w:rPr>
          <w:rFonts w:ascii="Arial" w:cs="Arial" w:eastAsia="Arial" w:hAnsi="Arial"/>
          <w:sz w:val="15"/>
          <w:szCs w:val="15"/>
          <w:color w:val="auto"/>
        </w:rPr>
        <w:t>The Term Loan Facility had a maturity date of December 31, 2019 with an option to extend the maturity date for two additional six-month periods. Upon the exercise of each extension option, we would pay a fee equal to 1.0% of the outstanding principal balance at the time of the exercise, and the spread on the LIBOR and Base Rate would increase by 0.5%. On December 30, 2019, the Company entered into an amendment with the lenders to extend the maturity to January 21, 2020. Prior to this new maturity date, on January 15, 2020, we repaid the full amount outstanding, using proceeds from the Credit Agreement to extinguish the Term Loan Facility.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South Power Bonds</w:t>
      </w:r>
    </w:p>
    <w:p>
      <w:pPr>
        <w:spacing w:after="0" w:line="200" w:lineRule="exact"/>
        <w:rPr>
          <w:sz w:val="20"/>
          <w:szCs w:val="20"/>
          <w:color w:val="auto"/>
        </w:rPr>
      </w:pPr>
    </w:p>
    <w:p>
      <w:pPr>
        <w:ind w:right="120" w:firstLine="263"/>
        <w:spacing w:after="0" w:line="248" w:lineRule="auto"/>
        <w:rPr>
          <w:sz w:val="20"/>
          <w:szCs w:val="20"/>
          <w:color w:val="auto"/>
        </w:rPr>
      </w:pPr>
      <w:r>
        <w:rPr>
          <w:rFonts w:ascii="Arial" w:cs="Arial" w:eastAsia="Arial" w:hAnsi="Arial"/>
          <w:sz w:val="15"/>
          <w:szCs w:val="15"/>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CHP Plant and related receivables and assets, and the proceeds will be used to fund the completion of the CHP Plant and to reimburse shareholder advances. In the fourth quarter of 2019, South Power issued an additional $63,000 in Senior Secured Bonds. We received $10,856 of the proceeds in 2019 and received the remaining proceeds of $52,144 in January 2020.</w:t>
      </w:r>
    </w:p>
    <w:p>
      <w:pPr>
        <w:spacing w:after="0" w:line="183" w:lineRule="exact"/>
        <w:rPr>
          <w:sz w:val="20"/>
          <w:szCs w:val="20"/>
          <w:color w:val="auto"/>
        </w:rPr>
      </w:pPr>
    </w:p>
    <w:p>
      <w:pPr>
        <w:ind w:right="40" w:firstLine="263"/>
        <w:spacing w:after="0" w:line="253" w:lineRule="auto"/>
        <w:rPr>
          <w:sz w:val="20"/>
          <w:szCs w:val="20"/>
          <w:color w:val="auto"/>
        </w:rPr>
      </w:pPr>
      <w:r>
        <w:rPr>
          <w:rFonts w:ascii="Arial" w:cs="Arial" w:eastAsia="Arial" w:hAnsi="Arial"/>
          <w:sz w:val="15"/>
          <w:szCs w:val="15"/>
          <w:color w:val="auto"/>
        </w:rPr>
        <w:t>The Senior Secured Bonds bore interest at an annual fixed rate of 8.25% and matured 15 years from the closing date of each issuance. No principal payments were due for the first seven years. Beginning in 2026, quarterly principal payments of approximately 1.6% of the original principal amount were due, with a 50% balloon payment due upon maturity. Interest payments on outstanding principal balances were due quarterly.</w:t>
      </w:r>
    </w:p>
    <w:p>
      <w:pPr>
        <w:spacing w:after="0" w:line="178" w:lineRule="exact"/>
        <w:rPr>
          <w:sz w:val="20"/>
          <w:szCs w:val="20"/>
          <w:color w:val="auto"/>
        </w:rPr>
      </w:pPr>
    </w:p>
    <w:p>
      <w:pPr>
        <w:ind w:right="140" w:firstLine="263"/>
        <w:spacing w:after="0" w:line="263" w:lineRule="auto"/>
        <w:rPr>
          <w:sz w:val="20"/>
          <w:szCs w:val="20"/>
          <w:color w:val="auto"/>
        </w:rPr>
      </w:pPr>
      <w:r>
        <w:rPr>
          <w:rFonts w:ascii="Arial" w:cs="Arial" w:eastAsia="Arial" w:hAnsi="Arial"/>
          <w:sz w:val="15"/>
          <w:szCs w:val="15"/>
          <w:color w:val="auto"/>
        </w:rPr>
        <w:t>The Senior Unsecured Bonds bore interest at an annual fixed rate of 11.00% and matured in September 2036. No principal payments were due for the first nine years. Beginning in 2028, principal payments were due quarterly on an escalating schedule. Interest payments on outstanding principal balances were due quarterly.</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South Power was required to comply with certain financial covenants as well as customary affirmative and negative covenants, including limitations on incurring additional indebtedness.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facility also provided for customary events of default, prepayment and cure provisions.</w:t>
      </w:r>
    </w:p>
    <w:p>
      <w:pPr>
        <w:spacing w:after="0" w:line="190" w:lineRule="exact"/>
        <w:rPr>
          <w:sz w:val="20"/>
          <w:szCs w:val="20"/>
          <w:color w:val="auto"/>
        </w:rPr>
      </w:pPr>
    </w:p>
    <w:p>
      <w:pPr>
        <w:ind w:firstLine="263"/>
        <w:spacing w:after="0" w:line="270" w:lineRule="auto"/>
        <w:rPr>
          <w:sz w:val="20"/>
          <w:szCs w:val="20"/>
          <w:color w:val="auto"/>
        </w:rPr>
      </w:pPr>
      <w:r>
        <w:rPr>
          <w:rFonts w:ascii="Arial" w:cs="Arial" w:eastAsia="Arial" w:hAnsi="Arial"/>
          <w:sz w:val="14"/>
          <w:szCs w:val="14"/>
          <w:color w:val="auto"/>
        </w:rPr>
        <w:t>The Company paid approximately $3,892 of fees in connection with the issuance of Senior Secured Bonds and Senior Unsecured Bonds. These fees were capitalized on a pro-rata basis as a reduction of the Senior Secured Bonds and Senior Unsecured Bonds on the consolidated balance sheets. On September 21, 2020, the Company repaid the full amount outstanding including fees dues to the lenders using proceeds from the Senior Secured Notes and cash on hand. In conjunction with the repayment of the Senior Secured Bonds and Senior Unsecured Bonds, the Company recognized a loss on extinguishment of debt of $7,195 in the consolidated statements of operations and comprehensive loss, including the write-off of $3,594 of unamortized deferred financing costs and prepayment premium paid to bondholders of $3,601.</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 Balance Sheet Arrangements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of December 31, 2020 and 2019, we had no off-balance sheet arrangements that may have a current or future material effect on our consolidated financial position or operating results.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78" w:name="page79"/>
    <w:bookmarkEnd w:id="7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are committed to make cash payments in the future pursuant to certain contracts. The following table summarizes certain contractual obligations in place as of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134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0"/>
              </w:rPr>
              <w:t>Less than 1 year</w:t>
            </w:r>
          </w:p>
        </w:tc>
        <w:tc>
          <w:tcPr>
            <w:tcW w:w="14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0"/>
              </w:rPr>
              <w:t>Years 2 to 3</w:t>
            </w:r>
          </w:p>
        </w:tc>
        <w:tc>
          <w:tcPr>
            <w:tcW w:w="16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4"/>
              </w:rPr>
              <w:t>Year 4 to 5</w:t>
            </w:r>
          </w:p>
        </w:tc>
        <w:tc>
          <w:tcPr>
            <w:tcW w:w="1240" w:type="dxa"/>
            <w:vAlign w:val="bottom"/>
            <w:gridSpan w:val="3"/>
          </w:tcPr>
          <w:p>
            <w:pPr>
              <w:spacing w:after="0"/>
              <w:rPr>
                <w:sz w:val="20"/>
                <w:szCs w:val="20"/>
                <w:color w:val="auto"/>
              </w:rPr>
            </w:pPr>
            <w:r>
              <w:rPr>
                <w:rFonts w:ascii="Arial" w:cs="Arial" w:eastAsia="Arial" w:hAnsi="Arial"/>
                <w:sz w:val="15"/>
                <w:szCs w:val="15"/>
                <w:b w:val="1"/>
                <w:bCs w:val="1"/>
                <w:color w:val="auto"/>
                <w:w w:val="95"/>
              </w:rPr>
              <w:t>More than 5 years</w:t>
            </w: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Long-term debt obligations</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1,675,203</w:t>
            </w:r>
          </w:p>
        </w:tc>
        <w:tc>
          <w:tcPr>
            <w:tcW w:w="24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87,703</w:t>
            </w: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168,750</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1,418,750</w:t>
            </w: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Purchase obligations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2,490,347</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376,096</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724,588</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724,090</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665,573</w:t>
            </w: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Lease obligations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191,991</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47,135</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56,066</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36,006</w:t>
            </w: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52,784</w:t>
            </w:r>
          </w:p>
        </w:tc>
      </w:tr>
      <w:tr>
        <w:trPr>
          <w:trHeight w:val="22"/>
        </w:trPr>
        <w:tc>
          <w:tcPr>
            <w:tcW w:w="4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4,357,541</w:t>
            </w:r>
          </w:p>
        </w:tc>
        <w:tc>
          <w:tcPr>
            <w:tcW w:w="24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510,934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949,404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2,178,846</w:t>
            </w:r>
          </w:p>
        </w:tc>
        <w:tc>
          <w:tcPr>
            <w:tcW w:w="2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718,357</w:t>
            </w:r>
          </w:p>
        </w:tc>
        <w:tc>
          <w:tcPr>
            <w:tcW w:w="10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Long-term debt obligations</w:t>
      </w:r>
    </w:p>
    <w:p>
      <w:pPr>
        <w:spacing w:after="0" w:line="200" w:lineRule="exact"/>
        <w:rPr>
          <w:sz w:val="20"/>
          <w:szCs w:val="20"/>
          <w:color w:val="auto"/>
        </w:rPr>
      </w:pPr>
    </w:p>
    <w:p>
      <w:pPr>
        <w:ind w:right="480" w:firstLine="263"/>
        <w:spacing w:after="0" w:line="263" w:lineRule="auto"/>
        <w:rPr>
          <w:sz w:val="20"/>
          <w:szCs w:val="20"/>
          <w:color w:val="auto"/>
        </w:rPr>
      </w:pPr>
      <w:r>
        <w:rPr>
          <w:rFonts w:ascii="Arial" w:cs="Arial" w:eastAsia="Arial" w:hAnsi="Arial"/>
          <w:sz w:val="15"/>
          <w:szCs w:val="15"/>
          <w:color w:val="auto"/>
        </w:rPr>
        <w:t>For information on our long-term debt obligations, see “—Liquidity and Capital Resources—Long-Term Debt.” The amounts included in the table above are based on the total debt balance, scheduled maturities, and interest rates in effect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Purchase obligations</w:t>
      </w:r>
    </w:p>
    <w:p>
      <w:pPr>
        <w:spacing w:after="0" w:line="200" w:lineRule="exact"/>
        <w:rPr>
          <w:sz w:val="20"/>
          <w:szCs w:val="20"/>
          <w:color w:val="auto"/>
        </w:rPr>
      </w:pPr>
    </w:p>
    <w:p>
      <w:pPr>
        <w:ind w:right="100" w:firstLine="263"/>
        <w:spacing w:after="0" w:line="301" w:lineRule="auto"/>
        <w:rPr>
          <w:sz w:val="20"/>
          <w:szCs w:val="20"/>
          <w:color w:val="auto"/>
        </w:rPr>
      </w:pPr>
      <w:r>
        <w:rPr>
          <w:rFonts w:ascii="Arial" w:cs="Arial" w:eastAsia="Arial" w:hAnsi="Arial"/>
          <w:sz w:val="13"/>
          <w:szCs w:val="13"/>
          <w:color w:val="auto"/>
        </w:rPr>
        <w:t>The Company is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For purchase commitments priced based upon an index such as Henry Hub, the amounts shown in the table above are based on the spot price of that index as of December 31, 2020.</w:t>
      </w:r>
    </w:p>
    <w:p>
      <w:pPr>
        <w:spacing w:after="0" w:line="149" w:lineRule="exact"/>
        <w:rPr>
          <w:sz w:val="20"/>
          <w:szCs w:val="20"/>
          <w:color w:val="auto"/>
        </w:rPr>
      </w:pPr>
    </w:p>
    <w:p>
      <w:pPr>
        <w:ind w:right="20" w:firstLine="263"/>
        <w:spacing w:after="0" w:line="253" w:lineRule="auto"/>
        <w:rPr>
          <w:sz w:val="20"/>
          <w:szCs w:val="20"/>
          <w:color w:val="auto"/>
        </w:rPr>
      </w:pPr>
      <w:r>
        <w:rPr>
          <w:rFonts w:ascii="Arial" w:cs="Arial" w:eastAsia="Arial" w:hAnsi="Arial"/>
          <w:sz w:val="15"/>
          <w:szCs w:val="15"/>
          <w:color w:val="auto"/>
        </w:rPr>
        <w:t>In 2020, we entered into four LNG supply agreements for the purchase of 415 TBtu of LNG at a price indexed to Henry Hub from 2021 and 2030. Between 2022 and 2025, the total annual commitment under these agreements is approximately 68 TBtu per year, reducing to approximately 28 TBtu per year from 2026 to 2029. The amounts disclosed above also include the commitment to purchase 12 firm cargoes in 2021 under a supply contract executed in December 2018.</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Lease obligations</w:t>
      </w:r>
    </w:p>
    <w:p>
      <w:pPr>
        <w:spacing w:after="0" w:line="200" w:lineRule="exact"/>
        <w:rPr>
          <w:sz w:val="20"/>
          <w:szCs w:val="20"/>
          <w:color w:val="auto"/>
        </w:rPr>
      </w:pPr>
    </w:p>
    <w:p>
      <w:pPr>
        <w:jc w:val="both"/>
        <w:ind w:right="40" w:firstLine="263"/>
        <w:spacing w:after="0" w:line="253" w:lineRule="auto"/>
        <w:rPr>
          <w:sz w:val="20"/>
          <w:szCs w:val="20"/>
          <w:color w:val="auto"/>
        </w:rPr>
      </w:pPr>
      <w:r>
        <w:rPr>
          <w:rFonts w:ascii="Arial" w:cs="Arial" w:eastAsia="Arial" w:hAnsi="Arial"/>
          <w:sz w:val="15"/>
          <w:szCs w:val="15"/>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178" w:lineRule="exact"/>
        <w:rPr>
          <w:sz w:val="20"/>
          <w:szCs w:val="20"/>
          <w:color w:val="auto"/>
        </w:rPr>
      </w:pPr>
    </w:p>
    <w:p>
      <w:pPr>
        <w:ind w:right="140" w:firstLine="263"/>
        <w:spacing w:after="0" w:line="263" w:lineRule="auto"/>
        <w:rPr>
          <w:sz w:val="20"/>
          <w:szCs w:val="20"/>
          <w:color w:val="auto"/>
        </w:rPr>
      </w:pPr>
      <w:r>
        <w:rPr>
          <w:rFonts w:ascii="Arial" w:cs="Arial" w:eastAsia="Arial" w:hAnsi="Arial"/>
          <w:sz w:val="15"/>
          <w:szCs w:val="15"/>
          <w:color w:val="auto"/>
        </w:rPr>
        <w:t>The Company currently has five vessels under time charter leases with non-cancellable terms ranging from nine months to seven years. The lease commitments in the table above include only the lease component of these arrangements due over the non-cancellable term and does not include any operating services.</w:t>
      </w:r>
    </w:p>
    <w:p>
      <w:pPr>
        <w:spacing w:after="0" w:line="170" w:lineRule="exact"/>
        <w:rPr>
          <w:sz w:val="20"/>
          <w:szCs w:val="20"/>
          <w:color w:val="auto"/>
        </w:rPr>
      </w:pPr>
    </w:p>
    <w:p>
      <w:pPr>
        <w:ind w:right="200" w:firstLine="263"/>
        <w:spacing w:after="0" w:line="299" w:lineRule="auto"/>
        <w:rPr>
          <w:sz w:val="20"/>
          <w:szCs w:val="20"/>
          <w:color w:val="auto"/>
        </w:rPr>
      </w:pPr>
      <w:r>
        <w:rPr>
          <w:rFonts w:ascii="Arial" w:cs="Arial" w:eastAsia="Arial" w:hAnsi="Arial"/>
          <w:sz w:val="14"/>
          <w:szCs w:val="14"/>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147" w:lineRule="exact"/>
        <w:rPr>
          <w:sz w:val="20"/>
          <w:szCs w:val="20"/>
          <w:color w:val="auto"/>
        </w:rPr>
      </w:pPr>
    </w:p>
    <w:p>
      <w:pPr>
        <w:ind w:right="60" w:firstLine="263"/>
        <w:spacing w:after="0" w:line="340" w:lineRule="auto"/>
        <w:rPr>
          <w:sz w:val="20"/>
          <w:szCs w:val="20"/>
          <w:color w:val="auto"/>
        </w:rPr>
      </w:pPr>
      <w:r>
        <w:rPr>
          <w:rFonts w:ascii="Arial" w:cs="Arial" w:eastAsia="Arial" w:hAnsi="Arial"/>
          <w:sz w:val="13"/>
          <w:szCs w:val="13"/>
          <w:color w:val="auto"/>
        </w:rPr>
        <w:t>During 2020, we executed multiple lease agreements for the use of ISO tanks, and we expect to begin to receive these ISO tanks and for the lease terms to commence beginning in the first quarter of 2021. The lease term for each of these leases is five years, and expected payments under these lease agreements have been included in the above table.</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Office space includes a space shared with affiliated companies in New York with lease terms up to 38 months and an office space in downtown Miami, with a lease term of 84 months.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Critical Accounting Estimates</w:t>
      </w:r>
    </w:p>
    <w:p>
      <w:pPr>
        <w:spacing w:after="0" w:line="204" w:lineRule="exact"/>
        <w:rPr>
          <w:sz w:val="20"/>
          <w:szCs w:val="20"/>
          <w:color w:val="auto"/>
        </w:rPr>
      </w:pPr>
    </w:p>
    <w:p>
      <w:pPr>
        <w:ind w:right="80" w:firstLine="263"/>
        <w:spacing w:after="0" w:line="301"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9" w:name="page80"/>
    <w:bookmarkEnd w:id="7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200" w:lineRule="exact"/>
        <w:rPr>
          <w:sz w:val="20"/>
          <w:szCs w:val="20"/>
          <w:color w:val="auto"/>
        </w:rPr>
      </w:pPr>
    </w:p>
    <w:p>
      <w:pPr>
        <w:ind w:right="60" w:firstLine="263"/>
        <w:spacing w:after="0" w:line="266" w:lineRule="auto"/>
        <w:rPr>
          <w:sz w:val="20"/>
          <w:szCs w:val="20"/>
          <w:color w:val="auto"/>
        </w:rPr>
      </w:pPr>
      <w:r>
        <w:rPr>
          <w:rFonts w:ascii="Arial" w:cs="Arial" w:eastAsia="Arial" w:hAnsi="Arial"/>
          <w:sz w:val="14"/>
          <w:szCs w:val="14"/>
          <w:color w:val="auto"/>
        </w:rPr>
        <w:t>Our contracts with customers may contain one or several performance obligations usually consisting of the sale of LNG, natural gas, and beginning in the first quarter of 2020, power and steam which are outputs from our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173" w:lineRule="exact"/>
        <w:rPr>
          <w:sz w:val="20"/>
          <w:szCs w:val="20"/>
          <w:color w:val="auto"/>
        </w:rPr>
      </w:pPr>
    </w:p>
    <w:p>
      <w:pPr>
        <w:jc w:val="both"/>
        <w:ind w:right="260" w:firstLine="263"/>
        <w:spacing w:after="0" w:line="340" w:lineRule="auto"/>
        <w:rPr>
          <w:sz w:val="20"/>
          <w:szCs w:val="20"/>
          <w:color w:val="auto"/>
        </w:rPr>
      </w:pPr>
      <w:r>
        <w:rPr>
          <w:rFonts w:ascii="Arial" w:cs="Arial" w:eastAsia="Arial" w:hAnsi="Arial"/>
          <w:sz w:val="13"/>
          <w:szCs w:val="13"/>
          <w:color w:val="auto"/>
        </w:rPr>
        <w:t>We have concluded that variable consideration included in these agreements meets the exception for allocating variable consideration to each unit sold under the contract. As such, the variable consideration for these contracts is allocated to each distinct unit of LNG, natural gas, power or steam delivered and recognized when that distinct unit is delivered to the customer.</w:t>
      </w:r>
    </w:p>
    <w:p>
      <w:pPr>
        <w:spacing w:after="0" w:line="125" w:lineRule="exact"/>
        <w:rPr>
          <w:sz w:val="20"/>
          <w:szCs w:val="20"/>
          <w:color w:val="auto"/>
        </w:rPr>
      </w:pPr>
    </w:p>
    <w:p>
      <w:pPr>
        <w:ind w:firstLine="263"/>
        <w:spacing w:after="0" w:line="270" w:lineRule="auto"/>
        <w:rPr>
          <w:sz w:val="20"/>
          <w:szCs w:val="20"/>
          <w:color w:val="auto"/>
        </w:rPr>
      </w:pPr>
      <w:r>
        <w:rPr>
          <w:rFonts w:ascii="Arial" w:cs="Arial" w:eastAsia="Arial" w:hAnsi="Arial"/>
          <w:sz w:val="14"/>
          <w:szCs w:val="14"/>
          <w:color w:val="auto"/>
        </w:rPr>
        <w:t>Our contracts with customers to supply LNG or natural gas may contain a lease of equipment. We allocate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fixed lease payments and the amount to be accounted for under the revenue recognition guidance.</w:t>
      </w:r>
    </w:p>
    <w:p>
      <w:pPr>
        <w:spacing w:after="0" w:line="169" w:lineRule="exact"/>
        <w:rPr>
          <w:sz w:val="20"/>
          <w:szCs w:val="20"/>
          <w:color w:val="auto"/>
        </w:rPr>
      </w:pPr>
    </w:p>
    <w:p>
      <w:pPr>
        <w:ind w:right="40" w:firstLine="263"/>
        <w:spacing w:after="0" w:line="293" w:lineRule="auto"/>
        <w:rPr>
          <w:sz w:val="20"/>
          <w:szCs w:val="20"/>
          <w:color w:val="auto"/>
        </w:rPr>
      </w:pPr>
      <w:r>
        <w:rPr>
          <w:rFonts w:ascii="Arial" w:cs="Arial" w:eastAsia="Arial" w:hAnsi="Arial"/>
          <w:sz w:val="13"/>
          <w:szCs w:val="13"/>
          <w:color w:val="auto"/>
        </w:rPr>
        <w:t>The leases of certain facilities and equipment to customers are accounted for as finance or operating leases. The current and non-current portion of finance leases are recorded within Prepaid expenses and other current assets and Finance leases, net, on the consolidated balance sheets, respectively. For finance leases accounted for as sales-type leases, the profit from the sale of equipment is recognized upon lease commencement in Other revenue in the consolidated statements of operations and comprehensive loss. The lease payments for finance leases are segregated into principal and interest components similar to a loan. Interest income is recognized on an effective interest method over the lease term and is included in Other revenue in the consolidated statements of operations and comprehensive loss. The principal components of the lease payment are reflected as a reduction to the net investment in the finance lease. For our operating leases, the amount allocated to the leasing component is recognized over the lease term as Other revenue in the consolidated statements of operations and comprehensive loss.</w:t>
      </w:r>
    </w:p>
    <w:p>
      <w:pPr>
        <w:spacing w:after="0" w:line="155" w:lineRule="exact"/>
        <w:rPr>
          <w:sz w:val="20"/>
          <w:szCs w:val="20"/>
          <w:color w:val="auto"/>
        </w:rPr>
      </w:pPr>
    </w:p>
    <w:p>
      <w:pPr>
        <w:ind w:right="60" w:firstLine="263"/>
        <w:spacing w:after="0" w:line="293" w:lineRule="auto"/>
        <w:rPr>
          <w:sz w:val="20"/>
          <w:szCs w:val="20"/>
          <w:color w:val="auto"/>
        </w:rPr>
      </w:pPr>
      <w:r>
        <w:rPr>
          <w:rFonts w:ascii="Arial" w:cs="Arial" w:eastAsia="Arial" w:hAnsi="Arial"/>
          <w:sz w:val="13"/>
          <w:szCs w:val="13"/>
          <w:color w:val="auto"/>
        </w:rPr>
        <w:t>In addition to the revenue recognized from the leasing components of agreements with customers, Other revenue includes development services revenue recognized from the construction, installation and commissioning of equipment to transform customers’ facilities to operate utilizing natural gas or to allow customers to receive power or other outputs from our natural gas-fueled power generation facilities. Revenue from these development services is recognized over time as we transfer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development until such services are completed,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155" w:lineRule="exact"/>
        <w:rPr>
          <w:sz w:val="20"/>
          <w:szCs w:val="20"/>
          <w:color w:val="auto"/>
        </w:rPr>
      </w:pPr>
    </w:p>
    <w:p>
      <w:pPr>
        <w:ind w:firstLine="263"/>
        <w:spacing w:after="0" w:line="274" w:lineRule="auto"/>
        <w:rPr>
          <w:sz w:val="20"/>
          <w:szCs w:val="20"/>
          <w:color w:val="auto"/>
        </w:rPr>
      </w:pPr>
      <w:r>
        <w:rPr>
          <w:rFonts w:ascii="Arial" w:cs="Arial" w:eastAsia="Arial" w:hAnsi="Arial"/>
          <w:sz w:val="14"/>
          <w:szCs w:val="14"/>
          <w:color w:val="auto"/>
        </w:rPr>
        <w:t>Development services are typically included in arrangements that include other distinct performance obligations, and we allocate the transaction price to each performance obligation based on its standalone selling price (“SSP”) in relation to the aggregate value of the SSP of all performance obligations in the arrangement. Some of our performance obligations have observable inputs that are used to determine the SSP of those distinct performance obligations. Where SSP is not directly observable, we primarily determine the SSP using the cost-plus approach. In the circumstances when available information to determine SSP is highly variable or uncertain, we use the residual approach.</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Impairment of long-lived assets</w:t>
      </w:r>
    </w:p>
    <w:p>
      <w:pPr>
        <w:spacing w:after="0" w:line="200" w:lineRule="exact"/>
        <w:rPr>
          <w:sz w:val="20"/>
          <w:szCs w:val="20"/>
          <w:color w:val="auto"/>
        </w:rPr>
      </w:pPr>
    </w:p>
    <w:p>
      <w:pPr>
        <w:ind w:firstLine="263"/>
        <w:spacing w:after="0" w:line="274" w:lineRule="auto"/>
        <w:rPr>
          <w:sz w:val="20"/>
          <w:szCs w:val="20"/>
          <w:color w:val="auto"/>
        </w:rPr>
      </w:pPr>
      <w:r>
        <w:rPr>
          <w:rFonts w:ascii="Arial" w:cs="Arial" w:eastAsia="Arial" w:hAnsi="Arial"/>
          <w:sz w:val="14"/>
          <w:szCs w:val="14"/>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0" w:name="page81"/>
    <w:bookmarkEnd w:id="8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40" w:firstLine="263"/>
        <w:spacing w:after="0" w:line="270" w:lineRule="auto"/>
        <w:rPr>
          <w:sz w:val="20"/>
          <w:szCs w:val="20"/>
          <w:color w:val="auto"/>
        </w:rPr>
      </w:pPr>
      <w:r>
        <w:rPr>
          <w:rFonts w:ascii="Arial" w:cs="Arial" w:eastAsia="Arial" w:hAnsi="Arial"/>
          <w:sz w:val="14"/>
          <w:szCs w:val="14"/>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169" w:lineRule="exact"/>
        <w:rPr>
          <w:sz w:val="20"/>
          <w:szCs w:val="20"/>
          <w:color w:val="auto"/>
        </w:rPr>
      </w:pPr>
    </w:p>
    <w:p>
      <w:pPr>
        <w:ind w:right="100" w:firstLine="263"/>
        <w:spacing w:after="0" w:line="267" w:lineRule="auto"/>
        <w:rPr>
          <w:sz w:val="20"/>
          <w:szCs w:val="20"/>
          <w:color w:val="auto"/>
        </w:rPr>
      </w:pPr>
      <w:r>
        <w:rPr>
          <w:rFonts w:ascii="Arial" w:cs="Arial" w:eastAsia="Arial" w:hAnsi="Arial"/>
          <w:sz w:val="14"/>
          <w:szCs w:val="14"/>
          <w:color w:val="auto"/>
        </w:rPr>
        <w:t>We have considered that the market price of LNG can vary widely, including recent decreases throughout 2019 and 2020. Due to the decline in LNG prices, we executed three long-term LNG supply agreements in 2020 at prices that are expected to be significantly lower than inventory purchased under our contract with our current supplier. Further, we were able to take advantage of lower market pricing for LNG to supply our operations for the second half of 2020, resulting in an overall lower average cost of LNG. Our long-term, take-or pay contracts to deliver natural gas or LNG to our customers also limit our exposure to fluctuations in natural gas and LNG as our pricing is based on the Henry Hub index plus a contractual spread. Based on the long-term nature of our contracts and the market value of the underlying assets, we do not believe that changes in the price of LNG indicate that a recoverability assessment of our assets is necessary. Further, we plan to utilize our own liquefaction facilities to manufacture our own LNG at attractive prices, secure LNG to supply our expanding operations and reduce our exposure to future LNG price variations in the long term.</w:t>
      </w:r>
    </w:p>
    <w:p>
      <w:pPr>
        <w:spacing w:after="0" w:line="172" w:lineRule="exact"/>
        <w:rPr>
          <w:sz w:val="20"/>
          <w:szCs w:val="20"/>
          <w:color w:val="auto"/>
        </w:rPr>
      </w:pPr>
    </w:p>
    <w:p>
      <w:pPr>
        <w:ind w:right="200" w:firstLine="263"/>
        <w:spacing w:after="0" w:line="250" w:lineRule="auto"/>
        <w:rPr>
          <w:sz w:val="20"/>
          <w:szCs w:val="20"/>
          <w:color w:val="auto"/>
        </w:rPr>
      </w:pPr>
      <w:r>
        <w:rPr>
          <w:rFonts w:ascii="Arial" w:cs="Arial" w:eastAsia="Arial" w:hAnsi="Arial"/>
          <w:sz w:val="15"/>
          <w:szCs w:val="15"/>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many of which contain fixed minimum volumes that must be purchased on a “take-or-pay” basis, even in cases when our customer’s consumption has decreased. We have not changed our payment terms with these customers, and there has not been any deterioration in the timing or volume of collections.</w:t>
      </w:r>
    </w:p>
    <w:p>
      <w:pPr>
        <w:spacing w:after="0" w:line="180" w:lineRule="exact"/>
        <w:rPr>
          <w:sz w:val="20"/>
          <w:szCs w:val="20"/>
          <w:color w:val="auto"/>
        </w:rPr>
      </w:pPr>
    </w:p>
    <w:p>
      <w:pPr>
        <w:jc w:val="both"/>
        <w:ind w:right="20" w:firstLine="263"/>
        <w:spacing w:after="0" w:line="253" w:lineRule="auto"/>
        <w:rPr>
          <w:sz w:val="20"/>
          <w:szCs w:val="20"/>
          <w:color w:val="auto"/>
        </w:rPr>
      </w:pPr>
      <w:r>
        <w:rPr>
          <w:rFonts w:ascii="Arial" w:cs="Arial" w:eastAsia="Arial" w:hAnsi="Arial"/>
          <w:sz w:val="15"/>
          <w:szCs w:val="15"/>
          <w:color w:val="auto"/>
        </w:rPr>
        <w:t>Based on the essential nature of the services we provide to support power generation facilities, our development projects have not currently been significantly impacted by responses to the COVID-19 pandemic. We will continue to monitor this uncertain situation and local responses in jurisdictions where we do business to determine if there are any indicators that a recoverability assessment for our assets should be performed.</w:t>
      </w:r>
    </w:p>
    <w:p>
      <w:pPr>
        <w:spacing w:after="0" w:line="178" w:lineRule="exact"/>
        <w:rPr>
          <w:sz w:val="20"/>
          <w:szCs w:val="20"/>
          <w:color w:val="auto"/>
        </w:rPr>
      </w:pPr>
    </w:p>
    <w:p>
      <w:pPr>
        <w:jc w:val="both"/>
        <w:ind w:firstLine="263"/>
        <w:spacing w:after="0" w:line="311" w:lineRule="auto"/>
        <w:rPr>
          <w:sz w:val="20"/>
          <w:szCs w:val="20"/>
          <w:color w:val="auto"/>
        </w:rPr>
      </w:pPr>
      <w:r>
        <w:rPr>
          <w:rFonts w:ascii="Arial" w:cs="Arial" w:eastAsia="Arial" w:hAnsi="Arial"/>
          <w:sz w:val="13"/>
          <w:szCs w:val="13"/>
          <w:color w:val="auto"/>
        </w:rPr>
        <w:t>The COVID-19 pandemic has also significantly impacted energy markets, and the price of oil has traded at historic low prices in 2020. Future expansion of our business is dependent upon LNG being a competitive source of energy and available at a lower cost than the cost to deliver other alternative energy sources, such as diesel or other distillate fuels. We do not believe that oil prices will remain at their historic low levels as evidenced by recent recovery, and we believe that LNG and natural gas will remain a competitive fuel source for customers.</w:t>
      </w:r>
    </w:p>
    <w:p>
      <w:pPr>
        <w:spacing w:after="0" w:line="143" w:lineRule="exact"/>
        <w:rPr>
          <w:sz w:val="20"/>
          <w:szCs w:val="20"/>
          <w:color w:val="auto"/>
        </w:rPr>
      </w:pPr>
    </w:p>
    <w:p>
      <w:pPr>
        <w:ind w:right="100" w:firstLine="263"/>
        <w:spacing w:after="0" w:line="250" w:lineRule="auto"/>
        <w:rPr>
          <w:sz w:val="20"/>
          <w:szCs w:val="20"/>
          <w:color w:val="auto"/>
        </w:rPr>
      </w:pPr>
      <w:r>
        <w:rPr>
          <w:rFonts w:ascii="Arial" w:cs="Arial" w:eastAsia="Arial" w:hAnsi="Arial"/>
          <w:sz w:val="15"/>
          <w:szCs w:val="15"/>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Share-based compensation</w:t>
      </w:r>
    </w:p>
    <w:p>
      <w:pPr>
        <w:spacing w:after="0" w:line="200" w:lineRule="exact"/>
        <w:rPr>
          <w:sz w:val="20"/>
          <w:szCs w:val="20"/>
          <w:color w:val="auto"/>
        </w:rPr>
      </w:pPr>
    </w:p>
    <w:p>
      <w:pPr>
        <w:ind w:right="20" w:firstLine="263"/>
        <w:spacing w:after="0" w:line="340" w:lineRule="auto"/>
        <w:rPr>
          <w:sz w:val="20"/>
          <w:szCs w:val="20"/>
          <w:color w:val="auto"/>
        </w:rPr>
      </w:pPr>
      <w:r>
        <w:rPr>
          <w:rFonts w:ascii="Arial" w:cs="Arial" w:eastAsia="Arial" w:hAnsi="Arial"/>
          <w:sz w:val="13"/>
          <w:szCs w:val="13"/>
          <w:color w:val="auto"/>
        </w:rPr>
        <w:t>We estimate the fair value of RSUs and performance stock units (“PSUs”)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25" w:lineRule="exact"/>
        <w:rPr>
          <w:sz w:val="20"/>
          <w:szCs w:val="20"/>
          <w:color w:val="auto"/>
        </w:rPr>
      </w:pPr>
    </w:p>
    <w:p>
      <w:pPr>
        <w:ind w:right="60" w:firstLine="263"/>
        <w:spacing w:after="0" w:line="311" w:lineRule="auto"/>
        <w:rPr>
          <w:sz w:val="20"/>
          <w:szCs w:val="20"/>
          <w:color w:val="auto"/>
        </w:rPr>
      </w:pPr>
      <w:r>
        <w:rPr>
          <w:rFonts w:ascii="Arial" w:cs="Arial" w:eastAsia="Arial" w:hAnsi="Arial"/>
          <w:sz w:val="13"/>
          <w:szCs w:val="13"/>
          <w:color w:val="auto"/>
        </w:rPr>
        <w:t>As of December 31, 2020, management determined that it was not probable that the performance condition for our outstanding PSUs would be met. For these awards, compensation cost and the number of PSUs ultimately earned remains variable and compensation cost for these awards is recorded once achievement of the performance conditions becomes probable through the requisite service period. A cumulative adjustment to share-based compensation expense is recorded in the period that achievement of performance conditions becomes probable.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Standards</w:t>
      </w:r>
    </w:p>
    <w:p>
      <w:pPr>
        <w:spacing w:after="0" w:line="204" w:lineRule="exact"/>
        <w:rPr>
          <w:sz w:val="20"/>
          <w:szCs w:val="20"/>
          <w:color w:val="auto"/>
        </w:rPr>
      </w:pPr>
    </w:p>
    <w:p>
      <w:pPr>
        <w:ind w:right="100" w:firstLine="263"/>
        <w:spacing w:after="0" w:line="263" w:lineRule="auto"/>
        <w:rPr>
          <w:sz w:val="20"/>
          <w:szCs w:val="20"/>
          <w:color w:val="auto"/>
        </w:rPr>
      </w:pPr>
      <w:r>
        <w:rPr>
          <w:rFonts w:ascii="Arial" w:cs="Arial" w:eastAsia="Arial" w:hAnsi="Arial"/>
          <w:sz w:val="15"/>
          <w:szCs w:val="15"/>
          <w:color w:val="auto"/>
        </w:rPr>
        <w:t>For descriptions of recently issued accounting standards, see “Note 3 - Adoption of new and revised standards” to our notes to consolidated financial statements included elsewhere in this Annual Report.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1" w:name="page82"/>
    <w:bookmarkEnd w:id="8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4"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the normal course of business, the Company encounters several significant types of market risks including commodity and interest rate risks.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Commodity Price Risk</w:t>
      </w:r>
    </w:p>
    <w:p>
      <w:pPr>
        <w:spacing w:after="0" w:line="200" w:lineRule="exact"/>
        <w:rPr>
          <w:sz w:val="20"/>
          <w:szCs w:val="20"/>
          <w:color w:val="auto"/>
        </w:rPr>
      </w:pPr>
    </w:p>
    <w:p>
      <w:pPr>
        <w:ind w:right="60" w:firstLine="263"/>
        <w:spacing w:after="0" w:line="250" w:lineRule="auto"/>
        <w:rPr>
          <w:sz w:val="20"/>
          <w:szCs w:val="20"/>
          <w:color w:val="auto"/>
        </w:rPr>
      </w:pPr>
      <w:r>
        <w:rPr>
          <w:rFonts w:ascii="Arial" w:cs="Arial" w:eastAsia="Arial" w:hAnsi="Arial"/>
          <w:sz w:val="15"/>
          <w:szCs w:val="15"/>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200" w:lineRule="exact"/>
        <w:rPr>
          <w:sz w:val="20"/>
          <w:szCs w:val="20"/>
          <w:color w:val="auto"/>
        </w:rPr>
      </w:pPr>
    </w:p>
    <w:p>
      <w:pPr>
        <w:ind w:right="20" w:firstLine="263"/>
        <w:spacing w:after="0" w:line="301" w:lineRule="auto"/>
        <w:rPr>
          <w:sz w:val="20"/>
          <w:szCs w:val="20"/>
          <w:color w:val="auto"/>
        </w:rPr>
      </w:pPr>
      <w:r>
        <w:rPr>
          <w:rFonts w:ascii="Arial" w:cs="Arial" w:eastAsia="Arial" w:hAnsi="Arial"/>
          <w:sz w:val="13"/>
          <w:szCs w:val="13"/>
          <w:color w:val="auto"/>
        </w:rPr>
        <w:t>The Senior Secured Notes were issued with a fixed rate of interest, and as such, a change in interest rates would impact the fair value of the Senior Secured Notes but such a change would have no impact on our results of operations or cash flows. A 100-basis point increase or decrease in the market interest rate would decrease or increase the fair value of our fixed rate debt by approximately $52 million. The sensitivity analysis presented is based on certain simplifying assumptions, including instantaneous change in interest rate and parallel shifts in the yield curve. We do not currently have any derivative arrangements to protect against fluctuations in interest rates applicable to our outstanding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200" w:lineRule="exact"/>
        <w:rPr>
          <w:sz w:val="20"/>
          <w:szCs w:val="20"/>
          <w:color w:val="auto"/>
        </w:rPr>
      </w:pPr>
    </w:p>
    <w:p>
      <w:pPr>
        <w:ind w:right="20" w:firstLine="263"/>
        <w:spacing w:after="0" w:line="250" w:lineRule="auto"/>
        <w:rPr>
          <w:sz w:val="20"/>
          <w:szCs w:val="20"/>
          <w:color w:val="auto"/>
        </w:rPr>
      </w:pPr>
      <w:r>
        <w:rPr>
          <w:rFonts w:ascii="Arial" w:cs="Arial" w:eastAsia="Arial" w:hAnsi="Arial"/>
          <w:sz w:val="15"/>
          <w:szCs w:val="15"/>
          <w:color w:val="auto"/>
        </w:rPr>
        <w:t>We primarily conduct our operations in U.S. dollars, and as such, our results of operations and cash flows have not materially been impacted by fluctuations due to changes in foreign currency exchange rates. We currently incur a limited amount of costs in foreign jurisdictions that are paid in local currencies, but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7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204" w:lineRule="exact"/>
        <w:rPr>
          <w:sz w:val="20"/>
          <w:szCs w:val="20"/>
          <w:color w:val="auto"/>
        </w:rPr>
      </w:pPr>
    </w:p>
    <w:p>
      <w:pPr>
        <w:ind w:firstLine="263"/>
        <w:spacing w:after="0" w:line="263" w:lineRule="auto"/>
        <w:rPr>
          <w:sz w:val="20"/>
          <w:szCs w:val="20"/>
          <w:color w:val="auto"/>
        </w:rPr>
      </w:pPr>
      <w:r>
        <w:rPr>
          <w:rFonts w:ascii="Arial" w:cs="Arial" w:eastAsia="Arial" w:hAnsi="Arial"/>
          <w:sz w:val="15"/>
          <w:szCs w:val="15"/>
          <w:color w:val="auto"/>
        </w:rPr>
        <w:t>Our Consolidated Financial Statements, together with the report of our independent registered public accounting firm, begin on page F-1 of this Annual Report and are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200" w:lineRule="exact"/>
        <w:rPr>
          <w:sz w:val="20"/>
          <w:szCs w:val="20"/>
          <w:color w:val="auto"/>
        </w:rPr>
      </w:pPr>
    </w:p>
    <w:p>
      <w:pPr>
        <w:ind w:firstLine="263"/>
        <w:spacing w:after="0" w:line="293" w:lineRule="auto"/>
        <w:rPr>
          <w:sz w:val="20"/>
          <w:szCs w:val="20"/>
          <w:color w:val="auto"/>
        </w:rPr>
      </w:pPr>
      <w:r>
        <w:rPr>
          <w:rFonts w:ascii="Arial" w:cs="Arial" w:eastAsia="Arial" w:hAnsi="Arial"/>
          <w:sz w:val="13"/>
          <w:szCs w:val="13"/>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2020.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2020 at the reasonable assurance level.</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200" w:lineRule="exact"/>
        <w:rPr>
          <w:sz w:val="20"/>
          <w:szCs w:val="20"/>
          <w:color w:val="auto"/>
        </w:rPr>
      </w:pPr>
    </w:p>
    <w:p>
      <w:pPr>
        <w:ind w:right="180" w:firstLine="263"/>
        <w:spacing w:after="0" w:line="263" w:lineRule="auto"/>
        <w:rPr>
          <w:sz w:val="20"/>
          <w:szCs w:val="20"/>
          <w:color w:val="auto"/>
        </w:rPr>
      </w:pPr>
      <w:r>
        <w:rPr>
          <w:rFonts w:ascii="Arial" w:cs="Arial" w:eastAsia="Arial" w:hAnsi="Arial"/>
          <w:sz w:val="15"/>
          <w:szCs w:val="15"/>
          <w:color w:val="auto"/>
        </w:rPr>
        <w:t>There were no changes in our internal control over financial reporting (as defined in Rule 13a-15(f) and Rule 15d-15(f) under the Exchange Act) that occurred during our last quarter of 2020 that have materially affected, or are reasonably likely to materially affect, our internal control over financial reporting.</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82" w:name="page83"/>
    <w:bookmarkEnd w:id="8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Report on Internal Control Over Financial Reporting</w:t>
      </w:r>
    </w:p>
    <w:p>
      <w:pPr>
        <w:spacing w:after="0" w:line="200" w:lineRule="exact"/>
        <w:rPr>
          <w:sz w:val="20"/>
          <w:szCs w:val="20"/>
          <w:color w:val="auto"/>
        </w:rPr>
      </w:pPr>
    </w:p>
    <w:p>
      <w:pPr>
        <w:ind w:firstLine="263"/>
        <w:spacing w:after="0" w:line="248"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3" w:lineRule="exact"/>
        <w:rPr>
          <w:sz w:val="20"/>
          <w:szCs w:val="20"/>
          <w:color w:val="auto"/>
        </w:rPr>
      </w:pPr>
    </w:p>
    <w:p>
      <w:pPr>
        <w:jc w:val="both"/>
        <w:ind w:right="200" w:firstLine="263"/>
        <w:spacing w:after="0" w:line="253" w:lineRule="auto"/>
        <w:rPr>
          <w:sz w:val="20"/>
          <w:szCs w:val="20"/>
          <w:color w:val="auto"/>
        </w:rPr>
      </w:pPr>
      <w:r>
        <w:rPr>
          <w:rFonts w:ascii="Arial" w:cs="Arial" w:eastAsia="Arial" w:hAnsi="Arial"/>
          <w:sz w:val="15"/>
          <w:szCs w:val="15"/>
          <w:color w:val="auto"/>
        </w:rPr>
        <w:t>As of December 31, 2020, our management assessed the effectiveness of our internal control over financial reporting based on the framework set forth by the Committee of Sponsoring Organizations of the Treadway Commission in “Internal Control – Integrated Framework (2013)”. Based on this assessment, management determined that we maintained effective internal control over financial reporting as of December 31, 2020.</w:t>
      </w:r>
    </w:p>
    <w:p>
      <w:pPr>
        <w:spacing w:after="0" w:line="178" w:lineRule="exact"/>
        <w:rPr>
          <w:sz w:val="20"/>
          <w:szCs w:val="20"/>
          <w:color w:val="auto"/>
        </w:rPr>
      </w:pPr>
    </w:p>
    <w:p>
      <w:pPr>
        <w:ind w:right="300" w:firstLine="263"/>
        <w:spacing w:after="0" w:line="263" w:lineRule="auto"/>
        <w:rPr>
          <w:sz w:val="20"/>
          <w:szCs w:val="20"/>
          <w:color w:val="auto"/>
        </w:rPr>
      </w:pPr>
      <w:r>
        <w:rPr>
          <w:rFonts w:ascii="Arial" w:cs="Arial" w:eastAsia="Arial" w:hAnsi="Arial"/>
          <w:sz w:val="15"/>
          <w:szCs w:val="15"/>
          <w:color w:val="auto"/>
        </w:rPr>
        <w:t>The effectiveness of our internal control over financial reporting as of December 31, 2020 has been audited by EY, an independent registered public accounting firm, as stated in their report, which appears herein.</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83" w:name="page84"/>
    <w:bookmarkEnd w:id="8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PART III</w:t>
      </w:r>
    </w:p>
    <w:p>
      <w:pPr>
        <w:spacing w:after="0" w:line="200"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information required by this Item 10 is set forth in the Company’s Proxy Statement to be filed with the SEC within 120 days after December 31, 2020 in connection with our 2021 annual meeting of shareholders and is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information required by this Item 11 is set forth in the Company’s Proxy Statement to be filed with the SEC within 120 days after December 31, 2020 in connection with our 2021 annual meeting of shareholders and is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Shareholder Matters.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information required by this Item 12 is set forth in the Company’s Proxy Statement to be filed with the SEC within 120 days after December 31, 2020 in connection with our 2021 annual meeting of shareholders and is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information required by this Item 13 is set forth in the Company’s Proxy Statement to be filed with the SEC within 120 days after December 31, 2020 in connection with our 2021 annual meeting of shareholders and is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information required by this Item 14 is set forth in the Company’s Proxy Statement to be filed with the SEC within 120 days after December 31, 2020 in connection with our 2021 annual meeting of shareholders and is incorporated herein by reference.</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140"/>
          </w:cols>
          <w:pgMar w:left="300" w:top="124" w:right="459" w:bottom="1440" w:gutter="0" w:footer="0" w:header="0"/>
        </w:sectPr>
      </w:pPr>
    </w:p>
    <w:bookmarkStart w:id="84" w:name="page85"/>
    <w:bookmarkEnd w:id="8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IV</w:t>
      </w:r>
    </w:p>
    <w:p>
      <w:pPr>
        <w:spacing w:after="0" w:line="200"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Exhibits, Financial Statement Schedules.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(a)(1)</w:t>
        <w:tab/>
        <w:t>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See “Index to Financial Statements” set forth on page F-1.</w:t>
      </w:r>
    </w:p>
    <w:p>
      <w:pPr>
        <w:spacing w:after="0" w:line="200" w:lineRule="exact"/>
        <w:rPr>
          <w:sz w:val="20"/>
          <w:szCs w:val="20"/>
          <w:color w:val="auto"/>
        </w:rPr>
      </w:pPr>
    </w:p>
    <w:p>
      <w:pPr>
        <w:ind w:right="8920" w:firstLine="8"/>
        <w:spacing w:after="0" w:line="598" w:lineRule="auto"/>
        <w:tabs>
          <w:tab w:leader="none" w:pos="526" w:val="left"/>
        </w:tabs>
        <w:numPr>
          <w:ilvl w:val="0"/>
          <w:numId w:val="50"/>
        </w:numPr>
        <w:rPr>
          <w:rFonts w:ascii="Arial" w:cs="Arial" w:eastAsia="Arial" w:hAnsi="Arial"/>
          <w:sz w:val="13"/>
          <w:szCs w:val="13"/>
          <w:color w:val="auto"/>
        </w:rPr>
      </w:pPr>
      <w:r>
        <w:rPr>
          <w:rFonts w:ascii="Arial" w:cs="Arial" w:eastAsia="Arial" w:hAnsi="Arial"/>
          <w:sz w:val="13"/>
          <w:szCs w:val="13"/>
          <w:color w:val="auto"/>
        </w:rPr>
        <w:t>Financial Statement Schedules. See Schedule II set forth on page F-31.</w:t>
      </w:r>
    </w:p>
    <w:p>
      <w:pPr>
        <w:spacing w:after="0" w:line="1"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Exhibits.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exhibits required to be filed by this Item 15(b) are set forth in the Exhibit Index included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ind w:left="300"/>
              <w:spacing w:after="0"/>
              <w:rPr>
                <w:sz w:val="20"/>
                <w:szCs w:val="20"/>
                <w:color w:val="auto"/>
              </w:rPr>
            </w:pPr>
            <w:r>
              <w:rPr>
                <w:rFonts w:ascii="Arial" w:cs="Arial" w:eastAsia="Arial" w:hAnsi="Arial"/>
                <w:sz w:val="15"/>
                <w:szCs w:val="15"/>
                <w:b w:val="1"/>
                <w:bCs w:val="1"/>
                <w:color w:val="auto"/>
              </w:rPr>
              <w:t>Exhibit</w:t>
            </w:r>
          </w:p>
        </w:tc>
        <w:tc>
          <w:tcPr>
            <w:tcW w:w="180" w:type="dxa"/>
            <w:vAlign w:val="bottom"/>
          </w:tcPr>
          <w:p>
            <w:pPr>
              <w:spacing w:after="0"/>
              <w:rPr>
                <w:sz w:val="15"/>
                <w:szCs w:val="15"/>
                <w:color w:val="auto"/>
              </w:rPr>
            </w:pPr>
          </w:p>
        </w:tc>
        <w:tc>
          <w:tcPr>
            <w:tcW w:w="10060" w:type="dxa"/>
            <w:vAlign w:val="bottom"/>
          </w:tcPr>
          <w:p>
            <w:pPr>
              <w:spacing w:after="0"/>
              <w:rPr>
                <w:sz w:val="15"/>
                <w:szCs w:val="15"/>
                <w:color w:val="auto"/>
              </w:rPr>
            </w:pPr>
          </w:p>
        </w:tc>
      </w:tr>
      <w:tr>
        <w:trPr>
          <w:trHeight w:val="192"/>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Number</w:t>
            </w:r>
          </w:p>
        </w:tc>
        <w:tc>
          <w:tcPr>
            <w:tcW w:w="180" w:type="dxa"/>
            <w:vAlign w:val="bottom"/>
            <w:tcBorders>
              <w:bottom w:val="single" w:sz="8" w:color="CCEEFF"/>
            </w:tcBorders>
          </w:tcPr>
          <w:p>
            <w:pPr>
              <w:spacing w:after="0"/>
              <w:rPr>
                <w:sz w:val="16"/>
                <w:szCs w:val="16"/>
                <w:color w:val="auto"/>
              </w:rPr>
            </w:pPr>
          </w:p>
        </w:tc>
        <w:tc>
          <w:tcPr>
            <w:tcW w:w="10060" w:type="dxa"/>
            <w:vAlign w:val="bottom"/>
            <w:tcBorders>
              <w:bottom w:val="single" w:sz="8" w:color="auto"/>
            </w:tcBorders>
          </w:tcPr>
          <w:p>
            <w:pPr>
              <w:ind w:left="4680"/>
              <w:spacing w:after="0"/>
              <w:rPr>
                <w:sz w:val="20"/>
                <w:szCs w:val="20"/>
                <w:color w:val="auto"/>
              </w:rPr>
            </w:pPr>
            <w:r>
              <w:rPr>
                <w:rFonts w:ascii="Arial" w:cs="Arial" w:eastAsia="Arial" w:hAnsi="Arial"/>
                <w:sz w:val="15"/>
                <w:szCs w:val="15"/>
                <w:b w:val="1"/>
                <w:bCs w:val="1"/>
                <w:color w:val="auto"/>
              </w:rPr>
              <w:t>Description</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95">
              <w:r>
                <w:rPr>
                  <w:rFonts w:ascii="Arial" w:cs="Arial" w:eastAsia="Arial" w:hAnsi="Arial"/>
                  <w:sz w:val="15"/>
                  <w:szCs w:val="15"/>
                  <w:u w:val="single" w:color="auto"/>
                  <w:color w:val="0000EE"/>
                </w:rPr>
                <w:t>2.1</w:t>
              </w:r>
            </w:hyperlink>
          </w:p>
        </w:tc>
        <w:tc>
          <w:tcPr>
            <w:tcW w:w="180" w:type="dxa"/>
            <w:vAlign w:val="bottom"/>
            <w:shd w:val="clear" w:color="auto" w:fill="CCEEFF"/>
          </w:tcPr>
          <w:p>
            <w:pPr>
              <w:spacing w:after="0"/>
              <w:rPr>
                <w:sz w:val="14"/>
                <w:szCs w:val="14"/>
                <w:color w:val="auto"/>
              </w:rPr>
            </w:pPr>
          </w:p>
        </w:tc>
        <w:tc>
          <w:tcPr>
            <w:tcW w:w="1006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2"/>
              </w:rPr>
              <w:t>Agreement and Plan of Merger, dated as of January 13, 2021, by and among NFE, GMLP Merger Sub, GP Buyer, GMLP and the General Partner (incorporated by</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reference to Exhibit 2.1 to the Registrant’s Form 8-K (File No. 001-38790), filed with the Commission on January 20, 2021)</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96">
              <w:r>
                <w:rPr>
                  <w:rFonts w:ascii="Arial" w:cs="Arial" w:eastAsia="Arial" w:hAnsi="Arial"/>
                  <w:sz w:val="15"/>
                  <w:szCs w:val="15"/>
                  <w:u w:val="single" w:color="auto"/>
                  <w:color w:val="0000EE"/>
                </w:rPr>
                <w:t>2.2</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89"/>
              </w:rPr>
              <w:t>Transfer Agreement, dated as of January 13, 2021, by and among GP Buyer, GLNG and the General Partner (incorporated by reference to Exhibit 2.2 to the Registrant’s</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Form 8-K (File No. 001-38790), filed with the Commission on January 20, 2021)</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97">
              <w:r>
                <w:rPr>
                  <w:rFonts w:ascii="Arial" w:cs="Arial" w:eastAsia="Arial" w:hAnsi="Arial"/>
                  <w:sz w:val="15"/>
                  <w:szCs w:val="15"/>
                  <w:u w:val="single" w:color="auto"/>
                  <w:color w:val="0000EE"/>
                </w:rPr>
                <w:t>2.3</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1"/>
              </w:rPr>
              <w:t>Agreement and Plan of Merger, dated as of January 13, 2021, by and among NFE, Hygo Merger Sub, Hygo and the Hygo Shareholders (incorporated by reference to</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Exhibit 2.3 to the Registrant’s Form 8-K (File No. 001-38790), filed with the Commission on January 20, 2021)</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98">
              <w:r>
                <w:rPr>
                  <w:rFonts w:ascii="Arial" w:cs="Arial" w:eastAsia="Arial" w:hAnsi="Arial"/>
                  <w:sz w:val="15"/>
                  <w:szCs w:val="15"/>
                  <w:u w:val="single" w:color="auto"/>
                  <w:color w:val="0000EE"/>
                </w:rPr>
                <w:t>3.1</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92"/>
              </w:rPr>
              <w:t>Certificate of Formation of New Fortress Energy LLC (incorporated by reference to Exhibit 3.1 to the Registrant’s Registration Statement on Form S-1 (File No. 333-</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228339), filed with the Commission on November 9, 2018)</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99">
              <w:r>
                <w:rPr>
                  <w:rFonts w:ascii="Arial" w:cs="Arial" w:eastAsia="Arial" w:hAnsi="Arial"/>
                  <w:sz w:val="15"/>
                  <w:szCs w:val="15"/>
                  <w:u w:val="single" w:color="auto"/>
                  <w:color w:val="0000EE"/>
                </w:rPr>
                <w:t>3.2</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0"/>
              </w:rPr>
              <w:t>Certificate of Amendment to Certificate of Formation of New Fortress Energy LLC (incorporated by reference to Exhibit 3.2 to the Registrant’s Registration Statement on</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Form S-1 (File No. 333-228339), filed with the Commission on November 9, 2018)</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100">
              <w:r>
                <w:rPr>
                  <w:rFonts w:ascii="Arial" w:cs="Arial" w:eastAsia="Arial" w:hAnsi="Arial"/>
                  <w:sz w:val="15"/>
                  <w:szCs w:val="15"/>
                  <w:u w:val="single" w:color="auto"/>
                  <w:color w:val="0000EE"/>
                </w:rPr>
                <w:t>3.3</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90"/>
              </w:rPr>
              <w:t>First Amended and Restated Limited Liability Company Agreement of New Fortress Energy LLC, dated February 4, 2019 (incorporated by reference to Exhibit 3.1 to the</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Registrant’s Form 8-K (File No. 001-38790), filed with the Commission on February 5, 2019)</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01">
              <w:r>
                <w:rPr>
                  <w:rFonts w:ascii="Arial" w:cs="Arial" w:eastAsia="Arial" w:hAnsi="Arial"/>
                  <w:sz w:val="15"/>
                  <w:szCs w:val="15"/>
                  <w:u w:val="single" w:color="auto"/>
                  <w:color w:val="0000EE"/>
                </w:rPr>
                <w:t>3.4</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3"/>
              </w:rPr>
              <w:t>Certificate of Incorporation of New Fortress Energy Inc. (incorporated herein by reference to Exhibit 99.3 of the Company’s Quarterly Report on Form 10-Q filed on</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August 4, 2020)</w:t>
            </w:r>
          </w:p>
        </w:tc>
      </w:tr>
      <w:tr>
        <w:trPr>
          <w:trHeight w:val="175"/>
        </w:trPr>
        <w:tc>
          <w:tcPr>
            <w:tcW w:w="1040" w:type="dxa"/>
            <w:vAlign w:val="bottom"/>
          </w:tcPr>
          <w:p>
            <w:pPr>
              <w:spacing w:after="0"/>
              <w:rPr>
                <w:rFonts w:ascii="Arial" w:cs="Arial" w:eastAsia="Arial" w:hAnsi="Arial"/>
                <w:sz w:val="15"/>
                <w:szCs w:val="15"/>
                <w:u w:val="single" w:color="auto"/>
                <w:color w:val="0000EE"/>
              </w:rPr>
            </w:pPr>
            <w:hyperlink r:id="rId102">
              <w:r>
                <w:rPr>
                  <w:rFonts w:ascii="Arial" w:cs="Arial" w:eastAsia="Arial" w:hAnsi="Arial"/>
                  <w:sz w:val="15"/>
                  <w:szCs w:val="15"/>
                  <w:u w:val="single" w:color="auto"/>
                  <w:color w:val="0000EE"/>
                </w:rPr>
                <w:t>3.5</w:t>
              </w:r>
            </w:hyperlink>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w w:val="94"/>
              </w:rPr>
              <w:t>Bylaws of New Fortress Energy Inc. (incorporated herein by reference to Exhibit 99.4 of the Company’s Quarterly Report on Form 10-Q filed on August 4, 2020)</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03">
              <w:r>
                <w:rPr>
                  <w:rFonts w:ascii="Arial" w:cs="Arial" w:eastAsia="Arial" w:hAnsi="Arial"/>
                  <w:sz w:val="15"/>
                  <w:szCs w:val="15"/>
                  <w:u w:val="single" w:color="auto"/>
                  <w:color w:val="0000EE"/>
                </w:rPr>
                <w:t>4.1</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2"/>
              </w:rPr>
              <w:t>Description of the Registrant’s Securities Registered Pursuant to Section 12 of the Securities Exchange Act of 1934 (incorporated by reference to Exhibit 99.1 to the</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Registrant's Current Report on Form 8-K (File No. 001-38790), filed with the Commission on August 7, 2020)</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104">
              <w:r>
                <w:rPr>
                  <w:rFonts w:ascii="Arial" w:cs="Arial" w:eastAsia="Arial" w:hAnsi="Arial"/>
                  <w:sz w:val="15"/>
                  <w:szCs w:val="15"/>
                  <w:u w:val="single" w:color="auto"/>
                  <w:color w:val="0000EE"/>
                </w:rPr>
                <w:t>4.2</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94"/>
              </w:rPr>
              <w:t>Indenture, dated September 2, 2020, by and among New Fortress Energy Inc., the subsidiary guarantors from time to time party thereto, and U.S. Bank National</w:t>
            </w:r>
          </w:p>
        </w:tc>
      </w:tr>
      <w:tr>
        <w:trPr>
          <w:trHeight w:val="175"/>
        </w:trPr>
        <w:tc>
          <w:tcPr>
            <w:tcW w:w="1040" w:type="dxa"/>
            <w:vAlign w:val="bottom"/>
          </w:tcPr>
          <w:p>
            <w:pPr>
              <w:spacing w:after="0"/>
              <w:rPr>
                <w:sz w:val="15"/>
                <w:szCs w:val="15"/>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w w:val="90"/>
              </w:rPr>
              <w:t>Association, as trustee and collateral agent (incorporated by reference to Exhibit 4.1 to the Registrant’s Current Report on Form 8-K (File No. 001-38790), filed with the</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Commission on September 2, 2020)</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05">
              <w:r>
                <w:rPr>
                  <w:rFonts w:ascii="Arial" w:cs="Arial" w:eastAsia="Arial" w:hAnsi="Arial"/>
                  <w:sz w:val="15"/>
                  <w:szCs w:val="15"/>
                  <w:u w:val="single" w:color="auto"/>
                  <w:color w:val="0000EE"/>
                </w:rPr>
                <w:t>4.3</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88"/>
              </w:rPr>
              <w:t>First Supplemental Indenture, dated December 17, 2020, by and among New Fortress Energy Inc., the subsidiary guarantors from time to time party thereto and U.S. Bank</w:t>
            </w:r>
          </w:p>
        </w:tc>
      </w:tr>
      <w:tr>
        <w:trPr>
          <w:trHeight w:val="175"/>
        </w:trPr>
        <w:tc>
          <w:tcPr>
            <w:tcW w:w="1040" w:type="dxa"/>
            <w:vAlign w:val="bottom"/>
            <w:shd w:val="clear" w:color="auto" w:fill="CCEEFF"/>
          </w:tcPr>
          <w:p>
            <w:pPr>
              <w:spacing w:after="0"/>
              <w:rPr>
                <w:sz w:val="15"/>
                <w:szCs w:val="15"/>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2"/>
              </w:rPr>
              <w:t>National Association, as trustee and as notes collateral agent (incorporated by reference to Exhibit 4.1 to the Registrant’s Current Report on Form 8-K (File No. 001-</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38790), filed with the Commission on December 18, 2020)</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106">
              <w:r>
                <w:rPr>
                  <w:rFonts w:ascii="Arial" w:cs="Arial" w:eastAsia="Arial" w:hAnsi="Arial"/>
                  <w:sz w:val="15"/>
                  <w:szCs w:val="15"/>
                  <w:u w:val="single" w:color="auto"/>
                  <w:color w:val="0000EE"/>
                </w:rPr>
                <w:t>4.4</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89"/>
              </w:rPr>
              <w:t>Pledge and Security Agreement, by and among New Fortress Energy Inc., the subsidiary guarantees from time to time party thereto, and U.S. Bank National Association,</w:t>
            </w:r>
          </w:p>
        </w:tc>
      </w:tr>
      <w:tr>
        <w:trPr>
          <w:trHeight w:val="175"/>
        </w:trPr>
        <w:tc>
          <w:tcPr>
            <w:tcW w:w="1040" w:type="dxa"/>
            <w:vAlign w:val="bottom"/>
          </w:tcPr>
          <w:p>
            <w:pPr>
              <w:spacing w:after="0"/>
              <w:rPr>
                <w:sz w:val="15"/>
                <w:szCs w:val="15"/>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w w:val="90"/>
              </w:rPr>
              <w:t>as trustee and collateral agent (incorporated by reference to Exhibit 4.2 to the Registrant’s Current Report on Form 8-K (File No. 001-38790), filed with the Commission</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on September 2, 2020)</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07">
              <w:r>
                <w:rPr>
                  <w:rFonts w:ascii="Arial" w:cs="Arial" w:eastAsia="Arial" w:hAnsi="Arial"/>
                  <w:sz w:val="15"/>
                  <w:szCs w:val="15"/>
                  <w:u w:val="single" w:color="auto"/>
                  <w:color w:val="0000EE"/>
                </w:rPr>
                <w:t>10.1</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1"/>
              </w:rPr>
              <w:t>Contribution Agreement, dated February 4, 2019, by and among New Fortress Energy LLC, New Fortress Intermediate LLC, New Fortress Energy Holdings LLC, NFE</w:t>
            </w:r>
          </w:p>
        </w:tc>
      </w:tr>
      <w:tr>
        <w:trPr>
          <w:trHeight w:val="175"/>
        </w:trPr>
        <w:tc>
          <w:tcPr>
            <w:tcW w:w="1040" w:type="dxa"/>
            <w:vAlign w:val="bottom"/>
            <w:shd w:val="clear" w:color="auto" w:fill="CCEEFF"/>
          </w:tcPr>
          <w:p>
            <w:pPr>
              <w:spacing w:after="0"/>
              <w:rPr>
                <w:sz w:val="15"/>
                <w:szCs w:val="15"/>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2"/>
              </w:rPr>
              <w:t>Atlantic Holdings LLC and NFE Sub LLC (incorporated by reference to Exhibit 10.1 to the Registrant’s Form 8-K (File No. 001-38790), filed with the Commission on</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February 5, 2019)</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108">
              <w:r>
                <w:rPr>
                  <w:rFonts w:ascii="Arial" w:cs="Arial" w:eastAsia="Arial" w:hAnsi="Arial"/>
                  <w:sz w:val="15"/>
                  <w:szCs w:val="15"/>
                  <w:u w:val="single" w:color="auto"/>
                  <w:color w:val="0000EE"/>
                </w:rPr>
                <w:t>10.2</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89"/>
              </w:rPr>
              <w:t>Amended and Restated Limited Liability Company Agreement of New Fortress Intermediate LLC, dated February 4, 2019 (incorporated by reference to Exhibit 10.2 to the</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Registrant’s Form 8-K (File No. 001-38790), filed with the Commission on February 5, 2019)</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09">
              <w:r>
                <w:rPr>
                  <w:rFonts w:ascii="Arial" w:cs="Arial" w:eastAsia="Arial" w:hAnsi="Arial"/>
                  <w:sz w:val="15"/>
                  <w:szCs w:val="15"/>
                  <w:u w:val="single" w:color="auto"/>
                  <w:color w:val="0000EE"/>
                </w:rPr>
                <w:t>10.3†</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0"/>
              </w:rPr>
              <w:t>New Fortress Energy LLC 2019 Omnibus Incentive Plan (incorporated by reference to Exhibit 4.4 to the Registrant’s Registration Statement on Form S-8 (File No. 333-</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229507), filed with the Commission on February 4, 2019)</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110">
              <w:r>
                <w:rPr>
                  <w:rFonts w:ascii="Arial" w:cs="Arial" w:eastAsia="Arial" w:hAnsi="Arial"/>
                  <w:sz w:val="15"/>
                  <w:szCs w:val="15"/>
                  <w:u w:val="single" w:color="auto"/>
                  <w:color w:val="0000EE"/>
                </w:rPr>
                <w:t>10.4†</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91"/>
              </w:rPr>
              <w:t>Form of Director Restricted Share Unit Award Agreement (incorporated by reference to Exhibit 10.4 to the Registrant’s Registration Statement on Form S-1/A (File No.</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333-228339), filed with the Commission on December 24, 2018)</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11">
              <w:r>
                <w:rPr>
                  <w:rFonts w:ascii="Arial" w:cs="Arial" w:eastAsia="Arial" w:hAnsi="Arial"/>
                  <w:sz w:val="15"/>
                  <w:szCs w:val="15"/>
                  <w:u w:val="single" w:color="auto"/>
                  <w:color w:val="0000EE"/>
                </w:rPr>
                <w:t>10.5†</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4"/>
              </w:rPr>
              <w:t>Offer Letter, dated March 14, 2017, by and between NFE Management LLC and Christopher Guinta (incorporated by reference to Exhibit 10.5 to the Registrant’s</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Registration Statement on Form S-1/A (File No. 333-228339), filed with the Commission on January 14, 2019)</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112">
              <w:r>
                <w:rPr>
                  <w:rFonts w:ascii="Arial" w:cs="Arial" w:eastAsia="Arial" w:hAnsi="Arial"/>
                  <w:sz w:val="15"/>
                  <w:szCs w:val="15"/>
                  <w:u w:val="single" w:color="auto"/>
                  <w:color w:val="0000EE"/>
                </w:rPr>
                <w:t>10.6†</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95"/>
              </w:rPr>
              <w:t>Offer Letter, dated August 30, 2018, by and between NFE Management LLC and Michael J. Utsler (incorporated by reference to Exhibit 10.6 to the Registrant’s</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Registration Statement on Form S-1/A (File No. 333-228339), filed with the Commission on January 14, 2019)</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13">
              <w:r>
                <w:rPr>
                  <w:rFonts w:ascii="Arial" w:cs="Arial" w:eastAsia="Arial" w:hAnsi="Arial"/>
                  <w:sz w:val="15"/>
                  <w:szCs w:val="15"/>
                  <w:u w:val="single" w:color="auto"/>
                  <w:color w:val="0000EE"/>
                </w:rPr>
                <w:t>10.7</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92"/>
              </w:rPr>
              <w:t>Shareholders’ Agreement, dated February 4, 2019, by and among New Fortress Energy LLC, New Fortress Energy Holdings LLC, Wesley R. Edens and Randal A.</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Nardone (incorporated by reference to Exhibit 4.1 to the Registrant’s Form 8-K (File No. 001-38790), filed with the Commission on February 5, 2019)</w:t>
            </w:r>
          </w:p>
        </w:tc>
      </w:tr>
      <w:tr>
        <w:trPr>
          <w:trHeight w:val="165"/>
        </w:trPr>
        <w:tc>
          <w:tcPr>
            <w:tcW w:w="1040" w:type="dxa"/>
            <w:vAlign w:val="bottom"/>
          </w:tcPr>
          <w:p>
            <w:pPr>
              <w:spacing w:after="0" w:line="165" w:lineRule="exact"/>
              <w:rPr>
                <w:rFonts w:ascii="Arial" w:cs="Arial" w:eastAsia="Arial" w:hAnsi="Arial"/>
                <w:sz w:val="15"/>
                <w:szCs w:val="15"/>
                <w:u w:val="single" w:color="auto"/>
                <w:color w:val="0000EE"/>
              </w:rPr>
            </w:pPr>
            <w:hyperlink r:id="rId114">
              <w:r>
                <w:rPr>
                  <w:rFonts w:ascii="Arial" w:cs="Arial" w:eastAsia="Arial" w:hAnsi="Arial"/>
                  <w:sz w:val="15"/>
                  <w:szCs w:val="15"/>
                  <w:u w:val="single" w:color="auto"/>
                  <w:color w:val="0000EE"/>
                </w:rPr>
                <w:t>10.8</w:t>
              </w:r>
            </w:hyperlink>
          </w:p>
        </w:tc>
        <w:tc>
          <w:tcPr>
            <w:tcW w:w="10240" w:type="dxa"/>
            <w:vAlign w:val="bottom"/>
            <w:gridSpan w:val="2"/>
          </w:tcPr>
          <w:p>
            <w:pPr>
              <w:ind w:left="180"/>
              <w:spacing w:after="0" w:line="165" w:lineRule="exact"/>
              <w:rPr>
                <w:sz w:val="20"/>
                <w:szCs w:val="20"/>
                <w:color w:val="auto"/>
              </w:rPr>
            </w:pPr>
            <w:r>
              <w:rPr>
                <w:rFonts w:ascii="Arial" w:cs="Arial" w:eastAsia="Arial" w:hAnsi="Arial"/>
                <w:sz w:val="15"/>
                <w:szCs w:val="15"/>
                <w:color w:val="auto"/>
                <w:w w:val="90"/>
              </w:rPr>
              <w:t>Administrative Services Agreement, dated February 4, 2019, by and between New Fortress Intermediate LLC and FIG LLC (incorporated by reference to Exhibit 10.3 to</w:t>
            </w:r>
          </w:p>
        </w:tc>
      </w:tr>
      <w:tr>
        <w:trPr>
          <w:trHeight w:val="186"/>
        </w:trPr>
        <w:tc>
          <w:tcPr>
            <w:tcW w:w="1040" w:type="dxa"/>
            <w:vAlign w:val="bottom"/>
          </w:tcPr>
          <w:p>
            <w:pPr>
              <w:spacing w:after="0"/>
              <w:rPr>
                <w:sz w:val="16"/>
                <w:szCs w:val="16"/>
                <w:color w:val="auto"/>
              </w:rPr>
            </w:pPr>
          </w:p>
        </w:tc>
        <w:tc>
          <w:tcPr>
            <w:tcW w:w="10240" w:type="dxa"/>
            <w:vAlign w:val="bottom"/>
            <w:gridSpan w:val="2"/>
          </w:tcPr>
          <w:p>
            <w:pPr>
              <w:ind w:left="180"/>
              <w:spacing w:after="0"/>
              <w:rPr>
                <w:sz w:val="20"/>
                <w:szCs w:val="20"/>
                <w:color w:val="auto"/>
              </w:rPr>
            </w:pPr>
            <w:r>
              <w:rPr>
                <w:rFonts w:ascii="Arial" w:cs="Arial" w:eastAsia="Arial" w:hAnsi="Arial"/>
                <w:sz w:val="15"/>
                <w:szCs w:val="15"/>
                <w:color w:val="auto"/>
              </w:rPr>
              <w:t>the Registrant’s Form 8-K (File No. 001-38790), filed with the Commission on February 5, 2019)</w:t>
            </w:r>
          </w:p>
        </w:tc>
      </w:tr>
      <w:tr>
        <w:trPr>
          <w:trHeight w:val="165"/>
        </w:trPr>
        <w:tc>
          <w:tcPr>
            <w:tcW w:w="1040" w:type="dxa"/>
            <w:vAlign w:val="bottom"/>
            <w:shd w:val="clear" w:color="auto" w:fill="CCEEFF"/>
          </w:tcPr>
          <w:p>
            <w:pPr>
              <w:spacing w:after="0" w:line="165" w:lineRule="exact"/>
              <w:rPr>
                <w:rFonts w:ascii="Arial" w:cs="Arial" w:eastAsia="Arial" w:hAnsi="Arial"/>
                <w:sz w:val="15"/>
                <w:szCs w:val="15"/>
                <w:u w:val="single" w:color="auto"/>
                <w:color w:val="0000EE"/>
              </w:rPr>
            </w:pPr>
            <w:hyperlink r:id="rId115">
              <w:r>
                <w:rPr>
                  <w:rFonts w:ascii="Arial" w:cs="Arial" w:eastAsia="Arial" w:hAnsi="Arial"/>
                  <w:sz w:val="15"/>
                  <w:szCs w:val="15"/>
                  <w:u w:val="single" w:color="auto"/>
                  <w:color w:val="0000EE"/>
                </w:rPr>
                <w:t>10.9</w:t>
              </w:r>
            </w:hyperlink>
          </w:p>
        </w:tc>
        <w:tc>
          <w:tcPr>
            <w:tcW w:w="1024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5"/>
                <w:szCs w:val="15"/>
                <w:color w:val="auto"/>
                <w:w w:val="88"/>
              </w:rPr>
              <w:t>Gas Sales Agreement, dated August 5, 2015, by and among New Fortress Energy LLC and Jamaica Public Service Company Limited (incorporated by reference to Exhibit</w:t>
            </w:r>
          </w:p>
        </w:tc>
      </w:tr>
      <w:tr>
        <w:trPr>
          <w:trHeight w:val="186"/>
        </w:trPr>
        <w:tc>
          <w:tcPr>
            <w:tcW w:w="104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10.12 to the Registrant’s Registration Statement on Form S-1 (File No. 333-228339), filed with the Commission on November 9, 2018)]</w:t>
            </w:r>
          </w:p>
        </w:tc>
      </w:tr>
      <w:tr>
        <w:trPr>
          <w:trHeight w:val="484"/>
        </w:trPr>
        <w:tc>
          <w:tcPr>
            <w:tcW w:w="1040" w:type="dxa"/>
            <w:vAlign w:val="bottom"/>
          </w:tcPr>
          <w:p>
            <w:pPr>
              <w:spacing w:after="0"/>
              <w:rPr>
                <w:sz w:val="24"/>
                <w:szCs w:val="24"/>
                <w:color w:val="auto"/>
              </w:rPr>
            </w:pPr>
          </w:p>
        </w:tc>
        <w:tc>
          <w:tcPr>
            <w:tcW w:w="10240" w:type="dxa"/>
            <w:vAlign w:val="bottom"/>
            <w:gridSpan w:val="2"/>
          </w:tcPr>
          <w:p>
            <w:pPr>
              <w:jc w:val="right"/>
              <w:ind w:right="5507"/>
              <w:spacing w:after="0"/>
              <w:rPr>
                <w:sz w:val="20"/>
                <w:szCs w:val="20"/>
                <w:color w:val="auto"/>
              </w:rPr>
            </w:pPr>
            <w:r>
              <w:rPr>
                <w:rFonts w:ascii="Arial" w:cs="Arial" w:eastAsia="Arial" w:hAnsi="Arial"/>
                <w:sz w:val="12"/>
                <w:szCs w:val="12"/>
                <w:color w:val="auto"/>
              </w:rPr>
              <w:t>83</w:t>
            </w:r>
          </w:p>
        </w:tc>
      </w:tr>
      <w:tr>
        <w:trPr>
          <w:trHeight w:val="34"/>
        </w:trPr>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sectPr>
      </w:pPr>
    </w:p>
    <w:bookmarkStart w:id="85" w:name="page86"/>
    <w:bookmarkEnd w:id="8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340"/>
              <w:spacing w:after="0"/>
              <w:rPr>
                <w:sz w:val="20"/>
                <w:szCs w:val="20"/>
                <w:color w:val="auto"/>
              </w:rPr>
            </w:pPr>
            <w:r>
              <w:rPr>
                <w:rFonts w:ascii="Arial" w:cs="Arial" w:eastAsia="Arial" w:hAnsi="Arial"/>
                <w:sz w:val="15"/>
                <w:szCs w:val="15"/>
                <w:b w:val="1"/>
                <w:bCs w:val="1"/>
                <w:color w:val="auto"/>
              </w:rPr>
              <w:t>Exhibit</w:t>
            </w:r>
          </w:p>
        </w:tc>
        <w:tc>
          <w:tcPr>
            <w:tcW w:w="10000" w:type="dxa"/>
            <w:vAlign w:val="bottom"/>
          </w:tcPr>
          <w:p>
            <w:pPr>
              <w:spacing w:after="0"/>
              <w:rPr>
                <w:sz w:val="15"/>
                <w:szCs w:val="15"/>
                <w:color w:val="auto"/>
              </w:rPr>
            </w:pPr>
          </w:p>
        </w:tc>
      </w:tr>
      <w:tr>
        <w:trPr>
          <w:trHeight w:val="192"/>
        </w:trPr>
        <w:tc>
          <w:tcPr>
            <w:tcW w:w="1280" w:type="dxa"/>
            <w:vAlign w:val="bottom"/>
            <w:gridSpan w:val="2"/>
          </w:tcPr>
          <w:p>
            <w:pPr>
              <w:ind w:left="300"/>
              <w:spacing w:after="0"/>
              <w:rPr>
                <w:sz w:val="20"/>
                <w:szCs w:val="20"/>
                <w:color w:val="auto"/>
              </w:rPr>
            </w:pPr>
            <w:r>
              <w:rPr>
                <w:rFonts w:ascii="Arial" w:cs="Arial" w:eastAsia="Arial" w:hAnsi="Arial"/>
                <w:sz w:val="15"/>
                <w:szCs w:val="15"/>
                <w:b w:val="1"/>
                <w:bCs w:val="1"/>
                <w:color w:val="auto"/>
              </w:rPr>
              <w:t>Number</w:t>
            </w:r>
          </w:p>
        </w:tc>
        <w:tc>
          <w:tcPr>
            <w:tcW w:w="10000" w:type="dxa"/>
            <w:vAlign w:val="bottom"/>
          </w:tcPr>
          <w:p>
            <w:pPr>
              <w:ind w:left="4640"/>
              <w:spacing w:after="0"/>
              <w:rPr>
                <w:sz w:val="20"/>
                <w:szCs w:val="20"/>
                <w:color w:val="auto"/>
              </w:rPr>
            </w:pPr>
            <w:r>
              <w:rPr>
                <w:rFonts w:ascii="Arial" w:cs="Arial" w:eastAsia="Arial" w:hAnsi="Arial"/>
                <w:sz w:val="15"/>
                <w:szCs w:val="15"/>
                <w:b w:val="1"/>
                <w:bCs w:val="1"/>
                <w:color w:val="auto"/>
              </w:rPr>
              <w:t>Description</w:t>
            </w:r>
          </w:p>
        </w:tc>
      </w:tr>
      <w:tr>
        <w:trPr>
          <w:trHeight w:val="165"/>
        </w:trPr>
        <w:tc>
          <w:tcPr>
            <w:tcW w:w="1120" w:type="dxa"/>
            <w:vAlign w:val="bottom"/>
            <w:tcBorders>
              <w:top w:val="single" w:sz="8" w:color="auto"/>
            </w:tcBorders>
            <w:shd w:val="clear" w:color="auto" w:fill="CCEEFF"/>
          </w:tcPr>
          <w:p>
            <w:pPr>
              <w:spacing w:after="0" w:line="165" w:lineRule="exact"/>
              <w:rPr>
                <w:rFonts w:ascii="Arial" w:cs="Arial" w:eastAsia="Arial" w:hAnsi="Arial"/>
                <w:sz w:val="15"/>
                <w:szCs w:val="15"/>
                <w:u w:val="single" w:color="auto"/>
                <w:color w:val="0000EE"/>
              </w:rPr>
            </w:pPr>
            <w:hyperlink r:id="rId115">
              <w:r>
                <w:rPr>
                  <w:rFonts w:ascii="Arial" w:cs="Arial" w:eastAsia="Arial" w:hAnsi="Arial"/>
                  <w:sz w:val="15"/>
                  <w:szCs w:val="15"/>
                  <w:u w:val="single" w:color="auto"/>
                  <w:color w:val="0000EE"/>
                </w:rPr>
                <w:t>‡10.10</w:t>
              </w:r>
            </w:hyperlink>
          </w:p>
        </w:tc>
        <w:tc>
          <w:tcPr>
            <w:tcW w:w="16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auto"/>
                <w:w w:val="91"/>
              </w:rPr>
              <w:t>Gas Sales Agreement, dated August 5, 2015, by and between New Fortress Energy LLC and Jamaica Public Service Company Limited (incorporated by reference to</w:t>
            </w:r>
          </w:p>
        </w:tc>
      </w:tr>
      <w:tr>
        <w:trPr>
          <w:trHeight w:val="186"/>
        </w:trPr>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Exhibit 10.12 to the Registrant’s Registration Statement on Form S-1 (File No. 333-228339), filed with the Commission on November 9, 2018)</w:t>
            </w:r>
          </w:p>
        </w:tc>
      </w:tr>
      <w:tr>
        <w:trPr>
          <w:trHeight w:val="165"/>
        </w:trPr>
        <w:tc>
          <w:tcPr>
            <w:tcW w:w="1280" w:type="dxa"/>
            <w:vAlign w:val="bottom"/>
            <w:gridSpan w:val="2"/>
          </w:tcPr>
          <w:p>
            <w:pPr>
              <w:spacing w:after="0" w:line="165" w:lineRule="exact"/>
              <w:rPr>
                <w:rFonts w:ascii="Arial" w:cs="Arial" w:eastAsia="Arial" w:hAnsi="Arial"/>
                <w:sz w:val="15"/>
                <w:szCs w:val="15"/>
                <w:u w:val="single" w:color="auto"/>
                <w:color w:val="0000EE"/>
              </w:rPr>
            </w:pPr>
            <w:hyperlink r:id="rId116">
              <w:r>
                <w:rPr>
                  <w:rFonts w:ascii="Arial" w:cs="Arial" w:eastAsia="Arial" w:hAnsi="Arial"/>
                  <w:sz w:val="15"/>
                  <w:szCs w:val="15"/>
                  <w:u w:val="single" w:color="auto"/>
                  <w:color w:val="0000EE"/>
                </w:rPr>
                <w:t>‡10.11</w:t>
              </w:r>
            </w:hyperlink>
          </w:p>
        </w:tc>
        <w:tc>
          <w:tcPr>
            <w:tcW w:w="10000" w:type="dxa"/>
            <w:vAlign w:val="bottom"/>
          </w:tcPr>
          <w:p>
            <w:pPr>
              <w:spacing w:after="0" w:line="165" w:lineRule="exact"/>
              <w:rPr>
                <w:sz w:val="20"/>
                <w:szCs w:val="20"/>
                <w:color w:val="auto"/>
              </w:rPr>
            </w:pPr>
            <w:r>
              <w:rPr>
                <w:rFonts w:ascii="Arial" w:cs="Arial" w:eastAsia="Arial" w:hAnsi="Arial"/>
                <w:sz w:val="15"/>
                <w:szCs w:val="15"/>
                <w:color w:val="auto"/>
                <w:w w:val="96"/>
              </w:rPr>
              <w:t>First Amendment to Gas Sales Agreement, dated May 23, 2016, by and between NFE North Holdings Limited and Jamaica Public Service Company Limited</w:t>
            </w:r>
          </w:p>
        </w:tc>
      </w:tr>
      <w:tr>
        <w:trPr>
          <w:trHeight w:val="175"/>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Arial" w:cs="Arial" w:eastAsia="Arial" w:hAnsi="Arial"/>
                <w:sz w:val="15"/>
                <w:szCs w:val="15"/>
                <w:color w:val="auto"/>
                <w:w w:val="91"/>
              </w:rPr>
              <w:t>(incorporated by reference to Exhibit 10.13 to the Registrant’s Registration Statement on Form S-1 (File No. 333-228339), filed with the Commission on November 9,</w:t>
            </w:r>
          </w:p>
        </w:tc>
      </w:tr>
      <w:tr>
        <w:trPr>
          <w:trHeight w:val="186"/>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2018)</w:t>
            </w:r>
          </w:p>
        </w:tc>
      </w:tr>
      <w:tr>
        <w:trPr>
          <w:trHeight w:val="165"/>
        </w:trPr>
        <w:tc>
          <w:tcPr>
            <w:tcW w:w="1280" w:type="dxa"/>
            <w:vAlign w:val="bottom"/>
            <w:gridSpan w:val="2"/>
            <w:shd w:val="clear" w:color="auto" w:fill="CCEEFF"/>
          </w:tcPr>
          <w:p>
            <w:pPr>
              <w:spacing w:after="0" w:line="165" w:lineRule="exact"/>
              <w:rPr>
                <w:rFonts w:ascii="Arial" w:cs="Arial" w:eastAsia="Arial" w:hAnsi="Arial"/>
                <w:sz w:val="15"/>
                <w:szCs w:val="15"/>
                <w:u w:val="single" w:color="auto"/>
                <w:color w:val="0000EE"/>
              </w:rPr>
            </w:pPr>
            <w:hyperlink r:id="rId117">
              <w:r>
                <w:rPr>
                  <w:rFonts w:ascii="Arial" w:cs="Arial" w:eastAsia="Arial" w:hAnsi="Arial"/>
                  <w:sz w:val="15"/>
                  <w:szCs w:val="15"/>
                  <w:u w:val="single" w:color="auto"/>
                  <w:color w:val="0000EE"/>
                </w:rPr>
                <w:t>10.12†</w:t>
              </w:r>
            </w:hyperlink>
          </w:p>
        </w:tc>
        <w:tc>
          <w:tcPr>
            <w:tcW w:w="1000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89"/>
              </w:rPr>
              <w:t>Indemnification Agreement (Edens) (incorporated by reference to Exhibit 10.4 to the Registrant’s Form 8-K (File No. 001-38790), filed with the Commission on February</w:t>
            </w:r>
          </w:p>
        </w:tc>
      </w:tr>
      <w:tr>
        <w:trPr>
          <w:trHeight w:val="186"/>
        </w:trPr>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5, 2019)</w:t>
            </w:r>
          </w:p>
        </w:tc>
      </w:tr>
      <w:tr>
        <w:trPr>
          <w:trHeight w:val="165"/>
        </w:trPr>
        <w:tc>
          <w:tcPr>
            <w:tcW w:w="1280" w:type="dxa"/>
            <w:vAlign w:val="bottom"/>
            <w:gridSpan w:val="2"/>
          </w:tcPr>
          <w:p>
            <w:pPr>
              <w:spacing w:after="0" w:line="165" w:lineRule="exact"/>
              <w:rPr>
                <w:rFonts w:ascii="Arial" w:cs="Arial" w:eastAsia="Arial" w:hAnsi="Arial"/>
                <w:sz w:val="15"/>
                <w:szCs w:val="15"/>
                <w:u w:val="single" w:color="auto"/>
                <w:color w:val="0000EE"/>
              </w:rPr>
            </w:pPr>
            <w:hyperlink r:id="rId118">
              <w:r>
                <w:rPr>
                  <w:rFonts w:ascii="Arial" w:cs="Arial" w:eastAsia="Arial" w:hAnsi="Arial"/>
                  <w:sz w:val="15"/>
                  <w:szCs w:val="15"/>
                  <w:u w:val="single" w:color="auto"/>
                  <w:color w:val="0000EE"/>
                </w:rPr>
                <w:t>10.13†</w:t>
              </w:r>
            </w:hyperlink>
          </w:p>
        </w:tc>
        <w:tc>
          <w:tcPr>
            <w:tcW w:w="10000" w:type="dxa"/>
            <w:vAlign w:val="bottom"/>
          </w:tcPr>
          <w:p>
            <w:pPr>
              <w:spacing w:after="0" w:line="165" w:lineRule="exact"/>
              <w:rPr>
                <w:sz w:val="20"/>
                <w:szCs w:val="20"/>
                <w:color w:val="auto"/>
              </w:rPr>
            </w:pPr>
            <w:r>
              <w:rPr>
                <w:rFonts w:ascii="Arial" w:cs="Arial" w:eastAsia="Arial" w:hAnsi="Arial"/>
                <w:sz w:val="15"/>
                <w:szCs w:val="15"/>
                <w:color w:val="auto"/>
                <w:w w:val="95"/>
              </w:rPr>
              <w:t>Indemnification Agreement (Guinta) (incorporated by reference to Exhibit 10.5 to the Registrant’s Form 8-K (File No. 001-38790), filed with the Commission on</w:t>
            </w:r>
          </w:p>
        </w:tc>
      </w:tr>
      <w:tr>
        <w:trPr>
          <w:trHeight w:val="186"/>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February 5, 2019)</w:t>
            </w:r>
          </w:p>
        </w:tc>
      </w:tr>
      <w:tr>
        <w:trPr>
          <w:trHeight w:val="165"/>
        </w:trPr>
        <w:tc>
          <w:tcPr>
            <w:tcW w:w="1280" w:type="dxa"/>
            <w:vAlign w:val="bottom"/>
            <w:gridSpan w:val="2"/>
            <w:shd w:val="clear" w:color="auto" w:fill="CCEEFF"/>
          </w:tcPr>
          <w:p>
            <w:pPr>
              <w:spacing w:after="0" w:line="165" w:lineRule="exact"/>
              <w:rPr>
                <w:rFonts w:ascii="Arial" w:cs="Arial" w:eastAsia="Arial" w:hAnsi="Arial"/>
                <w:sz w:val="15"/>
                <w:szCs w:val="15"/>
                <w:u w:val="single" w:color="auto"/>
                <w:color w:val="0000EE"/>
              </w:rPr>
            </w:pPr>
            <w:hyperlink r:id="rId119">
              <w:r>
                <w:rPr>
                  <w:rFonts w:ascii="Arial" w:cs="Arial" w:eastAsia="Arial" w:hAnsi="Arial"/>
                  <w:sz w:val="15"/>
                  <w:szCs w:val="15"/>
                  <w:u w:val="single" w:color="auto"/>
                  <w:color w:val="0000EE"/>
                </w:rPr>
                <w:t>10.14†</w:t>
              </w:r>
            </w:hyperlink>
          </w:p>
        </w:tc>
        <w:tc>
          <w:tcPr>
            <w:tcW w:w="1000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0"/>
              </w:rPr>
              <w:t>Indemnification Agreement (Utsler) (incorporated by reference to Exhibit 10.6 to the Registrant’s Form 8-K (File No. 001-38790), filed with the Commission on February</w:t>
            </w:r>
          </w:p>
        </w:tc>
      </w:tr>
      <w:tr>
        <w:trPr>
          <w:trHeight w:val="186"/>
        </w:trPr>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5, 2019)</w:t>
            </w:r>
          </w:p>
        </w:tc>
      </w:tr>
      <w:tr>
        <w:trPr>
          <w:trHeight w:val="165"/>
        </w:trPr>
        <w:tc>
          <w:tcPr>
            <w:tcW w:w="1280" w:type="dxa"/>
            <w:vAlign w:val="bottom"/>
            <w:gridSpan w:val="2"/>
          </w:tcPr>
          <w:p>
            <w:pPr>
              <w:spacing w:after="0" w:line="165" w:lineRule="exact"/>
              <w:rPr>
                <w:rFonts w:ascii="Arial" w:cs="Arial" w:eastAsia="Arial" w:hAnsi="Arial"/>
                <w:sz w:val="15"/>
                <w:szCs w:val="15"/>
                <w:u w:val="single" w:color="auto"/>
                <w:color w:val="0000EE"/>
              </w:rPr>
            </w:pPr>
            <w:hyperlink r:id="rId120">
              <w:r>
                <w:rPr>
                  <w:rFonts w:ascii="Arial" w:cs="Arial" w:eastAsia="Arial" w:hAnsi="Arial"/>
                  <w:sz w:val="15"/>
                  <w:szCs w:val="15"/>
                  <w:u w:val="single" w:color="auto"/>
                  <w:color w:val="0000EE"/>
                </w:rPr>
                <w:t>10.15†</w:t>
              </w:r>
            </w:hyperlink>
          </w:p>
        </w:tc>
        <w:tc>
          <w:tcPr>
            <w:tcW w:w="10000" w:type="dxa"/>
            <w:vAlign w:val="bottom"/>
          </w:tcPr>
          <w:p>
            <w:pPr>
              <w:spacing w:after="0" w:line="165" w:lineRule="exact"/>
              <w:rPr>
                <w:sz w:val="20"/>
                <w:szCs w:val="20"/>
                <w:color w:val="auto"/>
              </w:rPr>
            </w:pPr>
            <w:r>
              <w:rPr>
                <w:rFonts w:ascii="Arial" w:cs="Arial" w:eastAsia="Arial" w:hAnsi="Arial"/>
                <w:sz w:val="15"/>
                <w:szCs w:val="15"/>
                <w:color w:val="auto"/>
                <w:w w:val="94"/>
              </w:rPr>
              <w:t>Indemnification Agreement (Catterall) (incorporated by reference to Exhibit 10.7 to the Registrant’s Form 8-K (File No. 001-38790), filed with the Commission on</w:t>
            </w:r>
          </w:p>
        </w:tc>
      </w:tr>
      <w:tr>
        <w:trPr>
          <w:trHeight w:val="186"/>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February 5, 2019)</w:t>
            </w:r>
          </w:p>
        </w:tc>
      </w:tr>
      <w:tr>
        <w:trPr>
          <w:trHeight w:val="165"/>
        </w:trPr>
        <w:tc>
          <w:tcPr>
            <w:tcW w:w="1280" w:type="dxa"/>
            <w:vAlign w:val="bottom"/>
            <w:gridSpan w:val="2"/>
            <w:shd w:val="clear" w:color="auto" w:fill="CCEEFF"/>
          </w:tcPr>
          <w:p>
            <w:pPr>
              <w:spacing w:after="0" w:line="165" w:lineRule="exact"/>
              <w:rPr>
                <w:rFonts w:ascii="Arial" w:cs="Arial" w:eastAsia="Arial" w:hAnsi="Arial"/>
                <w:sz w:val="15"/>
                <w:szCs w:val="15"/>
                <w:u w:val="single" w:color="auto"/>
                <w:color w:val="0000EE"/>
              </w:rPr>
            </w:pPr>
            <w:hyperlink r:id="rId121">
              <w:r>
                <w:rPr>
                  <w:rFonts w:ascii="Arial" w:cs="Arial" w:eastAsia="Arial" w:hAnsi="Arial"/>
                  <w:sz w:val="15"/>
                  <w:szCs w:val="15"/>
                  <w:u w:val="single" w:color="auto"/>
                  <w:color w:val="0000EE"/>
                </w:rPr>
                <w:t>10.16†</w:t>
              </w:r>
            </w:hyperlink>
          </w:p>
        </w:tc>
        <w:tc>
          <w:tcPr>
            <w:tcW w:w="1000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0"/>
              </w:rPr>
              <w:t>Indemnification Agreement (Grain) (incorporated by reference to Exhibit 10.8 to the Registrant’s Form 8-K (File No. 001-38790), filed with the Commission on February</w:t>
            </w:r>
          </w:p>
        </w:tc>
      </w:tr>
      <w:tr>
        <w:trPr>
          <w:trHeight w:val="186"/>
        </w:trPr>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5, 2019)</w:t>
            </w:r>
          </w:p>
        </w:tc>
      </w:tr>
      <w:tr>
        <w:trPr>
          <w:trHeight w:val="165"/>
        </w:trPr>
        <w:tc>
          <w:tcPr>
            <w:tcW w:w="1280" w:type="dxa"/>
            <w:vAlign w:val="bottom"/>
            <w:gridSpan w:val="2"/>
          </w:tcPr>
          <w:p>
            <w:pPr>
              <w:spacing w:after="0" w:line="165" w:lineRule="exact"/>
              <w:rPr>
                <w:rFonts w:ascii="Arial" w:cs="Arial" w:eastAsia="Arial" w:hAnsi="Arial"/>
                <w:sz w:val="15"/>
                <w:szCs w:val="15"/>
                <w:u w:val="single" w:color="auto"/>
                <w:color w:val="0000EE"/>
              </w:rPr>
            </w:pPr>
            <w:hyperlink r:id="rId122">
              <w:r>
                <w:rPr>
                  <w:rFonts w:ascii="Arial" w:cs="Arial" w:eastAsia="Arial" w:hAnsi="Arial"/>
                  <w:sz w:val="15"/>
                  <w:szCs w:val="15"/>
                  <w:u w:val="single" w:color="auto"/>
                  <w:color w:val="0000EE"/>
                </w:rPr>
                <w:t>10.17†</w:t>
              </w:r>
            </w:hyperlink>
          </w:p>
        </w:tc>
        <w:tc>
          <w:tcPr>
            <w:tcW w:w="10000" w:type="dxa"/>
            <w:vAlign w:val="bottom"/>
          </w:tcPr>
          <w:p>
            <w:pPr>
              <w:spacing w:after="0" w:line="165" w:lineRule="exact"/>
              <w:rPr>
                <w:sz w:val="20"/>
                <w:szCs w:val="20"/>
                <w:color w:val="auto"/>
              </w:rPr>
            </w:pPr>
            <w:r>
              <w:rPr>
                <w:rFonts w:ascii="Arial" w:cs="Arial" w:eastAsia="Arial" w:hAnsi="Arial"/>
                <w:sz w:val="15"/>
                <w:szCs w:val="15"/>
                <w:color w:val="auto"/>
                <w:w w:val="95"/>
              </w:rPr>
              <w:t>Indemnification Agreement (Griffin) (incorporated by reference to Exhibit 10.9 to the Registrant’s Form 8-K (File No. 001-38790), filed with the Commission on</w:t>
            </w:r>
          </w:p>
        </w:tc>
      </w:tr>
      <w:tr>
        <w:trPr>
          <w:trHeight w:val="186"/>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February 5, 2019)</w:t>
            </w:r>
          </w:p>
        </w:tc>
      </w:tr>
      <w:tr>
        <w:trPr>
          <w:trHeight w:val="165"/>
        </w:trPr>
        <w:tc>
          <w:tcPr>
            <w:tcW w:w="1280" w:type="dxa"/>
            <w:vAlign w:val="bottom"/>
            <w:gridSpan w:val="2"/>
            <w:shd w:val="clear" w:color="auto" w:fill="CCEEFF"/>
          </w:tcPr>
          <w:p>
            <w:pPr>
              <w:spacing w:after="0" w:line="165" w:lineRule="exact"/>
              <w:rPr>
                <w:rFonts w:ascii="Arial" w:cs="Arial" w:eastAsia="Arial" w:hAnsi="Arial"/>
                <w:sz w:val="15"/>
                <w:szCs w:val="15"/>
                <w:u w:val="single" w:color="auto"/>
                <w:color w:val="0000EE"/>
              </w:rPr>
            </w:pPr>
            <w:hyperlink r:id="rId123">
              <w:r>
                <w:rPr>
                  <w:rFonts w:ascii="Arial" w:cs="Arial" w:eastAsia="Arial" w:hAnsi="Arial"/>
                  <w:sz w:val="15"/>
                  <w:szCs w:val="15"/>
                  <w:u w:val="single" w:color="auto"/>
                  <w:color w:val="0000EE"/>
                </w:rPr>
                <w:t>10.18†</w:t>
              </w:r>
            </w:hyperlink>
          </w:p>
        </w:tc>
        <w:tc>
          <w:tcPr>
            <w:tcW w:w="1000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5"/>
              </w:rPr>
              <w:t>Indemnification Agreement (Mack) (incorporated by reference to Exhibit 10.10 to the Registrant’s Form 8-K (File No. 001-38790), filed with the Commission on</w:t>
            </w:r>
          </w:p>
        </w:tc>
      </w:tr>
      <w:tr>
        <w:trPr>
          <w:trHeight w:val="186"/>
        </w:trPr>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February 5, 2019)</w:t>
            </w:r>
          </w:p>
        </w:tc>
      </w:tr>
      <w:tr>
        <w:trPr>
          <w:trHeight w:val="165"/>
        </w:trPr>
        <w:tc>
          <w:tcPr>
            <w:tcW w:w="1280" w:type="dxa"/>
            <w:vAlign w:val="bottom"/>
            <w:gridSpan w:val="2"/>
          </w:tcPr>
          <w:p>
            <w:pPr>
              <w:spacing w:after="0" w:line="165" w:lineRule="exact"/>
              <w:rPr>
                <w:rFonts w:ascii="Arial" w:cs="Arial" w:eastAsia="Arial" w:hAnsi="Arial"/>
                <w:sz w:val="15"/>
                <w:szCs w:val="15"/>
                <w:u w:val="single" w:color="auto"/>
                <w:color w:val="0000EE"/>
              </w:rPr>
            </w:pPr>
            <w:hyperlink r:id="rId124">
              <w:r>
                <w:rPr>
                  <w:rFonts w:ascii="Arial" w:cs="Arial" w:eastAsia="Arial" w:hAnsi="Arial"/>
                  <w:sz w:val="15"/>
                  <w:szCs w:val="15"/>
                  <w:u w:val="single" w:color="auto"/>
                  <w:color w:val="0000EE"/>
                </w:rPr>
                <w:t>10.19†</w:t>
              </w:r>
            </w:hyperlink>
          </w:p>
        </w:tc>
        <w:tc>
          <w:tcPr>
            <w:tcW w:w="10000" w:type="dxa"/>
            <w:vAlign w:val="bottom"/>
          </w:tcPr>
          <w:p>
            <w:pPr>
              <w:spacing w:after="0" w:line="165" w:lineRule="exact"/>
              <w:rPr>
                <w:sz w:val="20"/>
                <w:szCs w:val="20"/>
                <w:color w:val="auto"/>
              </w:rPr>
            </w:pPr>
            <w:r>
              <w:rPr>
                <w:rFonts w:ascii="Arial" w:cs="Arial" w:eastAsia="Arial" w:hAnsi="Arial"/>
                <w:sz w:val="15"/>
                <w:szCs w:val="15"/>
                <w:color w:val="auto"/>
                <w:w w:val="93"/>
              </w:rPr>
              <w:t>Indemnification Agreement (Nardone) (incorporated by reference to Exhibit 10.11 to the Registrant’s Form 8-K (File No. 001-38790), filed with the Commission on</w:t>
            </w:r>
          </w:p>
        </w:tc>
      </w:tr>
      <w:tr>
        <w:trPr>
          <w:trHeight w:val="186"/>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February 5, 2019)</w:t>
            </w:r>
          </w:p>
        </w:tc>
      </w:tr>
      <w:tr>
        <w:trPr>
          <w:trHeight w:val="165"/>
        </w:trPr>
        <w:tc>
          <w:tcPr>
            <w:tcW w:w="1280" w:type="dxa"/>
            <w:vAlign w:val="bottom"/>
            <w:gridSpan w:val="2"/>
            <w:shd w:val="clear" w:color="auto" w:fill="CCEEFF"/>
          </w:tcPr>
          <w:p>
            <w:pPr>
              <w:spacing w:after="0" w:line="165" w:lineRule="exact"/>
              <w:rPr>
                <w:rFonts w:ascii="Arial" w:cs="Arial" w:eastAsia="Arial" w:hAnsi="Arial"/>
                <w:sz w:val="15"/>
                <w:szCs w:val="15"/>
                <w:u w:val="single" w:color="auto"/>
                <w:color w:val="0000EE"/>
              </w:rPr>
            </w:pPr>
            <w:hyperlink r:id="rId125">
              <w:r>
                <w:rPr>
                  <w:rFonts w:ascii="Arial" w:cs="Arial" w:eastAsia="Arial" w:hAnsi="Arial"/>
                  <w:sz w:val="15"/>
                  <w:szCs w:val="15"/>
                  <w:u w:val="single" w:color="auto"/>
                  <w:color w:val="0000EE"/>
                </w:rPr>
                <w:t>10.20†</w:t>
              </w:r>
            </w:hyperlink>
          </w:p>
        </w:tc>
        <w:tc>
          <w:tcPr>
            <w:tcW w:w="1000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3"/>
              </w:rPr>
              <w:t>Indemnification Agreement (Wanner) (incorporated by reference to Exhibit 10.12 to the Registrant’s Form 8-K (File No. 001-38790), filed with the Commission on</w:t>
            </w:r>
          </w:p>
        </w:tc>
      </w:tr>
      <w:tr>
        <w:trPr>
          <w:trHeight w:val="186"/>
        </w:trPr>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February 5, 2019)</w:t>
            </w:r>
          </w:p>
        </w:tc>
      </w:tr>
      <w:tr>
        <w:trPr>
          <w:trHeight w:val="165"/>
        </w:trPr>
        <w:tc>
          <w:tcPr>
            <w:tcW w:w="1280" w:type="dxa"/>
            <w:vAlign w:val="bottom"/>
            <w:gridSpan w:val="2"/>
          </w:tcPr>
          <w:p>
            <w:pPr>
              <w:spacing w:after="0" w:line="165" w:lineRule="exact"/>
              <w:rPr>
                <w:rFonts w:ascii="Arial" w:cs="Arial" w:eastAsia="Arial" w:hAnsi="Arial"/>
                <w:sz w:val="15"/>
                <w:szCs w:val="15"/>
                <w:u w:val="single" w:color="auto"/>
                <w:color w:val="0000EE"/>
              </w:rPr>
            </w:pPr>
            <w:hyperlink r:id="rId126">
              <w:r>
                <w:rPr>
                  <w:rFonts w:ascii="Arial" w:cs="Arial" w:eastAsia="Arial" w:hAnsi="Arial"/>
                  <w:sz w:val="15"/>
                  <w:szCs w:val="15"/>
                  <w:u w:val="single" w:color="auto"/>
                  <w:color w:val="0000EE"/>
                </w:rPr>
                <w:t>10.21†</w:t>
              </w:r>
            </w:hyperlink>
          </w:p>
        </w:tc>
        <w:tc>
          <w:tcPr>
            <w:tcW w:w="10000" w:type="dxa"/>
            <w:vAlign w:val="bottom"/>
          </w:tcPr>
          <w:p>
            <w:pPr>
              <w:spacing w:after="0" w:line="165" w:lineRule="exact"/>
              <w:rPr>
                <w:sz w:val="20"/>
                <w:szCs w:val="20"/>
                <w:color w:val="auto"/>
              </w:rPr>
            </w:pPr>
            <w:r>
              <w:rPr>
                <w:rFonts w:ascii="Arial" w:cs="Arial" w:eastAsia="Arial" w:hAnsi="Arial"/>
                <w:sz w:val="15"/>
                <w:szCs w:val="15"/>
                <w:color w:val="auto"/>
                <w:w w:val="92"/>
              </w:rPr>
              <w:t>Indemnification Agreement (Wilkinson) (incorporated by reference to Exhibit 10.13 to the Registrant’s Form 8-K (File No. 001-38790), filed with the Commission on</w:t>
            </w:r>
          </w:p>
        </w:tc>
      </w:tr>
      <w:tr>
        <w:trPr>
          <w:trHeight w:val="186"/>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February 5, 2019)</w:t>
            </w:r>
          </w:p>
        </w:tc>
      </w:tr>
      <w:tr>
        <w:trPr>
          <w:trHeight w:val="483"/>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0" w:type="dxa"/>
            <w:vAlign w:val="bottom"/>
          </w:tcPr>
          <w:p>
            <w:pPr>
              <w:ind w:left="4300"/>
              <w:spacing w:after="0"/>
              <w:rPr>
                <w:sz w:val="20"/>
                <w:szCs w:val="20"/>
                <w:color w:val="auto"/>
              </w:rPr>
            </w:pPr>
            <w:r>
              <w:rPr>
                <w:rFonts w:ascii="Arial" w:cs="Arial" w:eastAsia="Arial" w:hAnsi="Arial"/>
                <w:sz w:val="12"/>
                <w:szCs w:val="12"/>
                <w:color w:val="auto"/>
              </w:rPr>
              <w:t>84</w:t>
            </w:r>
          </w:p>
        </w:tc>
      </w:tr>
      <w:tr>
        <w:trPr>
          <w:trHeight w:val="34"/>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sectPr>
      </w:pPr>
    </w:p>
    <w:bookmarkStart w:id="86" w:name="page87"/>
    <w:bookmarkEnd w:id="8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ind w:left="320"/>
              <w:spacing w:after="0"/>
              <w:rPr>
                <w:sz w:val="20"/>
                <w:szCs w:val="20"/>
                <w:color w:val="auto"/>
              </w:rPr>
            </w:pPr>
            <w:r>
              <w:rPr>
                <w:rFonts w:ascii="Arial" w:cs="Arial" w:eastAsia="Arial" w:hAnsi="Arial"/>
                <w:sz w:val="15"/>
                <w:szCs w:val="15"/>
                <w:b w:val="1"/>
                <w:bCs w:val="1"/>
                <w:color w:val="auto"/>
              </w:rPr>
              <w:t>Exhibit</w:t>
            </w:r>
          </w:p>
        </w:tc>
        <w:tc>
          <w:tcPr>
            <w:tcW w:w="220" w:type="dxa"/>
            <w:vAlign w:val="bottom"/>
          </w:tcPr>
          <w:p>
            <w:pPr>
              <w:spacing w:after="0"/>
              <w:rPr>
                <w:sz w:val="15"/>
                <w:szCs w:val="15"/>
                <w:color w:val="auto"/>
              </w:rPr>
            </w:pPr>
          </w:p>
        </w:tc>
        <w:tc>
          <w:tcPr>
            <w:tcW w:w="9980" w:type="dxa"/>
            <w:vAlign w:val="bottom"/>
          </w:tcPr>
          <w:p>
            <w:pPr>
              <w:spacing w:after="0"/>
              <w:rPr>
                <w:sz w:val="15"/>
                <w:szCs w:val="15"/>
                <w:color w:val="auto"/>
              </w:rPr>
            </w:pPr>
          </w:p>
        </w:tc>
      </w:tr>
      <w:tr>
        <w:trPr>
          <w:trHeight w:val="192"/>
        </w:trPr>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Number</w:t>
            </w:r>
          </w:p>
        </w:tc>
        <w:tc>
          <w:tcPr>
            <w:tcW w:w="220" w:type="dxa"/>
            <w:vAlign w:val="bottom"/>
            <w:tcBorders>
              <w:bottom w:val="single" w:sz="8" w:color="CCEEFF"/>
            </w:tcBorders>
          </w:tcPr>
          <w:p>
            <w:pPr>
              <w:spacing w:after="0"/>
              <w:rPr>
                <w:sz w:val="16"/>
                <w:szCs w:val="16"/>
                <w:color w:val="auto"/>
              </w:rPr>
            </w:pPr>
          </w:p>
        </w:tc>
        <w:tc>
          <w:tcPr>
            <w:tcW w:w="9980" w:type="dxa"/>
            <w:vAlign w:val="bottom"/>
            <w:tcBorders>
              <w:bottom w:val="single" w:sz="8" w:color="auto"/>
            </w:tcBorders>
          </w:tcPr>
          <w:p>
            <w:pPr>
              <w:ind w:left="4620"/>
              <w:spacing w:after="0"/>
              <w:rPr>
                <w:sz w:val="20"/>
                <w:szCs w:val="20"/>
                <w:color w:val="auto"/>
              </w:rPr>
            </w:pPr>
            <w:r>
              <w:rPr>
                <w:rFonts w:ascii="Arial" w:cs="Arial" w:eastAsia="Arial" w:hAnsi="Arial"/>
                <w:sz w:val="15"/>
                <w:szCs w:val="15"/>
                <w:b w:val="1"/>
                <w:bCs w:val="1"/>
                <w:color w:val="auto"/>
              </w:rPr>
              <w:t>Description</w:t>
            </w:r>
          </w:p>
        </w:tc>
      </w:tr>
      <w:tr>
        <w:trPr>
          <w:trHeight w:val="165"/>
        </w:trPr>
        <w:tc>
          <w:tcPr>
            <w:tcW w:w="1080" w:type="dxa"/>
            <w:vAlign w:val="bottom"/>
            <w:shd w:val="clear" w:color="auto" w:fill="CCEEFF"/>
          </w:tcPr>
          <w:p>
            <w:pPr>
              <w:spacing w:after="0" w:line="165" w:lineRule="exact"/>
              <w:rPr>
                <w:rFonts w:ascii="Arial" w:cs="Arial" w:eastAsia="Arial" w:hAnsi="Arial"/>
                <w:sz w:val="15"/>
                <w:szCs w:val="15"/>
                <w:u w:val="single" w:color="auto"/>
                <w:color w:val="0000EE"/>
              </w:rPr>
            </w:pPr>
            <w:hyperlink r:id="rId127">
              <w:r>
                <w:rPr>
                  <w:rFonts w:ascii="Arial" w:cs="Arial" w:eastAsia="Arial" w:hAnsi="Arial"/>
                  <w:sz w:val="15"/>
                  <w:szCs w:val="15"/>
                  <w:u w:val="single" w:color="auto"/>
                  <w:color w:val="0000EE"/>
                </w:rPr>
                <w:t>10.22</w:t>
              </w:r>
            </w:hyperlink>
          </w:p>
        </w:tc>
        <w:tc>
          <w:tcPr>
            <w:tcW w:w="220" w:type="dxa"/>
            <w:vAlign w:val="bottom"/>
            <w:shd w:val="clear" w:color="auto" w:fill="CCEEFF"/>
          </w:tcPr>
          <w:p>
            <w:pPr>
              <w:spacing w:after="0"/>
              <w:rPr>
                <w:sz w:val="14"/>
                <w:szCs w:val="14"/>
                <w:color w:val="auto"/>
              </w:rPr>
            </w:pPr>
          </w:p>
        </w:tc>
        <w:tc>
          <w:tcPr>
            <w:tcW w:w="998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0"/>
              </w:rPr>
              <w:t>Master LNG Sale and Purchase Agreement, dated December 20, 2016, by and between Centrica LNG Company Limited and NFE North Trading Limited (incorporated</w:t>
            </w:r>
          </w:p>
        </w:tc>
      </w:tr>
      <w:tr>
        <w:trPr>
          <w:trHeight w:val="186"/>
        </w:trPr>
        <w:tc>
          <w:tcPr>
            <w:tcW w:w="1080" w:type="dxa"/>
            <w:vAlign w:val="bottom"/>
            <w:shd w:val="clear" w:color="auto" w:fill="CCEEFF"/>
          </w:tcPr>
          <w:p>
            <w:pPr>
              <w:spacing w:after="0"/>
              <w:rPr>
                <w:sz w:val="16"/>
                <w:szCs w:val="16"/>
                <w:color w:val="auto"/>
              </w:rPr>
            </w:pPr>
          </w:p>
        </w:tc>
        <w:tc>
          <w:tcPr>
            <w:tcW w:w="10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94"/>
              </w:rPr>
              <w:t>by reference to Exhibit 10.16 to the Registrant’s Registration Statement on Form S-1/A (File No. 333-228339), filed with the Commission on January 14, 2019)</w:t>
            </w:r>
          </w:p>
        </w:tc>
      </w:tr>
      <w:tr>
        <w:trPr>
          <w:trHeight w:val="165"/>
        </w:trPr>
        <w:tc>
          <w:tcPr>
            <w:tcW w:w="1080" w:type="dxa"/>
            <w:vAlign w:val="bottom"/>
          </w:tcPr>
          <w:p>
            <w:pPr>
              <w:spacing w:after="0" w:line="165" w:lineRule="exact"/>
              <w:rPr>
                <w:rFonts w:ascii="Arial" w:cs="Arial" w:eastAsia="Arial" w:hAnsi="Arial"/>
                <w:sz w:val="15"/>
                <w:szCs w:val="15"/>
                <w:u w:val="single" w:color="auto"/>
                <w:color w:val="0000EE"/>
              </w:rPr>
            </w:pPr>
            <w:hyperlink r:id="rId128">
              <w:r>
                <w:rPr>
                  <w:rFonts w:ascii="Arial" w:cs="Arial" w:eastAsia="Arial" w:hAnsi="Arial"/>
                  <w:sz w:val="15"/>
                  <w:szCs w:val="15"/>
                  <w:u w:val="single" w:color="auto"/>
                  <w:color w:val="0000EE"/>
                </w:rPr>
                <w:t>10.23</w:t>
              </w:r>
            </w:hyperlink>
          </w:p>
        </w:tc>
        <w:tc>
          <w:tcPr>
            <w:tcW w:w="10200" w:type="dxa"/>
            <w:vAlign w:val="bottom"/>
            <w:gridSpan w:val="2"/>
          </w:tcPr>
          <w:p>
            <w:pPr>
              <w:ind w:left="220"/>
              <w:spacing w:after="0" w:line="165" w:lineRule="exact"/>
              <w:rPr>
                <w:sz w:val="20"/>
                <w:szCs w:val="20"/>
                <w:color w:val="auto"/>
              </w:rPr>
            </w:pPr>
            <w:r>
              <w:rPr>
                <w:rFonts w:ascii="Arial" w:cs="Arial" w:eastAsia="Arial" w:hAnsi="Arial"/>
                <w:sz w:val="15"/>
                <w:szCs w:val="15"/>
                <w:color w:val="auto"/>
                <w:w w:val="88"/>
              </w:rPr>
              <w:t>Engineering, Procurement and Construction Agreement for the Marcellus LNG Production Facility I, dated January 8, 2019, by and between Bradford County Real Estate</w:t>
            </w:r>
          </w:p>
        </w:tc>
      </w:tr>
      <w:tr>
        <w:trPr>
          <w:trHeight w:val="175"/>
        </w:trPr>
        <w:tc>
          <w:tcPr>
            <w:tcW w:w="1080" w:type="dxa"/>
            <w:vAlign w:val="bottom"/>
          </w:tcPr>
          <w:p>
            <w:pPr>
              <w:spacing w:after="0"/>
              <w:rPr>
                <w:sz w:val="15"/>
                <w:szCs w:val="15"/>
                <w:color w:val="auto"/>
              </w:rPr>
            </w:pPr>
          </w:p>
        </w:tc>
        <w:tc>
          <w:tcPr>
            <w:tcW w:w="10200" w:type="dxa"/>
            <w:vAlign w:val="bottom"/>
            <w:gridSpan w:val="2"/>
          </w:tcPr>
          <w:p>
            <w:pPr>
              <w:ind w:left="220"/>
              <w:spacing w:after="0"/>
              <w:rPr>
                <w:sz w:val="20"/>
                <w:szCs w:val="20"/>
                <w:color w:val="auto"/>
              </w:rPr>
            </w:pPr>
            <w:r>
              <w:rPr>
                <w:rFonts w:ascii="Arial" w:cs="Arial" w:eastAsia="Arial" w:hAnsi="Arial"/>
                <w:sz w:val="15"/>
                <w:szCs w:val="15"/>
                <w:color w:val="auto"/>
                <w:w w:val="89"/>
              </w:rPr>
              <w:t>Partners LLC and Black &amp; Veatch Construction, Inc. (incorporated by reference to Exhibit 10.17 to the Registrant’s Registration Statement on Form S-1/A (File No. 333-</w:t>
            </w:r>
          </w:p>
        </w:tc>
      </w:tr>
      <w:tr>
        <w:trPr>
          <w:trHeight w:val="186"/>
        </w:trPr>
        <w:tc>
          <w:tcPr>
            <w:tcW w:w="1080" w:type="dxa"/>
            <w:vAlign w:val="bottom"/>
          </w:tcPr>
          <w:p>
            <w:pPr>
              <w:spacing w:after="0"/>
              <w:rPr>
                <w:sz w:val="16"/>
                <w:szCs w:val="16"/>
                <w:color w:val="auto"/>
              </w:rPr>
            </w:pPr>
          </w:p>
        </w:tc>
        <w:tc>
          <w:tcPr>
            <w:tcW w:w="10200" w:type="dxa"/>
            <w:vAlign w:val="bottom"/>
            <w:gridSpan w:val="2"/>
          </w:tcPr>
          <w:p>
            <w:pPr>
              <w:ind w:left="220"/>
              <w:spacing w:after="0"/>
              <w:rPr>
                <w:sz w:val="20"/>
                <w:szCs w:val="20"/>
                <w:color w:val="auto"/>
              </w:rPr>
            </w:pPr>
            <w:r>
              <w:rPr>
                <w:rFonts w:ascii="Arial" w:cs="Arial" w:eastAsia="Arial" w:hAnsi="Arial"/>
                <w:sz w:val="15"/>
                <w:szCs w:val="15"/>
                <w:color w:val="auto"/>
              </w:rPr>
              <w:t>228339), filed with the Commission on January 25, 2019)</w:t>
            </w:r>
          </w:p>
        </w:tc>
      </w:tr>
      <w:tr>
        <w:trPr>
          <w:trHeight w:val="165"/>
        </w:trPr>
        <w:tc>
          <w:tcPr>
            <w:tcW w:w="1080" w:type="dxa"/>
            <w:vAlign w:val="bottom"/>
            <w:shd w:val="clear" w:color="auto" w:fill="CCEEFF"/>
          </w:tcPr>
          <w:p>
            <w:pPr>
              <w:spacing w:after="0" w:line="165" w:lineRule="exact"/>
              <w:rPr>
                <w:rFonts w:ascii="Arial" w:cs="Arial" w:eastAsia="Arial" w:hAnsi="Arial"/>
                <w:sz w:val="15"/>
                <w:szCs w:val="15"/>
                <w:u w:val="single" w:color="auto"/>
                <w:color w:val="0000EE"/>
              </w:rPr>
            </w:pPr>
            <w:hyperlink r:id="rId129">
              <w:r>
                <w:rPr>
                  <w:rFonts w:ascii="Arial" w:cs="Arial" w:eastAsia="Arial" w:hAnsi="Arial"/>
                  <w:sz w:val="15"/>
                  <w:szCs w:val="15"/>
                  <w:u w:val="single" w:color="auto"/>
                  <w:color w:val="0000EE"/>
                </w:rPr>
                <w:t>10.24†</w:t>
              </w:r>
            </w:hyperlink>
          </w:p>
        </w:tc>
        <w:tc>
          <w:tcPr>
            <w:tcW w:w="1020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5"/>
                <w:szCs w:val="15"/>
                <w:color w:val="auto"/>
                <w:w w:val="90"/>
              </w:rPr>
              <w:t>Indemnification Agreement, dated as of March 17, 2019, by and between New Fortress Energy LLC and Yunyoung Shin (incorporated by reference to Exhibit 10.29 to</w:t>
            </w:r>
          </w:p>
        </w:tc>
      </w:tr>
      <w:tr>
        <w:trPr>
          <w:trHeight w:val="186"/>
        </w:trPr>
        <w:tc>
          <w:tcPr>
            <w:tcW w:w="1080" w:type="dxa"/>
            <w:vAlign w:val="bottom"/>
            <w:shd w:val="clear" w:color="auto" w:fill="CCEEFF"/>
          </w:tcPr>
          <w:p>
            <w:pPr>
              <w:spacing w:after="0"/>
              <w:rPr>
                <w:sz w:val="16"/>
                <w:szCs w:val="16"/>
                <w:color w:val="auto"/>
              </w:rPr>
            </w:pPr>
          </w:p>
        </w:tc>
        <w:tc>
          <w:tcPr>
            <w:tcW w:w="10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the Registrant’s Annual Report on Form 10-K (File 001-38790), filed with the Commission on March 26, 2019)</w:t>
            </w:r>
          </w:p>
        </w:tc>
      </w:tr>
      <w:tr>
        <w:trPr>
          <w:trHeight w:val="165"/>
        </w:trPr>
        <w:tc>
          <w:tcPr>
            <w:tcW w:w="1080" w:type="dxa"/>
            <w:vAlign w:val="bottom"/>
          </w:tcPr>
          <w:p>
            <w:pPr>
              <w:spacing w:after="0" w:line="165" w:lineRule="exact"/>
              <w:rPr>
                <w:rFonts w:ascii="Arial" w:cs="Arial" w:eastAsia="Arial" w:hAnsi="Arial"/>
                <w:sz w:val="15"/>
                <w:szCs w:val="15"/>
                <w:u w:val="single" w:color="auto"/>
                <w:color w:val="0000EE"/>
              </w:rPr>
            </w:pPr>
            <w:hyperlink r:id="rId130">
              <w:r>
                <w:rPr>
                  <w:rFonts w:ascii="Arial" w:cs="Arial" w:eastAsia="Arial" w:hAnsi="Arial"/>
                  <w:sz w:val="15"/>
                  <w:szCs w:val="15"/>
                  <w:u w:val="single" w:color="auto"/>
                  <w:color w:val="0000EE"/>
                </w:rPr>
                <w:t>10.25</w:t>
              </w:r>
            </w:hyperlink>
          </w:p>
        </w:tc>
        <w:tc>
          <w:tcPr>
            <w:tcW w:w="10200" w:type="dxa"/>
            <w:vAlign w:val="bottom"/>
            <w:gridSpan w:val="2"/>
          </w:tcPr>
          <w:p>
            <w:pPr>
              <w:ind w:left="220"/>
              <w:spacing w:after="0" w:line="165" w:lineRule="exact"/>
              <w:rPr>
                <w:sz w:val="20"/>
                <w:szCs w:val="20"/>
                <w:color w:val="auto"/>
              </w:rPr>
            </w:pPr>
            <w:r>
              <w:rPr>
                <w:rFonts w:ascii="Arial" w:cs="Arial" w:eastAsia="Arial" w:hAnsi="Arial"/>
                <w:sz w:val="15"/>
                <w:szCs w:val="15"/>
                <w:color w:val="auto"/>
                <w:w w:val="89"/>
              </w:rPr>
              <w:t>Mutual Agreement, dated June 3, 2020, by and among New Fortress Energy LLC, Fortress Equity Partners GP, LLC, WRE 2012 Trust LLC, FEP HoldCo LLC, Wesley R</w:t>
            </w:r>
          </w:p>
        </w:tc>
      </w:tr>
      <w:tr>
        <w:trPr>
          <w:trHeight w:val="175"/>
        </w:trPr>
        <w:tc>
          <w:tcPr>
            <w:tcW w:w="1080" w:type="dxa"/>
            <w:vAlign w:val="bottom"/>
          </w:tcPr>
          <w:p>
            <w:pPr>
              <w:spacing w:after="0"/>
              <w:rPr>
                <w:sz w:val="15"/>
                <w:szCs w:val="15"/>
                <w:color w:val="auto"/>
              </w:rPr>
            </w:pPr>
          </w:p>
        </w:tc>
        <w:tc>
          <w:tcPr>
            <w:tcW w:w="10200" w:type="dxa"/>
            <w:vAlign w:val="bottom"/>
            <w:gridSpan w:val="2"/>
          </w:tcPr>
          <w:p>
            <w:pPr>
              <w:ind w:left="220"/>
              <w:spacing w:after="0"/>
              <w:rPr>
                <w:sz w:val="20"/>
                <w:szCs w:val="20"/>
                <w:color w:val="auto"/>
              </w:rPr>
            </w:pPr>
            <w:r>
              <w:rPr>
                <w:rFonts w:ascii="Arial" w:cs="Arial" w:eastAsia="Arial" w:hAnsi="Arial"/>
                <w:sz w:val="15"/>
                <w:szCs w:val="15"/>
                <w:color w:val="auto"/>
                <w:w w:val="90"/>
              </w:rPr>
              <w:t>Edens, Randal A Nardone, NFE SMRS Holdings LLC and NFE Sub LLC (incorporated by reference to Exhibit 10.1 to the Registrant’s Form 8-K (File No. 001-38790),</w:t>
            </w:r>
          </w:p>
        </w:tc>
      </w:tr>
      <w:tr>
        <w:trPr>
          <w:trHeight w:val="186"/>
        </w:trPr>
        <w:tc>
          <w:tcPr>
            <w:tcW w:w="1080" w:type="dxa"/>
            <w:vAlign w:val="bottom"/>
          </w:tcPr>
          <w:p>
            <w:pPr>
              <w:spacing w:after="0"/>
              <w:rPr>
                <w:sz w:val="16"/>
                <w:szCs w:val="16"/>
                <w:color w:val="auto"/>
              </w:rPr>
            </w:pPr>
          </w:p>
        </w:tc>
        <w:tc>
          <w:tcPr>
            <w:tcW w:w="10200" w:type="dxa"/>
            <w:vAlign w:val="bottom"/>
            <w:gridSpan w:val="2"/>
          </w:tcPr>
          <w:p>
            <w:pPr>
              <w:ind w:left="220"/>
              <w:spacing w:after="0"/>
              <w:rPr>
                <w:sz w:val="20"/>
                <w:szCs w:val="20"/>
                <w:color w:val="auto"/>
              </w:rPr>
            </w:pPr>
            <w:r>
              <w:rPr>
                <w:rFonts w:ascii="Arial" w:cs="Arial" w:eastAsia="Arial" w:hAnsi="Arial"/>
                <w:sz w:val="15"/>
                <w:szCs w:val="15"/>
                <w:color w:val="auto"/>
              </w:rPr>
              <w:t>filed with the Commission on June 9, 2020)</w:t>
            </w:r>
          </w:p>
        </w:tc>
      </w:tr>
      <w:tr>
        <w:trPr>
          <w:trHeight w:val="165"/>
        </w:trPr>
        <w:tc>
          <w:tcPr>
            <w:tcW w:w="1080" w:type="dxa"/>
            <w:vAlign w:val="bottom"/>
            <w:shd w:val="clear" w:color="auto" w:fill="CCEEFF"/>
          </w:tcPr>
          <w:p>
            <w:pPr>
              <w:spacing w:after="0" w:line="165" w:lineRule="exact"/>
              <w:rPr>
                <w:rFonts w:ascii="Arial" w:cs="Arial" w:eastAsia="Arial" w:hAnsi="Arial"/>
                <w:sz w:val="15"/>
                <w:szCs w:val="15"/>
                <w:u w:val="single" w:color="auto"/>
                <w:color w:val="0000EE"/>
              </w:rPr>
            </w:pPr>
            <w:hyperlink r:id="rId131">
              <w:r>
                <w:rPr>
                  <w:rFonts w:ascii="Arial" w:cs="Arial" w:eastAsia="Arial" w:hAnsi="Arial"/>
                  <w:sz w:val="15"/>
                  <w:szCs w:val="15"/>
                  <w:u w:val="single" w:color="auto"/>
                  <w:color w:val="0000EE"/>
                </w:rPr>
                <w:t>10.26</w:t>
              </w:r>
            </w:hyperlink>
          </w:p>
        </w:tc>
        <w:tc>
          <w:tcPr>
            <w:tcW w:w="1020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5"/>
                <w:szCs w:val="15"/>
                <w:color w:val="auto"/>
                <w:w w:val="94"/>
              </w:rPr>
              <w:t>Support Agreement, dated as of January 13, 2021, by and among NFE, GMLP, GLNG and the General Partner (incorporated by reference to Exhibit 10.1 to the</w:t>
            </w:r>
          </w:p>
        </w:tc>
      </w:tr>
      <w:tr>
        <w:trPr>
          <w:trHeight w:val="186"/>
        </w:trPr>
        <w:tc>
          <w:tcPr>
            <w:tcW w:w="1080" w:type="dxa"/>
            <w:vAlign w:val="bottom"/>
            <w:shd w:val="clear" w:color="auto" w:fill="CCEEFF"/>
          </w:tcPr>
          <w:p>
            <w:pPr>
              <w:spacing w:after="0"/>
              <w:rPr>
                <w:sz w:val="16"/>
                <w:szCs w:val="16"/>
                <w:color w:val="auto"/>
              </w:rPr>
            </w:pPr>
          </w:p>
        </w:tc>
        <w:tc>
          <w:tcPr>
            <w:tcW w:w="10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Registrant’s Form 8-K (File No. 001-38790), filed with the Commission on January 20, 2021)</w:t>
            </w:r>
          </w:p>
        </w:tc>
      </w:tr>
      <w:tr>
        <w:trPr>
          <w:trHeight w:val="175"/>
        </w:trPr>
        <w:tc>
          <w:tcPr>
            <w:tcW w:w="1080" w:type="dxa"/>
            <w:vAlign w:val="bottom"/>
          </w:tcPr>
          <w:p>
            <w:pPr>
              <w:spacing w:after="0"/>
              <w:rPr>
                <w:rFonts w:ascii="Arial" w:cs="Arial" w:eastAsia="Arial" w:hAnsi="Arial"/>
                <w:sz w:val="15"/>
                <w:szCs w:val="15"/>
                <w:u w:val="single" w:color="auto"/>
                <w:color w:val="0000EE"/>
              </w:rPr>
            </w:pPr>
            <w:hyperlink w:anchor="page127">
              <w:r>
                <w:rPr>
                  <w:rFonts w:ascii="Arial" w:cs="Arial" w:eastAsia="Arial" w:hAnsi="Arial"/>
                  <w:sz w:val="15"/>
                  <w:szCs w:val="15"/>
                  <w:u w:val="single" w:color="auto"/>
                  <w:color w:val="0000EE"/>
                </w:rPr>
                <w:t>21.1*</w:t>
              </w:r>
            </w:hyperlink>
          </w:p>
        </w:tc>
        <w:tc>
          <w:tcPr>
            <w:tcW w:w="10200" w:type="dxa"/>
            <w:vAlign w:val="bottom"/>
            <w:gridSpan w:val="2"/>
          </w:tcPr>
          <w:p>
            <w:pPr>
              <w:ind w:left="220"/>
              <w:spacing w:after="0"/>
              <w:rPr>
                <w:sz w:val="20"/>
                <w:szCs w:val="20"/>
                <w:color w:val="auto"/>
              </w:rPr>
            </w:pPr>
            <w:r>
              <w:rPr>
                <w:rFonts w:ascii="Arial" w:cs="Arial" w:eastAsia="Arial" w:hAnsi="Arial"/>
                <w:sz w:val="15"/>
                <w:szCs w:val="15"/>
                <w:color w:val="auto"/>
              </w:rPr>
              <w:t>List of Subsidiaries of New Fortress Energy Inc.</w:t>
            </w:r>
          </w:p>
        </w:tc>
      </w:tr>
      <w:tr>
        <w:trPr>
          <w:trHeight w:val="175"/>
        </w:trPr>
        <w:tc>
          <w:tcPr>
            <w:tcW w:w="1080" w:type="dxa"/>
            <w:vAlign w:val="bottom"/>
            <w:shd w:val="clear" w:color="auto" w:fill="CCEEFF"/>
          </w:tcPr>
          <w:p>
            <w:pPr>
              <w:spacing w:after="0"/>
              <w:rPr>
                <w:rFonts w:ascii="Arial" w:cs="Arial" w:eastAsia="Arial" w:hAnsi="Arial"/>
                <w:sz w:val="15"/>
                <w:szCs w:val="15"/>
                <w:u w:val="single" w:color="auto"/>
                <w:color w:val="0000EE"/>
              </w:rPr>
            </w:pPr>
            <w:hyperlink w:anchor="page130">
              <w:r>
                <w:rPr>
                  <w:rFonts w:ascii="Arial" w:cs="Arial" w:eastAsia="Arial" w:hAnsi="Arial"/>
                  <w:sz w:val="15"/>
                  <w:szCs w:val="15"/>
                  <w:u w:val="single" w:color="auto"/>
                  <w:color w:val="0000EE"/>
                </w:rPr>
                <w:t>23.1*</w:t>
              </w:r>
            </w:hyperlink>
          </w:p>
        </w:tc>
        <w:tc>
          <w:tcPr>
            <w:tcW w:w="10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Consent of Ernst &amp; Young L.L.P.</w:t>
            </w:r>
          </w:p>
        </w:tc>
      </w:tr>
      <w:tr>
        <w:trPr>
          <w:trHeight w:val="165"/>
        </w:trPr>
        <w:tc>
          <w:tcPr>
            <w:tcW w:w="1080" w:type="dxa"/>
            <w:vAlign w:val="bottom"/>
          </w:tcPr>
          <w:p>
            <w:pPr>
              <w:spacing w:after="0" w:line="165" w:lineRule="exact"/>
              <w:rPr>
                <w:rFonts w:ascii="Arial" w:cs="Arial" w:eastAsia="Arial" w:hAnsi="Arial"/>
                <w:sz w:val="15"/>
                <w:szCs w:val="15"/>
                <w:u w:val="single" w:color="auto"/>
                <w:color w:val="0000EE"/>
              </w:rPr>
            </w:pPr>
            <w:hyperlink w:anchor="page131">
              <w:r>
                <w:rPr>
                  <w:rFonts w:ascii="Arial" w:cs="Arial" w:eastAsia="Arial" w:hAnsi="Arial"/>
                  <w:sz w:val="15"/>
                  <w:szCs w:val="15"/>
                  <w:u w:val="single" w:color="auto"/>
                  <w:color w:val="0000EE"/>
                </w:rPr>
                <w:t>31.1*</w:t>
              </w:r>
            </w:hyperlink>
          </w:p>
        </w:tc>
        <w:tc>
          <w:tcPr>
            <w:tcW w:w="10200" w:type="dxa"/>
            <w:vAlign w:val="bottom"/>
            <w:gridSpan w:val="2"/>
          </w:tcPr>
          <w:p>
            <w:pPr>
              <w:ind w:left="220"/>
              <w:spacing w:after="0" w:line="165" w:lineRule="exact"/>
              <w:rPr>
                <w:sz w:val="20"/>
                <w:szCs w:val="20"/>
                <w:color w:val="auto"/>
              </w:rPr>
            </w:pPr>
            <w:r>
              <w:rPr>
                <w:rFonts w:ascii="Arial" w:cs="Arial" w:eastAsia="Arial" w:hAnsi="Arial"/>
                <w:sz w:val="15"/>
                <w:szCs w:val="15"/>
                <w:color w:val="auto"/>
                <w:w w:val="89"/>
              </w:rPr>
              <w:t>Certification by Chief Executive Officer pursuant to Rule 13a-14(a) and 15d-14(a) of the Exchange Act Rules, as adopted pursuant to Section 302 of the Sarbanes-Oxley</w:t>
            </w:r>
          </w:p>
        </w:tc>
      </w:tr>
      <w:tr>
        <w:trPr>
          <w:trHeight w:val="186"/>
        </w:trPr>
        <w:tc>
          <w:tcPr>
            <w:tcW w:w="1080" w:type="dxa"/>
            <w:vAlign w:val="bottom"/>
          </w:tcPr>
          <w:p>
            <w:pPr>
              <w:spacing w:after="0"/>
              <w:rPr>
                <w:sz w:val="16"/>
                <w:szCs w:val="16"/>
                <w:color w:val="auto"/>
              </w:rPr>
            </w:pPr>
          </w:p>
        </w:tc>
        <w:tc>
          <w:tcPr>
            <w:tcW w:w="10200" w:type="dxa"/>
            <w:vAlign w:val="bottom"/>
            <w:gridSpan w:val="2"/>
          </w:tcPr>
          <w:p>
            <w:pPr>
              <w:ind w:left="220"/>
              <w:spacing w:after="0"/>
              <w:rPr>
                <w:sz w:val="20"/>
                <w:szCs w:val="20"/>
                <w:color w:val="auto"/>
              </w:rPr>
            </w:pPr>
            <w:r>
              <w:rPr>
                <w:rFonts w:ascii="Arial" w:cs="Arial" w:eastAsia="Arial" w:hAnsi="Arial"/>
                <w:sz w:val="15"/>
                <w:szCs w:val="15"/>
                <w:color w:val="auto"/>
              </w:rPr>
              <w:t>Act of 2002.</w:t>
            </w:r>
          </w:p>
        </w:tc>
      </w:tr>
      <w:tr>
        <w:trPr>
          <w:trHeight w:val="165"/>
        </w:trPr>
        <w:tc>
          <w:tcPr>
            <w:tcW w:w="1080" w:type="dxa"/>
            <w:vAlign w:val="bottom"/>
            <w:shd w:val="clear" w:color="auto" w:fill="CCEEFF"/>
          </w:tcPr>
          <w:p>
            <w:pPr>
              <w:spacing w:after="0" w:line="165" w:lineRule="exact"/>
              <w:rPr>
                <w:rFonts w:ascii="Arial" w:cs="Arial" w:eastAsia="Arial" w:hAnsi="Arial"/>
                <w:sz w:val="15"/>
                <w:szCs w:val="15"/>
                <w:u w:val="single" w:color="auto"/>
                <w:color w:val="0000EE"/>
              </w:rPr>
            </w:pPr>
            <w:hyperlink w:anchor="page132">
              <w:r>
                <w:rPr>
                  <w:rFonts w:ascii="Arial" w:cs="Arial" w:eastAsia="Arial" w:hAnsi="Arial"/>
                  <w:sz w:val="15"/>
                  <w:szCs w:val="15"/>
                  <w:u w:val="single" w:color="auto"/>
                  <w:color w:val="0000EE"/>
                </w:rPr>
                <w:t>31.2*</w:t>
              </w:r>
            </w:hyperlink>
          </w:p>
        </w:tc>
        <w:tc>
          <w:tcPr>
            <w:tcW w:w="1020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5"/>
                <w:szCs w:val="15"/>
                <w:color w:val="auto"/>
                <w:w w:val="89"/>
              </w:rPr>
              <w:t>Certification by Chief Financial Officer pursuant to Rule 13a-14(a) and 15d-14(a) of the Exchange Act Rules, as adopted pursuant to Section 302 of the Sarbanes-Oxley</w:t>
            </w:r>
          </w:p>
        </w:tc>
      </w:tr>
      <w:tr>
        <w:trPr>
          <w:trHeight w:val="186"/>
        </w:trPr>
        <w:tc>
          <w:tcPr>
            <w:tcW w:w="1080" w:type="dxa"/>
            <w:vAlign w:val="bottom"/>
            <w:shd w:val="clear" w:color="auto" w:fill="CCEEFF"/>
          </w:tcPr>
          <w:p>
            <w:pPr>
              <w:spacing w:after="0"/>
              <w:rPr>
                <w:sz w:val="16"/>
                <w:szCs w:val="16"/>
                <w:color w:val="auto"/>
              </w:rPr>
            </w:pPr>
          </w:p>
        </w:tc>
        <w:tc>
          <w:tcPr>
            <w:tcW w:w="10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Act of 2002.</w:t>
            </w:r>
          </w:p>
        </w:tc>
      </w:tr>
      <w:tr>
        <w:trPr>
          <w:trHeight w:val="175"/>
        </w:trPr>
        <w:tc>
          <w:tcPr>
            <w:tcW w:w="1080" w:type="dxa"/>
            <w:vAlign w:val="bottom"/>
          </w:tcPr>
          <w:p>
            <w:pPr>
              <w:spacing w:after="0"/>
              <w:rPr>
                <w:rFonts w:ascii="Arial" w:cs="Arial" w:eastAsia="Arial" w:hAnsi="Arial"/>
                <w:sz w:val="15"/>
                <w:szCs w:val="15"/>
                <w:u w:val="single" w:color="auto"/>
                <w:color w:val="0000EE"/>
              </w:rPr>
            </w:pPr>
            <w:hyperlink w:anchor="page127">
              <w:r>
                <w:rPr>
                  <w:rFonts w:ascii="Arial" w:cs="Arial" w:eastAsia="Arial" w:hAnsi="Arial"/>
                  <w:sz w:val="15"/>
                  <w:szCs w:val="15"/>
                  <w:u w:val="single" w:color="auto"/>
                  <w:color w:val="0000EE"/>
                </w:rPr>
                <w:t>32.1**</w:t>
              </w:r>
            </w:hyperlink>
          </w:p>
        </w:tc>
        <w:tc>
          <w:tcPr>
            <w:tcW w:w="10200" w:type="dxa"/>
            <w:vAlign w:val="bottom"/>
            <w:gridSpan w:val="2"/>
          </w:tcPr>
          <w:p>
            <w:pPr>
              <w:ind w:left="220"/>
              <w:spacing w:after="0"/>
              <w:rPr>
                <w:sz w:val="20"/>
                <w:szCs w:val="20"/>
                <w:color w:val="auto"/>
              </w:rPr>
            </w:pPr>
            <w:r>
              <w:rPr>
                <w:rFonts w:ascii="Arial" w:cs="Arial" w:eastAsia="Arial" w:hAnsi="Arial"/>
                <w:sz w:val="15"/>
                <w:szCs w:val="15"/>
                <w:color w:val="auto"/>
              </w:rPr>
              <w:t>Certifications by Chief Executive Officer pursuant to Title 18 U.S.C. Section 1350, as adopted pursuant to Section 906 of Sarbanes-Oxley Act of 2002.</w:t>
            </w:r>
          </w:p>
        </w:tc>
      </w:tr>
      <w:tr>
        <w:trPr>
          <w:trHeight w:val="175"/>
        </w:trPr>
        <w:tc>
          <w:tcPr>
            <w:tcW w:w="1080" w:type="dxa"/>
            <w:vAlign w:val="bottom"/>
            <w:shd w:val="clear" w:color="auto" w:fill="CCEEFF"/>
          </w:tcPr>
          <w:p>
            <w:pPr>
              <w:spacing w:after="0"/>
              <w:rPr>
                <w:rFonts w:ascii="Arial" w:cs="Arial" w:eastAsia="Arial" w:hAnsi="Arial"/>
                <w:sz w:val="15"/>
                <w:szCs w:val="15"/>
                <w:u w:val="single" w:color="auto"/>
                <w:color w:val="0000EE"/>
              </w:rPr>
            </w:pPr>
            <w:hyperlink w:anchor="page134">
              <w:r>
                <w:rPr>
                  <w:rFonts w:ascii="Arial" w:cs="Arial" w:eastAsia="Arial" w:hAnsi="Arial"/>
                  <w:sz w:val="15"/>
                  <w:szCs w:val="15"/>
                  <w:u w:val="single" w:color="auto"/>
                  <w:color w:val="0000EE"/>
                </w:rPr>
                <w:t>32.2**</w:t>
              </w:r>
            </w:hyperlink>
          </w:p>
        </w:tc>
        <w:tc>
          <w:tcPr>
            <w:tcW w:w="10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Certifications by Chief Financial Officer pursuant to Title 18 U.S.C. Section 1350, as adopted pursuant to Section 906 of Sarbanes-Oxley Act of 2002.</w:t>
            </w:r>
          </w:p>
        </w:tc>
      </w:tr>
    </w:tbl>
    <w:p>
      <w:pPr>
        <w:spacing w:after="0" w:line="187"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Filed as an exhibit to this Annual Report</w:t>
      </w:r>
    </w:p>
    <w:p>
      <w:pPr>
        <w:spacing w:after="0" w:line="200"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Furnished as an exhibit to this Annual Report</w:t>
      </w:r>
    </w:p>
    <w:p>
      <w:pPr>
        <w:spacing w:after="0" w:line="20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Compensatory plan or arrangement</w:t>
      </w:r>
    </w:p>
    <w:p>
      <w:pPr>
        <w:spacing w:after="0" w:line="20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Confidential treatment was granted with respect to certain portions of this exhibit. Omitted portions filed separately with the SEC.</w:t>
      </w:r>
    </w:p>
    <w:p>
      <w:pPr>
        <w:spacing w:after="0" w:line="19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Form 10-K Summary.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7" w:name="page88"/>
    <w:bookmarkEnd w:id="8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right="140" w:firstLine="263"/>
        <w:spacing w:after="0" w:line="263" w:lineRule="auto"/>
        <w:rPr>
          <w:sz w:val="20"/>
          <w:szCs w:val="20"/>
          <w:color w:val="auto"/>
        </w:rPr>
      </w:pPr>
      <w:r>
        <w:rPr>
          <w:rFonts w:ascii="Arial" w:cs="Arial" w:eastAsia="Arial" w:hAnsi="Arial"/>
          <w:sz w:val="15"/>
          <w:szCs w:val="15"/>
          <w:color w:val="auto"/>
        </w:rPr>
        <w:t>Pursuant to the requirements of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NEW FORTRESS ENERGY INC.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 March 16, 2021</w:t>
      </w:r>
    </w:p>
    <w:p>
      <w:pPr>
        <w:sectPr>
          <w:pgSz w:w="11900" w:h="16838" w:orient="portrait"/>
          <w:cols w:equalWidth="0" w:num="1">
            <w:col w:w="11280"/>
          </w:cols>
          <w:pgMar w:left="300" w:top="124" w:right="319" w:bottom="1440" w:gutter="0" w:footer="0" w:header="0"/>
        </w:sectPr>
      </w:pPr>
    </w:p>
    <w:p>
      <w:pPr>
        <w:spacing w:after="0" w:line="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Name:</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 Christopher S. Guinta</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Christopher S. Guinta</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01" w:lineRule="exact"/>
        <w:rPr>
          <w:sz w:val="20"/>
          <w:szCs w:val="20"/>
          <w:color w:val="auto"/>
        </w:rPr>
      </w:pPr>
    </w:p>
    <w:p>
      <w:pPr>
        <w:sectPr>
          <w:pgSz w:w="11900" w:h="16838" w:orient="portrait"/>
          <w:cols w:equalWidth="0" w:num="2">
            <w:col w:w="6120" w:space="480"/>
            <w:col w:w="4680"/>
          </w:cols>
          <w:pgMar w:left="300" w:top="124" w:right="319" w:bottom="1440" w:gutter="0" w:footer="0" w:header="0"/>
          <w:type w:val="continuous"/>
        </w:sectPr>
      </w:pPr>
    </w:p>
    <w:p>
      <w:pPr>
        <w:ind w:right="320" w:firstLine="263"/>
        <w:spacing w:after="0" w:line="263"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Name</w:t>
            </w:r>
          </w:p>
        </w:tc>
        <w:tc>
          <w:tcPr>
            <w:tcW w:w="280" w:type="dxa"/>
            <w:vAlign w:val="bottom"/>
          </w:tcPr>
          <w:p>
            <w:pPr>
              <w:spacing w:after="0"/>
              <w:rPr>
                <w:sz w:val="16"/>
                <w:szCs w:val="16"/>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Title</w:t>
            </w:r>
          </w:p>
        </w:tc>
        <w:tc>
          <w:tcPr>
            <w:tcW w:w="22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340"/>
        </w:trPr>
        <w:tc>
          <w:tcPr>
            <w:tcW w:w="440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Wesley R. Edens</w:t>
            </w:r>
          </w:p>
        </w:tc>
        <w:tc>
          <w:tcPr>
            <w:tcW w:w="4340" w:type="dxa"/>
            <w:vAlign w:val="bottom"/>
            <w:gridSpan w:val="2"/>
          </w:tcPr>
          <w:p>
            <w:pPr>
              <w:jc w:val="center"/>
              <w:ind w:right="240"/>
              <w:spacing w:after="0"/>
              <w:rPr>
                <w:sz w:val="20"/>
                <w:szCs w:val="20"/>
                <w:color w:val="auto"/>
              </w:rPr>
            </w:pPr>
            <w:r>
              <w:rPr>
                <w:rFonts w:ascii="Arial" w:cs="Arial" w:eastAsia="Arial" w:hAnsi="Arial"/>
                <w:sz w:val="15"/>
                <w:szCs w:val="15"/>
                <w:color w:val="auto"/>
                <w:w w:val="90"/>
              </w:rPr>
              <w:t>Chief Executive Officer and Chairman</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186"/>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5"/>
                <w:szCs w:val="15"/>
                <w:i w:val="1"/>
                <w:iCs w:val="1"/>
                <w:color w:val="auto"/>
                <w:w w:val="91"/>
              </w:rPr>
              <w:t>(Principal Executive Officer)</w:t>
            </w:r>
          </w:p>
        </w:tc>
        <w:tc>
          <w:tcPr>
            <w:tcW w:w="2540" w:type="dxa"/>
            <w:vAlign w:val="bottom"/>
          </w:tcPr>
          <w:p>
            <w:pPr>
              <w:spacing w:after="0"/>
              <w:rPr>
                <w:sz w:val="16"/>
                <w:szCs w:val="16"/>
                <w:color w:val="auto"/>
              </w:rPr>
            </w:pPr>
          </w:p>
        </w:tc>
      </w:tr>
      <w:tr>
        <w:trPr>
          <w:trHeight w:val="340"/>
        </w:trPr>
        <w:tc>
          <w:tcPr>
            <w:tcW w:w="4400" w:type="dxa"/>
            <w:vAlign w:val="bottom"/>
            <w:gridSpan w:val="2"/>
          </w:tcPr>
          <w:p>
            <w:pPr>
              <w:jc w:val="center"/>
              <w:ind w:right="280"/>
              <w:spacing w:after="0"/>
              <w:rPr>
                <w:sz w:val="20"/>
                <w:szCs w:val="20"/>
                <w:color w:val="auto"/>
              </w:rPr>
            </w:pPr>
            <w:r>
              <w:rPr>
                <w:rFonts w:ascii="Arial" w:cs="Arial" w:eastAsia="Arial" w:hAnsi="Arial"/>
                <w:sz w:val="15"/>
                <w:szCs w:val="15"/>
                <w:color w:val="auto"/>
                <w:w w:val="88"/>
              </w:rPr>
              <w:t>Christopher S. Guinta</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Chief Financial Officer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186"/>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5"/>
                <w:szCs w:val="15"/>
                <w:i w:val="1"/>
                <w:iCs w:val="1"/>
                <w:color w:val="auto"/>
                <w:w w:val="94"/>
              </w:rPr>
              <w:t>(Principal Financial Officer)</w:t>
            </w:r>
          </w:p>
        </w:tc>
        <w:tc>
          <w:tcPr>
            <w:tcW w:w="2540" w:type="dxa"/>
            <w:vAlign w:val="bottom"/>
          </w:tcPr>
          <w:p>
            <w:pPr>
              <w:spacing w:after="0"/>
              <w:rPr>
                <w:sz w:val="16"/>
                <w:szCs w:val="16"/>
                <w:color w:val="auto"/>
              </w:rPr>
            </w:pPr>
          </w:p>
        </w:tc>
      </w:tr>
      <w:tr>
        <w:trPr>
          <w:trHeight w:val="340"/>
        </w:trPr>
        <w:tc>
          <w:tcPr>
            <w:tcW w:w="4400" w:type="dxa"/>
            <w:vAlign w:val="bottom"/>
            <w:gridSpan w:val="2"/>
          </w:tcPr>
          <w:p>
            <w:pPr>
              <w:jc w:val="center"/>
              <w:ind w:right="260"/>
              <w:spacing w:after="0"/>
              <w:rPr>
                <w:sz w:val="20"/>
                <w:szCs w:val="20"/>
                <w:color w:val="auto"/>
              </w:rPr>
            </w:pPr>
            <w:r>
              <w:rPr>
                <w:rFonts w:ascii="Arial" w:cs="Arial" w:eastAsia="Arial" w:hAnsi="Arial"/>
                <w:sz w:val="15"/>
                <w:szCs w:val="15"/>
                <w:color w:val="auto"/>
                <w:w w:val="88"/>
              </w:rPr>
              <w:t>Yunyoung Shin</w:t>
            </w:r>
          </w:p>
        </w:tc>
        <w:tc>
          <w:tcPr>
            <w:tcW w:w="4340" w:type="dxa"/>
            <w:vAlign w:val="bottom"/>
            <w:gridSpan w:val="2"/>
          </w:tcPr>
          <w:p>
            <w:pPr>
              <w:jc w:val="center"/>
              <w:ind w:right="240"/>
              <w:spacing w:after="0"/>
              <w:rPr>
                <w:sz w:val="20"/>
                <w:szCs w:val="20"/>
                <w:color w:val="auto"/>
              </w:rPr>
            </w:pPr>
            <w:r>
              <w:rPr>
                <w:rFonts w:ascii="Arial" w:cs="Arial" w:eastAsia="Arial" w:hAnsi="Arial"/>
                <w:sz w:val="15"/>
                <w:szCs w:val="15"/>
                <w:color w:val="auto"/>
                <w:w w:val="92"/>
              </w:rPr>
              <w:t>Chief Accounting Officer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186"/>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i w:val="1"/>
                <w:iCs w:val="1"/>
                <w:color w:val="auto"/>
                <w:w w:val="92"/>
              </w:rPr>
              <w:t>(Principal Accounting Officer)</w:t>
            </w:r>
          </w:p>
        </w:tc>
        <w:tc>
          <w:tcPr>
            <w:tcW w:w="2540" w:type="dxa"/>
            <w:vAlign w:val="bottom"/>
          </w:tcPr>
          <w:p>
            <w:pPr>
              <w:spacing w:after="0"/>
              <w:rPr>
                <w:sz w:val="16"/>
                <w:szCs w:val="16"/>
                <w:color w:val="auto"/>
              </w:rPr>
            </w:pPr>
          </w:p>
        </w:tc>
      </w:tr>
      <w:tr>
        <w:trPr>
          <w:trHeight w:val="351"/>
        </w:trPr>
        <w:tc>
          <w:tcPr>
            <w:tcW w:w="44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Randal A. Nardone</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Director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351"/>
        </w:trPr>
        <w:tc>
          <w:tcPr>
            <w:tcW w:w="4400" w:type="dxa"/>
            <w:vAlign w:val="bottom"/>
            <w:gridSpan w:val="2"/>
          </w:tcPr>
          <w:p>
            <w:pPr>
              <w:jc w:val="center"/>
              <w:ind w:right="280"/>
              <w:spacing w:after="0"/>
              <w:rPr>
                <w:sz w:val="20"/>
                <w:szCs w:val="20"/>
                <w:color w:val="auto"/>
              </w:rPr>
            </w:pPr>
            <w:r>
              <w:rPr>
                <w:rFonts w:ascii="Arial" w:cs="Arial" w:eastAsia="Arial" w:hAnsi="Arial"/>
                <w:sz w:val="15"/>
                <w:szCs w:val="15"/>
                <w:color w:val="auto"/>
                <w:w w:val="96"/>
              </w:rPr>
              <w:t>C. William Griffin</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Director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351"/>
        </w:trPr>
        <w:tc>
          <w:tcPr>
            <w:tcW w:w="4400" w:type="dxa"/>
            <w:vAlign w:val="bottom"/>
            <w:gridSpan w:val="2"/>
          </w:tcPr>
          <w:p>
            <w:pPr>
              <w:jc w:val="center"/>
              <w:ind w:right="260"/>
              <w:spacing w:after="0"/>
              <w:rPr>
                <w:sz w:val="20"/>
                <w:szCs w:val="20"/>
                <w:color w:val="auto"/>
              </w:rPr>
            </w:pPr>
            <w:r>
              <w:rPr>
                <w:rFonts w:ascii="Arial" w:cs="Arial" w:eastAsia="Arial" w:hAnsi="Arial"/>
                <w:sz w:val="15"/>
                <w:szCs w:val="15"/>
                <w:color w:val="auto"/>
                <w:w w:val="88"/>
              </w:rPr>
              <w:t>John J. Mack</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Director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351"/>
        </w:trPr>
        <w:tc>
          <w:tcPr>
            <w:tcW w:w="4400" w:type="dxa"/>
            <w:vAlign w:val="bottom"/>
            <w:gridSpan w:val="2"/>
          </w:tcPr>
          <w:p>
            <w:pPr>
              <w:jc w:val="center"/>
              <w:ind w:right="280"/>
              <w:spacing w:after="0"/>
              <w:rPr>
                <w:sz w:val="20"/>
                <w:szCs w:val="20"/>
                <w:color w:val="auto"/>
              </w:rPr>
            </w:pPr>
            <w:r>
              <w:rPr>
                <w:rFonts w:ascii="Arial" w:cs="Arial" w:eastAsia="Arial" w:hAnsi="Arial"/>
                <w:sz w:val="15"/>
                <w:szCs w:val="15"/>
                <w:color w:val="auto"/>
                <w:w w:val="92"/>
              </w:rPr>
              <w:t>Matthew Wilkinson</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Director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351"/>
        </w:trPr>
        <w:tc>
          <w:tcPr>
            <w:tcW w:w="4400" w:type="dxa"/>
            <w:vAlign w:val="bottom"/>
            <w:gridSpan w:val="2"/>
          </w:tcPr>
          <w:p>
            <w:pPr>
              <w:jc w:val="center"/>
              <w:ind w:right="260"/>
              <w:spacing w:after="0"/>
              <w:rPr>
                <w:sz w:val="20"/>
                <w:szCs w:val="20"/>
                <w:color w:val="auto"/>
              </w:rPr>
            </w:pPr>
            <w:r>
              <w:rPr>
                <w:rFonts w:ascii="Arial" w:cs="Arial" w:eastAsia="Arial" w:hAnsi="Arial"/>
                <w:sz w:val="15"/>
                <w:szCs w:val="15"/>
                <w:color w:val="auto"/>
                <w:w w:val="90"/>
              </w:rPr>
              <w:t>David J. Grain</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Director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351"/>
        </w:trPr>
        <w:tc>
          <w:tcPr>
            <w:tcW w:w="4400" w:type="dxa"/>
            <w:vAlign w:val="bottom"/>
            <w:gridSpan w:val="2"/>
          </w:tcPr>
          <w:p>
            <w:pPr>
              <w:jc w:val="center"/>
              <w:ind w:right="280"/>
              <w:spacing w:after="0"/>
              <w:rPr>
                <w:sz w:val="20"/>
                <w:szCs w:val="20"/>
                <w:color w:val="auto"/>
              </w:rPr>
            </w:pPr>
            <w:r>
              <w:rPr>
                <w:rFonts w:ascii="Arial" w:cs="Arial" w:eastAsia="Arial" w:hAnsi="Arial"/>
                <w:sz w:val="15"/>
                <w:szCs w:val="15"/>
                <w:color w:val="auto"/>
                <w:w w:val="89"/>
              </w:rPr>
              <w:t>Desmond Iain Catterall</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Director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351"/>
        </w:trPr>
        <w:tc>
          <w:tcPr>
            <w:tcW w:w="4400" w:type="dxa"/>
            <w:vAlign w:val="bottom"/>
            <w:gridSpan w:val="2"/>
          </w:tcPr>
          <w:p>
            <w:pPr>
              <w:jc w:val="center"/>
              <w:ind w:right="260"/>
              <w:spacing w:after="0"/>
              <w:rPr>
                <w:sz w:val="20"/>
                <w:szCs w:val="20"/>
                <w:color w:val="auto"/>
              </w:rPr>
            </w:pPr>
            <w:r>
              <w:rPr>
                <w:rFonts w:ascii="Arial" w:cs="Arial" w:eastAsia="Arial" w:hAnsi="Arial"/>
                <w:sz w:val="15"/>
                <w:szCs w:val="15"/>
                <w:color w:val="auto"/>
                <w:w w:val="87"/>
              </w:rPr>
              <w:t>Katherine E. Wanner</w:t>
            </w:r>
          </w:p>
        </w:tc>
        <w:tc>
          <w:tcPr>
            <w:tcW w:w="434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Director</w:t>
            </w:r>
          </w:p>
        </w:tc>
        <w:tc>
          <w:tcPr>
            <w:tcW w:w="2540" w:type="dxa"/>
            <w:vAlign w:val="bottom"/>
          </w:tcPr>
          <w:p>
            <w:pPr>
              <w:jc w:val="center"/>
              <w:spacing w:after="0"/>
              <w:rPr>
                <w:sz w:val="20"/>
                <w:szCs w:val="20"/>
                <w:color w:val="auto"/>
              </w:rPr>
            </w:pPr>
            <w:r>
              <w:rPr>
                <w:rFonts w:ascii="Arial" w:cs="Arial" w:eastAsia="Arial" w:hAnsi="Arial"/>
                <w:sz w:val="15"/>
                <w:szCs w:val="15"/>
                <w:color w:val="auto"/>
                <w:w w:val="90"/>
              </w:rPr>
              <w:t>March 16, 2021</w:t>
            </w:r>
          </w:p>
        </w:tc>
      </w:tr>
      <w:tr>
        <w:trPr>
          <w:trHeight w:val="681"/>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20" w:type="dxa"/>
            <w:vAlign w:val="bottom"/>
          </w:tcPr>
          <w:p>
            <w:pPr>
              <w:jc w:val="right"/>
              <w:ind w:right="2748"/>
              <w:spacing w:after="0"/>
              <w:rPr>
                <w:sz w:val="20"/>
                <w:szCs w:val="20"/>
                <w:color w:val="auto"/>
              </w:rPr>
            </w:pPr>
            <w:r>
              <w:rPr>
                <w:rFonts w:ascii="Arial" w:cs="Arial" w:eastAsia="Arial" w:hAnsi="Arial"/>
                <w:sz w:val="12"/>
                <w:szCs w:val="12"/>
                <w:color w:val="auto"/>
              </w:rPr>
              <w:t>86</w:t>
            </w: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4"/>
        </w:trPr>
        <w:tc>
          <w:tcPr>
            <w:tcW w:w="4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type w:val="continuous"/>
        </w:sectPr>
      </w:pPr>
    </w:p>
    <w:bookmarkStart w:id="88" w:name="page89"/>
    <w:bookmarkEnd w:id="8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Index to Consolidated Financial Statements</w:t>
      </w:r>
    </w:p>
    <w:tbl>
      <w:tblPr>
        <w:tblLayout w:type="fixed"/>
        <w:tblInd w:w="0" w:type="dxa"/>
        <w:tblCellMar>
          <w:top w:w="0" w:type="dxa"/>
          <w:left w:w="0" w:type="dxa"/>
          <w:bottom w:w="0" w:type="dxa"/>
          <w:right w:w="0" w:type="dxa"/>
        </w:tblCellMar>
      </w:tblPr>
      <w:tr>
        <w:trPr>
          <w:trHeight w:val="140"/>
        </w:trPr>
        <w:tc>
          <w:tcPr>
            <w:tcW w:w="4680" w:type="dxa"/>
            <w:vAlign w:val="bottom"/>
            <w:tcBorders>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Page</w:t>
            </w:r>
          </w:p>
        </w:tc>
      </w:tr>
      <w:tr>
        <w:trPr>
          <w:trHeight w:val="175"/>
        </w:trPr>
        <w:tc>
          <w:tcPr>
            <w:tcW w:w="4680" w:type="dxa"/>
            <w:vAlign w:val="bottom"/>
            <w:shd w:val="clear" w:color="auto" w:fill="CCEEFF"/>
          </w:tcPr>
          <w:p>
            <w:pPr>
              <w:spacing w:after="0"/>
              <w:rPr>
                <w:rFonts w:ascii="Arial" w:cs="Arial" w:eastAsia="Arial" w:hAnsi="Arial"/>
                <w:sz w:val="15"/>
                <w:szCs w:val="15"/>
                <w:u w:val="single" w:color="auto"/>
                <w:color w:val="0000EE"/>
              </w:rPr>
            </w:pPr>
            <w:hyperlink w:anchor="page90">
              <w:r>
                <w:rPr>
                  <w:rFonts w:ascii="Arial" w:cs="Arial" w:eastAsia="Arial" w:hAnsi="Arial"/>
                  <w:sz w:val="15"/>
                  <w:szCs w:val="15"/>
                  <w:u w:val="single" w:color="auto"/>
                  <w:color w:val="0000EE"/>
                </w:rPr>
                <w:t>Report of Independent Registered Public Accounting Firm</w:t>
              </w:r>
            </w:hyperlink>
          </w:p>
        </w:tc>
        <w:tc>
          <w:tcPr>
            <w:tcW w:w="5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5"/>
                <w:szCs w:val="15"/>
                <w:color w:val="auto"/>
              </w:rPr>
              <w:t>F-2</w:t>
            </w:r>
          </w:p>
        </w:tc>
      </w:tr>
      <w:tr>
        <w:trPr>
          <w:trHeight w:val="175"/>
        </w:trPr>
        <w:tc>
          <w:tcPr>
            <w:tcW w:w="4680" w:type="dxa"/>
            <w:vAlign w:val="bottom"/>
          </w:tcPr>
          <w:p>
            <w:pPr>
              <w:spacing w:after="0"/>
              <w:rPr>
                <w:rFonts w:ascii="Arial" w:cs="Arial" w:eastAsia="Arial" w:hAnsi="Arial"/>
                <w:sz w:val="15"/>
                <w:szCs w:val="15"/>
                <w:u w:val="single" w:color="auto"/>
                <w:color w:val="0000EE"/>
              </w:rPr>
            </w:pPr>
            <w:hyperlink w:anchor="page96">
              <w:r>
                <w:rPr>
                  <w:rFonts w:ascii="Arial" w:cs="Arial" w:eastAsia="Arial" w:hAnsi="Arial"/>
                  <w:sz w:val="15"/>
                  <w:szCs w:val="15"/>
                  <w:u w:val="single" w:color="auto"/>
                  <w:color w:val="0000EE"/>
                </w:rPr>
                <w:t>Consolidated Balance Sheets</w:t>
              </w:r>
            </w:hyperlink>
          </w:p>
        </w:tc>
        <w:tc>
          <w:tcPr>
            <w:tcW w:w="5360" w:type="dxa"/>
            <w:vAlign w:val="bottom"/>
          </w:tcPr>
          <w:p>
            <w:pPr>
              <w:spacing w:after="0"/>
              <w:rPr>
                <w:sz w:val="15"/>
                <w:szCs w:val="15"/>
                <w:color w:val="auto"/>
              </w:rPr>
            </w:pP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F-8</w:t>
            </w:r>
          </w:p>
        </w:tc>
      </w:tr>
      <w:tr>
        <w:trPr>
          <w:trHeight w:val="175"/>
        </w:trPr>
        <w:tc>
          <w:tcPr>
            <w:tcW w:w="4680" w:type="dxa"/>
            <w:vAlign w:val="bottom"/>
            <w:shd w:val="clear" w:color="auto" w:fill="CCEEFF"/>
          </w:tcPr>
          <w:p>
            <w:pPr>
              <w:spacing w:after="0"/>
              <w:rPr>
                <w:rFonts w:ascii="Arial" w:cs="Arial" w:eastAsia="Arial" w:hAnsi="Arial"/>
                <w:sz w:val="15"/>
                <w:szCs w:val="15"/>
                <w:u w:val="single" w:color="auto"/>
                <w:color w:val="0000EE"/>
              </w:rPr>
            </w:pPr>
            <w:hyperlink w:anchor="page97">
              <w:r>
                <w:rPr>
                  <w:rFonts w:ascii="Arial" w:cs="Arial" w:eastAsia="Arial" w:hAnsi="Arial"/>
                  <w:sz w:val="15"/>
                  <w:szCs w:val="15"/>
                  <w:u w:val="single" w:color="auto"/>
                  <w:color w:val="0000EE"/>
                </w:rPr>
                <w:t>Consolidated Statements of Operations and Comprehensive Loss</w:t>
              </w:r>
            </w:hyperlink>
          </w:p>
        </w:tc>
        <w:tc>
          <w:tcPr>
            <w:tcW w:w="5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5"/>
                <w:szCs w:val="15"/>
                <w:color w:val="auto"/>
              </w:rPr>
              <w:t>F-9</w:t>
            </w:r>
          </w:p>
        </w:tc>
      </w:tr>
      <w:tr>
        <w:trPr>
          <w:trHeight w:val="175"/>
        </w:trPr>
        <w:tc>
          <w:tcPr>
            <w:tcW w:w="4680" w:type="dxa"/>
            <w:vAlign w:val="bottom"/>
          </w:tcPr>
          <w:p>
            <w:pPr>
              <w:spacing w:after="0"/>
              <w:rPr>
                <w:rFonts w:ascii="Arial" w:cs="Arial" w:eastAsia="Arial" w:hAnsi="Arial"/>
                <w:sz w:val="15"/>
                <w:szCs w:val="15"/>
                <w:u w:val="single" w:color="auto"/>
                <w:color w:val="0000EE"/>
              </w:rPr>
            </w:pPr>
            <w:hyperlink w:anchor="page98">
              <w:r>
                <w:rPr>
                  <w:rFonts w:ascii="Arial" w:cs="Arial" w:eastAsia="Arial" w:hAnsi="Arial"/>
                  <w:sz w:val="15"/>
                  <w:szCs w:val="15"/>
                  <w:u w:val="single" w:color="auto"/>
                  <w:color w:val="0000EE"/>
                </w:rPr>
                <w:t>Consolidated Statements of Changes in Stockholders’ Equity</w:t>
              </w:r>
            </w:hyperlink>
          </w:p>
        </w:tc>
        <w:tc>
          <w:tcPr>
            <w:tcW w:w="5360" w:type="dxa"/>
            <w:vAlign w:val="bottom"/>
          </w:tcPr>
          <w:p>
            <w:pPr>
              <w:spacing w:after="0"/>
              <w:rPr>
                <w:sz w:val="15"/>
                <w:szCs w:val="15"/>
                <w:color w:val="auto"/>
              </w:rPr>
            </w:pP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F-10</w:t>
            </w:r>
          </w:p>
        </w:tc>
      </w:tr>
      <w:tr>
        <w:trPr>
          <w:trHeight w:val="175"/>
        </w:trPr>
        <w:tc>
          <w:tcPr>
            <w:tcW w:w="4680" w:type="dxa"/>
            <w:vAlign w:val="bottom"/>
            <w:shd w:val="clear" w:color="auto" w:fill="CCEEFF"/>
          </w:tcPr>
          <w:p>
            <w:pPr>
              <w:spacing w:after="0"/>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Consolidated Statements of Cash Flows</w:t>
              </w:r>
            </w:hyperlink>
          </w:p>
        </w:tc>
        <w:tc>
          <w:tcPr>
            <w:tcW w:w="5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5"/>
                <w:szCs w:val="15"/>
                <w:color w:val="auto"/>
              </w:rPr>
              <w:t>F-11</w:t>
            </w:r>
          </w:p>
        </w:tc>
      </w:tr>
      <w:tr>
        <w:trPr>
          <w:trHeight w:val="186"/>
        </w:trPr>
        <w:tc>
          <w:tcPr>
            <w:tcW w:w="4680" w:type="dxa"/>
            <w:vAlign w:val="bottom"/>
          </w:tcPr>
          <w:p>
            <w:pPr>
              <w:spacing w:after="0"/>
              <w:rPr>
                <w:rFonts w:ascii="Arial" w:cs="Arial" w:eastAsia="Arial" w:hAnsi="Arial"/>
                <w:sz w:val="15"/>
                <w:szCs w:val="15"/>
                <w:u w:val="single" w:color="auto"/>
                <w:color w:val="0000EE"/>
              </w:rPr>
            </w:pPr>
            <w:hyperlink w:anchor="page100">
              <w:r>
                <w:rPr>
                  <w:rFonts w:ascii="Arial" w:cs="Arial" w:eastAsia="Arial" w:hAnsi="Arial"/>
                  <w:sz w:val="15"/>
                  <w:szCs w:val="15"/>
                  <w:u w:val="single" w:color="auto"/>
                  <w:color w:val="0000EE"/>
                </w:rPr>
                <w:t>Notes to Consolidated Financial Statements</w:t>
              </w:r>
            </w:hyperlink>
          </w:p>
        </w:tc>
        <w:tc>
          <w:tcPr>
            <w:tcW w:w="5360" w:type="dxa"/>
            <w:vAlign w:val="bottom"/>
          </w:tcPr>
          <w:p>
            <w:pPr>
              <w:spacing w:after="0"/>
              <w:rPr>
                <w:sz w:val="16"/>
                <w:szCs w:val="16"/>
                <w:color w:val="auto"/>
              </w:rPr>
            </w:pP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F-12</w:t>
            </w:r>
          </w:p>
        </w:tc>
      </w:tr>
      <w:tr>
        <w:trPr>
          <w:trHeight w:val="473"/>
        </w:trPr>
        <w:tc>
          <w:tcPr>
            <w:tcW w:w="4680" w:type="dxa"/>
            <w:vAlign w:val="bottom"/>
          </w:tcPr>
          <w:p>
            <w:pPr>
              <w:spacing w:after="0"/>
              <w:rPr>
                <w:sz w:val="24"/>
                <w:szCs w:val="24"/>
                <w:color w:val="auto"/>
              </w:rPr>
            </w:pPr>
          </w:p>
        </w:tc>
        <w:tc>
          <w:tcPr>
            <w:tcW w:w="6600" w:type="dxa"/>
            <w:vAlign w:val="bottom"/>
            <w:gridSpan w:val="2"/>
          </w:tcPr>
          <w:p>
            <w:pPr>
              <w:jc w:val="right"/>
              <w:ind w:right="5489"/>
              <w:spacing w:after="0"/>
              <w:rPr>
                <w:sz w:val="20"/>
                <w:szCs w:val="20"/>
                <w:color w:val="auto"/>
              </w:rPr>
            </w:pPr>
            <w:r>
              <w:rPr>
                <w:rFonts w:ascii="Arial" w:cs="Arial" w:eastAsia="Arial" w:hAnsi="Arial"/>
                <w:sz w:val="12"/>
                <w:szCs w:val="12"/>
                <w:color w:val="auto"/>
              </w:rPr>
              <w:t>F-1</w:t>
            </w:r>
          </w:p>
        </w:tc>
      </w:tr>
      <w:tr>
        <w:trPr>
          <w:trHeight w:val="34"/>
        </w:trPr>
        <w:tc>
          <w:tcPr>
            <w:tcW w:w="46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6" w:right="319" w:bottom="1440" w:gutter="0" w:footer="0" w:header="0"/>
        </w:sectPr>
      </w:pPr>
    </w:p>
    <w:bookmarkStart w:id="89" w:name="page90"/>
    <w:bookmarkEnd w:id="8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New Fortress Energy Inc.</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204" w:lineRule="exact"/>
        <w:rPr>
          <w:sz w:val="20"/>
          <w:szCs w:val="20"/>
          <w:color w:val="auto"/>
        </w:rPr>
      </w:pPr>
    </w:p>
    <w:p>
      <w:pPr>
        <w:jc w:val="both"/>
        <w:ind w:right="40"/>
        <w:spacing w:after="0" w:line="280" w:lineRule="auto"/>
        <w:rPr>
          <w:sz w:val="20"/>
          <w:szCs w:val="20"/>
          <w:color w:val="auto"/>
        </w:rPr>
      </w:pPr>
      <w:r>
        <w:rPr>
          <w:rFonts w:ascii="Arial" w:cs="Arial" w:eastAsia="Arial" w:hAnsi="Arial"/>
          <w:sz w:val="14"/>
          <w:szCs w:val="14"/>
          <w:color w:val="auto"/>
        </w:rPr>
        <w:t>We have audited New Fortress Energy Inc.’s internal control over financial reporting as of December 31, 2020, based on criteria established in Internal Control—Integrated Framework issued by the Committee of Sponsoring Organizations of the Treadway Commission 2013 framework (the COSO criteria). In our opinion, New Fortress Energy Inc. (the Company) maintained, in all material respects, effective internal control over financial reporting as of December 31, 2020, based on the COSO criteria.</w:t>
      </w:r>
    </w:p>
    <w:p>
      <w:pPr>
        <w:spacing w:after="0" w:line="160" w:lineRule="exact"/>
        <w:rPr>
          <w:sz w:val="20"/>
          <w:szCs w:val="20"/>
          <w:color w:val="auto"/>
        </w:rPr>
      </w:pPr>
    </w:p>
    <w:p>
      <w:pPr>
        <w:ind w:right="180"/>
        <w:spacing w:after="0" w:line="274"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accompanying consolidated balance sheets of the Company as of December 31, 2020 and 2019, the related consolidated statements of operations and comprehensive loss, changes in stockholders’ equity and cash flows for each of the three years in the period ended December 31, 2020, and the related notes and the financial statement schedule listed in the Index at Item 15(a)(2) (collectively referred to as the “consolidated financial statements”). Our report dated March 16, 2021 expressed an unqualified opinion thereon.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40"/>
        <w:spacing w:after="0" w:line="263"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ind w:right="220"/>
        <w:spacing w:after="0" w:line="253"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90" w:name="page91"/>
    <w:bookmarkEnd w:id="9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204"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firstLine="8"/>
        <w:spacing w:after="0" w:line="268" w:lineRule="auto"/>
        <w:tabs>
          <w:tab w:leader="none" w:pos="207"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80"/>
        <w:spacing w:after="0" w:line="34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 </w:t>
      </w:r>
      <w:r>
        <w:rPr>
          <w:rFonts w:ascii="Arial" w:cs="Arial" w:eastAsia="Arial" w:hAnsi="Arial"/>
          <w:sz w:val="15"/>
          <w:szCs w:val="15"/>
          <w:color w:val="auto"/>
        </w:rPr>
        <w:t>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March 16, 2021</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1" w:name="page92"/>
    <w:bookmarkEnd w:id="9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New Fortress Energy Inc.</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204"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We have audited the accompanying consolidated balance sheets of New Fortress Energy Inc. (the Company) as of December 31, 2020 and 2019, the related consolidated statements of operations and comprehensive loss, changes in stockholders’ equity and cash flows for each of the three years in the period ended December 31, 2020,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16, 2021 expressed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Adoption of ASU No. 2016-02</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As discussed in Note 3 to the consolidated financial statements, the Company changed its method of accounting for leases in 2020 due to the adoption of ASU No. 2016-02,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2" w:name="page93"/>
    <w:bookmarkEnd w:id="9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200" w:lineRule="exact"/>
        <w:rPr>
          <w:sz w:val="20"/>
          <w:szCs w:val="20"/>
          <w:color w:val="auto"/>
        </w:rPr>
      </w:pPr>
    </w:p>
    <w:p>
      <w:pPr>
        <w:spacing w:after="0" w:line="202"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9240" w:type="dxa"/>
            <w:vAlign w:val="bottom"/>
          </w:tcPr>
          <w:p>
            <w:pPr>
              <w:ind w:left="240"/>
              <w:spacing w:after="0"/>
              <w:rPr>
                <w:sz w:val="20"/>
                <w:szCs w:val="20"/>
                <w:color w:val="auto"/>
              </w:rPr>
            </w:pPr>
            <w:r>
              <w:rPr>
                <w:rFonts w:ascii="Arial" w:cs="Arial" w:eastAsia="Arial" w:hAnsi="Arial"/>
                <w:sz w:val="15"/>
                <w:szCs w:val="15"/>
                <w:b w:val="1"/>
                <w:bCs w:val="1"/>
                <w:i w:val="1"/>
                <w:iCs w:val="1"/>
                <w:color w:val="auto"/>
              </w:rPr>
              <w:t>Revenue Recognition – Identification of Distinct Performance Obligations and Leases</w:t>
            </w:r>
          </w:p>
        </w:tc>
      </w:tr>
      <w:tr>
        <w:trPr>
          <w:trHeight w:val="340"/>
        </w:trPr>
        <w:tc>
          <w:tcPr>
            <w:tcW w:w="2040" w:type="dxa"/>
            <w:vAlign w:val="bottom"/>
          </w:tcPr>
          <w:p>
            <w:pPr>
              <w:spacing w:after="0"/>
              <w:rPr>
                <w:sz w:val="20"/>
                <w:szCs w:val="20"/>
                <w:color w:val="auto"/>
              </w:rPr>
            </w:pPr>
            <w:r>
              <w:rPr>
                <w:rFonts w:ascii="Arial" w:cs="Arial" w:eastAsia="Arial" w:hAnsi="Arial"/>
                <w:sz w:val="15"/>
                <w:szCs w:val="15"/>
                <w:i w:val="1"/>
                <w:iCs w:val="1"/>
                <w:color w:val="auto"/>
              </w:rPr>
              <w:t>Description of the Matter</w:t>
            </w:r>
          </w:p>
        </w:tc>
        <w:tc>
          <w:tcPr>
            <w:tcW w:w="9240" w:type="dxa"/>
            <w:vAlign w:val="bottom"/>
          </w:tcPr>
          <w:p>
            <w:pPr>
              <w:ind w:left="240"/>
              <w:spacing w:after="0"/>
              <w:rPr>
                <w:sz w:val="20"/>
                <w:szCs w:val="20"/>
                <w:color w:val="auto"/>
              </w:rPr>
            </w:pPr>
            <w:r>
              <w:rPr>
                <w:rFonts w:ascii="Arial" w:cs="Arial" w:eastAsia="Arial" w:hAnsi="Arial"/>
                <w:sz w:val="15"/>
                <w:szCs w:val="15"/>
                <w:color w:val="auto"/>
                <w:w w:val="91"/>
              </w:rPr>
              <w:t>As described in Note 2(p) to the consolidated financial statements, the Company’s contracts with customers may contain one or several performance</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0"/>
              </w:rPr>
              <w:t>obligations to provide goods or services or may contain a lease. At inception or upon amendment, management performs an evaluation to identify the</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0"/>
              </w:rPr>
              <w:t>obligations within the contract and determine the authoritative guidance applicable to such obligations. The Company allocates consideration received</w:t>
            </w:r>
          </w:p>
        </w:tc>
      </w:tr>
      <w:tr>
        <w:trPr>
          <w:trHeight w:val="186"/>
        </w:trPr>
        <w:tc>
          <w:tcPr>
            <w:tcW w:w="2040" w:type="dxa"/>
            <w:vAlign w:val="bottom"/>
          </w:tcPr>
          <w:p>
            <w:pPr>
              <w:spacing w:after="0"/>
              <w:rPr>
                <w:sz w:val="16"/>
                <w:szCs w:val="16"/>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rPr>
              <w:t>from customers between lease and non-lease components based on the relative fair value of each component.</w:t>
            </w:r>
          </w:p>
        </w:tc>
      </w:tr>
      <w:tr>
        <w:trPr>
          <w:trHeight w:val="340"/>
        </w:trPr>
        <w:tc>
          <w:tcPr>
            <w:tcW w:w="2040" w:type="dxa"/>
            <w:vAlign w:val="bottom"/>
          </w:tcPr>
          <w:p>
            <w:pPr>
              <w:spacing w:after="0"/>
              <w:rPr>
                <w:sz w:val="24"/>
                <w:szCs w:val="24"/>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3"/>
              </w:rPr>
              <w:t>Auditing management’s identification of performance and other obligations in each contract was challenging as it involved complex judgement to</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0"/>
              </w:rPr>
              <w:t>identify all promised goods and services and determining whether the customer can benefit from the promised goods or services on their own or on a</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0"/>
              </w:rPr>
              <w:t>combined basis. In addition, auditing management’s determination of whether a contract is or contains a lease required judgement to determine which</w:t>
            </w:r>
          </w:p>
        </w:tc>
      </w:tr>
      <w:tr>
        <w:trPr>
          <w:trHeight w:val="186"/>
        </w:trPr>
        <w:tc>
          <w:tcPr>
            <w:tcW w:w="2040" w:type="dxa"/>
            <w:vAlign w:val="bottom"/>
          </w:tcPr>
          <w:p>
            <w:pPr>
              <w:spacing w:after="0"/>
              <w:rPr>
                <w:sz w:val="16"/>
                <w:szCs w:val="16"/>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rPr>
              <w:t>party to the agreement controls how and for what purpose the underlying asset is used.</w:t>
            </w:r>
          </w:p>
        </w:tc>
      </w:tr>
      <w:tr>
        <w:trPr>
          <w:trHeight w:val="362"/>
        </w:trPr>
        <w:tc>
          <w:tcPr>
            <w:tcW w:w="2040" w:type="dxa"/>
            <w:vAlign w:val="bottom"/>
          </w:tcPr>
          <w:p>
            <w:pPr>
              <w:spacing w:after="0"/>
              <w:rPr>
                <w:sz w:val="20"/>
                <w:szCs w:val="20"/>
                <w:color w:val="auto"/>
              </w:rPr>
            </w:pPr>
            <w:r>
              <w:rPr>
                <w:rFonts w:ascii="Arial" w:cs="Arial" w:eastAsia="Arial" w:hAnsi="Arial"/>
                <w:sz w:val="15"/>
                <w:szCs w:val="15"/>
                <w:i w:val="1"/>
                <w:iCs w:val="1"/>
                <w:color w:val="auto"/>
                <w:w w:val="98"/>
              </w:rPr>
              <w:t>How We Addressed the Matter</w:t>
            </w:r>
          </w:p>
        </w:tc>
        <w:tc>
          <w:tcPr>
            <w:tcW w:w="9240" w:type="dxa"/>
            <w:vAlign w:val="bottom"/>
          </w:tcPr>
          <w:p>
            <w:pPr>
              <w:ind w:left="240"/>
              <w:spacing w:after="0"/>
              <w:rPr>
                <w:sz w:val="20"/>
                <w:szCs w:val="20"/>
                <w:color w:val="auto"/>
              </w:rPr>
            </w:pPr>
            <w:r>
              <w:rPr>
                <w:rFonts w:ascii="Arial" w:cs="Arial" w:eastAsia="Arial" w:hAnsi="Arial"/>
                <w:sz w:val="15"/>
                <w:szCs w:val="15"/>
                <w:color w:val="auto"/>
                <w:w w:val="88"/>
              </w:rPr>
              <w:t>We obtained an understanding, evaluated the design and tested the operating effectiveness of controls over the Company's revenue recognition process,</w:t>
            </w:r>
          </w:p>
        </w:tc>
      </w:tr>
      <w:tr>
        <w:trPr>
          <w:trHeight w:val="175"/>
        </w:trPr>
        <w:tc>
          <w:tcPr>
            <w:tcW w:w="2040" w:type="dxa"/>
            <w:vAlign w:val="bottom"/>
          </w:tcPr>
          <w:p>
            <w:pPr>
              <w:spacing w:after="0"/>
              <w:rPr>
                <w:sz w:val="20"/>
                <w:szCs w:val="20"/>
                <w:color w:val="auto"/>
              </w:rPr>
            </w:pPr>
            <w:r>
              <w:rPr>
                <w:rFonts w:ascii="Arial" w:cs="Arial" w:eastAsia="Arial" w:hAnsi="Arial"/>
                <w:sz w:val="15"/>
                <w:szCs w:val="15"/>
                <w:i w:val="1"/>
                <w:iCs w:val="1"/>
                <w:color w:val="auto"/>
              </w:rPr>
              <w:t>in Our Audit</w:t>
            </w:r>
          </w:p>
        </w:tc>
        <w:tc>
          <w:tcPr>
            <w:tcW w:w="9240" w:type="dxa"/>
            <w:vAlign w:val="bottom"/>
          </w:tcPr>
          <w:p>
            <w:pPr>
              <w:ind w:left="240"/>
              <w:spacing w:after="0"/>
              <w:rPr>
                <w:sz w:val="20"/>
                <w:szCs w:val="20"/>
                <w:color w:val="auto"/>
              </w:rPr>
            </w:pPr>
            <w:r>
              <w:rPr>
                <w:rFonts w:ascii="Arial" w:cs="Arial" w:eastAsia="Arial" w:hAnsi="Arial"/>
                <w:sz w:val="15"/>
                <w:szCs w:val="15"/>
                <w:color w:val="auto"/>
                <w:w w:val="89"/>
              </w:rPr>
              <w:t>including controls over the evaluation of new and amended customer contracts and the identification of distinct performance obligations and equipment</w:t>
            </w:r>
          </w:p>
        </w:tc>
      </w:tr>
      <w:tr>
        <w:trPr>
          <w:trHeight w:val="186"/>
        </w:trPr>
        <w:tc>
          <w:tcPr>
            <w:tcW w:w="2040" w:type="dxa"/>
            <w:vAlign w:val="bottom"/>
          </w:tcPr>
          <w:p>
            <w:pPr>
              <w:spacing w:after="0"/>
              <w:rPr>
                <w:sz w:val="16"/>
                <w:szCs w:val="16"/>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rPr>
              <w:t>leases.</w:t>
            </w:r>
          </w:p>
        </w:tc>
      </w:tr>
      <w:tr>
        <w:trPr>
          <w:trHeight w:val="340"/>
        </w:trPr>
        <w:tc>
          <w:tcPr>
            <w:tcW w:w="2040" w:type="dxa"/>
            <w:vAlign w:val="bottom"/>
          </w:tcPr>
          <w:p>
            <w:pPr>
              <w:spacing w:after="0"/>
              <w:rPr>
                <w:sz w:val="24"/>
                <w:szCs w:val="24"/>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89"/>
              </w:rPr>
              <w:t>Our audit procedures included, among others, evaluating the Company’s assessment of the authoritative guidance applicable to its customer contracts,</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4"/>
              </w:rPr>
              <w:t>inspecting contracts entered into or amended during the period, and evaluating management’s interpretation of certain contract provisions when</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89"/>
              </w:rPr>
              <w:t>identifying and determining distinct performance obligations and equipment leases. For example, we selected a sample of new and amended customer</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89"/>
              </w:rPr>
              <w:t>contracts executed in the current year and compared the identified promised goods and services, including lease components, to the analyses used by</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89"/>
              </w:rPr>
              <w:t>management to measure and allocate arrangement consideration. We also conducted meetings with various personnel at the Company responsible for</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89"/>
              </w:rPr>
              <w:t>negotiating the contract and overseeing the delivery of the performance obligations in order to understand the nature of the explicit and implicit promised</w:t>
            </w:r>
          </w:p>
        </w:tc>
      </w:tr>
      <w:tr>
        <w:trPr>
          <w:trHeight w:val="175"/>
        </w:trPr>
        <w:tc>
          <w:tcPr>
            <w:tcW w:w="2040" w:type="dxa"/>
            <w:vAlign w:val="bottom"/>
          </w:tcPr>
          <w:p>
            <w:pPr>
              <w:spacing w:after="0"/>
              <w:rPr>
                <w:sz w:val="15"/>
                <w:szCs w:val="15"/>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0"/>
              </w:rPr>
              <w:t>goods and services as well as to understand whether the promises were capable of being distinct and distinct in the context of the contract. For leases</w:t>
            </w:r>
          </w:p>
        </w:tc>
      </w:tr>
      <w:tr>
        <w:trPr>
          <w:trHeight w:val="186"/>
        </w:trPr>
        <w:tc>
          <w:tcPr>
            <w:tcW w:w="2040" w:type="dxa"/>
            <w:vAlign w:val="bottom"/>
          </w:tcPr>
          <w:p>
            <w:pPr>
              <w:spacing w:after="0"/>
              <w:rPr>
                <w:sz w:val="16"/>
                <w:szCs w:val="16"/>
                <w:color w:val="auto"/>
              </w:rPr>
            </w:pPr>
          </w:p>
        </w:tc>
        <w:tc>
          <w:tcPr>
            <w:tcW w:w="9240" w:type="dxa"/>
            <w:vAlign w:val="bottom"/>
          </w:tcPr>
          <w:p>
            <w:pPr>
              <w:ind w:left="240"/>
              <w:spacing w:after="0"/>
              <w:rPr>
                <w:sz w:val="20"/>
                <w:szCs w:val="20"/>
                <w:color w:val="auto"/>
              </w:rPr>
            </w:pPr>
            <w:r>
              <w:rPr>
                <w:rFonts w:ascii="Arial" w:cs="Arial" w:eastAsia="Arial" w:hAnsi="Arial"/>
                <w:sz w:val="15"/>
                <w:szCs w:val="15"/>
                <w:color w:val="auto"/>
                <w:w w:val="96"/>
              </w:rPr>
              <w:t>elements, this evaluation included understanding whether the customer controls how and for what purpose the underlying equipment is used.</w:t>
            </w:r>
          </w:p>
        </w:tc>
      </w:tr>
      <w:tr>
        <w:trPr>
          <w:trHeight w:val="483"/>
        </w:trPr>
        <w:tc>
          <w:tcPr>
            <w:tcW w:w="2040" w:type="dxa"/>
            <w:vAlign w:val="bottom"/>
          </w:tcPr>
          <w:p>
            <w:pPr>
              <w:spacing w:after="0"/>
              <w:rPr>
                <w:sz w:val="24"/>
                <w:szCs w:val="24"/>
                <w:color w:val="auto"/>
              </w:rPr>
            </w:pPr>
          </w:p>
        </w:tc>
        <w:tc>
          <w:tcPr>
            <w:tcW w:w="9240" w:type="dxa"/>
            <w:vAlign w:val="bottom"/>
          </w:tcPr>
          <w:p>
            <w:pPr>
              <w:ind w:left="3520"/>
              <w:spacing w:after="0"/>
              <w:rPr>
                <w:sz w:val="20"/>
                <w:szCs w:val="20"/>
                <w:color w:val="auto"/>
              </w:rPr>
            </w:pPr>
            <w:r>
              <w:rPr>
                <w:rFonts w:ascii="Arial" w:cs="Arial" w:eastAsia="Arial" w:hAnsi="Arial"/>
                <w:sz w:val="12"/>
                <w:szCs w:val="12"/>
                <w:color w:val="auto"/>
              </w:rPr>
              <w:t>F-5</w:t>
            </w:r>
          </w:p>
        </w:tc>
      </w:tr>
      <w:tr>
        <w:trPr>
          <w:trHeight w:val="34"/>
        </w:trPr>
        <w:tc>
          <w:tcPr>
            <w:tcW w:w="2040" w:type="dxa"/>
            <w:vAlign w:val="bottom"/>
            <w:tcBorders>
              <w:bottom w:val="single" w:sz="8" w:color="auto"/>
            </w:tcBorders>
          </w:tcPr>
          <w:p>
            <w:pPr>
              <w:spacing w:after="0"/>
              <w:rPr>
                <w:sz w:val="2"/>
                <w:szCs w:val="2"/>
                <w:color w:val="auto"/>
              </w:rPr>
            </w:pPr>
          </w:p>
        </w:tc>
        <w:tc>
          <w:tcPr>
            <w:tcW w:w="924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5" w:right="319" w:bottom="1440" w:gutter="0" w:footer="0" w:header="0"/>
        </w:sectPr>
      </w:pPr>
    </w:p>
    <w:bookmarkStart w:id="93" w:name="page94"/>
    <w:bookmarkEnd w:id="9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9260" w:type="dxa"/>
            <w:vAlign w:val="bottom"/>
          </w:tcPr>
          <w:p>
            <w:pPr>
              <w:ind w:left="240"/>
              <w:spacing w:after="0"/>
              <w:rPr>
                <w:sz w:val="20"/>
                <w:szCs w:val="20"/>
                <w:color w:val="auto"/>
              </w:rPr>
            </w:pPr>
            <w:r>
              <w:rPr>
                <w:rFonts w:ascii="Arial" w:cs="Arial" w:eastAsia="Arial" w:hAnsi="Arial"/>
                <w:sz w:val="15"/>
                <w:szCs w:val="15"/>
                <w:b w:val="1"/>
                <w:bCs w:val="1"/>
                <w:i w:val="1"/>
                <w:iCs w:val="1"/>
                <w:color w:val="auto"/>
              </w:rPr>
              <w:t>Impairment Assessment of Long-Lived Assets</w:t>
            </w:r>
          </w:p>
        </w:tc>
      </w:tr>
      <w:tr>
        <w:trPr>
          <w:trHeight w:val="340"/>
        </w:trPr>
        <w:tc>
          <w:tcPr>
            <w:tcW w:w="2020" w:type="dxa"/>
            <w:vAlign w:val="bottom"/>
          </w:tcPr>
          <w:p>
            <w:pPr>
              <w:spacing w:after="0"/>
              <w:rPr>
                <w:sz w:val="20"/>
                <w:szCs w:val="20"/>
                <w:color w:val="auto"/>
              </w:rPr>
            </w:pPr>
            <w:r>
              <w:rPr>
                <w:rFonts w:ascii="Arial" w:cs="Arial" w:eastAsia="Arial" w:hAnsi="Arial"/>
                <w:sz w:val="15"/>
                <w:szCs w:val="15"/>
                <w:i w:val="1"/>
                <w:iCs w:val="1"/>
                <w:color w:val="auto"/>
              </w:rPr>
              <w:t>Description of the Matter</w:t>
            </w:r>
          </w:p>
        </w:tc>
        <w:tc>
          <w:tcPr>
            <w:tcW w:w="9260" w:type="dxa"/>
            <w:vAlign w:val="bottom"/>
          </w:tcPr>
          <w:p>
            <w:pPr>
              <w:ind w:left="240"/>
              <w:spacing w:after="0"/>
              <w:rPr>
                <w:sz w:val="20"/>
                <w:szCs w:val="20"/>
                <w:color w:val="auto"/>
              </w:rPr>
            </w:pPr>
            <w:r>
              <w:rPr>
                <w:rFonts w:ascii="Arial" w:cs="Arial" w:eastAsia="Arial" w:hAnsi="Arial"/>
                <w:sz w:val="15"/>
                <w:szCs w:val="15"/>
                <w:color w:val="auto"/>
                <w:w w:val="91"/>
              </w:rPr>
              <w:t>As described in Note 2(k) to the consolidated financial statements, the Company performs a recoverability assessment of long-lived assets whenever</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88"/>
              </w:rPr>
              <w:t>events or changes in circumstances indicate that the carrying value of those assets may not be recoverable. Indicators may include, but are not limited to,</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90"/>
              </w:rPr>
              <w:t>factors such as adverse changes in the regulatory environment in a jurisdiction where the Company operates, unfavorable events impacting the supply</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94"/>
              </w:rPr>
              <w:t>chain for liquified natural gas (“LNG”) to the Company’s operations, early termination of a significant customer contract, the introduction of newer</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90"/>
              </w:rPr>
              <w:t>technology, or a decision to discontinue an in-process development project. When such indicators are identified, management determines if long-lived</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88"/>
              </w:rPr>
              <w:t>assets or asset groups are impaired by comparing the related undiscounted expected future cash flows to its carrying value. When the undiscounted cash</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89"/>
              </w:rPr>
              <w:t>flow analysis indicates a long-lived asset or asset group is not recoverable, the amount of the impairment loss is determined by measuring the excess of</w:t>
            </w:r>
          </w:p>
        </w:tc>
      </w:tr>
      <w:tr>
        <w:trPr>
          <w:trHeight w:val="186"/>
        </w:trPr>
        <w:tc>
          <w:tcPr>
            <w:tcW w:w="2020" w:type="dxa"/>
            <w:vAlign w:val="bottom"/>
          </w:tcPr>
          <w:p>
            <w:pPr>
              <w:spacing w:after="0"/>
              <w:rPr>
                <w:sz w:val="16"/>
                <w:szCs w:val="16"/>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rPr>
              <w:t>the carrying amount of the long-lived asset or asset group over its fair value.</w:t>
            </w:r>
          </w:p>
        </w:tc>
      </w:tr>
      <w:tr>
        <w:trPr>
          <w:trHeight w:val="340"/>
        </w:trPr>
        <w:tc>
          <w:tcPr>
            <w:tcW w:w="2020" w:type="dxa"/>
            <w:vAlign w:val="bottom"/>
          </w:tcPr>
          <w:p>
            <w:pPr>
              <w:spacing w:after="0"/>
              <w:rPr>
                <w:sz w:val="24"/>
                <w:szCs w:val="24"/>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93"/>
              </w:rPr>
              <w:t>Auditing management’s determination of whether impairment indicators exist such that a recoverability test of the Company’s long-lived assets is</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87"/>
              </w:rPr>
              <w:t>required, was highly subjective and involves significant judgment. For instance, auditing management’s assessment of events or changes in circumstances</w:t>
            </w:r>
          </w:p>
        </w:tc>
      </w:tr>
      <w:tr>
        <w:trPr>
          <w:trHeight w:val="175"/>
        </w:trPr>
        <w:tc>
          <w:tcPr>
            <w:tcW w:w="2020" w:type="dxa"/>
            <w:vAlign w:val="bottom"/>
          </w:tcPr>
          <w:p>
            <w:pPr>
              <w:spacing w:after="0"/>
              <w:rPr>
                <w:sz w:val="15"/>
                <w:szCs w:val="15"/>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w w:val="88"/>
              </w:rPr>
              <w:t>that may be an indicator that an asset group is not recoverable was challenging due to the judgment applied in both the identification of such factors, and</w:t>
            </w:r>
          </w:p>
        </w:tc>
      </w:tr>
      <w:tr>
        <w:trPr>
          <w:trHeight w:val="186"/>
        </w:trPr>
        <w:tc>
          <w:tcPr>
            <w:tcW w:w="2020" w:type="dxa"/>
            <w:vAlign w:val="bottom"/>
          </w:tcPr>
          <w:p>
            <w:pPr>
              <w:spacing w:after="0"/>
              <w:rPr>
                <w:sz w:val="16"/>
                <w:szCs w:val="16"/>
                <w:color w:val="auto"/>
              </w:rPr>
            </w:pPr>
          </w:p>
        </w:tc>
        <w:tc>
          <w:tcPr>
            <w:tcW w:w="9260" w:type="dxa"/>
            <w:vAlign w:val="bottom"/>
          </w:tcPr>
          <w:p>
            <w:pPr>
              <w:ind w:left="240"/>
              <w:spacing w:after="0"/>
              <w:rPr>
                <w:sz w:val="20"/>
                <w:szCs w:val="20"/>
                <w:color w:val="auto"/>
              </w:rPr>
            </w:pPr>
            <w:r>
              <w:rPr>
                <w:rFonts w:ascii="Arial" w:cs="Arial" w:eastAsia="Arial" w:hAnsi="Arial"/>
                <w:sz w:val="15"/>
                <w:szCs w:val="15"/>
                <w:color w:val="auto"/>
              </w:rPr>
              <w:t>the evaluation of whether the factors have an impact on the recovery of the carrying value of the asset group.</w:t>
            </w:r>
          </w:p>
        </w:tc>
      </w:tr>
      <w:tr>
        <w:trPr>
          <w:trHeight w:val="362"/>
        </w:trPr>
        <w:tc>
          <w:tcPr>
            <w:tcW w:w="2020" w:type="dxa"/>
            <w:vAlign w:val="bottom"/>
          </w:tcPr>
          <w:p>
            <w:pPr>
              <w:spacing w:after="0"/>
              <w:rPr>
                <w:sz w:val="20"/>
                <w:szCs w:val="20"/>
                <w:color w:val="auto"/>
              </w:rPr>
            </w:pPr>
            <w:r>
              <w:rPr>
                <w:rFonts w:ascii="Arial" w:cs="Arial" w:eastAsia="Arial" w:hAnsi="Arial"/>
                <w:sz w:val="15"/>
                <w:szCs w:val="15"/>
                <w:i w:val="1"/>
                <w:iCs w:val="1"/>
                <w:color w:val="auto"/>
                <w:w w:val="97"/>
              </w:rPr>
              <w:t>How We Addressed the Matter</w:t>
            </w:r>
          </w:p>
        </w:tc>
        <w:tc>
          <w:tcPr>
            <w:tcW w:w="9260" w:type="dxa"/>
            <w:vAlign w:val="bottom"/>
          </w:tcPr>
          <w:p>
            <w:pPr>
              <w:ind w:left="260"/>
              <w:spacing w:after="0"/>
              <w:rPr>
                <w:sz w:val="20"/>
                <w:szCs w:val="20"/>
                <w:color w:val="auto"/>
              </w:rPr>
            </w:pPr>
            <w:r>
              <w:rPr>
                <w:rFonts w:ascii="Arial" w:cs="Arial" w:eastAsia="Arial" w:hAnsi="Arial"/>
                <w:sz w:val="15"/>
                <w:szCs w:val="15"/>
                <w:color w:val="auto"/>
                <w:w w:val="91"/>
              </w:rPr>
              <w:t>We obtained an understanding, evaluated the design and tested the operating effectiveness of controls over the Company’s impairment assessment</w:t>
            </w:r>
          </w:p>
        </w:tc>
      </w:tr>
      <w:tr>
        <w:trPr>
          <w:trHeight w:val="186"/>
        </w:trPr>
        <w:tc>
          <w:tcPr>
            <w:tcW w:w="2020" w:type="dxa"/>
            <w:vAlign w:val="bottom"/>
          </w:tcPr>
          <w:p>
            <w:pPr>
              <w:spacing w:after="0"/>
              <w:rPr>
                <w:sz w:val="20"/>
                <w:szCs w:val="20"/>
                <w:color w:val="auto"/>
              </w:rPr>
            </w:pPr>
            <w:r>
              <w:rPr>
                <w:rFonts w:ascii="Arial" w:cs="Arial" w:eastAsia="Arial" w:hAnsi="Arial"/>
                <w:sz w:val="15"/>
                <w:szCs w:val="15"/>
                <w:i w:val="1"/>
                <w:iCs w:val="1"/>
                <w:color w:val="auto"/>
              </w:rPr>
              <w:t>in Our Audit</w:t>
            </w:r>
          </w:p>
        </w:tc>
        <w:tc>
          <w:tcPr>
            <w:tcW w:w="9260" w:type="dxa"/>
            <w:vAlign w:val="bottom"/>
          </w:tcPr>
          <w:p>
            <w:pPr>
              <w:ind w:left="260"/>
              <w:spacing w:after="0"/>
              <w:rPr>
                <w:sz w:val="20"/>
                <w:szCs w:val="20"/>
                <w:color w:val="auto"/>
              </w:rPr>
            </w:pPr>
            <w:r>
              <w:rPr>
                <w:rFonts w:ascii="Arial" w:cs="Arial" w:eastAsia="Arial" w:hAnsi="Arial"/>
                <w:sz w:val="15"/>
                <w:szCs w:val="15"/>
                <w:color w:val="auto"/>
                <w:w w:val="90"/>
              </w:rPr>
              <w:t>process. This included management’s controls to review for asset groups that may have been impacted by the impairment indicators described above.</w:t>
            </w:r>
          </w:p>
        </w:tc>
      </w:tr>
      <w:tr>
        <w:trPr>
          <w:trHeight w:val="340"/>
        </w:trPr>
        <w:tc>
          <w:tcPr>
            <w:tcW w:w="2020" w:type="dxa"/>
            <w:vAlign w:val="bottom"/>
          </w:tcPr>
          <w:p>
            <w:pPr>
              <w:spacing w:after="0"/>
              <w:rPr>
                <w:sz w:val="24"/>
                <w:szCs w:val="24"/>
                <w:color w:val="auto"/>
              </w:rPr>
            </w:pPr>
          </w:p>
        </w:tc>
        <w:tc>
          <w:tcPr>
            <w:tcW w:w="9260" w:type="dxa"/>
            <w:vAlign w:val="bottom"/>
          </w:tcPr>
          <w:p>
            <w:pPr>
              <w:ind w:left="260"/>
              <w:spacing w:after="0"/>
              <w:rPr>
                <w:sz w:val="20"/>
                <w:szCs w:val="20"/>
                <w:color w:val="auto"/>
              </w:rPr>
            </w:pPr>
            <w:r>
              <w:rPr>
                <w:rFonts w:ascii="Arial" w:cs="Arial" w:eastAsia="Arial" w:hAnsi="Arial"/>
                <w:sz w:val="15"/>
                <w:szCs w:val="15"/>
                <w:color w:val="auto"/>
                <w:w w:val="89"/>
              </w:rPr>
              <w:t>To test the Company’s evaluation of potential indicators of impairment of its long- lived assets, our audit procedures included, among others, assessing</w:t>
            </w:r>
          </w:p>
        </w:tc>
      </w:tr>
      <w:tr>
        <w:trPr>
          <w:trHeight w:val="175"/>
        </w:trPr>
        <w:tc>
          <w:tcPr>
            <w:tcW w:w="2020" w:type="dxa"/>
            <w:vAlign w:val="bottom"/>
          </w:tcPr>
          <w:p>
            <w:pPr>
              <w:spacing w:after="0"/>
              <w:rPr>
                <w:sz w:val="15"/>
                <w:szCs w:val="15"/>
                <w:color w:val="auto"/>
              </w:rPr>
            </w:pPr>
          </w:p>
        </w:tc>
        <w:tc>
          <w:tcPr>
            <w:tcW w:w="9260" w:type="dxa"/>
            <w:vAlign w:val="bottom"/>
          </w:tcPr>
          <w:p>
            <w:pPr>
              <w:ind w:left="260"/>
              <w:spacing w:after="0"/>
              <w:rPr>
                <w:sz w:val="20"/>
                <w:szCs w:val="20"/>
                <w:color w:val="auto"/>
              </w:rPr>
            </w:pPr>
            <w:r>
              <w:rPr>
                <w:rFonts w:ascii="Arial" w:cs="Arial" w:eastAsia="Arial" w:hAnsi="Arial"/>
                <w:sz w:val="15"/>
                <w:szCs w:val="15"/>
                <w:color w:val="auto"/>
                <w:w w:val="92"/>
              </w:rPr>
              <w:t>the methodologies and testing the completeness and accuracy of the Company’s analysis of events or changes in circumstances. For example, we</w:t>
            </w:r>
          </w:p>
        </w:tc>
      </w:tr>
      <w:tr>
        <w:trPr>
          <w:trHeight w:val="175"/>
        </w:trPr>
        <w:tc>
          <w:tcPr>
            <w:tcW w:w="2020" w:type="dxa"/>
            <w:vAlign w:val="bottom"/>
          </w:tcPr>
          <w:p>
            <w:pPr>
              <w:spacing w:after="0"/>
              <w:rPr>
                <w:sz w:val="15"/>
                <w:szCs w:val="15"/>
                <w:color w:val="auto"/>
              </w:rPr>
            </w:pPr>
          </w:p>
        </w:tc>
        <w:tc>
          <w:tcPr>
            <w:tcW w:w="9260" w:type="dxa"/>
            <w:vAlign w:val="bottom"/>
          </w:tcPr>
          <w:p>
            <w:pPr>
              <w:ind w:left="260"/>
              <w:spacing w:after="0"/>
              <w:rPr>
                <w:sz w:val="20"/>
                <w:szCs w:val="20"/>
                <w:color w:val="auto"/>
              </w:rPr>
            </w:pPr>
            <w:r>
              <w:rPr>
                <w:rFonts w:ascii="Arial" w:cs="Arial" w:eastAsia="Arial" w:hAnsi="Arial"/>
                <w:sz w:val="15"/>
                <w:szCs w:val="15"/>
                <w:color w:val="auto"/>
                <w:w w:val="92"/>
              </w:rPr>
              <w:t>inquired of management (including project development personnel) to understand their evaluation of changes in the regulatory environments of the</w:t>
            </w:r>
          </w:p>
        </w:tc>
      </w:tr>
      <w:tr>
        <w:trPr>
          <w:trHeight w:val="175"/>
        </w:trPr>
        <w:tc>
          <w:tcPr>
            <w:tcW w:w="2020" w:type="dxa"/>
            <w:vAlign w:val="bottom"/>
          </w:tcPr>
          <w:p>
            <w:pPr>
              <w:spacing w:after="0"/>
              <w:rPr>
                <w:sz w:val="15"/>
                <w:szCs w:val="15"/>
                <w:color w:val="auto"/>
              </w:rPr>
            </w:pPr>
          </w:p>
        </w:tc>
        <w:tc>
          <w:tcPr>
            <w:tcW w:w="9260" w:type="dxa"/>
            <w:vAlign w:val="bottom"/>
          </w:tcPr>
          <w:p>
            <w:pPr>
              <w:ind w:left="260"/>
              <w:spacing w:after="0"/>
              <w:rPr>
                <w:sz w:val="20"/>
                <w:szCs w:val="20"/>
                <w:color w:val="auto"/>
              </w:rPr>
            </w:pPr>
            <w:r>
              <w:rPr>
                <w:rFonts w:ascii="Arial" w:cs="Arial" w:eastAsia="Arial" w:hAnsi="Arial"/>
                <w:sz w:val="15"/>
                <w:szCs w:val="15"/>
                <w:color w:val="auto"/>
                <w:w w:val="90"/>
              </w:rPr>
              <w:t>jurisdictions in which the Company operates and their impact on the recoverability of the related long-lived assets and asset groups. We also obtained</w:t>
            </w:r>
          </w:p>
        </w:tc>
      </w:tr>
      <w:tr>
        <w:trPr>
          <w:trHeight w:val="175"/>
        </w:trPr>
        <w:tc>
          <w:tcPr>
            <w:tcW w:w="2020" w:type="dxa"/>
            <w:vAlign w:val="bottom"/>
          </w:tcPr>
          <w:p>
            <w:pPr>
              <w:spacing w:after="0"/>
              <w:rPr>
                <w:sz w:val="15"/>
                <w:szCs w:val="15"/>
                <w:color w:val="auto"/>
              </w:rPr>
            </w:pPr>
          </w:p>
        </w:tc>
        <w:tc>
          <w:tcPr>
            <w:tcW w:w="9260" w:type="dxa"/>
            <w:vAlign w:val="bottom"/>
          </w:tcPr>
          <w:p>
            <w:pPr>
              <w:ind w:left="260"/>
              <w:spacing w:after="0"/>
              <w:rPr>
                <w:sz w:val="20"/>
                <w:szCs w:val="20"/>
                <w:color w:val="auto"/>
              </w:rPr>
            </w:pPr>
            <w:r>
              <w:rPr>
                <w:rFonts w:ascii="Arial" w:cs="Arial" w:eastAsia="Arial" w:hAnsi="Arial"/>
                <w:sz w:val="15"/>
                <w:szCs w:val="15"/>
                <w:color w:val="auto"/>
                <w:w w:val="89"/>
              </w:rPr>
              <w:t>capital budgets and construction bids, among other evidence, to understand management’s plans with respect to in-process development projects. We</w:t>
            </w:r>
          </w:p>
        </w:tc>
      </w:tr>
      <w:tr>
        <w:trPr>
          <w:trHeight w:val="175"/>
        </w:trPr>
        <w:tc>
          <w:tcPr>
            <w:tcW w:w="2020" w:type="dxa"/>
            <w:vAlign w:val="bottom"/>
          </w:tcPr>
          <w:p>
            <w:pPr>
              <w:spacing w:after="0"/>
              <w:rPr>
                <w:sz w:val="15"/>
                <w:szCs w:val="15"/>
                <w:color w:val="auto"/>
              </w:rPr>
            </w:pPr>
          </w:p>
        </w:tc>
        <w:tc>
          <w:tcPr>
            <w:tcW w:w="9260" w:type="dxa"/>
            <w:vAlign w:val="bottom"/>
          </w:tcPr>
          <w:p>
            <w:pPr>
              <w:ind w:left="260"/>
              <w:spacing w:after="0"/>
              <w:rPr>
                <w:sz w:val="20"/>
                <w:szCs w:val="20"/>
                <w:color w:val="auto"/>
              </w:rPr>
            </w:pPr>
            <w:r>
              <w:rPr>
                <w:rFonts w:ascii="Arial" w:cs="Arial" w:eastAsia="Arial" w:hAnsi="Arial"/>
                <w:sz w:val="15"/>
                <w:szCs w:val="15"/>
                <w:color w:val="auto"/>
                <w:w w:val="93"/>
              </w:rPr>
              <w:t>considered information about Company’s projects from external sources that support or provide contrary evidence to management’s evaluation of</w:t>
            </w:r>
          </w:p>
        </w:tc>
      </w:tr>
      <w:tr>
        <w:trPr>
          <w:trHeight w:val="186"/>
        </w:trPr>
        <w:tc>
          <w:tcPr>
            <w:tcW w:w="2020" w:type="dxa"/>
            <w:vAlign w:val="bottom"/>
          </w:tcPr>
          <w:p>
            <w:pPr>
              <w:spacing w:after="0"/>
              <w:rPr>
                <w:sz w:val="16"/>
                <w:szCs w:val="16"/>
                <w:color w:val="auto"/>
              </w:rPr>
            </w:pPr>
          </w:p>
        </w:tc>
        <w:tc>
          <w:tcPr>
            <w:tcW w:w="9260" w:type="dxa"/>
            <w:vAlign w:val="bottom"/>
          </w:tcPr>
          <w:p>
            <w:pPr>
              <w:ind w:left="260"/>
              <w:spacing w:after="0"/>
              <w:rPr>
                <w:sz w:val="20"/>
                <w:szCs w:val="20"/>
                <w:color w:val="auto"/>
              </w:rPr>
            </w:pPr>
            <w:r>
              <w:rPr>
                <w:rFonts w:ascii="Arial" w:cs="Arial" w:eastAsia="Arial" w:hAnsi="Arial"/>
                <w:sz w:val="15"/>
                <w:szCs w:val="15"/>
                <w:color w:val="auto"/>
              </w:rPr>
              <w:t>potential impairment indicators.</w:t>
            </w:r>
          </w:p>
        </w:tc>
      </w:tr>
      <w:tr>
        <w:trPr>
          <w:trHeight w:val="681"/>
        </w:trPr>
        <w:tc>
          <w:tcPr>
            <w:tcW w:w="2020" w:type="dxa"/>
            <w:vAlign w:val="bottom"/>
          </w:tcPr>
          <w:p>
            <w:pPr>
              <w:spacing w:after="0"/>
              <w:rPr>
                <w:sz w:val="24"/>
                <w:szCs w:val="24"/>
                <w:color w:val="auto"/>
              </w:rPr>
            </w:pPr>
          </w:p>
        </w:tc>
        <w:tc>
          <w:tcPr>
            <w:tcW w:w="9260" w:type="dxa"/>
            <w:vAlign w:val="bottom"/>
          </w:tcPr>
          <w:p>
            <w:pPr>
              <w:ind w:left="3540"/>
              <w:spacing w:after="0"/>
              <w:rPr>
                <w:sz w:val="20"/>
                <w:szCs w:val="20"/>
                <w:color w:val="auto"/>
              </w:rPr>
            </w:pPr>
            <w:r>
              <w:rPr>
                <w:rFonts w:ascii="Arial" w:cs="Arial" w:eastAsia="Arial" w:hAnsi="Arial"/>
                <w:sz w:val="12"/>
                <w:szCs w:val="12"/>
                <w:color w:val="auto"/>
              </w:rPr>
              <w:t>F-6</w:t>
            </w:r>
          </w:p>
        </w:tc>
      </w:tr>
      <w:tr>
        <w:trPr>
          <w:trHeight w:val="34"/>
        </w:trPr>
        <w:tc>
          <w:tcPr>
            <w:tcW w:w="2020" w:type="dxa"/>
            <w:vAlign w:val="bottom"/>
            <w:tcBorders>
              <w:bottom w:val="single" w:sz="8" w:color="auto"/>
            </w:tcBorders>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sectPr>
      </w:pPr>
    </w:p>
    <w:bookmarkStart w:id="94" w:name="page95"/>
    <w:bookmarkEnd w:id="9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 </w:t>
      </w:r>
      <w:r>
        <w:rPr>
          <w:rFonts w:ascii="Arial" w:cs="Arial" w:eastAsia="Arial" w:hAnsi="Arial"/>
          <w:sz w:val="15"/>
          <w:szCs w:val="15"/>
          <w:color w:val="auto"/>
        </w:rPr>
        <w:t>Ernst &amp; Young LLP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2016.</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March 16, 2021</w:t>
      </w:r>
    </w:p>
    <w:p>
      <w:pPr>
        <w:spacing w:after="0" w:line="200" w:lineRule="exact"/>
        <w:rPr>
          <w:sz w:val="20"/>
          <w:szCs w:val="20"/>
          <w:color w:val="auto"/>
        </w:rPr>
      </w:pPr>
    </w:p>
    <w:p>
      <w:pPr>
        <w:spacing w:after="0" w:line="336"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0159"/>
          </w:cols>
          <w:pgMar w:left="300" w:top="124"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8700" w:type="dxa"/>
            <w:vAlign w:val="bottom"/>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700" w:type="dxa"/>
            <w:vAlign w:val="bottom"/>
          </w:tcPr>
          <w:p>
            <w:pPr>
              <w:spacing w:after="0"/>
              <w:rPr>
                <w:sz w:val="20"/>
                <w:szCs w:val="20"/>
                <w:color w:val="auto"/>
              </w:rPr>
            </w:pPr>
            <w:r>
              <w:rPr>
                <w:rFonts w:ascii="Arial" w:cs="Arial" w:eastAsia="Arial" w:hAnsi="Arial"/>
                <w:sz w:val="15"/>
                <w:szCs w:val="15"/>
                <w:b w:val="1"/>
                <w:bCs w:val="1"/>
                <w:color w:val="auto"/>
              </w:rPr>
              <w:t>New Fortress Energy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700" w:type="dxa"/>
            <w:vAlign w:val="bottom"/>
          </w:tcPr>
          <w:p>
            <w:pPr>
              <w:spacing w:after="0"/>
              <w:rPr>
                <w:sz w:val="20"/>
                <w:szCs w:val="20"/>
                <w:color w:val="auto"/>
              </w:rPr>
            </w:pPr>
            <w:r>
              <w:rPr>
                <w:rFonts w:ascii="Arial" w:cs="Arial" w:eastAsia="Arial" w:hAnsi="Arial"/>
                <w:sz w:val="15"/>
                <w:szCs w:val="15"/>
                <w:b w:val="1"/>
                <w:bCs w:val="1"/>
                <w:color w:val="auto"/>
              </w:rPr>
              <w:t>Consolidated Balance Sheets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tcPr>
          <w:p>
            <w:pPr>
              <w:spacing w:after="0"/>
              <w:rPr>
                <w:sz w:val="20"/>
                <w:szCs w:val="20"/>
                <w:color w:val="auto"/>
              </w:rPr>
            </w:pPr>
            <w:r>
              <w:rPr>
                <w:rFonts w:ascii="Arial" w:cs="Arial" w:eastAsia="Arial" w:hAnsi="Arial"/>
                <w:sz w:val="15"/>
                <w:szCs w:val="15"/>
                <w:b w:val="1"/>
                <w:bCs w:val="1"/>
                <w:color w:val="auto"/>
              </w:rPr>
              <w:t>As of December 31, 2020 and 2019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8700" w:type="dxa"/>
            <w:vAlign w:val="bottom"/>
          </w:tcPr>
          <w:p>
            <w:pPr>
              <w:spacing w:after="0"/>
              <w:rPr>
                <w:sz w:val="20"/>
                <w:szCs w:val="20"/>
                <w:color w:val="auto"/>
              </w:rPr>
            </w:pPr>
            <w:r>
              <w:rPr>
                <w:rFonts w:ascii="Arial" w:cs="Arial" w:eastAsia="Arial" w:hAnsi="Arial"/>
                <w:sz w:val="15"/>
                <w:szCs w:val="15"/>
                <w:b w:val="1"/>
                <w:bCs w:val="1"/>
                <w:color w:val="auto"/>
              </w:rPr>
              <w:t>(in thousands of U.S. dollars, except share and per share amounts)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8"/>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8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r>
      <w:tr>
        <w:trPr>
          <w:trHeight w:val="161"/>
        </w:trPr>
        <w:tc>
          <w:tcPr>
            <w:tcW w:w="8700" w:type="dxa"/>
            <w:vAlign w:val="bottom"/>
          </w:tcPr>
          <w:p>
            <w:pPr>
              <w:spacing w:after="0" w:line="161" w:lineRule="exact"/>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8700" w:type="dxa"/>
            <w:vAlign w:val="bottom"/>
          </w:tcPr>
          <w:p>
            <w:pPr>
              <w:ind w:left="120"/>
              <w:spacing w:after="0"/>
              <w:rPr>
                <w:sz w:val="20"/>
                <w:szCs w:val="20"/>
                <w:color w:val="auto"/>
              </w:rPr>
            </w:pPr>
            <w:r>
              <w:rPr>
                <w:rFonts w:ascii="Arial" w:cs="Arial" w:eastAsia="Arial" w:hAnsi="Arial"/>
                <w:sz w:val="15"/>
                <w:szCs w:val="15"/>
                <w:b w:val="1"/>
                <w:bCs w:val="1"/>
                <w:color w:val="auto"/>
              </w:rPr>
              <w:t>Current assets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601,522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27,098</w:t>
            </w: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Restricted cash</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12,814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30,966</w:t>
            </w: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Receivables, net of allowances of $98 and $0, respectively</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76,544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49,890</w:t>
            </w: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Inventory</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22,860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63,432</w:t>
            </w:r>
          </w:p>
        </w:tc>
      </w:tr>
      <w:tr>
        <w:trPr>
          <w:trHeight w:val="177"/>
        </w:trPr>
        <w:tc>
          <w:tcPr>
            <w:tcW w:w="8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Prepaid expenses and other current assets, net</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48,270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39,734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b w:val="1"/>
                <w:bCs w:val="1"/>
                <w:color w:val="auto"/>
              </w:rPr>
              <w:t>Total current assets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762,010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211,120</w:t>
            </w:r>
          </w:p>
        </w:tc>
      </w:tr>
      <w:tr>
        <w:trPr>
          <w:trHeight w:val="175"/>
        </w:trPr>
        <w:tc>
          <w:tcPr>
            <w:tcW w:w="8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Restricted cash</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34,971</w:t>
            </w: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Construction in progress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234,037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466,587</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Property, plant and equipment, net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614,206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192,222</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Right-of-use assets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141,347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46,102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43,540</w:t>
            </w: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Finance leases, net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91,174</w:t>
            </w: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Deferred tax assets, net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5"/>
                <w:szCs w:val="15"/>
                <w:color w:val="auto"/>
              </w:rPr>
            </w:pPr>
          </w:p>
        </w:tc>
      </w:tr>
      <w:tr>
        <w:trPr>
          <w:trHeight w:val="177"/>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non-current assets, net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86,030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84,166</w:t>
            </w:r>
          </w:p>
        </w:tc>
      </w:tr>
      <w:tr>
        <w:trPr>
          <w:trHeight w:val="175"/>
        </w:trPr>
        <w:tc>
          <w:tcPr>
            <w:tcW w:w="870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1,908,091</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1,123,814</w:t>
            </w:r>
          </w:p>
        </w:tc>
        <w:tc>
          <w:tcPr>
            <w:tcW w:w="100" w:type="dxa"/>
            <w:vAlign w:val="bottom"/>
            <w:tcBorders>
              <w:top w:val="single" w:sz="8" w:color="CCEEFF"/>
            </w:tcBorders>
          </w:tcPr>
          <w:p>
            <w:pPr>
              <w:spacing w:after="0"/>
              <w:rPr>
                <w:sz w:val="15"/>
                <w:szCs w:val="15"/>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8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870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Current liabilities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21,331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11,593</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Accrued liabilities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90,352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54,943</w:t>
            </w: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Current lease liabilities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35,481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Due to affiliates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10,252</w:t>
            </w:r>
          </w:p>
        </w:tc>
      </w:tr>
      <w:tr>
        <w:trPr>
          <w:trHeight w:val="177"/>
        </w:trPr>
        <w:tc>
          <w:tcPr>
            <w:tcW w:w="8700" w:type="dxa"/>
            <w:vAlign w:val="bottom"/>
          </w:tcPr>
          <w:p>
            <w:pPr>
              <w:ind w:left="120"/>
              <w:spacing w:after="0"/>
              <w:rPr>
                <w:sz w:val="20"/>
                <w:szCs w:val="20"/>
                <w:color w:val="auto"/>
              </w:rPr>
            </w:pPr>
            <w:r>
              <w:rPr>
                <w:rFonts w:ascii="Arial" w:cs="Arial" w:eastAsia="Arial" w:hAnsi="Arial"/>
                <w:sz w:val="15"/>
                <w:szCs w:val="15"/>
                <w:color w:val="auto"/>
              </w:rPr>
              <w:t>Other current liabilities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35,006</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25,475</w:t>
            </w: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Total current liabilities</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191,150</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102,263</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Long-term debt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1,239,561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619,057</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Non-current lease liabilities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84,323</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tax liabilities, net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241</w:t>
            </w:r>
          </w:p>
        </w:tc>
      </w:tr>
      <w:tr>
        <w:trPr>
          <w:trHeight w:val="177"/>
        </w:trPr>
        <w:tc>
          <w:tcPr>
            <w:tcW w:w="8700" w:type="dxa"/>
            <w:vAlign w:val="bottom"/>
          </w:tcPr>
          <w:p>
            <w:pPr>
              <w:ind w:left="120"/>
              <w:spacing w:after="0"/>
              <w:rPr>
                <w:sz w:val="20"/>
                <w:szCs w:val="20"/>
                <w:color w:val="auto"/>
              </w:rPr>
            </w:pPr>
            <w:r>
              <w:rPr>
                <w:rFonts w:ascii="Arial" w:cs="Arial" w:eastAsia="Arial" w:hAnsi="Arial"/>
                <w:sz w:val="15"/>
                <w:szCs w:val="15"/>
                <w:color w:val="auto"/>
              </w:rPr>
              <w:t>Other long-term liabilities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15,641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14,929</w:t>
            </w:r>
          </w:p>
        </w:tc>
      </w:tr>
      <w:tr>
        <w:trPr>
          <w:trHeight w:val="177"/>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1,533,005</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736,490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8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contingences (Note 17)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w w:val="94"/>
              </w:rPr>
              <w:t>Class A common stock, $0.01 par value, 750.0 million shares authorized, 174.6 million issued and outstanding as of December 31, 2020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1,746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8"/>
              </w:rPr>
              <w:t>Class A shares, 0 shares issued and outstanding as of December 31, 2020; 23.6 million shares issued and outstanding as of December 31, 2019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130,658</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w w:val="87"/>
              </w:rPr>
              <w:t>Class B shares, 0 shares issued and outstanding as of December 31, 2020; 144.3 million shares, issued and outstanding as of December 31, 2019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Additional paid-in capital</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594,534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ind w:left="120"/>
              <w:spacing w:after="0"/>
              <w:rPr>
                <w:sz w:val="20"/>
                <w:szCs w:val="20"/>
                <w:color w:val="auto"/>
              </w:rPr>
            </w:pPr>
            <w:r>
              <w:rPr>
                <w:rFonts w:ascii="Arial" w:cs="Arial" w:eastAsia="Arial" w:hAnsi="Arial"/>
                <w:sz w:val="15"/>
                <w:szCs w:val="15"/>
                <w:color w:val="auto"/>
              </w:rPr>
              <w:t>Accumulated deficit</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(229,503)</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(45,823)</w:t>
            </w:r>
          </w:p>
        </w:tc>
      </w:tr>
      <w:tr>
        <w:trPr>
          <w:trHeight w:val="177"/>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income (loss)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w:t>
            </w:r>
          </w:p>
        </w:tc>
      </w:tr>
      <w:tr>
        <w:trPr>
          <w:trHeight w:val="175"/>
        </w:trPr>
        <w:tc>
          <w:tcPr>
            <w:tcW w:w="8700" w:type="dxa"/>
            <w:vAlign w:val="bottom"/>
            <w:tcBorders>
              <w:top w:val="single" w:sz="8" w:color="CCEEFF"/>
            </w:tcBorders>
          </w:tcPr>
          <w:p>
            <w:pPr>
              <w:ind w:left="120"/>
              <w:spacing w:after="0"/>
              <w:rPr>
                <w:sz w:val="20"/>
                <w:szCs w:val="20"/>
                <w:color w:val="auto"/>
              </w:rPr>
            </w:pPr>
            <w:r>
              <w:rPr>
                <w:rFonts w:ascii="Arial" w:cs="Arial" w:eastAsia="Arial" w:hAnsi="Arial"/>
                <w:sz w:val="15"/>
                <w:szCs w:val="15"/>
                <w:b w:val="1"/>
                <w:bCs w:val="1"/>
                <w:color w:val="auto"/>
              </w:rPr>
              <w:t>Total stockholders’ equity attributable to NFE</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366,959</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84,805</w:t>
            </w:r>
          </w:p>
        </w:tc>
        <w:tc>
          <w:tcPr>
            <w:tcW w:w="100" w:type="dxa"/>
            <w:vAlign w:val="bottom"/>
            <w:tcBorders>
              <w:top w:val="single" w:sz="8" w:color="CCEEFF"/>
            </w:tcBorders>
          </w:tcPr>
          <w:p>
            <w:pPr>
              <w:spacing w:after="0"/>
              <w:rPr>
                <w:sz w:val="15"/>
                <w:szCs w:val="15"/>
                <w:color w:val="auto"/>
              </w:rPr>
            </w:pPr>
          </w:p>
        </w:tc>
      </w:tr>
      <w:tr>
        <w:trPr>
          <w:trHeight w:val="177"/>
        </w:trPr>
        <w:tc>
          <w:tcPr>
            <w:tcW w:w="8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Non-controlling interest</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8,127</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302,519</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7"/>
        </w:trPr>
        <w:tc>
          <w:tcPr>
            <w:tcW w:w="8700" w:type="dxa"/>
            <w:vAlign w:val="bottom"/>
          </w:tcPr>
          <w:p>
            <w:pPr>
              <w:ind w:left="120"/>
              <w:spacing w:after="0"/>
              <w:rPr>
                <w:sz w:val="20"/>
                <w:szCs w:val="20"/>
                <w:color w:val="auto"/>
              </w:rPr>
            </w:pPr>
            <w:r>
              <w:rPr>
                <w:rFonts w:ascii="Arial" w:cs="Arial" w:eastAsia="Arial" w:hAnsi="Arial"/>
                <w:sz w:val="15"/>
                <w:szCs w:val="15"/>
                <w:b w:val="1"/>
                <w:bCs w:val="1"/>
                <w:color w:val="auto"/>
              </w:rPr>
              <w:t>Total stockholders’ equity</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375,086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387,324</w:t>
            </w:r>
          </w:p>
        </w:tc>
        <w:tc>
          <w:tcPr>
            <w:tcW w:w="100" w:type="dxa"/>
            <w:vAlign w:val="bottom"/>
          </w:tcPr>
          <w:p>
            <w:pPr>
              <w:spacing w:after="0"/>
              <w:rPr>
                <w:sz w:val="15"/>
                <w:szCs w:val="15"/>
                <w:color w:val="auto"/>
              </w:rPr>
            </w:pPr>
          </w:p>
        </w:tc>
      </w:tr>
      <w:tr>
        <w:trPr>
          <w:trHeight w:val="215"/>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1,908,091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1,123,814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5740" w:type="dxa"/>
            <w:vAlign w:val="bottom"/>
          </w:tcPr>
          <w:p>
            <w:pPr>
              <w:spacing w:after="0"/>
              <w:rPr>
                <w:sz w:val="20"/>
                <w:szCs w:val="20"/>
                <w:color w:val="auto"/>
              </w:rPr>
            </w:pPr>
            <w:r>
              <w:rPr>
                <w:rFonts w:ascii="Arial" w:cs="Arial" w:eastAsia="Arial" w:hAnsi="Arial"/>
                <w:sz w:val="15"/>
                <w:szCs w:val="15"/>
                <w:b w:val="1"/>
                <w:bCs w:val="1"/>
                <w:color w:val="auto"/>
              </w:rPr>
              <w:t>New Fortress Energy Inc.</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5"/>
                <w:szCs w:val="15"/>
                <w:b w:val="1"/>
                <w:bCs w:val="1"/>
                <w:color w:val="auto"/>
              </w:rPr>
              <w:t>Consolidated Statements of Operations and Comprehensive Loss</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5"/>
                <w:szCs w:val="15"/>
                <w:b w:val="1"/>
                <w:bCs w:val="1"/>
                <w:color w:val="auto"/>
              </w:rPr>
              <w:t>For the years ended December 31, 2020, 2019 and 2018</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(in thousands of U.S. dollars, except share and per share amounts)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5"/>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188"/>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5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w:t>
            </w:r>
          </w:p>
        </w:tc>
        <w:tc>
          <w:tcPr>
            <w:tcW w:w="1840" w:type="dxa"/>
            <w:vAlign w:val="bottom"/>
            <w:gridSpan w:val="2"/>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318,311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96,906</w:t>
            </w: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Other revenue</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133,339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43,625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15,395</w:t>
            </w:r>
          </w:p>
        </w:tc>
      </w:tr>
      <w:tr>
        <w:trPr>
          <w:trHeight w:val="177"/>
        </w:trPr>
        <w:tc>
          <w:tcPr>
            <w:tcW w:w="57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Total revenues</w:t>
            </w:r>
          </w:p>
        </w:tc>
        <w:tc>
          <w:tcPr>
            <w:tcW w:w="16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451,650</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189,125</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112,301</w:t>
            </w:r>
          </w:p>
        </w:tc>
        <w:tc>
          <w:tcPr>
            <w:tcW w:w="100" w:type="dxa"/>
            <w:vAlign w:val="bottom"/>
            <w:shd w:val="clear" w:color="auto" w:fill="CCEEFF"/>
          </w:tcPr>
          <w:p>
            <w:pPr>
              <w:spacing w:after="0"/>
              <w:rPr>
                <w:sz w:val="15"/>
                <w:szCs w:val="15"/>
                <w:color w:val="auto"/>
              </w:rPr>
            </w:pPr>
          </w:p>
        </w:tc>
      </w:tr>
      <w:tr>
        <w:trPr>
          <w:trHeight w:val="175"/>
        </w:trPr>
        <w:tc>
          <w:tcPr>
            <w:tcW w:w="57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5"/>
        </w:trPr>
        <w:tc>
          <w:tcPr>
            <w:tcW w:w="57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278,767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183,359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95,742</w:t>
            </w:r>
          </w:p>
        </w:tc>
      </w:tr>
      <w:tr>
        <w:trPr>
          <w:trHeight w:val="175"/>
        </w:trPr>
        <w:tc>
          <w:tcPr>
            <w:tcW w:w="5740" w:type="dxa"/>
            <w:vAlign w:val="bottom"/>
          </w:tcPr>
          <w:p>
            <w:pPr>
              <w:spacing w:after="0"/>
              <w:rPr>
                <w:sz w:val="20"/>
                <w:szCs w:val="20"/>
                <w:color w:val="auto"/>
              </w:rPr>
            </w:pPr>
            <w:r>
              <w:rPr>
                <w:rFonts w:ascii="Arial" w:cs="Arial" w:eastAsia="Arial" w:hAnsi="Arial"/>
                <w:sz w:val="15"/>
                <w:szCs w:val="15"/>
                <w:color w:val="auto"/>
              </w:rPr>
              <w:t>Operations and maintenance</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47,581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26,899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9,589</w:t>
            </w:r>
          </w:p>
        </w:tc>
        <w:tc>
          <w:tcPr>
            <w:tcW w:w="100" w:type="dxa"/>
            <w:vAlign w:val="bottom"/>
          </w:tcPr>
          <w:p>
            <w:pPr>
              <w:spacing w:after="0"/>
              <w:rPr>
                <w:sz w:val="15"/>
                <w:szCs w:val="15"/>
                <w:color w:val="auto"/>
              </w:rPr>
            </w:pP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124,170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152,922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62,137</w:t>
            </w:r>
          </w:p>
        </w:tc>
      </w:tr>
      <w:tr>
        <w:trPr>
          <w:trHeight w:val="175"/>
        </w:trPr>
        <w:tc>
          <w:tcPr>
            <w:tcW w:w="5740" w:type="dxa"/>
            <w:vAlign w:val="bottom"/>
          </w:tcPr>
          <w:p>
            <w:pPr>
              <w:spacing w:after="0"/>
              <w:rPr>
                <w:sz w:val="20"/>
                <w:szCs w:val="20"/>
                <w:color w:val="auto"/>
              </w:rPr>
            </w:pPr>
            <w:r>
              <w:rPr>
                <w:rFonts w:ascii="Arial" w:cs="Arial" w:eastAsia="Arial" w:hAnsi="Arial"/>
                <w:sz w:val="15"/>
                <w:szCs w:val="15"/>
                <w:color w:val="auto"/>
              </w:rPr>
              <w:t>Contract termination charges and loss on mitigation sales</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124,114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5,280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32,376</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7,940</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7"/>
        </w:trPr>
        <w:tc>
          <w:tcPr>
            <w:tcW w:w="5740" w:type="dxa"/>
            <w:vAlign w:val="bottom"/>
          </w:tcPr>
          <w:p>
            <w:pPr>
              <w:ind w:left="120"/>
              <w:spacing w:after="0"/>
              <w:rPr>
                <w:sz w:val="20"/>
                <w:szCs w:val="20"/>
                <w:color w:val="auto"/>
              </w:rPr>
            </w:pPr>
            <w:r>
              <w:rPr>
                <w:rFonts w:ascii="Arial" w:cs="Arial" w:eastAsia="Arial" w:hAnsi="Arial"/>
                <w:sz w:val="15"/>
                <w:szCs w:val="15"/>
                <w:b w:val="1"/>
                <w:bCs w:val="1"/>
                <w:color w:val="auto"/>
              </w:rPr>
              <w:t>Total operating expenses</w:t>
            </w: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607,008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376,400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170,789</w:t>
            </w:r>
          </w:p>
        </w:tc>
        <w:tc>
          <w:tcPr>
            <w:tcW w:w="100" w:type="dxa"/>
            <w:vAlign w:val="bottom"/>
          </w:tcPr>
          <w:p>
            <w:pPr>
              <w:spacing w:after="0"/>
              <w:rPr>
                <w:sz w:val="15"/>
                <w:szCs w:val="15"/>
                <w:color w:val="auto"/>
              </w:rPr>
            </w:pPr>
          </w:p>
        </w:tc>
      </w:tr>
      <w:tr>
        <w:trPr>
          <w:trHeight w:val="175"/>
        </w:trPr>
        <w:tc>
          <w:tcPr>
            <w:tcW w:w="57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Operating loss</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(155,358)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(187,275)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(58,488)</w:t>
            </w:r>
          </w:p>
        </w:tc>
        <w:tc>
          <w:tcPr>
            <w:tcW w:w="100" w:type="dxa"/>
            <w:vAlign w:val="bottom"/>
            <w:shd w:val="clear" w:color="auto" w:fill="CCEEFF"/>
          </w:tcPr>
          <w:p>
            <w:pPr>
              <w:spacing w:after="0"/>
              <w:rPr>
                <w:sz w:val="15"/>
                <w:szCs w:val="15"/>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5"/>
                <w:szCs w:val="15"/>
                <w:color w:val="auto"/>
              </w:rPr>
              <w:t>Interest expense</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65,723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19,412</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11,248</w:t>
            </w:r>
          </w:p>
        </w:tc>
        <w:tc>
          <w:tcPr>
            <w:tcW w:w="100" w:type="dxa"/>
            <w:vAlign w:val="bottom"/>
          </w:tcPr>
          <w:p>
            <w:pPr>
              <w:spacing w:after="0"/>
              <w:rPr>
                <w:sz w:val="15"/>
                <w:szCs w:val="15"/>
                <w:color w:val="auto"/>
              </w:rPr>
            </w:pP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Other expense (income), net</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5,005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(2,807)</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(784)</w:t>
            </w: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Loss on extinguishment of debt, net</w:t>
            </w: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33,062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9,568</w:t>
            </w:r>
          </w:p>
        </w:tc>
        <w:tc>
          <w:tcPr>
            <w:tcW w:w="100" w:type="dxa"/>
            <w:vAlign w:val="bottom"/>
          </w:tcPr>
          <w:p>
            <w:pPr>
              <w:spacing w:after="0"/>
              <w:rPr>
                <w:sz w:val="15"/>
                <w:szCs w:val="15"/>
                <w:color w:val="auto"/>
              </w:rPr>
            </w:pPr>
          </w:p>
        </w:tc>
      </w:tr>
      <w:tr>
        <w:trPr>
          <w:trHeight w:val="175"/>
        </w:trPr>
        <w:tc>
          <w:tcPr>
            <w:tcW w:w="57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Loss before taxes</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(259,148)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(203,880)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(78,520)</w:t>
            </w:r>
          </w:p>
        </w:tc>
        <w:tc>
          <w:tcPr>
            <w:tcW w:w="100" w:type="dxa"/>
            <w:vAlign w:val="bottom"/>
            <w:shd w:val="clear" w:color="auto" w:fill="CCEEFF"/>
          </w:tcPr>
          <w:p>
            <w:pPr>
              <w:spacing w:after="0"/>
              <w:rPr>
                <w:sz w:val="15"/>
                <w:szCs w:val="15"/>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Tax expense (benefit)</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4,817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439</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(338)</w:t>
            </w:r>
          </w:p>
        </w:tc>
      </w:tr>
      <w:tr>
        <w:trPr>
          <w:trHeight w:val="175"/>
        </w:trPr>
        <w:tc>
          <w:tcPr>
            <w:tcW w:w="57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loss</w:t>
            </w:r>
          </w:p>
        </w:tc>
        <w:tc>
          <w:tcPr>
            <w:tcW w:w="16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(263,965)</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(204,319)</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(78,182)</w:t>
            </w:r>
          </w:p>
        </w:tc>
        <w:tc>
          <w:tcPr>
            <w:tcW w:w="100" w:type="dxa"/>
            <w:vAlign w:val="bottom"/>
            <w:shd w:val="clear" w:color="auto" w:fill="CCEEFF"/>
          </w:tcPr>
          <w:p>
            <w:pPr>
              <w:spacing w:after="0"/>
              <w:rPr>
                <w:sz w:val="15"/>
                <w:szCs w:val="15"/>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Net loss attributable to non-controlling interest</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81,818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170,510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106</w:t>
            </w:r>
          </w:p>
        </w:tc>
      </w:tr>
      <w:tr>
        <w:trPr>
          <w:trHeight w:val="215"/>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Net loss attributable to stockholders</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(182,147)</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(33,809)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9"/>
        </w:trPr>
        <w:tc>
          <w:tcPr>
            <w:tcW w:w="5740" w:type="dxa"/>
            <w:vAlign w:val="bottom"/>
          </w:tcPr>
          <w:p>
            <w:pPr>
              <w:spacing w:after="0"/>
              <w:rPr>
                <w:sz w:val="13"/>
                <w:szCs w:val="13"/>
                <w:color w:val="auto"/>
              </w:rPr>
            </w:pPr>
          </w:p>
        </w:tc>
        <w:tc>
          <w:tcPr>
            <w:tcW w:w="1840" w:type="dxa"/>
            <w:vAlign w:val="bottom"/>
            <w:gridSpan w:val="2"/>
          </w:tcPr>
          <w:p>
            <w:pPr>
              <w:spacing w:after="0"/>
              <w:rPr>
                <w:sz w:val="13"/>
                <w:szCs w:val="13"/>
                <w:color w:val="auto"/>
              </w:rPr>
            </w:pPr>
          </w:p>
        </w:tc>
        <w:tc>
          <w:tcPr>
            <w:tcW w:w="114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Net loss per share – basic and diluted</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(1.71)</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9"/>
        </w:trPr>
        <w:tc>
          <w:tcPr>
            <w:tcW w:w="5740" w:type="dxa"/>
            <w:vAlign w:val="bottom"/>
            <w:tcBorders>
              <w:top w:val="single" w:sz="8" w:color="CCEEFF"/>
            </w:tcBorders>
          </w:tcPr>
          <w:p>
            <w:pPr>
              <w:spacing w:after="0"/>
              <w:rPr>
                <w:sz w:val="13"/>
                <w:szCs w:val="13"/>
                <w:color w:val="auto"/>
              </w:rPr>
            </w:pPr>
          </w:p>
        </w:tc>
        <w:tc>
          <w:tcPr>
            <w:tcW w:w="16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 – basic and diluted</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106,654,918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20,862,555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9"/>
        </w:trPr>
        <w:tc>
          <w:tcPr>
            <w:tcW w:w="5740" w:type="dxa"/>
            <w:vAlign w:val="bottom"/>
            <w:tcBorders>
              <w:top w:val="single" w:sz="8" w:color="CCEEFF"/>
            </w:tcBorders>
          </w:tcPr>
          <w:p>
            <w:pPr>
              <w:spacing w:after="0"/>
              <w:rPr>
                <w:sz w:val="13"/>
                <w:szCs w:val="13"/>
                <w:color w:val="auto"/>
              </w:rPr>
            </w:pPr>
          </w:p>
        </w:tc>
        <w:tc>
          <w:tcPr>
            <w:tcW w:w="16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comprehensive loss:</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5"/>
                <w:szCs w:val="15"/>
                <w:color w:val="auto"/>
              </w:rPr>
              <w:t>Net loss</w:t>
            </w:r>
          </w:p>
        </w:tc>
        <w:tc>
          <w:tcPr>
            <w:tcW w:w="1840" w:type="dxa"/>
            <w:vAlign w:val="bottom"/>
            <w:gridSpan w:val="2"/>
          </w:tcPr>
          <w:p>
            <w:pPr>
              <w:jc w:val="right"/>
              <w:ind w:right="87"/>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5"/>
                <w:szCs w:val="15"/>
                <w:color w:val="auto"/>
              </w:rPr>
              <w:t>(263,965)</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(204,319)</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(78,182)</w:t>
            </w: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Unrealized (gain) loss on currency translation adjustment</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(2,005)</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219</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Unrealized loss on available-for-sale investment</w:t>
            </w: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2,677</w:t>
            </w:r>
          </w:p>
        </w:tc>
        <w:tc>
          <w:tcPr>
            <w:tcW w:w="100" w:type="dxa"/>
            <w:vAlign w:val="bottom"/>
          </w:tcPr>
          <w:p>
            <w:pPr>
              <w:spacing w:after="0"/>
              <w:rPr>
                <w:sz w:val="15"/>
                <w:szCs w:val="15"/>
                <w:color w:val="auto"/>
              </w:rPr>
            </w:pP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(261,960)</w:t>
            </w:r>
          </w:p>
        </w:tc>
        <w:tc>
          <w:tcPr>
            <w:tcW w:w="24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(204,538)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(80,859)</w:t>
            </w:r>
          </w:p>
        </w:tc>
        <w:tc>
          <w:tcPr>
            <w:tcW w:w="100" w:type="dxa"/>
            <w:vAlign w:val="bottom"/>
            <w:shd w:val="clear" w:color="auto" w:fill="CCEEFF"/>
          </w:tcPr>
          <w:p>
            <w:pPr>
              <w:spacing w:after="0"/>
              <w:rPr>
                <w:sz w:val="15"/>
                <w:szCs w:val="15"/>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Comprehensive loss attributable to non-controlling interest</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80,025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170,699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106</w:t>
            </w:r>
          </w:p>
        </w:tc>
      </w:tr>
      <w:tr>
        <w:trPr>
          <w:trHeight w:val="215"/>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Comprehensive loss attributable to stockholders</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(181,935)</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(33,839)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(80,753)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7" w:name="page98"/>
    <w:bookmarkEnd w:id="9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Fortress Energy Inc.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years ended December 31, 2020, 2019 and 2018</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thousands of U.S. dollars, except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7"/>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1240" w:type="dxa"/>
            <w:vAlign w:val="bottom"/>
            <w:gridSpan w:val="4"/>
            <w:vMerge w:val="restart"/>
          </w:tcPr>
          <w:p>
            <w:pPr>
              <w:jc w:val="right"/>
              <w:ind w:right="102"/>
              <w:spacing w:after="0"/>
              <w:rPr>
                <w:sz w:val="20"/>
                <w:szCs w:val="20"/>
                <w:color w:val="auto"/>
              </w:rPr>
            </w:pPr>
            <w:r>
              <w:rPr>
                <w:rFonts w:ascii="Arial" w:cs="Arial" w:eastAsia="Arial" w:hAnsi="Arial"/>
                <w:sz w:val="12"/>
                <w:szCs w:val="12"/>
                <w:b w:val="1"/>
                <w:bCs w:val="1"/>
                <w:color w:val="auto"/>
              </w:rPr>
              <w:t>Members’ Capital</w:t>
            </w:r>
          </w:p>
        </w:tc>
        <w:tc>
          <w:tcPr>
            <w:tcW w:w="100" w:type="dxa"/>
            <w:vAlign w:val="bottom"/>
            <w:vMerge w:val="restart"/>
          </w:tcPr>
          <w:p>
            <w:pPr>
              <w:spacing w:after="0"/>
              <w:rPr>
                <w:sz w:val="10"/>
                <w:szCs w:val="10"/>
                <w:color w:val="auto"/>
              </w:rPr>
            </w:pPr>
          </w:p>
        </w:tc>
        <w:tc>
          <w:tcPr>
            <w:tcW w:w="1300" w:type="dxa"/>
            <w:vAlign w:val="bottom"/>
            <w:gridSpan w:val="4"/>
            <w:vMerge w:val="restart"/>
          </w:tcPr>
          <w:p>
            <w:pPr>
              <w:jc w:val="right"/>
              <w:ind w:right="222"/>
              <w:spacing w:after="0"/>
              <w:rPr>
                <w:sz w:val="20"/>
                <w:szCs w:val="20"/>
                <w:color w:val="auto"/>
              </w:rPr>
            </w:pPr>
            <w:r>
              <w:rPr>
                <w:rFonts w:ascii="Arial" w:cs="Arial" w:eastAsia="Arial" w:hAnsi="Arial"/>
                <w:sz w:val="12"/>
                <w:szCs w:val="12"/>
                <w:b w:val="1"/>
                <w:bCs w:val="1"/>
                <w:color w:val="auto"/>
              </w:rPr>
              <w:t>Class A shares</w:t>
            </w:r>
          </w:p>
        </w:tc>
        <w:tc>
          <w:tcPr>
            <w:tcW w:w="100" w:type="dxa"/>
            <w:vAlign w:val="bottom"/>
            <w:vMerge w:val="restart"/>
          </w:tcPr>
          <w:p>
            <w:pPr>
              <w:spacing w:after="0"/>
              <w:rPr>
                <w:sz w:val="10"/>
                <w:szCs w:val="10"/>
                <w:color w:val="auto"/>
              </w:rPr>
            </w:pPr>
          </w:p>
        </w:tc>
        <w:tc>
          <w:tcPr>
            <w:tcW w:w="108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w w:val="92"/>
              </w:rPr>
              <w:t>Class B shares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5"/>
            <w:vMerge w:val="restart"/>
          </w:tcPr>
          <w:p>
            <w:pPr>
              <w:jc w:val="right"/>
              <w:ind w:right="2"/>
              <w:spacing w:after="0"/>
              <w:rPr>
                <w:sz w:val="20"/>
                <w:szCs w:val="20"/>
                <w:color w:val="auto"/>
              </w:rPr>
            </w:pPr>
            <w:r>
              <w:rPr>
                <w:rFonts w:ascii="Arial" w:cs="Arial" w:eastAsia="Arial" w:hAnsi="Arial"/>
                <w:sz w:val="12"/>
                <w:szCs w:val="12"/>
                <w:b w:val="1"/>
                <w:bCs w:val="1"/>
                <w:color w:val="auto"/>
                <w:w w:val="86"/>
              </w:rPr>
              <w:t>Class A common stock</w:t>
            </w:r>
          </w:p>
        </w:tc>
        <w:tc>
          <w:tcPr>
            <w:tcW w:w="120" w:type="dxa"/>
            <w:vAlign w:val="bottom"/>
            <w:vMerge w:val="restart"/>
          </w:tcPr>
          <w:p>
            <w:pPr>
              <w:spacing w:after="0"/>
              <w:rPr>
                <w:sz w:val="10"/>
                <w:szCs w:val="10"/>
                <w:color w:val="auto"/>
              </w:rPr>
            </w:pPr>
          </w:p>
        </w:tc>
        <w:tc>
          <w:tcPr>
            <w:tcW w:w="62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auto"/>
                <w:w w:val="91"/>
              </w:rPr>
              <w:t>Stock</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86"/>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12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80"/>
              <w:spacing w:after="0" w:line="96" w:lineRule="exact"/>
              <w:rPr>
                <w:sz w:val="20"/>
                <w:szCs w:val="20"/>
                <w:color w:val="auto"/>
              </w:rPr>
            </w:pPr>
            <w:r>
              <w:rPr>
                <w:rFonts w:ascii="Arial" w:cs="Arial" w:eastAsia="Arial" w:hAnsi="Arial"/>
                <w:sz w:val="11"/>
                <w:szCs w:val="11"/>
                <w:b w:val="1"/>
                <w:bCs w:val="1"/>
                <w:color w:val="auto"/>
                <w:w w:val="94"/>
              </w:rPr>
              <w:t>paid-in</w:t>
            </w:r>
          </w:p>
        </w:tc>
        <w:tc>
          <w:tcPr>
            <w:tcW w:w="740" w:type="dxa"/>
            <w:vAlign w:val="bottom"/>
            <w:gridSpan w:val="4"/>
          </w:tcPr>
          <w:p>
            <w:pPr>
              <w:ind w:left="40"/>
              <w:spacing w:after="0" w:line="96" w:lineRule="exact"/>
              <w:rPr>
                <w:sz w:val="20"/>
                <w:szCs w:val="20"/>
                <w:color w:val="auto"/>
              </w:rPr>
            </w:pPr>
            <w:r>
              <w:rPr>
                <w:rFonts w:ascii="Arial" w:cs="Arial" w:eastAsia="Arial" w:hAnsi="Arial"/>
                <w:sz w:val="11"/>
                <w:szCs w:val="11"/>
                <w:b w:val="1"/>
                <w:bCs w:val="1"/>
                <w:color w:val="auto"/>
              </w:rPr>
              <w:t>subscription</w:t>
            </w:r>
          </w:p>
        </w:tc>
        <w:tc>
          <w:tcPr>
            <w:tcW w:w="800" w:type="dxa"/>
            <w:vAlign w:val="bottom"/>
            <w:gridSpan w:val="4"/>
          </w:tcPr>
          <w:p>
            <w:pPr>
              <w:ind w:left="40"/>
              <w:spacing w:after="0" w:line="96" w:lineRule="exact"/>
              <w:rPr>
                <w:sz w:val="20"/>
                <w:szCs w:val="20"/>
                <w:color w:val="auto"/>
              </w:rPr>
            </w:pPr>
            <w:r>
              <w:rPr>
                <w:rFonts w:ascii="Arial" w:cs="Arial" w:eastAsia="Arial" w:hAnsi="Arial"/>
                <w:sz w:val="11"/>
                <w:szCs w:val="11"/>
                <w:b w:val="1"/>
                <w:bCs w:val="1"/>
                <w:color w:val="auto"/>
              </w:rPr>
              <w:t>Accumulated</w:t>
            </w:r>
          </w:p>
        </w:tc>
        <w:tc>
          <w:tcPr>
            <w:tcW w:w="40" w:type="dxa"/>
            <w:vAlign w:val="bottom"/>
          </w:tcPr>
          <w:p>
            <w:pPr>
              <w:spacing w:after="0"/>
              <w:rPr>
                <w:sz w:val="10"/>
                <w:szCs w:val="10"/>
                <w:color w:val="auto"/>
              </w:rPr>
            </w:pPr>
          </w:p>
        </w:tc>
        <w:tc>
          <w:tcPr>
            <w:tcW w:w="2520" w:type="dxa"/>
            <w:vAlign w:val="bottom"/>
            <w:gridSpan w:val="10"/>
          </w:tcPr>
          <w:p>
            <w:pPr>
              <w:spacing w:after="0" w:line="96" w:lineRule="exact"/>
              <w:rPr>
                <w:sz w:val="20"/>
                <w:szCs w:val="20"/>
                <w:color w:val="auto"/>
              </w:rPr>
            </w:pPr>
            <w:r>
              <w:rPr>
                <w:rFonts w:ascii="Arial" w:cs="Arial" w:eastAsia="Arial" w:hAnsi="Arial"/>
                <w:sz w:val="11"/>
                <w:szCs w:val="11"/>
                <w:b w:val="1"/>
                <w:bCs w:val="1"/>
                <w:color w:val="auto"/>
              </w:rPr>
              <w:t>comprehensive  Non-controlling  stockholders’</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Units</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88"/>
              </w:rPr>
              <w:t>Amounts</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6"/>
              </w:rPr>
              <w:t>Amount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capital</w:t>
            </w:r>
          </w:p>
        </w:tc>
        <w:tc>
          <w:tcPr>
            <w:tcW w:w="4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1"/>
              </w:rPr>
              <w:t>receivable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deficit</w:t>
            </w:r>
          </w:p>
        </w:tc>
        <w:tc>
          <w:tcPr>
            <w:tcW w:w="40" w:type="dxa"/>
            <w:vAlign w:val="bottom"/>
          </w:tcPr>
          <w:p>
            <w:pPr>
              <w:spacing w:after="0"/>
              <w:rPr>
                <w:sz w:val="15"/>
                <w:szCs w:val="15"/>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(loss) income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03"/>
        </w:trPr>
        <w:tc>
          <w:tcPr>
            <w:tcW w:w="1120" w:type="dxa"/>
            <w:vAlign w:val="bottom"/>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as of</w:t>
            </w: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January 1, 2018</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65,665,037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6"/>
              </w:rPr>
              <w:t>406,591</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(80,347)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2,666</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278,910</w:t>
            </w:r>
          </w:p>
        </w:tc>
        <w:tc>
          <w:tcPr>
            <w:tcW w:w="0" w:type="dxa"/>
            <w:vAlign w:val="bottom"/>
          </w:tcPr>
          <w:p>
            <w:pPr>
              <w:spacing w:after="0"/>
              <w:rPr>
                <w:sz w:val="1"/>
                <w:szCs w:val="1"/>
                <w:color w:val="auto"/>
              </w:rPr>
            </w:pPr>
          </w:p>
        </w:tc>
      </w:tr>
      <w:tr>
        <w:trPr>
          <w:trHeight w:val="175"/>
        </w:trPr>
        <w:tc>
          <w:tcPr>
            <w:tcW w:w="1120" w:type="dxa"/>
            <w:vAlign w:val="bottom"/>
          </w:tcPr>
          <w:p>
            <w:pPr>
              <w:ind w:left="120"/>
              <w:spacing w:after="0"/>
              <w:rPr>
                <w:sz w:val="20"/>
                <w:szCs w:val="20"/>
                <w:color w:val="auto"/>
              </w:rPr>
            </w:pPr>
            <w:r>
              <w:rPr>
                <w:rFonts w:ascii="Arial" w:cs="Arial" w:eastAsia="Arial" w:hAnsi="Arial"/>
                <w:sz w:val="12"/>
                <w:szCs w:val="12"/>
                <w:color w:val="auto"/>
              </w:rPr>
              <w:t>Net loss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(78,076)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(78,182)</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rPr>
              <w:t>comprehensive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loss</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(2,677)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(2,677)</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Capital</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contributions</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665,843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20,150</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20,150</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rPr>
              <w:t>Stock subscription</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receivable</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1,652,215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50,000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Acquisition of</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Shannon LNG</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14,446</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14,446</w:t>
            </w:r>
          </w:p>
        </w:tc>
        <w:tc>
          <w:tcPr>
            <w:tcW w:w="0" w:type="dxa"/>
            <w:vAlign w:val="bottom"/>
          </w:tcPr>
          <w:p>
            <w:pPr>
              <w:spacing w:after="0"/>
              <w:rPr>
                <w:sz w:val="1"/>
                <w:szCs w:val="1"/>
                <w:color w:val="auto"/>
              </w:rPr>
            </w:pPr>
          </w:p>
        </w:tc>
      </w:tr>
      <w:tr>
        <w:trPr>
          <w:trHeight w:val="103"/>
        </w:trPr>
        <w:tc>
          <w:tcPr>
            <w:tcW w:w="1120" w:type="dxa"/>
            <w:vAlign w:val="bottom"/>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as of</w:t>
            </w: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w w:val="90"/>
              </w:rPr>
              <w:t>December 31, 2018</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67,983,095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6"/>
              </w:rPr>
              <w:t>426,741</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(158,423)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14,340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282,647</w:t>
            </w:r>
          </w:p>
        </w:tc>
        <w:tc>
          <w:tcPr>
            <w:tcW w:w="0" w:type="dxa"/>
            <w:vAlign w:val="bottom"/>
          </w:tcPr>
          <w:p>
            <w:pPr>
              <w:spacing w:after="0"/>
              <w:rPr>
                <w:sz w:val="1"/>
                <w:szCs w:val="1"/>
                <w:color w:val="auto"/>
              </w:rPr>
            </w:pPr>
          </w:p>
        </w:tc>
      </w:tr>
      <w:tr>
        <w:trPr>
          <w:trHeight w:val="105"/>
        </w:trPr>
        <w:tc>
          <w:tcPr>
            <w:tcW w:w="1120" w:type="dxa"/>
            <w:vAlign w:val="bottom"/>
          </w:tcPr>
          <w:p>
            <w:pPr>
              <w:spacing w:after="0" w:line="105" w:lineRule="exact"/>
              <w:rPr>
                <w:sz w:val="20"/>
                <w:szCs w:val="20"/>
                <w:color w:val="auto"/>
              </w:rPr>
            </w:pPr>
            <w:r>
              <w:rPr>
                <w:rFonts w:ascii="Arial" w:cs="Arial" w:eastAsia="Arial" w:hAnsi="Arial"/>
                <w:sz w:val="12"/>
                <w:szCs w:val="12"/>
                <w:i w:val="1"/>
                <w:iCs w:val="1"/>
                <w:color w:val="auto"/>
              </w:rPr>
              <w:t>Activity prior to the</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i w:val="1"/>
                <w:iCs w:val="1"/>
                <w:color w:val="auto"/>
              </w:rPr>
              <w:t>IPO and related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i w:val="1"/>
                <w:iCs w:val="1"/>
                <w:color w:val="auto"/>
              </w:rPr>
              <w:t>organizational</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i w:val="1"/>
                <w:iCs w:val="1"/>
                <w:color w:val="auto"/>
              </w:rPr>
              <w:t>transactions: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Net loss</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(7,923)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(8,003)</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i w:val="1"/>
                <w:iCs w:val="1"/>
                <w:color w:val="auto"/>
              </w:rPr>
              <w:t>Effects of the IPO</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i w:val="1"/>
                <w:iCs w:val="1"/>
                <w:color w:val="auto"/>
              </w:rPr>
              <w:t>and related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i w:val="1"/>
                <w:iCs w:val="1"/>
                <w:color w:val="auto"/>
              </w:rPr>
              <w:t>organizational</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i w:val="1"/>
                <w:iCs w:val="1"/>
                <w:color w:val="auto"/>
              </w:rPr>
              <w:t>transactions: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w w:val="92"/>
              </w:rPr>
              <w:t>Issuance of Class A</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w w:val="91"/>
              </w:rPr>
              <w:t>shares in the IPO,</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rPr>
              <w:t>net of</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rPr>
              <w:t>underwriting</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rPr>
              <w:t>discount and</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offering costs</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20,837,272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32,136</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235,874</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268,010</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Effects of the</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reorganization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transactions</w:t>
            </w: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w w:val="93"/>
              </w:rPr>
              <w:t>(67,983,095)</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w w:val="89"/>
              </w:rPr>
              <w:t>(426,741)</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51,092</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w w:val="98"/>
              </w:rPr>
              <w:t>147,058,824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146,420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229,229</w:t>
            </w: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spacing w:after="0" w:line="105" w:lineRule="exact"/>
              <w:rPr>
                <w:sz w:val="20"/>
                <w:szCs w:val="20"/>
                <w:color w:val="auto"/>
              </w:rPr>
            </w:pPr>
            <w:r>
              <w:rPr>
                <w:rFonts w:ascii="Arial" w:cs="Arial" w:eastAsia="Arial" w:hAnsi="Arial"/>
                <w:sz w:val="12"/>
                <w:szCs w:val="12"/>
                <w:i w:val="1"/>
                <w:iCs w:val="1"/>
                <w:color w:val="auto"/>
                <w:w w:val="94"/>
              </w:rPr>
              <w:t>Activity subsequent to</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i w:val="1"/>
                <w:iCs w:val="1"/>
                <w:color w:val="auto"/>
              </w:rPr>
              <w:t>the IPO and</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i w:val="1"/>
                <w:iCs w:val="1"/>
                <w:color w:val="auto"/>
              </w:rPr>
              <w:t>related</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i w:val="1"/>
                <w:iCs w:val="1"/>
                <w:color w:val="auto"/>
              </w:rPr>
              <w:t>organizational</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i w:val="1"/>
                <w:iCs w:val="1"/>
                <w:color w:val="auto"/>
              </w:rPr>
              <w:t>transactions:</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120"/>
              <w:spacing w:after="0"/>
              <w:rPr>
                <w:sz w:val="20"/>
                <w:szCs w:val="20"/>
                <w:color w:val="auto"/>
              </w:rPr>
            </w:pPr>
            <w:r>
              <w:rPr>
                <w:rFonts w:ascii="Arial" w:cs="Arial" w:eastAsia="Arial" w:hAnsi="Arial"/>
                <w:sz w:val="12"/>
                <w:szCs w:val="12"/>
                <w:color w:val="auto"/>
              </w:rPr>
              <w:t>Net loss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(25,897)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(170,419)</w:t>
            </w: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(196,316)</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rPr>
              <w:t>comprehensive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loss</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(189)</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Share-based</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compensation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expense</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41,205</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41,205</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rPr>
              <w:t>Exchange of NFI</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Units</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2,716,252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6,225</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(2,716,252)</w:t>
            </w: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(6,225)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w w:val="97"/>
              </w:rPr>
              <w:t>Issuance of shares</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for vested RSUs</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53,572</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3"/>
        </w:trPr>
        <w:tc>
          <w:tcPr>
            <w:tcW w:w="1120" w:type="dxa"/>
            <w:vAlign w:val="bottom"/>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as of</w:t>
            </w: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w w:val="90"/>
              </w:rPr>
              <w:t>December 31, 2019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23,607,096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6"/>
              </w:rPr>
              <w:t>130,658</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144,342,572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(45,823)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302,519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387,324</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Cumulative effect</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of accounting</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change</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(1,533)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(7,780)</w:t>
            </w:r>
          </w:p>
        </w:tc>
        <w:tc>
          <w:tcPr>
            <w:tcW w:w="120" w:type="dxa"/>
            <w:vAlign w:val="bottom"/>
          </w:tcPr>
          <w:p>
            <w:pPr>
              <w:spacing w:after="0"/>
              <w:rPr>
                <w:sz w:val="11"/>
                <w:szCs w:val="11"/>
                <w:color w:val="auto"/>
              </w:rPr>
            </w:pPr>
          </w:p>
        </w:tc>
        <w:tc>
          <w:tcPr>
            <w:tcW w:w="6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(9,313)</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rPr>
              <w:t>Class A stock</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rPr>
              <w:t>issued, net of</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issuance costs</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5,882,352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290,712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290,771</w:t>
            </w:r>
          </w:p>
        </w:tc>
        <w:tc>
          <w:tcPr>
            <w:tcW w:w="0" w:type="dxa"/>
            <w:vAlign w:val="bottom"/>
          </w:tcPr>
          <w:p>
            <w:pPr>
              <w:spacing w:after="0"/>
              <w:rPr>
                <w:sz w:val="1"/>
                <w:szCs w:val="1"/>
                <w:color w:val="auto"/>
              </w:rPr>
            </w:pPr>
          </w:p>
        </w:tc>
      </w:tr>
      <w:tr>
        <w:trPr>
          <w:trHeight w:val="175"/>
        </w:trPr>
        <w:tc>
          <w:tcPr>
            <w:tcW w:w="1120" w:type="dxa"/>
            <w:vAlign w:val="bottom"/>
          </w:tcPr>
          <w:p>
            <w:pPr>
              <w:ind w:left="120"/>
              <w:spacing w:after="0"/>
              <w:rPr>
                <w:sz w:val="20"/>
                <w:szCs w:val="20"/>
                <w:color w:val="auto"/>
              </w:rPr>
            </w:pPr>
            <w:r>
              <w:rPr>
                <w:rFonts w:ascii="Arial" w:cs="Arial" w:eastAsia="Arial" w:hAnsi="Arial"/>
                <w:sz w:val="12"/>
                <w:szCs w:val="12"/>
                <w:color w:val="auto"/>
              </w:rPr>
              <w:t>Net loss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(182,147)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(81,818)</w:t>
            </w: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(263,965)</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220"/>
              <w:spacing w:after="0" w:line="121" w:lineRule="exact"/>
              <w:rPr>
                <w:sz w:val="20"/>
                <w:szCs w:val="20"/>
                <w:color w:val="auto"/>
              </w:rPr>
            </w:pPr>
            <w:r>
              <w:rPr>
                <w:rFonts w:ascii="Arial" w:cs="Arial" w:eastAsia="Arial" w:hAnsi="Arial"/>
                <w:sz w:val="12"/>
                <w:szCs w:val="12"/>
                <w:color w:val="auto"/>
              </w:rPr>
              <w:t>comprehensive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income</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1,793</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Share-based</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compensation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expense</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4,430</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4,313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8,743</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w w:val="97"/>
              </w:rPr>
              <w:t>Issuance of shares</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for vested RSUs</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1,224,436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160,317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Shares withheld</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from employees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related to share-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based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w w:val="96"/>
              </w:rPr>
              <w:t>compensation, at</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cost</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(593,911)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(6,468)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(6,468)</w:t>
            </w: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120"/>
              <w:spacing w:after="0" w:line="105" w:lineRule="exact"/>
              <w:rPr>
                <w:sz w:val="20"/>
                <w:szCs w:val="20"/>
                <w:color w:val="auto"/>
              </w:rPr>
            </w:pPr>
            <w:r>
              <w:rPr>
                <w:rFonts w:ascii="Arial" w:cs="Arial" w:eastAsia="Arial" w:hAnsi="Arial"/>
                <w:sz w:val="12"/>
                <w:szCs w:val="12"/>
                <w:color w:val="auto"/>
              </w:rPr>
              <w:t>Exchange of NFI</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units</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8"/>
              </w:rPr>
              <w:t>144,342,572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w w:val="96"/>
              </w:rPr>
              <w:t>206,587</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w w:val="93"/>
              </w:rPr>
              <w:t>(144,342,572)</w:t>
            </w:r>
          </w:p>
        </w:tc>
        <w:tc>
          <w:tcPr>
            <w:tcW w:w="2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(206,587)</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1120" w:type="dxa"/>
            <w:vAlign w:val="bottom"/>
          </w:tcPr>
          <w:p>
            <w:pPr>
              <w:ind w:left="120"/>
              <w:spacing w:after="0" w:line="105" w:lineRule="exact"/>
              <w:rPr>
                <w:sz w:val="20"/>
                <w:szCs w:val="20"/>
                <w:color w:val="auto"/>
              </w:rPr>
            </w:pPr>
            <w:r>
              <w:rPr>
                <w:rFonts w:ascii="Arial" w:cs="Arial" w:eastAsia="Arial" w:hAnsi="Arial"/>
                <w:sz w:val="12"/>
                <w:szCs w:val="12"/>
                <w:color w:val="auto"/>
              </w:rPr>
              <w:t>Conversion from</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20"/>
              <w:spacing w:after="0" w:line="121" w:lineRule="exact"/>
              <w:rPr>
                <w:sz w:val="20"/>
                <w:szCs w:val="20"/>
                <w:color w:val="auto"/>
              </w:rPr>
            </w:pPr>
            <w:r>
              <w:rPr>
                <w:rFonts w:ascii="Arial" w:cs="Arial" w:eastAsia="Arial" w:hAnsi="Arial"/>
                <w:sz w:val="12"/>
                <w:szCs w:val="12"/>
                <w:color w:val="auto"/>
              </w:rPr>
              <w:t>LLC to</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2"/>
                <w:szCs w:val="12"/>
                <w:color w:val="auto"/>
              </w:rPr>
              <w:t>Corporation</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w w:val="93"/>
              </w:rPr>
              <w:t>(169,174,104)</w:t>
            </w: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w w:val="89"/>
              </w:rPr>
              <w:t>(341,675)</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w w:val="95"/>
              </w:rPr>
              <w:t>169,174,104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w w:val="99"/>
              </w:rPr>
              <w:t>1,687</w:t>
            </w: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339,988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(34,011)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(34,011)</w:t>
            </w:r>
          </w:p>
        </w:tc>
        <w:tc>
          <w:tcPr>
            <w:tcW w:w="0" w:type="dxa"/>
            <w:vAlign w:val="bottom"/>
          </w:tcPr>
          <w:p>
            <w:pPr>
              <w:spacing w:after="0"/>
              <w:rPr>
                <w:sz w:val="1"/>
                <w:szCs w:val="1"/>
                <w:color w:val="auto"/>
              </w:rPr>
            </w:pPr>
          </w:p>
        </w:tc>
      </w:tr>
      <w:tr>
        <w:trPr>
          <w:trHeight w:val="103"/>
        </w:trPr>
        <w:tc>
          <w:tcPr>
            <w:tcW w:w="1120" w:type="dxa"/>
            <w:vAlign w:val="bottom"/>
            <w:tcBorders>
              <w:top w:val="single" w:sz="8" w:color="CCEEFF"/>
            </w:tcBorders>
          </w:tcPr>
          <w:p>
            <w:pPr>
              <w:spacing w:after="0" w:line="103" w:lineRule="exact"/>
              <w:rPr>
                <w:sz w:val="20"/>
                <w:szCs w:val="20"/>
                <w:color w:val="auto"/>
              </w:rPr>
            </w:pPr>
            <w:r>
              <w:rPr>
                <w:rFonts w:ascii="Arial" w:cs="Arial" w:eastAsia="Arial" w:hAnsi="Arial"/>
                <w:sz w:val="11"/>
                <w:szCs w:val="11"/>
                <w:b w:val="1"/>
                <w:bCs w:val="1"/>
                <w:color w:val="auto"/>
              </w:rPr>
              <w:t>Balance as of</w:t>
            </w: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120" w:type="dxa"/>
            <w:vAlign w:val="bottom"/>
          </w:tcPr>
          <w:p>
            <w:pPr>
              <w:ind w:left="120"/>
              <w:spacing w:after="0"/>
              <w:rPr>
                <w:sz w:val="20"/>
                <w:szCs w:val="20"/>
                <w:color w:val="auto"/>
              </w:rPr>
            </w:pPr>
            <w:r>
              <w:rPr>
                <w:rFonts w:ascii="Arial" w:cs="Arial" w:eastAsia="Arial" w:hAnsi="Arial"/>
                <w:sz w:val="12"/>
                <w:szCs w:val="12"/>
                <w:b w:val="1"/>
                <w:bCs w:val="1"/>
                <w:color w:val="auto"/>
                <w:w w:val="90"/>
              </w:rPr>
              <w:t>December 31, 2020</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5"/>
              </w:rPr>
              <w:t>174,622,862</w:t>
            </w:r>
          </w:p>
        </w:tc>
        <w:tc>
          <w:tcPr>
            <w:tcW w:w="80" w:type="dxa"/>
            <w:vAlign w:val="bottom"/>
          </w:tcPr>
          <w:p>
            <w:pPr>
              <w:spacing w:after="0"/>
              <w:rPr>
                <w:sz w:val="12"/>
                <w:szCs w:val="12"/>
                <w:color w:val="auto"/>
              </w:rPr>
            </w:pP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1,746</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594,534</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(229,503)</w:t>
            </w:r>
          </w:p>
        </w:tc>
        <w:tc>
          <w:tcPr>
            <w:tcW w:w="18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182</w:t>
            </w:r>
          </w:p>
        </w:tc>
        <w:tc>
          <w:tcPr>
            <w:tcW w:w="80" w:type="dxa"/>
            <w:vAlign w:val="bottom"/>
          </w:tcPr>
          <w:p>
            <w:pPr>
              <w:spacing w:after="0"/>
              <w:rPr>
                <w:sz w:val="12"/>
                <w:szCs w:val="1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8,127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375,086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7060" w:type="dxa"/>
            <w:vAlign w:val="bottom"/>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7060" w:type="dxa"/>
            <w:vAlign w:val="bottom"/>
          </w:tcPr>
          <w:p>
            <w:pPr>
              <w:spacing w:after="0"/>
              <w:rPr>
                <w:sz w:val="20"/>
                <w:szCs w:val="20"/>
                <w:color w:val="auto"/>
              </w:rPr>
            </w:pPr>
            <w:r>
              <w:rPr>
                <w:rFonts w:ascii="Arial" w:cs="Arial" w:eastAsia="Arial" w:hAnsi="Arial"/>
                <w:sz w:val="15"/>
                <w:szCs w:val="15"/>
                <w:b w:val="1"/>
                <w:bCs w:val="1"/>
                <w:color w:val="auto"/>
              </w:rPr>
              <w:t>New Fortress Energy Inc.</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7060" w:type="dxa"/>
            <w:vAlign w:val="bottom"/>
          </w:tcPr>
          <w:p>
            <w:pPr>
              <w:spacing w:after="0"/>
              <w:rPr>
                <w:sz w:val="20"/>
                <w:szCs w:val="20"/>
                <w:color w:val="auto"/>
              </w:rPr>
            </w:pPr>
            <w:r>
              <w:rPr>
                <w:rFonts w:ascii="Arial" w:cs="Arial" w:eastAsia="Arial" w:hAnsi="Arial"/>
                <w:sz w:val="15"/>
                <w:szCs w:val="15"/>
                <w:b w:val="1"/>
                <w:bCs w:val="1"/>
                <w:color w:val="auto"/>
              </w:rPr>
              <w:t>Consolidated Statements of Cash Flows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60" w:type="dxa"/>
            <w:vAlign w:val="bottom"/>
          </w:tcPr>
          <w:p>
            <w:pPr>
              <w:spacing w:after="0"/>
              <w:rPr>
                <w:sz w:val="20"/>
                <w:szCs w:val="20"/>
                <w:color w:val="auto"/>
              </w:rPr>
            </w:pPr>
            <w:r>
              <w:rPr>
                <w:rFonts w:ascii="Arial" w:cs="Arial" w:eastAsia="Arial" w:hAnsi="Arial"/>
                <w:sz w:val="15"/>
                <w:szCs w:val="15"/>
                <w:b w:val="1"/>
                <w:bCs w:val="1"/>
                <w:color w:val="auto"/>
              </w:rPr>
              <w:t>For the years ended December 31, 2020, 2019 and 2018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7060" w:type="dxa"/>
            <w:vAlign w:val="bottom"/>
          </w:tcPr>
          <w:p>
            <w:pPr>
              <w:spacing w:after="0"/>
              <w:rPr>
                <w:sz w:val="20"/>
                <w:szCs w:val="20"/>
                <w:color w:val="auto"/>
              </w:rPr>
            </w:pPr>
            <w:r>
              <w:rPr>
                <w:rFonts w:ascii="Arial" w:cs="Arial" w:eastAsia="Arial" w:hAnsi="Arial"/>
                <w:sz w:val="15"/>
                <w:szCs w:val="15"/>
                <w:b w:val="1"/>
                <w:bCs w:val="1"/>
                <w:color w:val="auto"/>
              </w:rPr>
              <w:t>(in thousands of U.S. dollars)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5"/>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88"/>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7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r>
      <w:tr>
        <w:trPr>
          <w:trHeight w:val="175"/>
        </w:trPr>
        <w:tc>
          <w:tcPr>
            <w:tcW w:w="7060" w:type="dxa"/>
            <w:vAlign w:val="bottom"/>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(263,965)</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(204,319)</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(78,182)</w:t>
            </w: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Adjustments for:</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Amortization of deferred financing costs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10,519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4,023</w:t>
            </w:r>
          </w:p>
        </w:tc>
        <w:tc>
          <w:tcPr>
            <w:tcW w:w="100" w:type="dxa"/>
            <w:vAlign w:val="bottom"/>
            <w:shd w:val="clear" w:color="auto" w:fill="CCEEFF"/>
          </w:tcPr>
          <w:p>
            <w:pPr>
              <w:spacing w:after="0"/>
              <w:rPr>
                <w:sz w:val="15"/>
                <w:szCs w:val="15"/>
                <w:color w:val="auto"/>
              </w:rPr>
            </w:pPr>
          </w:p>
        </w:tc>
      </w:tr>
      <w:tr>
        <w:trPr>
          <w:trHeight w:val="175"/>
        </w:trPr>
        <w:tc>
          <w:tcPr>
            <w:tcW w:w="7060" w:type="dxa"/>
            <w:vAlign w:val="bottom"/>
          </w:tcPr>
          <w:p>
            <w:pPr>
              <w:ind w:left="28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33,303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8,641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4,034</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Non-cash contract termination charges and loss on mitigation sales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19,114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7060" w:type="dxa"/>
            <w:vAlign w:val="bottom"/>
          </w:tcPr>
          <w:p>
            <w:pPr>
              <w:ind w:left="280"/>
              <w:spacing w:after="0"/>
              <w:rPr>
                <w:sz w:val="20"/>
                <w:szCs w:val="20"/>
                <w:color w:val="auto"/>
              </w:rPr>
            </w:pPr>
            <w:r>
              <w:rPr>
                <w:rFonts w:ascii="Arial" w:cs="Arial" w:eastAsia="Arial" w:hAnsi="Arial"/>
                <w:sz w:val="15"/>
                <w:szCs w:val="15"/>
                <w:color w:val="auto"/>
              </w:rPr>
              <w:t>Loss on extinguishment and financing expenses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37,090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3,188</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2,754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392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(345)</w:t>
            </w:r>
          </w:p>
        </w:tc>
      </w:tr>
      <w:tr>
        <w:trPr>
          <w:trHeight w:val="175"/>
        </w:trPr>
        <w:tc>
          <w:tcPr>
            <w:tcW w:w="7060" w:type="dxa"/>
            <w:vAlign w:val="bottom"/>
          </w:tcPr>
          <w:p>
            <w:pPr>
              <w:ind w:left="280"/>
              <w:spacing w:after="0"/>
              <w:rPr>
                <w:sz w:val="20"/>
                <w:szCs w:val="20"/>
                <w:color w:val="auto"/>
              </w:rPr>
            </w:pPr>
            <w:r>
              <w:rPr>
                <w:rFonts w:ascii="Arial" w:cs="Arial" w:eastAsia="Arial" w:hAnsi="Arial"/>
                <w:sz w:val="15"/>
                <w:szCs w:val="15"/>
                <w:color w:val="auto"/>
              </w:rPr>
              <w:t>Share-based compensation</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8,743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41,205</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4,341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439</w:t>
            </w: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(Increase) in receivables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(26,795)</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(19,754)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(9,516)</w:t>
            </w: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Decrease (Increase) in inventories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23,230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(50,345)</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(4,807)</w:t>
            </w: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(Increase) in other assets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(35,927)</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(39,344)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(28,338)</w:t>
            </w: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Decrease in right-of-use assets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41,452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Increase in accounts payable/accrued liabilities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55,514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12,232</w:t>
            </w: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(Decrease) Increase in amounts due to affiliates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(1,272)</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5,771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2,390</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(Decrease) in lease liabilities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(42,094)</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7"/>
        </w:trPr>
        <w:tc>
          <w:tcPr>
            <w:tcW w:w="7060" w:type="dxa"/>
            <w:vAlign w:val="bottom"/>
          </w:tcPr>
          <w:p>
            <w:pPr>
              <w:ind w:left="120"/>
              <w:spacing w:after="0"/>
              <w:rPr>
                <w:sz w:val="20"/>
                <w:szCs w:val="20"/>
                <w:color w:val="auto"/>
              </w:rPr>
            </w:pPr>
            <w:r>
              <w:rPr>
                <w:rFonts w:ascii="Arial" w:cs="Arial" w:eastAsia="Arial" w:hAnsi="Arial"/>
                <w:sz w:val="15"/>
                <w:szCs w:val="15"/>
                <w:color w:val="auto"/>
              </w:rPr>
              <w:t>Increase in other liabilities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8,427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10,714</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1,655</w:t>
            </w:r>
          </w:p>
        </w:tc>
        <w:tc>
          <w:tcPr>
            <w:tcW w:w="100" w:type="dxa"/>
            <w:vAlign w:val="bottom"/>
          </w:tcPr>
          <w:p>
            <w:pPr>
              <w:spacing w:after="0"/>
              <w:rPr>
                <w:sz w:val="15"/>
                <w:szCs w:val="15"/>
                <w:color w:val="auto"/>
              </w:rPr>
            </w:pPr>
          </w:p>
        </w:tc>
      </w:tr>
      <w:tr>
        <w:trPr>
          <w:trHeight w:val="177"/>
        </w:trPr>
        <w:tc>
          <w:tcPr>
            <w:tcW w:w="7060" w:type="dxa"/>
            <w:vAlign w:val="bottom"/>
            <w:shd w:val="clear" w:color="auto" w:fill="CCEEFF"/>
          </w:tcPr>
          <w:p>
            <w:pPr>
              <w:ind w:left="280"/>
              <w:spacing w:after="0"/>
              <w:rPr>
                <w:sz w:val="20"/>
                <w:szCs w:val="20"/>
                <w:color w:val="auto"/>
              </w:rPr>
            </w:pPr>
            <w:r>
              <w:rPr>
                <w:rFonts w:ascii="Arial" w:cs="Arial" w:eastAsia="Arial" w:hAnsi="Arial"/>
                <w:sz w:val="15"/>
                <w:szCs w:val="15"/>
                <w:b w:val="1"/>
                <w:bCs w:val="1"/>
                <w:color w:val="auto"/>
              </w:rPr>
              <w:t>Net cash used in operating activities</w:t>
            </w:r>
          </w:p>
        </w:tc>
        <w:tc>
          <w:tcPr>
            <w:tcW w:w="2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(125,566)</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(234,261)</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(93,227)</w:t>
            </w:r>
          </w:p>
        </w:tc>
        <w:tc>
          <w:tcPr>
            <w:tcW w:w="100" w:type="dxa"/>
            <w:vAlign w:val="bottom"/>
            <w:shd w:val="clear" w:color="auto" w:fill="CCEEFF"/>
          </w:tcPr>
          <w:p>
            <w:pPr>
              <w:spacing w:after="0"/>
              <w:rPr>
                <w:sz w:val="15"/>
                <w:szCs w:val="15"/>
                <w:color w:val="auto"/>
              </w:rPr>
            </w:pPr>
          </w:p>
        </w:tc>
      </w:tr>
      <w:tr>
        <w:trPr>
          <w:trHeight w:val="175"/>
        </w:trPr>
        <w:tc>
          <w:tcPr>
            <w:tcW w:w="70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5"/>
        </w:trPr>
        <w:tc>
          <w:tcPr>
            <w:tcW w:w="7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Capital expenditures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(156,995)</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(377,051)</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(181,151)</w:t>
            </w: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Acquisition of consolidated subsidiary</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(4,028)</w:t>
            </w:r>
          </w:p>
        </w:tc>
      </w:tr>
      <w:tr>
        <w:trPr>
          <w:trHeight w:val="177"/>
        </w:trPr>
        <w:tc>
          <w:tcPr>
            <w:tcW w:w="7060" w:type="dxa"/>
            <w:vAlign w:val="bottom"/>
          </w:tcPr>
          <w:p>
            <w:pPr>
              <w:ind w:left="120"/>
              <w:spacing w:after="0"/>
              <w:rPr>
                <w:sz w:val="20"/>
                <w:szCs w:val="20"/>
                <w:color w:val="auto"/>
              </w:rPr>
            </w:pPr>
            <w:r>
              <w:rPr>
                <w:rFonts w:ascii="Arial" w:cs="Arial" w:eastAsia="Arial" w:hAnsi="Arial"/>
                <w:sz w:val="15"/>
                <w:szCs w:val="15"/>
                <w:color w:val="auto"/>
              </w:rPr>
              <w:t>Other investing activities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(636)</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887</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724</w:t>
            </w:r>
          </w:p>
        </w:tc>
      </w:tr>
      <w:tr>
        <w:trPr>
          <w:trHeight w:val="177"/>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(157,631)</w:t>
            </w:r>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(376,164)</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(184,455)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7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Proceeds from borrowings of debt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2,095,269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347,856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280,600</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Payment of deferred financing costs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(36,499)</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(8,259)</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(14,026)</w:t>
            </w: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Repayment of debt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(1,490,002)</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(5,000)</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(76,520)</w:t>
            </w: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IPO</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274,948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Proceeds from issuance of Class A common stock</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291,992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Payments related to tax withholdings for share-based compensation</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(6,413)</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Payment of dividends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(33,742)</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Capital contributed from Members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20,150</w:t>
            </w:r>
          </w:p>
        </w:tc>
      </w:tr>
      <w:tr>
        <w:trPr>
          <w:trHeight w:val="175"/>
        </w:trPr>
        <w:tc>
          <w:tcPr>
            <w:tcW w:w="7060" w:type="dxa"/>
            <w:vAlign w:val="bottom"/>
          </w:tcPr>
          <w:p>
            <w:pPr>
              <w:ind w:left="120"/>
              <w:spacing w:after="0"/>
              <w:rPr>
                <w:sz w:val="20"/>
                <w:szCs w:val="20"/>
                <w:color w:val="auto"/>
              </w:rPr>
            </w:pPr>
            <w:r>
              <w:rPr>
                <w:rFonts w:ascii="Arial" w:cs="Arial" w:eastAsia="Arial" w:hAnsi="Arial"/>
                <w:sz w:val="15"/>
                <w:szCs w:val="15"/>
                <w:color w:val="auto"/>
              </w:rPr>
              <w:t>Collection of subscription receivable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50,000</w:t>
            </w:r>
          </w:p>
        </w:tc>
      </w:tr>
      <w:tr>
        <w:trPr>
          <w:trHeight w:val="177"/>
        </w:trPr>
        <w:tc>
          <w:tcPr>
            <w:tcW w:w="7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Payment of stock issuance costs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(1,107)</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(6,938)</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7"/>
        </w:trPr>
        <w:tc>
          <w:tcPr>
            <w:tcW w:w="7060" w:type="dxa"/>
            <w:vAlign w:val="bottom"/>
            <w:tcBorders>
              <w:top w:val="single" w:sz="8" w:color="CCEEFF"/>
            </w:tcBorders>
          </w:tcPr>
          <w:p>
            <w:pPr>
              <w:ind w:left="280"/>
              <w:spacing w:after="0"/>
              <w:rPr>
                <w:sz w:val="20"/>
                <w:szCs w:val="20"/>
                <w:color w:val="auto"/>
              </w:rPr>
            </w:pPr>
            <w:r>
              <w:rPr>
                <w:rFonts w:ascii="Arial" w:cs="Arial" w:eastAsia="Arial" w:hAnsi="Arial"/>
                <w:sz w:val="15"/>
                <w:szCs w:val="15"/>
                <w:b w:val="1"/>
                <w:bCs w:val="1"/>
                <w:color w:val="auto"/>
              </w:rPr>
              <w:t>Net cash provided by financing activities</w:t>
            </w:r>
          </w:p>
        </w:tc>
        <w:tc>
          <w:tcPr>
            <w:tcW w:w="28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819,498</w:t>
            </w:r>
          </w:p>
        </w:tc>
        <w:tc>
          <w:tcPr>
            <w:tcW w:w="2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602,607</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260,204</w:t>
            </w:r>
          </w:p>
        </w:tc>
        <w:tc>
          <w:tcPr>
            <w:tcW w:w="100" w:type="dxa"/>
            <w:vAlign w:val="bottom"/>
            <w:tcBorders>
              <w:top w:val="single" w:sz="8" w:color="CCEEFF"/>
            </w:tcBorders>
          </w:tcPr>
          <w:p>
            <w:pPr>
              <w:spacing w:after="0"/>
              <w:rPr>
                <w:sz w:val="15"/>
                <w:szCs w:val="15"/>
                <w:color w:val="auto"/>
              </w:rPr>
            </w:pPr>
          </w:p>
        </w:tc>
      </w:tr>
      <w:tr>
        <w:trPr>
          <w:trHeight w:val="175"/>
        </w:trPr>
        <w:tc>
          <w:tcPr>
            <w:tcW w:w="7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r>
      <w:tr>
        <w:trPr>
          <w:trHeight w:val="175"/>
        </w:trPr>
        <w:tc>
          <w:tcPr>
            <w:tcW w:w="7060" w:type="dxa"/>
            <w:vAlign w:val="bottom"/>
          </w:tcPr>
          <w:p>
            <w:pPr>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536,301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(7,818)</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(17,478)</w:t>
            </w:r>
          </w:p>
        </w:tc>
      </w:tr>
      <w:tr>
        <w:trPr>
          <w:trHeight w:val="17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 beginning of period</w:t>
            </w: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93,035</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100,853</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118,331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7060" w:type="dxa"/>
            <w:vAlign w:val="bottom"/>
          </w:tcPr>
          <w:p>
            <w:pPr>
              <w:spacing w:after="0"/>
              <w:rPr>
                <w:sz w:val="20"/>
                <w:szCs w:val="20"/>
                <w:color w:val="auto"/>
              </w:rPr>
            </w:pPr>
            <w:r>
              <w:rPr>
                <w:rFonts w:ascii="Arial" w:cs="Arial" w:eastAsia="Arial" w:hAnsi="Arial"/>
                <w:sz w:val="15"/>
                <w:szCs w:val="15"/>
                <w:b w:val="1"/>
                <w:bCs w:val="1"/>
                <w:color w:val="auto"/>
              </w:rPr>
              <w:t>Cash, cash equivalents and restricted cash – end of period</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629,336</w:t>
            </w:r>
          </w:p>
        </w:tc>
        <w:tc>
          <w:tcPr>
            <w:tcW w:w="220" w:type="dxa"/>
            <w:vAlign w:val="bottom"/>
          </w:tcPr>
          <w:p>
            <w:pPr>
              <w:spacing w:after="0"/>
              <w:rPr>
                <w:sz w:val="15"/>
                <w:szCs w:val="15"/>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93,035</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100,853</w:t>
            </w:r>
          </w:p>
        </w:tc>
        <w:tc>
          <w:tcPr>
            <w:tcW w:w="100" w:type="dxa"/>
            <w:vAlign w:val="bottom"/>
          </w:tcPr>
          <w:p>
            <w:pPr>
              <w:spacing w:after="0"/>
              <w:rPr>
                <w:sz w:val="15"/>
                <w:szCs w:val="15"/>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7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706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5"/>
        </w:trPr>
        <w:tc>
          <w:tcPr>
            <w:tcW w:w="706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1"/>
              </w:rPr>
              <w:t>Changes in accounts payable and accrued liabilities associated with construction in progress and property, plant and</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7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equipment additions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(12,786)</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(48,150)</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74,280</w:t>
            </w:r>
          </w:p>
        </w:tc>
      </w:tr>
      <w:tr>
        <w:trPr>
          <w:trHeight w:val="175"/>
        </w:trPr>
        <w:tc>
          <w:tcPr>
            <w:tcW w:w="7060" w:type="dxa"/>
            <w:vAlign w:val="bottom"/>
          </w:tcPr>
          <w:p>
            <w:pPr>
              <w:spacing w:after="0"/>
              <w:rPr>
                <w:sz w:val="20"/>
                <w:szCs w:val="20"/>
                <w:color w:val="auto"/>
              </w:rPr>
            </w:pPr>
            <w:r>
              <w:rPr>
                <w:rFonts w:ascii="Arial" w:cs="Arial" w:eastAsia="Arial" w:hAnsi="Arial"/>
                <w:sz w:val="15"/>
                <w:szCs w:val="15"/>
                <w:color w:val="auto"/>
              </w:rPr>
              <w:t>Cash paid for interest, net of capitalized interest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27,255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6,765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7,515</w:t>
            </w:r>
          </w:p>
        </w:tc>
        <w:tc>
          <w:tcPr>
            <w:tcW w:w="100" w:type="dxa"/>
            <w:vAlign w:val="bottom"/>
          </w:tcPr>
          <w:p>
            <w:pPr>
              <w:spacing w:after="0"/>
              <w:rPr>
                <w:sz w:val="15"/>
                <w:szCs w:val="15"/>
                <w:color w:val="auto"/>
              </w:rPr>
            </w:pPr>
          </w:p>
        </w:tc>
      </w:tr>
      <w:tr>
        <w:trPr>
          <w:trHeight w:val="175"/>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Cash paid for taxes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9" w:name="page100"/>
    <w:bookmarkEnd w:id="9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4"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color w:val="auto"/>
        </w:rPr>
        <w:t>Organization</w:t>
      </w:r>
    </w:p>
    <w:p>
      <w:pPr>
        <w:spacing w:after="0" w:line="204"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New Fortress Energy Inc. (“NFE,” together with its subsidiaries, the “Company”) is a Delaware corporation formed by New Fortress Energy Holdings LLC (“New Fortress Energy Holdings”). The Company is a global integrated gas-to-power infrastructure company that seeks to use natural gas to satisfy the world’s large and growing power needs and is engaged in providing energy and development services to end-users worldwide seeking to convert their operating assets from diesel or heavy fuel oil to LNG. The Company currently sources LNG from a combination of its own liquefaction facility in Miami, Florida and purchases on the open market. The Company has liquefaction, regasification and power generation operations in the United States and Jamaica.</w:t>
      </w:r>
    </w:p>
    <w:p>
      <w:pPr>
        <w:spacing w:after="0" w:line="183" w:lineRule="exact"/>
        <w:rPr>
          <w:sz w:val="20"/>
          <w:szCs w:val="20"/>
          <w:color w:val="auto"/>
        </w:rPr>
      </w:pPr>
    </w:p>
    <w:p>
      <w:pPr>
        <w:ind w:right="320"/>
        <w:spacing w:after="0" w:line="263" w:lineRule="auto"/>
        <w:rPr>
          <w:sz w:val="20"/>
          <w:szCs w:val="20"/>
          <w:color w:val="auto"/>
        </w:rPr>
      </w:pPr>
      <w:r>
        <w:rPr>
          <w:rFonts w:ascii="Arial" w:cs="Arial" w:eastAsia="Arial" w:hAnsi="Arial"/>
          <w:sz w:val="15"/>
          <w:szCs w:val="15"/>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w:t>
      </w:r>
    </w:p>
    <w:p>
      <w:pPr>
        <w:spacing w:after="0" w:line="166"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principle accounting policies adopted are set out below.</w:t>
      </w:r>
    </w:p>
    <w:p>
      <w:pPr>
        <w:spacing w:after="0" w:line="196"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15"/>
          <w:szCs w:val="15"/>
          <w:color w:val="auto"/>
        </w:rPr>
      </w:pPr>
      <w:r>
        <w:rPr>
          <w:rFonts w:ascii="Arial" w:cs="Arial" w:eastAsia="Arial" w:hAnsi="Arial"/>
          <w:sz w:val="15"/>
          <w:szCs w:val="15"/>
          <w:b w:val="1"/>
          <w:bCs w:val="1"/>
          <w:color w:val="auto"/>
        </w:rPr>
        <w:t>Basis of presentation and principles of consolidation</w:t>
      </w:r>
    </w:p>
    <w:p>
      <w:pPr>
        <w:spacing w:after="0" w:line="204" w:lineRule="exact"/>
        <w:rPr>
          <w:sz w:val="20"/>
          <w:szCs w:val="20"/>
          <w:color w:val="auto"/>
        </w:rPr>
      </w:pPr>
    </w:p>
    <w:p>
      <w:pPr>
        <w:ind w:right="20"/>
        <w:spacing w:after="0" w:line="311" w:lineRule="auto"/>
        <w:rPr>
          <w:sz w:val="20"/>
          <w:szCs w:val="20"/>
          <w:color w:val="auto"/>
        </w:rPr>
      </w:pPr>
      <w:r>
        <w:rPr>
          <w:rFonts w:ascii="Arial" w:cs="Arial" w:eastAsia="Arial" w:hAnsi="Arial"/>
          <w:sz w:val="13"/>
          <w:szCs w:val="13"/>
          <w:color w:val="auto"/>
        </w:rPr>
        <w:t>The accompanying consolidated financial statements contained herein were prepared in accordance with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NFE, which is equal to the number of NFI LLC Units held by New Fortress Energy Holdings immediately following the IPO. New Fortress Energy Holdings retained a significant interest in NFE through its ownership of 147,058,824 Class B shares, representing an 88.0% voting and non-economic interest. New Fortress Energy Holdings also had an 88.0% economic interest in NFI through its ownership of 147,058,824 of NFI LLC Units. New Fortress Energy Holdings is NFE’s predecessor for accounting purposes.</w:t>
      </w:r>
    </w:p>
    <w:p>
      <w:pPr>
        <w:spacing w:after="0" w:line="185"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were 20,837,272 outstanding Class A shares. In connection with the exercise of the underwriters’ option to purchase an additional 837,272 Class A shares, NFE contributed such additional net proceeds to NFI in exchange for 837,272 NFI LLC Units.</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Until the Exchange Transactions (as defined below) were completed, NFE was a holding company whose sole material asset was a controlling equity interest in NFI. As the sole managing member of NFI, NFE operated and controlled all of the business and affairs of NFI, and through NFI and its subsidiaries, conducted the Company’s historical business. The contribution of the assets of New Fortress Energy Holdings and net proceeds from the IPO to NFI was treated as a reorganization of entities under common control (the “Reorganization”). As a result, NFE presented the consolidated balance sheets and statements of operations and comprehensive loss of New Fortress Energy Holdings for all periods prior to the IPO.</w:t>
      </w:r>
    </w:p>
    <w:p>
      <w:pPr>
        <w:spacing w:after="0" w:line="149"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On June 3, 2020, the Company entered into a mutual agreement (the “Mutual Agreement”) with the members holding the majority voting interest in New Fortress Energy Holdings (“Exchanging Members”) and NFE Sub LLC, a wholly-owned subsidiary of NFE. Pursuant to the Mutual Agreement, the Exchanging Members agreed to deliver a block redemption notice in accordance with the Amended and Restated Limited Liability Company Agreement of NFI (the “NFI LLCA”) with respect to all of the NFI LLC Units, together with an equal number of Class B shares of NFE, that such Exchanging Members indirectly own as members of New Fortress Energy Holdings. Pursuant to the Mutual Agreement, NFE agreed to exercise the Call Right (as defined in the NFI LLCA), pursuant to which NFE would acquire such NFI LLC Units and such Class B shares in exchange for Class A shares of NFE (the “Exchange Transactions”). The Exchange Transactions were completed on June 10, 2020. In connection with the closing of the Exchange Transactions, NFE issued 144,342,572 Class A shares in exchange for an equal number of NFI LLC Units, together with an equal number of Class B shares of NFE. Following the completion of the Exchange Transactions, NFE owns all of the NFI LLC Units directly or indirectly and no Class B shares remain outstanding.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0" w:name="page101"/>
    <w:bookmarkEnd w:id="10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Prior to the Exchange Transactions, the Company recognized the Exchanging Members’ economic interest in NFI as non-controlling interest in the Company’s consolidated financial statements. Results of operations for the period prior to the date of the Exchange Transactions, June 10, 2020, was attributed to non-controlling interest based on the Exchanging Members’ interest in NFI; subsequent to the Exchange Transactions, results of operations, excluding results attributable to other investors in non-wholly owned subsidiaries, were recognized as net income or loss attributable to stockholders. Amounts that were attributable to these Exchanging Members’ prior interest in NFI previously shown as non-controlling interest on the Company’s consolidated balance sheets have been reclassified to Class A shares.</w:t>
      </w:r>
    </w:p>
    <w:p>
      <w:pPr>
        <w:spacing w:after="0" w:line="183" w:lineRule="exact"/>
        <w:rPr>
          <w:sz w:val="20"/>
          <w:szCs w:val="20"/>
          <w:color w:val="auto"/>
        </w:rPr>
      </w:pPr>
    </w:p>
    <w:p>
      <w:pPr>
        <w:ind w:right="120"/>
        <w:spacing w:after="0" w:line="293" w:lineRule="auto"/>
        <w:rPr>
          <w:sz w:val="20"/>
          <w:szCs w:val="20"/>
          <w:color w:val="auto"/>
        </w:rPr>
      </w:pPr>
      <w:r>
        <w:rPr>
          <w:rFonts w:ascii="Arial" w:cs="Arial" w:eastAsia="Arial" w:hAnsi="Arial"/>
          <w:sz w:val="13"/>
          <w:szCs w:val="13"/>
          <w:color w:val="auto"/>
        </w:rPr>
        <w:t>On August 7, 2020, the Company converted New Fortress Energy LLC (“NFE LLC”) from a Delaware limited liability company to a Delaware corporation named New Fortress Energy Inc. (“the Conversion”). Since the IPO, NFE LLC has been a corporation for U.S. federal tax purposes and converting NFE LLC from a limited liability company to a corporation has no effect on the U.S. federal tax treatment of the Company or its shareholders. Upon the Conversion, each Class A share, representing Class A limited liability company interests of NFE LLC (“Class A shares”), outstanding immediately prior to the Conversion was converted into one issued and outstanding, fully paid and nonassessable share of Class A common stock, $0.01 par value per share, of NFE (“Class A common stock”). Class A shares shown on the Company’s consolidated statements of changes in stockholders’ equity were reclassified to Class A common stock and Additional paid-in capital with no change to total stockholders’ equity. As of December 31, 2020, NFE had 174,622,862 Class A common stock outstanding.</w:t>
      </w:r>
    </w:p>
    <w:p>
      <w:pPr>
        <w:spacing w:after="0" w:line="151"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Use of estimates</w:t>
      </w:r>
    </w:p>
    <w:p>
      <w:pPr>
        <w:spacing w:after="0" w:line="182"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relative fair value allocations between revenue and lease components of contracts with customers, determination of current expected credit losses, the incremental borrowing rates used in the determination of lease liabilities, total consideration and fair value of identifiable net assets related to acquisitions and the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141"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Foreign currencies</w:t>
      </w:r>
    </w:p>
    <w:p>
      <w:pPr>
        <w:spacing w:after="0" w:line="204"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The Company has certain foreign subsidiaries where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 (loss).</w:t>
      </w:r>
    </w:p>
    <w:p>
      <w:pPr>
        <w:spacing w:after="0" w:line="16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Company also has foreign subsidiaries that have a functional currency of the U.S. dollar. Purchases and sales of assets and income and expense items denominated in foreign currencies are remeasured into U.S. dollar amounts on the respective dates of such transactions. Net realized foreign currency gains or losses relating to the differences between these recorded amounts and the U.S. dollar equivalent actually received or paid are included within Other expense (income), net in the consolidated statements of operations and comprehensive loss. Gains and losses on intercompany foreign currency transactions that are long-term in nature and which the Company does not intend to settle in the foreseeable future, are also recognized in accumulated other comprehensive income (loss). Accumulated foreign currency translation adjustments are reclassified from accumulated other comprehensive income (loss)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spacing w:after="0" w:line="168"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5"/>
          <w:szCs w:val="15"/>
          <w:color w:val="auto"/>
        </w:rPr>
      </w:pPr>
      <w:r>
        <w:rPr>
          <w:rFonts w:ascii="Arial" w:cs="Arial" w:eastAsia="Arial" w:hAnsi="Arial"/>
          <w:sz w:val="15"/>
          <w:szCs w:val="15"/>
          <w:b w:val="1"/>
          <w:bCs w:val="1"/>
          <w:color w:val="auto"/>
        </w:rPr>
        <w:t>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Company considers all highly liquid investments with an original maturity of three months or less at the time of purchase to be cash equivalents.</w:t>
      </w:r>
    </w:p>
    <w:p>
      <w:pPr>
        <w:spacing w:after="0" w:line="196"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Restricted cash</w:t>
      </w:r>
    </w:p>
    <w:p>
      <w:pPr>
        <w:spacing w:after="0" w:line="204" w:lineRule="exact"/>
        <w:rPr>
          <w:sz w:val="20"/>
          <w:szCs w:val="20"/>
          <w:color w:val="auto"/>
        </w:rPr>
      </w:pPr>
    </w:p>
    <w:p>
      <w:pPr>
        <w:ind w:right="360"/>
        <w:spacing w:after="0" w:line="263" w:lineRule="auto"/>
        <w:rPr>
          <w:sz w:val="20"/>
          <w:szCs w:val="20"/>
          <w:color w:val="auto"/>
        </w:rPr>
      </w:pPr>
      <w:r>
        <w:rPr>
          <w:rFonts w:ascii="Arial" w:cs="Arial" w:eastAsia="Arial" w:hAnsi="Arial"/>
          <w:sz w:val="15"/>
          <w:szCs w:val="15"/>
          <w:color w:val="auto"/>
        </w:rPr>
        <w:t>Restricted cash consists of funds that are contractually restricted as to usage or withdrawal and have been presented separately from cash and cash equivalents on the consolidated balance sheets.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1" w:name="page102"/>
    <w:bookmarkEnd w:id="10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6"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Receivables</w:t>
      </w:r>
    </w:p>
    <w:p>
      <w:pPr>
        <w:spacing w:after="0" w:line="204" w:lineRule="exact"/>
        <w:rPr>
          <w:sz w:val="20"/>
          <w:szCs w:val="20"/>
          <w:color w:val="auto"/>
        </w:rPr>
      </w:pPr>
    </w:p>
    <w:p>
      <w:pPr>
        <w:ind w:right="160"/>
        <w:spacing w:after="0" w:line="274" w:lineRule="auto"/>
        <w:rPr>
          <w:sz w:val="20"/>
          <w:szCs w:val="20"/>
          <w:color w:val="auto"/>
        </w:rPr>
      </w:pPr>
      <w:r>
        <w:rPr>
          <w:rFonts w:ascii="Arial" w:cs="Arial" w:eastAsia="Arial" w:hAnsi="Arial"/>
          <w:sz w:val="14"/>
          <w:szCs w:val="14"/>
          <w:color w:val="auto"/>
        </w:rPr>
        <w:t>Receivables are reported at amortized cost, net of an allowance for current expected credit losses. Amounts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loss.</w:t>
      </w:r>
    </w:p>
    <w:p>
      <w:pPr>
        <w:spacing w:after="0" w:line="160"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5"/>
          <w:szCs w:val="15"/>
          <w:color w:val="auto"/>
        </w:rPr>
      </w:pPr>
      <w:r>
        <w:rPr>
          <w:rFonts w:ascii="Arial" w:cs="Arial" w:eastAsia="Arial" w:hAnsi="Arial"/>
          <w:sz w:val="15"/>
          <w:szCs w:val="15"/>
          <w:b w:val="1"/>
          <w:bCs w:val="1"/>
          <w:color w:val="auto"/>
        </w:rPr>
        <w:t>Inventories</w:t>
      </w:r>
    </w:p>
    <w:p>
      <w:pPr>
        <w:spacing w:after="0" w:line="204" w:lineRule="exact"/>
        <w:rPr>
          <w:sz w:val="20"/>
          <w:szCs w:val="20"/>
          <w:color w:val="auto"/>
        </w:rPr>
      </w:pPr>
    </w:p>
    <w:p>
      <w:pPr>
        <w:jc w:val="both"/>
        <w:ind w:right="260"/>
        <w:spacing w:after="0" w:line="253" w:lineRule="auto"/>
        <w:rPr>
          <w:sz w:val="20"/>
          <w:szCs w:val="20"/>
          <w:color w:val="auto"/>
        </w:rPr>
      </w:pPr>
      <w:r>
        <w:rPr>
          <w:rFonts w:ascii="Arial" w:cs="Arial" w:eastAsia="Arial" w:hAnsi="Arial"/>
          <w:sz w:val="15"/>
          <w:szCs w:val="15"/>
          <w:color w:val="auto"/>
        </w:rPr>
        <w:t>LNG and natural gas inventories and automotive diesel oil inventories are recorded at weighted average cost, and materials and other inventory are recorded at cost. The Company’s cost to convert from natural gas to LNG, which primarily consists of labor, depreciation and other direct costs to operate liquefaction facilities, is reflected in Inventory on the consolidated balance sheets.</w:t>
      </w:r>
    </w:p>
    <w:p>
      <w:pPr>
        <w:spacing w:after="0" w:line="178"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Inventory is adjusted to the lower of cost or net realizable value each quarter. Changes in the value of inventory are recorded within Cost of sales in the consolidated statements of operations and comprehensive loss.</w:t>
      </w:r>
    </w:p>
    <w:p>
      <w:pPr>
        <w:spacing w:after="0" w:line="170" w:lineRule="exact"/>
        <w:rPr>
          <w:sz w:val="20"/>
          <w:szCs w:val="20"/>
          <w:color w:val="auto"/>
        </w:rPr>
      </w:pPr>
    </w:p>
    <w:p>
      <w:pPr>
        <w:ind w:right="300"/>
        <w:spacing w:after="0" w:line="340" w:lineRule="auto"/>
        <w:rPr>
          <w:sz w:val="20"/>
          <w:szCs w:val="20"/>
          <w:color w:val="auto"/>
        </w:rPr>
      </w:pPr>
      <w:r>
        <w:rPr>
          <w:rFonts w:ascii="Arial" w:cs="Arial" w:eastAsia="Arial" w:hAnsi="Arial"/>
          <w:sz w:val="13"/>
          <w:szCs w:val="13"/>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w:t>
      </w:r>
    </w:p>
    <w:p>
      <w:pPr>
        <w:spacing w:after="0" w:line="121"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Construction in progress</w:t>
      </w:r>
    </w:p>
    <w:p>
      <w:pPr>
        <w:spacing w:after="0" w:line="204" w:lineRule="exact"/>
        <w:rPr>
          <w:sz w:val="20"/>
          <w:szCs w:val="20"/>
          <w:color w:val="auto"/>
        </w:rPr>
      </w:pPr>
    </w:p>
    <w:p>
      <w:pPr>
        <w:ind w:right="280"/>
        <w:spacing w:after="0" w:line="250" w:lineRule="auto"/>
        <w:rPr>
          <w:sz w:val="20"/>
          <w:szCs w:val="20"/>
          <w:color w:val="auto"/>
        </w:rPr>
      </w:pPr>
      <w:r>
        <w:rPr>
          <w:rFonts w:ascii="Arial" w:cs="Arial" w:eastAsia="Arial" w:hAnsi="Arial"/>
          <w:sz w:val="15"/>
          <w:szCs w:val="15"/>
          <w:color w:val="auto"/>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Depreciation is not recognized during the construction period.</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The interest cost associated with major development and construction projects is capitalized during the construction period and included in the cost of the project in Construction in progress.</w:t>
      </w:r>
    </w:p>
    <w:p>
      <w:pPr>
        <w:spacing w:after="0" w:line="197"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Property, plant and equipment, net</w:t>
      </w:r>
    </w:p>
    <w:p>
      <w:pPr>
        <w:spacing w:after="0" w:line="182" w:lineRule="exact"/>
        <w:rPr>
          <w:sz w:val="20"/>
          <w:szCs w:val="20"/>
          <w:color w:val="auto"/>
        </w:rPr>
      </w:pPr>
    </w:p>
    <w:p>
      <w:pPr>
        <w:ind w:right="40"/>
        <w:spacing w:after="0" w:line="301" w:lineRule="auto"/>
        <w:rPr>
          <w:sz w:val="20"/>
          <w:szCs w:val="20"/>
          <w:color w:val="auto"/>
        </w:rPr>
      </w:pPr>
      <w:r>
        <w:rPr>
          <w:rFonts w:ascii="Arial" w:cs="Arial" w:eastAsia="Arial" w:hAnsi="Arial"/>
          <w:sz w:val="13"/>
          <w:szCs w:val="13"/>
          <w:color w:val="auto"/>
        </w:rPr>
        <w:t>Property, plant and equipment is recorded at cost. Expenditures for construction activities and betterments that extend the useful life of the asset are capitalized. Major maintenance and overhauls are capitalized and depreciated over the expected period until the next anticipated major maintenance or overhaul, while expenditures for routine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life of the asset or lease term, whichever is shorter using the following useful lives: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Useful life (Yrs)</w:t>
            </w:r>
          </w:p>
        </w:tc>
      </w:tr>
      <w:tr>
        <w:trPr>
          <w:trHeight w:val="175"/>
        </w:trPr>
        <w:tc>
          <w:tcPr>
            <w:tcW w:w="9980" w:type="dxa"/>
            <w:vAlign w:val="bottom"/>
            <w:shd w:val="clear" w:color="auto" w:fill="CCEEFF"/>
          </w:tcPr>
          <w:p>
            <w:pPr>
              <w:spacing w:after="0"/>
              <w:rPr>
                <w:sz w:val="20"/>
                <w:szCs w:val="20"/>
                <w:color w:val="auto"/>
              </w:rPr>
            </w:pPr>
            <w:r>
              <w:rPr>
                <w:rFonts w:ascii="Arial" w:cs="Arial" w:eastAsia="Arial" w:hAnsi="Arial"/>
                <w:sz w:val="15"/>
                <w:szCs w:val="15"/>
                <w:color w:val="auto"/>
              </w:rPr>
              <w:t>Terminal and power plant equipment</w:t>
            </w:r>
          </w:p>
        </w:tc>
        <w:tc>
          <w:tcPr>
            <w:tcW w:w="1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4-24</w:t>
            </w:r>
          </w:p>
        </w:tc>
      </w:tr>
      <w:tr>
        <w:trPr>
          <w:trHeight w:val="175"/>
        </w:trPr>
        <w:tc>
          <w:tcPr>
            <w:tcW w:w="9980" w:type="dxa"/>
            <w:vAlign w:val="bottom"/>
          </w:tcPr>
          <w:p>
            <w:pPr>
              <w:spacing w:after="0"/>
              <w:rPr>
                <w:sz w:val="20"/>
                <w:szCs w:val="20"/>
                <w:color w:val="auto"/>
              </w:rPr>
            </w:pPr>
            <w:r>
              <w:rPr>
                <w:rFonts w:ascii="Arial" w:cs="Arial" w:eastAsia="Arial" w:hAnsi="Arial"/>
                <w:sz w:val="15"/>
                <w:szCs w:val="15"/>
                <w:color w:val="auto"/>
              </w:rPr>
              <w:t>CHP facilities</w:t>
            </w:r>
          </w:p>
        </w:tc>
        <w:tc>
          <w:tcPr>
            <w:tcW w:w="1300" w:type="dxa"/>
            <w:vAlign w:val="bottom"/>
          </w:tcPr>
          <w:p>
            <w:pPr>
              <w:jc w:val="center"/>
              <w:spacing w:after="0"/>
              <w:rPr>
                <w:sz w:val="20"/>
                <w:szCs w:val="20"/>
                <w:color w:val="auto"/>
              </w:rPr>
            </w:pPr>
            <w:r>
              <w:rPr>
                <w:rFonts w:ascii="Arial" w:cs="Arial" w:eastAsia="Arial" w:hAnsi="Arial"/>
                <w:sz w:val="15"/>
                <w:szCs w:val="15"/>
                <w:color w:val="auto"/>
                <w:w w:val="86"/>
              </w:rPr>
              <w:t>4-20</w:t>
            </w:r>
          </w:p>
        </w:tc>
      </w:tr>
      <w:tr>
        <w:trPr>
          <w:trHeight w:val="175"/>
        </w:trPr>
        <w:tc>
          <w:tcPr>
            <w:tcW w:w="9980" w:type="dxa"/>
            <w:vAlign w:val="bottom"/>
            <w:shd w:val="clear" w:color="auto" w:fill="CCEEFF"/>
          </w:tcPr>
          <w:p>
            <w:pPr>
              <w:spacing w:after="0"/>
              <w:rPr>
                <w:sz w:val="20"/>
                <w:szCs w:val="20"/>
                <w:color w:val="auto"/>
              </w:rPr>
            </w:pPr>
            <w:r>
              <w:rPr>
                <w:rFonts w:ascii="Arial" w:cs="Arial" w:eastAsia="Arial" w:hAnsi="Arial"/>
                <w:sz w:val="15"/>
                <w:szCs w:val="15"/>
                <w:color w:val="auto"/>
              </w:rPr>
              <w:t>Gas terminals</w:t>
            </w:r>
          </w:p>
        </w:tc>
        <w:tc>
          <w:tcPr>
            <w:tcW w:w="1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5-24</w:t>
            </w:r>
          </w:p>
        </w:tc>
      </w:tr>
      <w:tr>
        <w:trPr>
          <w:trHeight w:val="175"/>
        </w:trPr>
        <w:tc>
          <w:tcPr>
            <w:tcW w:w="9980" w:type="dxa"/>
            <w:vAlign w:val="bottom"/>
          </w:tcPr>
          <w:p>
            <w:pPr>
              <w:spacing w:after="0"/>
              <w:rPr>
                <w:sz w:val="20"/>
                <w:szCs w:val="20"/>
                <w:color w:val="auto"/>
              </w:rPr>
            </w:pPr>
            <w:r>
              <w:rPr>
                <w:rFonts w:ascii="Arial" w:cs="Arial" w:eastAsia="Arial" w:hAnsi="Arial"/>
                <w:sz w:val="15"/>
                <w:szCs w:val="15"/>
                <w:color w:val="auto"/>
              </w:rPr>
              <w:t>ISO containers and other equipment</w:t>
            </w:r>
          </w:p>
        </w:tc>
        <w:tc>
          <w:tcPr>
            <w:tcW w:w="1300" w:type="dxa"/>
            <w:vAlign w:val="bottom"/>
          </w:tcPr>
          <w:p>
            <w:pPr>
              <w:jc w:val="center"/>
              <w:spacing w:after="0"/>
              <w:rPr>
                <w:sz w:val="20"/>
                <w:szCs w:val="20"/>
                <w:color w:val="auto"/>
              </w:rPr>
            </w:pPr>
            <w:r>
              <w:rPr>
                <w:rFonts w:ascii="Arial" w:cs="Arial" w:eastAsia="Arial" w:hAnsi="Arial"/>
                <w:sz w:val="15"/>
                <w:szCs w:val="15"/>
                <w:color w:val="auto"/>
                <w:w w:val="86"/>
              </w:rPr>
              <w:t>3-25</w:t>
            </w:r>
          </w:p>
        </w:tc>
      </w:tr>
      <w:tr>
        <w:trPr>
          <w:trHeight w:val="175"/>
        </w:trPr>
        <w:tc>
          <w:tcPr>
            <w:tcW w:w="9980" w:type="dxa"/>
            <w:vAlign w:val="bottom"/>
            <w:shd w:val="clear" w:color="auto" w:fill="CCEEFF"/>
          </w:tcPr>
          <w:p>
            <w:pPr>
              <w:spacing w:after="0"/>
              <w:rPr>
                <w:sz w:val="20"/>
                <w:szCs w:val="20"/>
                <w:color w:val="auto"/>
              </w:rPr>
            </w:pPr>
            <w:r>
              <w:rPr>
                <w:rFonts w:ascii="Arial" w:cs="Arial" w:eastAsia="Arial" w:hAnsi="Arial"/>
                <w:sz w:val="15"/>
                <w:szCs w:val="15"/>
                <w:color w:val="auto"/>
              </w:rPr>
              <w:t>LNG liquefaction facilities</w:t>
            </w:r>
          </w:p>
        </w:tc>
        <w:tc>
          <w:tcPr>
            <w:tcW w:w="1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20-40</w:t>
            </w:r>
          </w:p>
        </w:tc>
      </w:tr>
      <w:tr>
        <w:trPr>
          <w:trHeight w:val="175"/>
        </w:trPr>
        <w:tc>
          <w:tcPr>
            <w:tcW w:w="9980" w:type="dxa"/>
            <w:vAlign w:val="bottom"/>
          </w:tcPr>
          <w:p>
            <w:pPr>
              <w:spacing w:after="0"/>
              <w:rPr>
                <w:sz w:val="20"/>
                <w:szCs w:val="20"/>
                <w:color w:val="auto"/>
              </w:rPr>
            </w:pPr>
            <w:r>
              <w:rPr>
                <w:rFonts w:ascii="Arial" w:cs="Arial" w:eastAsia="Arial" w:hAnsi="Arial"/>
                <w:sz w:val="15"/>
                <w:szCs w:val="15"/>
                <w:color w:val="auto"/>
              </w:rPr>
              <w:t>Gas pipelines</w:t>
            </w:r>
          </w:p>
        </w:tc>
        <w:tc>
          <w:tcPr>
            <w:tcW w:w="1300" w:type="dxa"/>
            <w:vAlign w:val="bottom"/>
          </w:tcPr>
          <w:p>
            <w:pPr>
              <w:jc w:val="center"/>
              <w:spacing w:after="0"/>
              <w:rPr>
                <w:sz w:val="20"/>
                <w:szCs w:val="20"/>
                <w:color w:val="auto"/>
              </w:rPr>
            </w:pPr>
            <w:r>
              <w:rPr>
                <w:rFonts w:ascii="Arial" w:cs="Arial" w:eastAsia="Arial" w:hAnsi="Arial"/>
                <w:sz w:val="15"/>
                <w:szCs w:val="15"/>
                <w:color w:val="auto"/>
                <w:w w:val="86"/>
              </w:rPr>
              <w:t>4-24</w:t>
            </w:r>
          </w:p>
        </w:tc>
      </w:tr>
      <w:tr>
        <w:trPr>
          <w:trHeight w:val="175"/>
        </w:trPr>
        <w:tc>
          <w:tcPr>
            <w:tcW w:w="998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1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2-20</w:t>
            </w:r>
          </w:p>
        </w:tc>
      </w:tr>
    </w:tbl>
    <w:p>
      <w:pPr>
        <w:spacing w:after="0" w:line="187"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color w:val="auto"/>
        </w:rPr>
        <w:t>The Company reviews the remaining useful life of its assets on a regular basis to determine whether changes have taken place that would suggest that a change to depreciation policies is warranted.</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166"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5"/>
          <w:szCs w:val="15"/>
          <w:color w:val="auto"/>
        </w:rPr>
      </w:pPr>
      <w:r>
        <w:rPr>
          <w:rFonts w:ascii="Arial" w:cs="Arial" w:eastAsia="Arial" w:hAnsi="Arial"/>
          <w:sz w:val="15"/>
          <w:szCs w:val="15"/>
          <w:b w:val="1"/>
          <w:bCs w:val="1"/>
          <w:color w:val="auto"/>
        </w:rPr>
        <w:t>Asset retirement obligations (“AROs”)</w:t>
      </w:r>
    </w:p>
    <w:p>
      <w:pPr>
        <w:spacing w:after="0" w:line="204"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the liability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2" w:name="page103"/>
    <w:bookmarkEnd w:id="10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ind w:right="180"/>
        <w:spacing w:after="0" w:line="301" w:lineRule="auto"/>
        <w:rPr>
          <w:sz w:val="20"/>
          <w:szCs w:val="20"/>
          <w:color w:val="auto"/>
        </w:rPr>
      </w:pPr>
      <w:r>
        <w:rPr>
          <w:rFonts w:ascii="Arial" w:cs="Arial" w:eastAsia="Arial" w:hAnsi="Arial"/>
          <w:sz w:val="13"/>
          <w:szCs w:val="13"/>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 The liability is accreted to its present value each period and the capitalized cost is depreciated in Depreciation and amortization in the consolidated statements of operations and comprehensive loss. Upon settlement of the obligation, the Company eliminates the liability and based on the actual cost to retire, may incur a gain or loss. There were no settlements of AROs during the years ended December 31, 2020 and 2019.</w:t>
      </w:r>
    </w:p>
    <w:p>
      <w:pPr>
        <w:spacing w:after="0" w:line="145"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Impairment of long-lived assets</w:t>
      </w:r>
    </w:p>
    <w:p>
      <w:pPr>
        <w:spacing w:after="0" w:line="182" w:lineRule="exact"/>
        <w:rPr>
          <w:sz w:val="20"/>
          <w:szCs w:val="20"/>
          <w:color w:val="auto"/>
        </w:rPr>
      </w:pPr>
    </w:p>
    <w:p>
      <w:pPr>
        <w:ind w:right="60"/>
        <w:spacing w:after="0" w:line="311" w:lineRule="auto"/>
        <w:rPr>
          <w:sz w:val="20"/>
          <w:szCs w:val="20"/>
          <w:color w:val="auto"/>
        </w:rPr>
      </w:pPr>
      <w:r>
        <w:rPr>
          <w:rFonts w:ascii="Arial" w:cs="Arial" w:eastAsia="Arial" w:hAnsi="Arial"/>
          <w:sz w:val="13"/>
          <w:szCs w:val="13"/>
          <w:color w:val="auto"/>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spacing w:after="0" w:line="143" w:lineRule="exact"/>
        <w:rPr>
          <w:sz w:val="20"/>
          <w:szCs w:val="20"/>
          <w:color w:val="auto"/>
        </w:rPr>
      </w:pPr>
    </w:p>
    <w:p>
      <w:pPr>
        <w:ind w:right="360"/>
        <w:spacing w:after="0" w:line="340" w:lineRule="auto"/>
        <w:rPr>
          <w:sz w:val="20"/>
          <w:szCs w:val="20"/>
          <w:color w:val="auto"/>
        </w:rPr>
      </w:pPr>
      <w:r>
        <w:rPr>
          <w:rFonts w:ascii="Arial" w:cs="Arial" w:eastAsia="Arial" w:hAnsi="Arial"/>
          <w:sz w:val="13"/>
          <w:szCs w:val="13"/>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125"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Management develops the assumptions used in the recoverability assessment based on active contracts, current and future expectations of the global demand for LNG and natural gas, as well as information received from third party industry sources. The Company did not record an impairment during the years ended December 31, 2020, 2019 and 2018.</w:t>
      </w:r>
    </w:p>
    <w:p>
      <w:pPr>
        <w:spacing w:after="0" w:line="143"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Investment in equity securities</w:t>
      </w:r>
    </w:p>
    <w:p>
      <w:pPr>
        <w:spacing w:after="0" w:line="182" w:lineRule="exact"/>
        <w:rPr>
          <w:sz w:val="20"/>
          <w:szCs w:val="20"/>
          <w:color w:val="auto"/>
        </w:rPr>
      </w:pPr>
    </w:p>
    <w:p>
      <w:pPr>
        <w:ind w:right="240"/>
        <w:spacing w:after="0" w:line="263" w:lineRule="auto"/>
        <w:rPr>
          <w:sz w:val="20"/>
          <w:szCs w:val="20"/>
          <w:color w:val="auto"/>
        </w:rPr>
      </w:pPr>
      <w:r>
        <w:rPr>
          <w:rFonts w:ascii="Arial" w:cs="Arial" w:eastAsia="Arial" w:hAnsi="Arial"/>
          <w:sz w:val="15"/>
          <w:szCs w:val="15"/>
          <w:color w:val="auto"/>
        </w:rPr>
        <w:t>Investment in equity securities is carried at fair value and included in Other non-current assets on the consolidated balance sheets, with gains or losses recorded in earnings in Other expense (income), net in the consolidated statements of operations and comprehensive loss.</w:t>
      </w:r>
    </w:p>
    <w:p>
      <w:pPr>
        <w:spacing w:after="0" w:line="166"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Intangible assets</w:t>
      </w:r>
    </w:p>
    <w:p>
      <w:pPr>
        <w:spacing w:after="0" w:line="204"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Upon a business combination or asset acquisition, the Company may obtain identifiable intangible assets. Intangible assets with a finite life are amortized over the estimated useful life of the asset under the straight-line method.</w:t>
      </w:r>
    </w:p>
    <w:p>
      <w:pPr>
        <w:spacing w:after="0" w:line="170" w:lineRule="exact"/>
        <w:rPr>
          <w:sz w:val="20"/>
          <w:szCs w:val="20"/>
          <w:color w:val="auto"/>
        </w:rPr>
      </w:pPr>
    </w:p>
    <w:p>
      <w:pPr>
        <w:ind w:right="120"/>
        <w:spacing w:after="0" w:line="250" w:lineRule="auto"/>
        <w:rPr>
          <w:sz w:val="20"/>
          <w:szCs w:val="20"/>
          <w:color w:val="auto"/>
        </w:rPr>
      </w:pPr>
      <w:r>
        <w:rPr>
          <w:rFonts w:ascii="Arial" w:cs="Arial" w:eastAsia="Arial" w:hAnsi="Arial"/>
          <w:sz w:val="15"/>
          <w:szCs w:val="15"/>
          <w:color w:val="auto"/>
        </w:rPr>
        <w:t>Indefinite lived intangible assets are not amortized. Intangible assets with an indefinite useful life are tested for impairment on an annual basis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loss.</w:t>
      </w:r>
    </w:p>
    <w:p>
      <w:pPr>
        <w:spacing w:after="0" w:line="176"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Long-term debt and debt issuance costs</w:t>
      </w:r>
    </w:p>
    <w:p>
      <w:pPr>
        <w:spacing w:after="0" w:line="204" w:lineRule="exact"/>
        <w:rPr>
          <w:sz w:val="20"/>
          <w:szCs w:val="20"/>
          <w:color w:val="auto"/>
        </w:rPr>
      </w:pPr>
    </w:p>
    <w:p>
      <w:pPr>
        <w:ind w:right="160"/>
        <w:spacing w:after="0" w:line="311" w:lineRule="auto"/>
        <w:rPr>
          <w:sz w:val="20"/>
          <w:szCs w:val="20"/>
          <w:color w:val="auto"/>
        </w:rPr>
      </w:pPr>
      <w:r>
        <w:rPr>
          <w:rFonts w:ascii="Arial" w:cs="Arial" w:eastAsia="Arial" w:hAnsi="Arial"/>
          <w:sz w:val="13"/>
          <w:szCs w:val="13"/>
          <w:color w:val="auto"/>
        </w:rPr>
        <w:t>The Company’s debt has historically consisted of credit facilities with financial institutions and secured and unsecured bonds. Costs directly related to the issuance of debt are reported on the consolidated balance sheets as a reduction from the carrying amount of the recognized debt liability and amortized over the term of the debt using the effective interest method. Interest and related amortization of debt issuance costs recognized during major development and construction projects are capitalized and included in the cost of the project.</w:t>
      </w:r>
    </w:p>
    <w:p>
      <w:pPr>
        <w:spacing w:after="0" w:line="139"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Contingencies</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realized.</w:t>
      </w:r>
    </w:p>
    <w:p>
      <w:pPr>
        <w:spacing w:after="0" w:line="176" w:lineRule="exact"/>
        <w:rPr>
          <w:sz w:val="20"/>
          <w:szCs w:val="20"/>
          <w:color w:val="auto"/>
        </w:rPr>
      </w:pPr>
    </w:p>
    <w:p>
      <w:pPr>
        <w:ind w:left="420" w:hanging="412"/>
        <w:spacing w:after="0"/>
        <w:tabs>
          <w:tab w:leader="none" w:pos="420"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Revenue recognition</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 Company’s contracts with customers may contain one or several performance obligations usually consisting of the sale of LNG, natural gas, and beginning in the first quarter of 2020,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the Company has presented Operating revenue on an aggregated basis. 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3" w:name="page104"/>
    <w:bookmarkEnd w:id="10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80"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The leases of certain facilities and equipment to customers are accounted for as finance or operating leases. The current and non-current portion of finance leases are recorded within Prepaid expenses and other current assets and Finance leases, net on the consolidated balance sheets, respectively. For finance leases accounted for as sales-type leases, the profit from the sale of equipment is recognized upon lease commencement in Other revenue in the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loss. The principal component of the lease payment is reflected as a reduction to the net investment in the lease. For the Company’s operating leases, the amount allocated to the leasing component is recognized over the lease term as Other revenue in the consolidated statements of operations and comprehensive loss.</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addition to the revenue recognized from the leasing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72" w:lineRule="exact"/>
        <w:rPr>
          <w:sz w:val="20"/>
          <w:szCs w:val="20"/>
          <w:color w:val="auto"/>
        </w:rPr>
      </w:pPr>
    </w:p>
    <w:p>
      <w:pPr>
        <w:ind w:right="280"/>
        <w:spacing w:after="0" w:line="248" w:lineRule="auto"/>
        <w:rPr>
          <w:sz w:val="20"/>
          <w:szCs w:val="20"/>
          <w:color w:val="auto"/>
        </w:rPr>
      </w:pPr>
      <w:r>
        <w:rPr>
          <w:rFonts w:ascii="Arial" w:cs="Arial" w:eastAsia="Arial" w:hAnsi="Arial"/>
          <w:sz w:val="15"/>
          <w:szCs w:val="15"/>
          <w:color w:val="auto"/>
        </w:rPr>
        <w:t>The timing of revenue recognition, billings and cash collections results in receivables, contract assets and contract liabilities. Receivables represent unconditional rights to consideration; unbilled amounts typically result from sales under long-term contracts when revenue recognized exceeds the amount billed to the customer. Contract assets are comprised of the transaction price allocated to completed performance obligations that will be billed to customers in subsequent periods. Both unbilled receivables and contract assets are recognized within Prepaid expenses and other current assets, net and Other non-current assets, net on the consolidated balance sheets. Contract liabilities consist of deferred revenue and are recognized within Other current liabilities on the consolidated balance sheets.</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Shipping and handling costs are not considered to be separate performance obligations. These costs are recognized in the period in which the costs are incurred and presented within Cost of sales in the consolidated statements of operations and comprehensive loss. All such shipping and handling activities are performed prior to the customer obtaining control of the LNG or natural gas.</w:t>
      </w:r>
    </w:p>
    <w:p>
      <w:pPr>
        <w:spacing w:after="0" w:line="178" w:lineRule="exact"/>
        <w:rPr>
          <w:sz w:val="20"/>
          <w:szCs w:val="20"/>
          <w:color w:val="auto"/>
        </w:rPr>
      </w:pPr>
    </w:p>
    <w:p>
      <w:pPr>
        <w:ind w:right="300"/>
        <w:spacing w:after="0" w:line="340" w:lineRule="auto"/>
        <w:rPr>
          <w:sz w:val="20"/>
          <w:szCs w:val="20"/>
          <w:color w:val="auto"/>
        </w:rPr>
      </w:pPr>
      <w:r>
        <w:rPr>
          <w:rFonts w:ascii="Arial" w:cs="Arial" w:eastAsia="Arial" w:hAnsi="Arial"/>
          <w:sz w:val="13"/>
          <w:szCs w:val="13"/>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loss on a net basis and, accordingly, such taxes are excluded from reported revenues.</w:t>
      </w:r>
    </w:p>
    <w:p>
      <w:pPr>
        <w:spacing w:after="0" w:line="125" w:lineRule="exact"/>
        <w:rPr>
          <w:sz w:val="20"/>
          <w:szCs w:val="20"/>
          <w:color w:val="auto"/>
        </w:rPr>
      </w:pPr>
    </w:p>
    <w:p>
      <w:pPr>
        <w:ind w:right="560"/>
        <w:spacing w:after="0" w:line="340" w:lineRule="auto"/>
        <w:rPr>
          <w:sz w:val="20"/>
          <w:szCs w:val="20"/>
          <w:color w:val="auto"/>
        </w:rPr>
      </w:pPr>
      <w:r>
        <w:rPr>
          <w:rFonts w:ascii="Arial" w:cs="Arial" w:eastAsia="Arial" w:hAnsi="Arial"/>
          <w:sz w:val="13"/>
          <w:szCs w:val="13"/>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4" w:name="page105"/>
    <w:bookmarkEnd w:id="10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6"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5"/>
          <w:szCs w:val="15"/>
          <w:color w:val="auto"/>
        </w:rPr>
      </w:pPr>
      <w:r>
        <w:rPr>
          <w:rFonts w:ascii="Arial" w:cs="Arial" w:eastAsia="Arial" w:hAnsi="Arial"/>
          <w:sz w:val="15"/>
          <w:szCs w:val="15"/>
          <w:b w:val="1"/>
          <w:bCs w:val="1"/>
          <w:color w:val="auto"/>
        </w:rPr>
        <w:t xml:space="preserve">Contract termination charges and </w:t>
      </w:r>
      <w:r>
        <w:rPr>
          <w:rFonts w:ascii="Arial" w:cs="Arial" w:eastAsia="Arial" w:hAnsi="Arial"/>
          <w:sz w:val="15"/>
          <w:szCs w:val="15"/>
          <w:color w:val="auto"/>
        </w:rPr>
        <w:t>l</w:t>
      </w:r>
      <w:r>
        <w:rPr>
          <w:rFonts w:ascii="Arial" w:cs="Arial" w:eastAsia="Arial" w:hAnsi="Arial"/>
          <w:sz w:val="15"/>
          <w:szCs w:val="15"/>
          <w:b w:val="1"/>
          <w:bCs w:val="1"/>
          <w:color w:val="auto"/>
        </w:rPr>
        <w:t>oss on mitigation sales</w:t>
      </w:r>
    </w:p>
    <w:p>
      <w:pPr>
        <w:spacing w:after="0" w:line="204" w:lineRule="exact"/>
        <w:rPr>
          <w:sz w:val="20"/>
          <w:szCs w:val="20"/>
          <w:color w:val="auto"/>
        </w:rPr>
      </w:pPr>
    </w:p>
    <w:p>
      <w:pPr>
        <w:spacing w:after="0" w:line="301" w:lineRule="auto"/>
        <w:rPr>
          <w:sz w:val="20"/>
          <w:szCs w:val="20"/>
          <w:color w:val="auto"/>
        </w:rPr>
      </w:pPr>
      <w:r>
        <w:rPr>
          <w:rFonts w:ascii="Arial" w:cs="Arial" w:eastAsia="Arial" w:hAnsi="Arial"/>
          <w:sz w:val="13"/>
          <w:szCs w:val="13"/>
          <w:color w:val="auto"/>
        </w:rPr>
        <w:t>The Company has long-term supply agreements to purchase LNG, and the Company may incur termination charges to the extent that the Company cancels such contractual arrangements. Further, if the Company is unable to take physical possession of a portion of the contracted quantity of LNG due to capacity limitations, the supplier will attempt to sell the undelivered quantity through a mitigation sale. The Company may incur a loss on a mitigation sale if the cargo is unable to be sold for a price greater than the contracted price. These costs are included in a separate line in the consolidated statements of operations and comprehensive loss because such costs are not related to inventory delivered to the Company’s customers.</w:t>
      </w:r>
    </w:p>
    <w:p>
      <w:pPr>
        <w:spacing w:after="0" w:line="149" w:lineRule="exact"/>
        <w:rPr>
          <w:sz w:val="20"/>
          <w:szCs w:val="20"/>
          <w:color w:val="auto"/>
        </w:rPr>
      </w:pPr>
    </w:p>
    <w:p>
      <w:pPr>
        <w:ind w:right="20"/>
        <w:spacing w:after="0" w:line="340" w:lineRule="auto"/>
        <w:rPr>
          <w:sz w:val="20"/>
          <w:szCs w:val="20"/>
          <w:color w:val="auto"/>
        </w:rPr>
      </w:pPr>
      <w:r>
        <w:rPr>
          <w:rFonts w:ascii="Arial" w:cs="Arial" w:eastAsia="Arial" w:hAnsi="Arial"/>
          <w:sz w:val="13"/>
          <w:szCs w:val="13"/>
          <w:color w:val="auto"/>
        </w:rPr>
        <w:t>During the year ended December 31, 2020, the Company recognized a termination charge of $105,000 associated with an agreement with one of the Company’s LNG suppliers to terminate the obligation to purchase any LNG from this supplier for the remainder of 2020. Loss on mitigation sales of $19,114 were recognized during the year ended December 31, 2020.</w:t>
      </w:r>
    </w:p>
    <w:p>
      <w:pPr>
        <w:spacing w:after="0" w:line="121" w:lineRule="exact"/>
        <w:rPr>
          <w:sz w:val="20"/>
          <w:szCs w:val="20"/>
          <w:color w:val="auto"/>
        </w:rPr>
      </w:pPr>
    </w:p>
    <w:p>
      <w:pPr>
        <w:ind w:left="420" w:hanging="412"/>
        <w:spacing w:after="0"/>
        <w:tabs>
          <w:tab w:leader="none" w:pos="42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Leases, as lessee</w:t>
      </w:r>
    </w:p>
    <w:p>
      <w:pPr>
        <w:spacing w:after="0" w:line="204" w:lineRule="exact"/>
        <w:rPr>
          <w:sz w:val="20"/>
          <w:szCs w:val="20"/>
          <w:color w:val="auto"/>
        </w:rPr>
      </w:pPr>
    </w:p>
    <w:p>
      <w:pPr>
        <w:ind w:right="120"/>
        <w:spacing w:after="0" w:line="274" w:lineRule="auto"/>
        <w:rPr>
          <w:sz w:val="20"/>
          <w:szCs w:val="20"/>
          <w:color w:val="auto"/>
        </w:rPr>
      </w:pPr>
      <w:r>
        <w:rPr>
          <w:rFonts w:ascii="Arial" w:cs="Arial" w:eastAsia="Arial" w:hAnsi="Arial"/>
          <w:sz w:val="14"/>
          <w:szCs w:val="14"/>
          <w:color w:val="auto"/>
        </w:rPr>
        <w:t>Effective January 1, 2020, the Company adopted ASU 2016-02, Leases (Topic 842), using a modified retrospective approach. The Company has entered into lease agreements for the use of LNG vessels, marine port space, office space, land and equipment, all of which are operating leases.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spacing w:after="0" w:line="164"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color w:val="auto"/>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spacing w:after="0" w:line="147" w:lineRule="exact"/>
        <w:rPr>
          <w:sz w:val="20"/>
          <w:szCs w:val="20"/>
          <w:color w:val="auto"/>
        </w:rPr>
      </w:pPr>
    </w:p>
    <w:p>
      <w:pPr>
        <w:ind w:right="20"/>
        <w:spacing w:after="0" w:line="301" w:lineRule="auto"/>
        <w:rPr>
          <w:sz w:val="20"/>
          <w:szCs w:val="20"/>
          <w:color w:val="auto"/>
        </w:rPr>
      </w:pPr>
      <w:r>
        <w:rPr>
          <w:rFonts w:ascii="Arial" w:cs="Arial" w:eastAsia="Arial" w:hAnsi="Arial"/>
          <w:sz w:val="13"/>
          <w:szCs w:val="13"/>
          <w:color w:val="auto"/>
        </w:rPr>
        <w:t>The Company, as lessee, has also elected the practical expedient not to separate lease and non-lease components for marine port space, office space, land and equipment leases. The Company separates the lease and non-lease components for LNG vessel leases. The allocation of lease payments between lease and non-lease components has been determined based on the relative fair value of each component. The fair value of the lease component is estimated based on the estimated standalone price to lease a bareboat LNG vessel. The fair value of the non-lease component is estimated based on the estimated standalone price of operating the respective vessel, inclusive of the costs of the crew and other operating costs.</w:t>
      </w:r>
    </w:p>
    <w:p>
      <w:pPr>
        <w:spacing w:after="0" w:line="149"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The Company has elected the land easement practical expedient, which allows the Company to continue to account for pre-existing land easements as intangible assets under the accounting policy that existed before adoption of ASC 842.</w:t>
      </w:r>
    </w:p>
    <w:p>
      <w:pPr>
        <w:spacing w:after="0" w:line="166"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t>Share-based compensation</w:t>
      </w:r>
    </w:p>
    <w:p>
      <w:pPr>
        <w:spacing w:after="0" w:line="204"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 xml:space="preserve">In connection with the IPO, the Company adopted the New Fortress Energy LLC 2019 Omnibus Incentive Plan (the “Incentive Plan”), effective as of February 4, 2019. Under the Incentive Plan, the Company may issue options, share appreciation rights, restricted shares, restricted share units (“RSUs”), share bonuses or other share-based awards to selected officers, employees, non-employee directors and select non-employees of NFE or its affiliates. The Company accounts for share-based compensation in accordance with ASC 718, </w:t>
      </w:r>
      <w:r>
        <w:rPr>
          <w:rFonts w:ascii="Arial" w:cs="Arial" w:eastAsia="Arial" w:hAnsi="Arial"/>
          <w:sz w:val="14"/>
          <w:szCs w:val="14"/>
          <w:i w:val="1"/>
          <w:iCs w:val="1"/>
          <w:color w:val="auto"/>
        </w:rPr>
        <w:t>Compensation – Stock</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and ASC 505,</w:t>
      </w:r>
      <w:r>
        <w:rPr>
          <w:rFonts w:ascii="Arial" w:cs="Arial" w:eastAsia="Arial" w:hAnsi="Arial"/>
          <w:sz w:val="14"/>
          <w:szCs w:val="14"/>
          <w:i w:val="1"/>
          <w:iCs w:val="1"/>
          <w:color w:val="auto"/>
        </w:rPr>
        <w:t xml:space="preserve"> Equity</w:t>
      </w:r>
      <w:r>
        <w:rPr>
          <w:rFonts w:ascii="Arial" w:cs="Arial" w:eastAsia="Arial" w:hAnsi="Arial"/>
          <w:sz w:val="14"/>
          <w:szCs w:val="14"/>
          <w:color w:val="auto"/>
        </w:rPr>
        <w:t>, which require all share-based payments to employees and members of the board of directors to be recognized as expense in the consolidated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statements based on their grant date fair values. The Company has elected not to estimate forfeitures of its share-based compensation awards but recognizes the reversal in compensation expense in the period in which the forfeiture occurs.</w:t>
      </w:r>
    </w:p>
    <w:p>
      <w:pPr>
        <w:spacing w:after="0" w:line="167"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color w:val="auto"/>
        </w:rPr>
        <w:t>During the first quarter of 2020, the Company granted performance share units (“PSUs”) to certain employees and non-employees. The PSUs contain a performance condition, and vesting will be determined based on achievement of an adjusted operating margin for the year ended December 31, 2021.</w:t>
      </w:r>
    </w:p>
    <w:p>
      <w:pPr>
        <w:spacing w:after="0" w:line="166"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5"/>
          <w:szCs w:val="15"/>
          <w:color w:val="auto"/>
        </w:rPr>
      </w:pPr>
      <w:r>
        <w:rPr>
          <w:rFonts w:ascii="Arial" w:cs="Arial" w:eastAsia="Arial" w:hAnsi="Arial"/>
          <w:sz w:val="15"/>
          <w:szCs w:val="15"/>
          <w:b w:val="1"/>
          <w:bCs w:val="1"/>
          <w:color w:val="auto"/>
        </w:rPr>
        <w:t>Taxation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Federal and state income taxes</w:t>
      </w:r>
    </w:p>
    <w:p>
      <w:pPr>
        <w:spacing w:after="0" w:line="200"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 xml:space="preserve">The Company accounts for income taxes in accordance with ASC 740,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05" w:name="page106"/>
    <w:bookmarkEnd w:id="10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1"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color w:val="auto"/>
        </w:rPr>
        <w:t>The Company recognizes the effect of tax positions only if those positions are more likely than not of being sustained. Recognized tax positions are measured at the largest amount that is greater than 50 percent likely of being realized.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pacing w:after="0" w:line="183" w:lineRule="exact"/>
        <w:rPr>
          <w:sz w:val="20"/>
          <w:szCs w:val="20"/>
          <w:color w:val="auto"/>
        </w:rPr>
      </w:pPr>
    </w:p>
    <w:p>
      <w:pPr>
        <w:ind w:right="380"/>
        <w:spacing w:after="0" w:line="263" w:lineRule="auto"/>
        <w:rPr>
          <w:sz w:val="20"/>
          <w:szCs w:val="20"/>
          <w:color w:val="auto"/>
        </w:rPr>
      </w:pPr>
      <w:r>
        <w:rPr>
          <w:rFonts w:ascii="Arial" w:cs="Arial" w:eastAsia="Arial" w:hAnsi="Arial"/>
          <w:sz w:val="15"/>
          <w:szCs w:val="15"/>
          <w:color w:val="auto"/>
        </w:rPr>
        <w:t>The Company has elected to treat amounts incurred under the global intangible low-taxed income (“GILTI”) rules as an expense in the period in which the tax is accrued. Accordingly, no deferred tax assets or liabilities are recorded related to GILTI.</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taxes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Certain subsidiaries of the Company are subject to income tax in the local jurisdiction in which they operate; foreign taxes are computed based on the taxable income and the local jurisdictional tax rate.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taxes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Other expense (income), net in the consolidated statements of operations and comprehensive loss.</w:t>
      </w:r>
    </w:p>
    <w:p>
      <w:pPr>
        <w:spacing w:after="0" w:line="174"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5"/>
          <w:szCs w:val="15"/>
          <w:color w:val="auto"/>
        </w:rPr>
      </w:pPr>
      <w:r>
        <w:rPr>
          <w:rFonts w:ascii="Arial" w:cs="Arial" w:eastAsia="Arial" w:hAnsi="Arial"/>
          <w:sz w:val="15"/>
          <w:szCs w:val="15"/>
          <w:b w:val="1"/>
          <w:bCs w:val="1"/>
          <w:color w:val="auto"/>
        </w:rPr>
        <w:t>Net loss per share</w:t>
      </w:r>
    </w:p>
    <w:p>
      <w:pPr>
        <w:spacing w:after="0" w:line="204" w:lineRule="exact"/>
        <w:rPr>
          <w:sz w:val="20"/>
          <w:szCs w:val="20"/>
          <w:color w:val="auto"/>
        </w:rPr>
      </w:pPr>
    </w:p>
    <w:p>
      <w:pPr>
        <w:ind w:right="440"/>
        <w:spacing w:after="0" w:line="253" w:lineRule="auto"/>
        <w:rPr>
          <w:sz w:val="20"/>
          <w:szCs w:val="20"/>
          <w:color w:val="auto"/>
        </w:rPr>
      </w:pPr>
      <w:r>
        <w:rPr>
          <w:rFonts w:ascii="Arial" w:cs="Arial" w:eastAsia="Arial" w:hAnsi="Arial"/>
          <w:sz w:val="15"/>
          <w:szCs w:val="15"/>
          <w:color w:val="auto"/>
        </w:rPr>
        <w:t>Basic net loss per share (“EPS”) is computed by dividing net loss attributable to Class A common stock by the weighted average number of shares of Class A common stock outstanding during the period following the Reorganization. Class B shares represented non-economic interests in the Company, and as such, prior to the Exchange Transactions, earnings were not allocated to Class B shares.</w:t>
      </w:r>
    </w:p>
    <w:p>
      <w:pPr>
        <w:spacing w:after="0" w:line="178"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color w:val="auto"/>
        </w:rPr>
        <w:t>The dilutive effect of outstanding awards, if any, is reflected in diluted earnings per share by application of the treasury stock method or if-converted method, as applicable. For the years ended December 31, 2020 and 2019, there were no potentially dilutive shares outstanding.</w:t>
      </w:r>
    </w:p>
    <w:p>
      <w:pPr>
        <w:spacing w:after="0" w:line="166"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Adoption of new and revised standards</w:t>
      </w:r>
    </w:p>
    <w:p>
      <w:pPr>
        <w:spacing w:after="0" w:line="204"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color w:val="auto"/>
        </w:rPr>
        <w:t>Following the issuance of Senior Secured Notes (defined below) on September 2, 2020, the Company ceased to qualify as an “emerging growth company” or EGC and is required to accelerate the adoption of certain new or revised accounting pronouncements. The adoption dates below reflect the changes as a result of no longer qualifying as an EGC.</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(a)  New standards, amendments and interpretations issued but not effective for the financial year beginning January 1, 2020:</w:t>
      </w:r>
    </w:p>
    <w:p>
      <w:pPr>
        <w:spacing w:after="0" w:line="200"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 xml:space="preserve">In December 2019, the Financial Accounting Standards Board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 2019-12”), which simplifies the accounting for income taxes, including removing certain exceptions related to the general principles in ASU 740, </w:t>
      </w:r>
      <w:r>
        <w:rPr>
          <w:rFonts w:ascii="Arial" w:cs="Arial" w:eastAsia="Arial" w:hAnsi="Arial"/>
          <w:sz w:val="15"/>
          <w:szCs w:val="15"/>
          <w:i w:val="1"/>
          <w:iCs w:val="1"/>
          <w:color w:val="auto"/>
        </w:rPr>
        <w:t>Income Taxes</w:t>
      </w:r>
      <w:r>
        <w:rPr>
          <w:rFonts w:ascii="Arial" w:cs="Arial" w:eastAsia="Arial" w:hAnsi="Arial"/>
          <w:sz w:val="15"/>
          <w:szCs w:val="15"/>
          <w:color w:val="auto"/>
        </w:rPr>
        <w:t>. ASU 2019-12 also clarifies and simplifies other aspects of the accounting for income taxes. The new standard is effective for interim and annual periods beginning after December 15, 2020, and early adoption is permitted. The Company will adopt ASC 2019-12 in the first quarter of 2021 and does not expect the adoption of this new standard to materially impact the Company’s financial position, results of operations or cash flows.</w:t>
      </w:r>
    </w:p>
    <w:p>
      <w:pPr>
        <w:spacing w:after="0" w:line="183"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Accounting for Convertible Instruments and Contracts in an Entity’s Own Equity (ASU 2020-06)</w:t>
      </w:r>
      <w:r>
        <w:rPr>
          <w:rFonts w:ascii="Arial" w:cs="Arial" w:eastAsia="Arial" w:hAnsi="Arial"/>
          <w:sz w:val="14"/>
          <w:szCs w:val="14"/>
          <w:color w:val="auto"/>
        </w:rPr>
        <w:t>.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Company is currently assessing the impact of adoption of this guidance.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(b)  New and amended standards adopted by the Company:</w:t>
      </w:r>
    </w:p>
    <w:p>
      <w:pPr>
        <w:spacing w:after="0" w:line="200" w:lineRule="exact"/>
        <w:rPr>
          <w:sz w:val="20"/>
          <w:szCs w:val="20"/>
          <w:color w:val="auto"/>
        </w:rPr>
      </w:pPr>
    </w:p>
    <w:p>
      <w:pPr>
        <w:ind w:right="220"/>
        <w:spacing w:after="0" w:line="291" w:lineRule="auto"/>
        <w:rPr>
          <w:sz w:val="20"/>
          <w:szCs w:val="20"/>
          <w:color w:val="auto"/>
        </w:rPr>
      </w:pPr>
      <w:r>
        <w:rPr>
          <w:rFonts w:ascii="Arial" w:cs="Arial" w:eastAsia="Arial" w:hAnsi="Arial"/>
          <w:sz w:val="13"/>
          <w:szCs w:val="13"/>
          <w:color w:val="auto"/>
        </w:rPr>
        <w:t xml:space="preserve">In June 2016, the FASB issued ASU 2016-13, </w:t>
      </w:r>
      <w:r>
        <w:rPr>
          <w:rFonts w:ascii="Arial" w:cs="Arial" w:eastAsia="Arial" w:hAnsi="Arial"/>
          <w:sz w:val="13"/>
          <w:szCs w:val="13"/>
          <w:i w:val="1"/>
          <w:iCs w:val="1"/>
          <w:color w:val="auto"/>
        </w:rPr>
        <w:t>Financial Instruments – Credit Losses (Topic 326): Disclosure Framework – Measurement of Credit Losses on Financial Instruments</w:t>
      </w:r>
      <w:r>
        <w:rPr>
          <w:rFonts w:ascii="Arial" w:cs="Arial" w:eastAsia="Arial" w:hAnsi="Arial"/>
          <w:sz w:val="13"/>
          <w:szCs w:val="13"/>
          <w:color w:val="auto"/>
        </w:rPr>
        <w:t xml:space="preserve"> (“ASU 2016-13”), which requires financial assets measured at amortized cost basis, including trade receivables, to be presented net of the amount expected to be collected. The measurement of all expected credit losses will be based on relevant information about the credit quality of customers, past events, including historical experience, and reasonable and supportable forecasts that affect the collectability of the reported amount. Upon the loss of EGC status, ASU 2016-13 was adopted in the third quarter of 2020 with an effective date of January 1, 2020. The Company elected to apply the modified retrospective transition method, which allowed the Company to begin recognizing and measuring current expected credit losses at January 1, 2020, without modifying the comparative period financial statements. In connection with the adoption of ASC 2016-13, the Company recorded a transition adjustment of $228 which was recorded as an adjustment to retained earnings. The Company recorded credit loss expense of $316 for the year ended December 31, 2020.</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6" w:name="page107"/>
    <w:bookmarkEnd w:id="10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140"/>
        <w:spacing w:after="0" w:line="274" w:lineRule="auto"/>
        <w:rPr>
          <w:sz w:val="20"/>
          <w:szCs w:val="20"/>
          <w:color w:val="auto"/>
        </w:rPr>
      </w:pPr>
      <w:r>
        <w:rPr>
          <w:rFonts w:ascii="Arial" w:cs="Arial" w:eastAsia="Arial" w:hAnsi="Arial"/>
          <w:sz w:val="14"/>
          <w:szCs w:val="14"/>
          <w:color w:val="auto"/>
        </w:rPr>
        <w:t xml:space="preserve">On February 25, 2016, the FASB issued ASU No.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(“ASC 842”), which amended the existing accounting standards for lease accounting, including requiring most leases to be recognized on a lessee’s balance sheet and making targeted changes to lessor accounting. The recognition, measurement and presentation of expenses and cash flows arising from a lease by a lessee will depend primarily on the lease’s classification as a finance or operating lease. However, unlike ASC 840, which required only capital leases to be recognized on the balance sheet, ASC 842 requires most leases to be recognized on the balance sheet as a ROU asset and a lease liability.</w:t>
      </w:r>
    </w:p>
    <w:p>
      <w:pPr>
        <w:spacing w:after="0" w:line="164" w:lineRule="exact"/>
        <w:rPr>
          <w:sz w:val="20"/>
          <w:szCs w:val="20"/>
          <w:color w:val="auto"/>
        </w:rPr>
      </w:pPr>
    </w:p>
    <w:p>
      <w:pPr>
        <w:jc w:val="both"/>
        <w:ind w:right="400"/>
        <w:spacing w:after="0" w:line="253" w:lineRule="auto"/>
        <w:rPr>
          <w:sz w:val="20"/>
          <w:szCs w:val="20"/>
          <w:color w:val="auto"/>
        </w:rPr>
      </w:pPr>
      <w:r>
        <w:rPr>
          <w:rFonts w:ascii="Arial" w:cs="Arial" w:eastAsia="Arial" w:hAnsi="Arial"/>
          <w:sz w:val="15"/>
          <w:szCs w:val="15"/>
          <w:color w:val="auto"/>
        </w:rPr>
        <w:t>The Company adopted ASC 842 effective January 1, 2020 and elected to apply the modified retrospective transition method at the beginning of the period of adoption, which allowed the Company to begin recognizing and measuring leases under ASC 842 at January 1, 2020, without modifying the comparative period financial statements. Upon adoption of ASC 842, the Company recorded ROU assets and corresponding lease liabilities of $124,774 and $103,874, respectively.</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The Company did not elect the package of practical expedients and therefore, as part of transition, the Company reassessed the previous conclusions made under ASC 840 related to the identification of leases, classification of leases and initial direct costs based on the standards of ASC 842. In connection with the reassessment of previous conclusions, the Company determined that the direct financing lease recognized related to the Montego Bay Facility is no longer a lease under ASC 842. The Company recognized a transition adjustment that removed the unamortized net investment in the direct financing lease and recognized the underlying assets as Property, plant and equipment, net of depreciation, that would have been recognized since the commissioning of the Montego Bay Facility, with the difference of approximately $9,085, net of taxes of $2,945, recorded as a reduction to retained earnings. Beginning in 2020, the Company recognized payments previously allocated to the leasing component of the gas sales agreement with this customer within Operating revenue in the consolidated statements of operations and comprehensive loss. Under ASC 840, amounts allocated to the leasing component had been recognized on an effective interest method over the lease term with only the portion representing interest income recognized as Other revenue.</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 xml:space="preserve">In August 2018, the FASB issued ASU 2018-13, </w:t>
      </w:r>
      <w:r>
        <w:rPr>
          <w:rFonts w:ascii="Arial" w:cs="Arial" w:eastAsia="Arial" w:hAnsi="Arial"/>
          <w:sz w:val="13"/>
          <w:szCs w:val="13"/>
          <w:i w:val="1"/>
          <w:iCs w:val="1"/>
          <w:color w:val="auto"/>
        </w:rPr>
        <w:t>Fair Value Measurement (Topic 820): Disclosure Framework – Changes to the Disclosure Requirements for Fair Value Measurement</w:t>
      </w:r>
      <w:r>
        <w:rPr>
          <w:rFonts w:ascii="Arial" w:cs="Arial" w:eastAsia="Arial" w:hAnsi="Arial"/>
          <w:sz w:val="13"/>
          <w:szCs w:val="13"/>
          <w:color w:val="auto"/>
        </w:rPr>
        <w:t xml:space="preserve"> (“ASU 2018-13”), which provides additional guidance to improve the effectiveness of disclosure requirements on fair value measurement. The Company has adopted ASU 2018-13 for the year beginning January 1, 2020. As this guidance is only related to qualitative financial disclosures, it did not have a material impact on the Company’s consolidated financial statements.</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 xml:space="preserve">In August 2018, the FASB issued ASU 2018-15, </w:t>
      </w:r>
      <w:r>
        <w:rPr>
          <w:rFonts w:ascii="Arial" w:cs="Arial" w:eastAsia="Arial" w:hAnsi="Arial"/>
          <w:sz w:val="14"/>
          <w:szCs w:val="14"/>
          <w:i w:val="1"/>
          <w:iCs w:val="1"/>
          <w:color w:val="auto"/>
        </w:rPr>
        <w:t>Intangibles – Goodwill and Other – Internal-Use Software (Subtopic 350-40): Customer’s Accounting for Implementation Costs Incurred in a</w:t>
      </w:r>
      <w:r>
        <w:rPr>
          <w:rFonts w:ascii="Arial" w:cs="Arial" w:eastAsia="Arial" w:hAnsi="Arial"/>
          <w:sz w:val="14"/>
          <w:szCs w:val="14"/>
          <w:color w:val="auto"/>
        </w:rPr>
        <w:t xml:space="preserve"> </w:t>
      </w:r>
      <w:r>
        <w:rPr>
          <w:rFonts w:ascii="Arial" w:cs="Arial" w:eastAsia="Arial" w:hAnsi="Arial"/>
          <w:sz w:val="14"/>
          <w:szCs w:val="14"/>
          <w:i w:val="1"/>
          <w:iCs w:val="1"/>
          <w:color w:val="auto"/>
        </w:rPr>
        <w:t>Cloud Computing Arrangement That Is a Service Contract</w:t>
      </w:r>
      <w:r>
        <w:rPr>
          <w:rFonts w:ascii="Arial" w:cs="Arial" w:eastAsia="Arial" w:hAnsi="Arial"/>
          <w:sz w:val="14"/>
          <w:szCs w:val="14"/>
          <w:color w:val="auto"/>
        </w:rPr>
        <w:t>, which requires a customer in a cloud computing arrangement that is a service contract to follow the internal-use software guidance</w:t>
      </w:r>
      <w:r>
        <w:rPr>
          <w:rFonts w:ascii="Arial" w:cs="Arial" w:eastAsia="Arial" w:hAnsi="Arial"/>
          <w:sz w:val="14"/>
          <w:szCs w:val="14"/>
          <w:i w:val="1"/>
          <w:iCs w:val="1"/>
          <w:color w:val="auto"/>
        </w:rPr>
        <w:t xml:space="preserve"> </w:t>
      </w:r>
      <w:r>
        <w:rPr>
          <w:rFonts w:ascii="Arial" w:cs="Arial" w:eastAsia="Arial" w:hAnsi="Arial"/>
          <w:sz w:val="14"/>
          <w:szCs w:val="14"/>
          <w:color w:val="auto"/>
        </w:rPr>
        <w:t>in ASC 350-40 to determine which implementation costs to capitalize as assets. A customer’s accounting for the costs of the hosting component of the arrangement is not affected by the new guidance. The Company has early adopted ASU 2018-15 for the year beginning January 1, 2020, using the prospective transition approach. This approach did not require any adjustment to comparative financial statements. The Company has not capitalized a significant amount of implementation costs as a result of adopting this guidance in the year ended December 31, 2020, and the adoption did not result in material impact on the Company’s consolidated financial statements.</w:t>
      </w:r>
    </w:p>
    <w:p>
      <w:pPr>
        <w:spacing w:after="0" w:line="167"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xml:space="preserve"> The guidance provides temporary optional expedients and exceptions to the current guidance on contract modifications and hedge accounting to ease the financial reporting burdens related to the expected market transition from the London Interbank Offered Rate (“LIBOR”) and other interbank offered rates to alternative reference rates. The guidance was effective upon issuance and generally can be applied to applicable contract modifications and hedge relationships prospectively through December 31, 2022. The adoption of this guidance did not have a significant impact on the Company’s financial statements.</w:t>
      </w:r>
    </w:p>
    <w:p>
      <w:pPr>
        <w:spacing w:after="0" w:line="179"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4</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color w:val="auto"/>
        </w:rPr>
        <w:t>Revenue from contracts with customers</w:t>
      </w:r>
    </w:p>
    <w:p>
      <w:pPr>
        <w:spacing w:after="0" w:line="204" w:lineRule="exact"/>
        <w:rPr>
          <w:sz w:val="20"/>
          <w:szCs w:val="20"/>
          <w:color w:val="auto"/>
        </w:rPr>
      </w:pPr>
    </w:p>
    <w:p>
      <w:pPr>
        <w:ind w:right="140"/>
        <w:spacing w:after="0" w:line="274" w:lineRule="auto"/>
        <w:rPr>
          <w:sz w:val="20"/>
          <w:szCs w:val="20"/>
          <w:color w:val="auto"/>
        </w:rPr>
      </w:pPr>
      <w:r>
        <w:rPr>
          <w:rFonts w:ascii="Arial" w:cs="Arial" w:eastAsia="Arial" w:hAnsi="Arial"/>
          <w:sz w:val="14"/>
          <w:szCs w:val="14"/>
          <w:color w:val="auto"/>
        </w:rPr>
        <w:t>Under most customer contracts, invoicing occurs once the Company’s performance obligations have been satisfied, at which point payment is unconditional. As of December 31, 2020 and 2019, receivables related to revenue from contracts with customers totaled $76,431 and $40,731, respectively, and were included in Receivables, net on the consolidated balance sheets, net of current expected credit losses of $98 and $0, respectively. Other items included in Receivables, net not related to revenue from contracts with customers represent receivables associated with reimbursable costs and leases which are accounted for outside the scope of ASC 606.</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7" w:name="page108"/>
    <w:bookmarkEnd w:id="10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200"/>
        <w:spacing w:after="0" w:line="274" w:lineRule="auto"/>
        <w:rPr>
          <w:sz w:val="20"/>
          <w:szCs w:val="20"/>
          <w:color w:val="auto"/>
        </w:rPr>
      </w:pPr>
      <w:r>
        <w:rPr>
          <w:rFonts w:ascii="Arial" w:cs="Arial" w:eastAsia="Arial" w:hAnsi="Arial"/>
          <w:sz w:val="14"/>
          <w:szCs w:val="14"/>
          <w:color w:val="auto"/>
        </w:rPr>
        <w:t>The Company has recognized contract liabilities, comprised of unconditional payments due or paid under the contracts with customers prior to the Company’s satisfaction of the related performance obligations. The performance obligations are expected to be satisfied during the next 12 months, and the contract liabilities are classified within Other current liabilities on the consolidated balance sheets. Contract assets are comprised of the transaction price allocated to completed performance obligations that will be billed to customers in subsequent periods. The contract liabilities and contract assets balances as of December 31, 2020 and 2019 are detailed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5"/>
                <w:szCs w:val="15"/>
                <w:b w:val="1"/>
                <w:bCs w:val="1"/>
                <w:color w:val="auto"/>
              </w:rPr>
              <w:t>December 31, 2020</w:t>
            </w:r>
          </w:p>
        </w:tc>
        <w:tc>
          <w:tcPr>
            <w:tcW w:w="1280" w:type="dxa"/>
            <w:vAlign w:val="bottom"/>
            <w:gridSpan w:val="3"/>
          </w:tcPr>
          <w:p>
            <w:pPr>
              <w:spacing w:after="0"/>
              <w:rPr>
                <w:sz w:val="20"/>
                <w:szCs w:val="20"/>
                <w:color w:val="auto"/>
              </w:rPr>
            </w:pPr>
            <w:r>
              <w:rPr>
                <w:rFonts w:ascii="Arial" w:cs="Arial" w:eastAsia="Arial" w:hAnsi="Arial"/>
                <w:sz w:val="15"/>
                <w:szCs w:val="15"/>
                <w:b w:val="1"/>
                <w:bCs w:val="1"/>
                <w:color w:val="auto"/>
                <w:w w:val="93"/>
              </w:rPr>
              <w:t>December 31, 2019</w:t>
            </w:r>
          </w:p>
        </w:tc>
      </w:tr>
      <w:tr>
        <w:trPr>
          <w:trHeight w:val="175"/>
        </w:trPr>
        <w:tc>
          <w:tcPr>
            <w:tcW w:w="8600" w:type="dxa"/>
            <w:vAlign w:val="bottom"/>
            <w:shd w:val="clear" w:color="auto" w:fill="CCEEFF"/>
          </w:tcPr>
          <w:p>
            <w:pPr>
              <w:spacing w:after="0"/>
              <w:rPr>
                <w:sz w:val="20"/>
                <w:szCs w:val="20"/>
                <w:color w:val="auto"/>
              </w:rPr>
            </w:pPr>
            <w:r>
              <w:rPr>
                <w:rFonts w:ascii="Arial" w:cs="Arial" w:eastAsia="Arial" w:hAnsi="Arial"/>
                <w:sz w:val="15"/>
                <w:szCs w:val="15"/>
                <w:color w:val="auto"/>
              </w:rPr>
              <w:t>Contract assets, net - current</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3,673</w:t>
            </w:r>
          </w:p>
        </w:tc>
        <w:tc>
          <w:tcPr>
            <w:tcW w:w="2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3,787</w:t>
            </w:r>
          </w:p>
        </w:tc>
        <w:tc>
          <w:tcPr>
            <w:tcW w:w="100" w:type="dxa"/>
            <w:vAlign w:val="bottom"/>
            <w:shd w:val="clear" w:color="auto" w:fill="CCEEFF"/>
          </w:tcPr>
          <w:p>
            <w:pPr>
              <w:spacing w:after="0"/>
              <w:rPr>
                <w:sz w:val="15"/>
                <w:szCs w:val="15"/>
                <w:color w:val="auto"/>
              </w:rPr>
            </w:pPr>
          </w:p>
        </w:tc>
      </w:tr>
      <w:tr>
        <w:trPr>
          <w:trHeight w:val="177"/>
        </w:trPr>
        <w:tc>
          <w:tcPr>
            <w:tcW w:w="8600" w:type="dxa"/>
            <w:vAlign w:val="bottom"/>
          </w:tcPr>
          <w:p>
            <w:pPr>
              <w:spacing w:after="0"/>
              <w:rPr>
                <w:sz w:val="20"/>
                <w:szCs w:val="20"/>
                <w:color w:val="auto"/>
              </w:rPr>
            </w:pPr>
            <w:r>
              <w:rPr>
                <w:rFonts w:ascii="Arial" w:cs="Arial" w:eastAsia="Arial" w:hAnsi="Arial"/>
                <w:sz w:val="15"/>
                <w:szCs w:val="15"/>
                <w:color w:val="auto"/>
              </w:rPr>
              <w:t>Contract assets, net - non-current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23,972</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19,474</w:t>
            </w:r>
          </w:p>
        </w:tc>
      </w:tr>
      <w:tr>
        <w:trPr>
          <w:trHeight w:val="215"/>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contract assets, net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27,645</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9"/>
        </w:trPr>
        <w:tc>
          <w:tcPr>
            <w:tcW w:w="8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8600" w:type="dxa"/>
            <w:vAlign w:val="bottom"/>
            <w:shd w:val="clear" w:color="auto" w:fill="CCEEFF"/>
          </w:tcPr>
          <w:p>
            <w:pPr>
              <w:spacing w:after="0"/>
              <w:rPr>
                <w:sz w:val="20"/>
                <w:szCs w:val="20"/>
                <w:color w:val="auto"/>
              </w:rPr>
            </w:pPr>
            <w:r>
              <w:rPr>
                <w:rFonts w:ascii="Arial" w:cs="Arial" w:eastAsia="Arial" w:hAnsi="Arial"/>
                <w:sz w:val="15"/>
                <w:szCs w:val="15"/>
                <w:color w:val="auto"/>
              </w:rPr>
              <w:t>Contract liabilities</w:t>
            </w:r>
          </w:p>
        </w:tc>
        <w:tc>
          <w:tcPr>
            <w:tcW w:w="4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8,399</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6,542</w:t>
            </w:r>
          </w:p>
        </w:tc>
        <w:tc>
          <w:tcPr>
            <w:tcW w:w="100" w:type="dxa"/>
            <w:vAlign w:val="bottom"/>
            <w:shd w:val="clear" w:color="auto" w:fill="CCEEFF"/>
          </w:tcPr>
          <w:p>
            <w:pPr>
              <w:spacing w:after="0"/>
              <w:rPr>
                <w:sz w:val="15"/>
                <w:szCs w:val="15"/>
                <w:color w:val="auto"/>
              </w:rPr>
            </w:pPr>
          </w:p>
        </w:tc>
      </w:tr>
      <w:tr>
        <w:trPr>
          <w:trHeight w:val="175"/>
        </w:trPr>
        <w:tc>
          <w:tcPr>
            <w:tcW w:w="8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0" w:type="dxa"/>
            <w:vAlign w:val="bottom"/>
            <w:shd w:val="clear" w:color="auto" w:fill="CCEEFF"/>
          </w:tcPr>
          <w:p>
            <w:pPr>
              <w:spacing w:after="0"/>
              <w:rPr>
                <w:sz w:val="20"/>
                <w:szCs w:val="20"/>
                <w:color w:val="auto"/>
              </w:rPr>
            </w:pPr>
            <w:r>
              <w:rPr>
                <w:rFonts w:ascii="Arial" w:cs="Arial" w:eastAsia="Arial" w:hAnsi="Arial"/>
                <w:sz w:val="15"/>
                <w:szCs w:val="15"/>
                <w:color w:val="auto"/>
              </w:rPr>
              <w:t>Revenue recognized in the year from:</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8600" w:type="dxa"/>
            <w:vAlign w:val="bottom"/>
          </w:tcPr>
          <w:p>
            <w:pPr>
              <w:spacing w:after="0"/>
              <w:rPr>
                <w:sz w:val="20"/>
                <w:szCs w:val="20"/>
                <w:color w:val="auto"/>
              </w:rPr>
            </w:pPr>
            <w:r>
              <w:rPr>
                <w:rFonts w:ascii="Arial" w:cs="Arial" w:eastAsia="Arial" w:hAnsi="Arial"/>
                <w:sz w:val="15"/>
                <w:szCs w:val="15"/>
                <w:color w:val="auto"/>
              </w:rPr>
              <w:t>Amounts included in contract liabilities at the beginning of the year</w:t>
            </w:r>
          </w:p>
        </w:tc>
        <w:tc>
          <w:tcPr>
            <w:tcW w:w="4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6,542</w:t>
            </w:r>
          </w:p>
        </w:tc>
        <w:tc>
          <w:tcPr>
            <w:tcW w:w="22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bl>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Contract assets are presented net of expected credit losses of $372 and $0 as of December 31, 2020 and 2019, respectively. As of December 31, 2020, the Company has unbilled receivables, net of current expected credit losses, of $6,818, of which $356 is presented within Other current assets and $6,462 is presented within Other non-current assets on the consolidated balance sheets. These unbilled receivables represent unconditional right to payment subject only to the passage of time.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Operating revenue which includes revenue from sales of LNG and natural gas as well as outputs from the Company’s natural gas-fueled power generation facilities, including power and steam, was $318,311, $145,500 and $96,906 for the years ended December 31, 2020, 2019 and 2018 respectively. During March 2020, the Company began to deliver power and steam recognizing $23,062 in operating revenue for the year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Other revenue includes revenue for development services as well as lease and other revenue. The table below summarizes the balances in Other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r>
      <w:tr>
        <w:trPr>
          <w:trHeight w:val="175"/>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Development services 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129,753</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7"/>
        </w:trPr>
        <w:tc>
          <w:tcPr>
            <w:tcW w:w="7340" w:type="dxa"/>
            <w:vAlign w:val="bottom"/>
          </w:tcPr>
          <w:p>
            <w:pPr>
              <w:spacing w:after="0"/>
              <w:rPr>
                <w:sz w:val="20"/>
                <w:szCs w:val="20"/>
                <w:color w:val="auto"/>
              </w:rPr>
            </w:pPr>
            <w:r>
              <w:rPr>
                <w:rFonts w:ascii="Arial" w:cs="Arial" w:eastAsia="Arial" w:hAnsi="Arial"/>
                <w:sz w:val="15"/>
                <w:szCs w:val="15"/>
                <w:color w:val="auto"/>
              </w:rPr>
              <w:t>Lease and other revenue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3,586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16,317</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15,395</w:t>
            </w:r>
          </w:p>
        </w:tc>
      </w:tr>
      <w:tr>
        <w:trPr>
          <w:trHeight w:val="215"/>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other revenue</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133,339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43,625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15,395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Development services revenue recognized in the year ended December 31, 2020 included $118,757 for the customer’s use of natural gas as part of commissioning their assets.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Transaction price allocated to remaining performance obligations</w:t>
      </w:r>
    </w:p>
    <w:p>
      <w:pPr>
        <w:spacing w:after="0" w:line="200" w:lineRule="exact"/>
        <w:rPr>
          <w:sz w:val="20"/>
          <w:szCs w:val="20"/>
          <w:color w:val="auto"/>
        </w:rPr>
      </w:pPr>
    </w:p>
    <w:p>
      <w:pPr>
        <w:ind w:right="400"/>
        <w:spacing w:after="0" w:line="263" w:lineRule="auto"/>
        <w:rPr>
          <w:sz w:val="20"/>
          <w:szCs w:val="20"/>
          <w:color w:val="auto"/>
        </w:rPr>
      </w:pPr>
      <w:r>
        <w:rPr>
          <w:rFonts w:ascii="Arial" w:cs="Arial" w:eastAsia="Arial" w:hAnsi="Arial"/>
          <w:sz w:val="15"/>
          <w:szCs w:val="15"/>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8" w:name="page109"/>
    <w:bookmarkEnd w:id="10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is $4,357,054 as of December 31, 2020,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99"/>
              </w:rPr>
              <w:t>Revenue</w:t>
            </w:r>
          </w:p>
        </w:tc>
        <w:tc>
          <w:tcPr>
            <w:tcW w:w="100" w:type="dxa"/>
            <w:vAlign w:val="bottom"/>
          </w:tcPr>
          <w:p>
            <w:pPr>
              <w:spacing w:after="0"/>
              <w:rPr>
                <w:sz w:val="16"/>
                <w:szCs w:val="16"/>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258,738</w:t>
            </w:r>
          </w:p>
        </w:tc>
        <w:tc>
          <w:tcPr>
            <w:tcW w:w="100" w:type="dxa"/>
            <w:vAlign w:val="bottom"/>
            <w:shd w:val="clear" w:color="auto" w:fill="CCEEFF"/>
          </w:tcPr>
          <w:p>
            <w:pPr>
              <w:spacing w:after="0"/>
              <w:rPr>
                <w:sz w:val="15"/>
                <w:szCs w:val="15"/>
                <w:color w:val="auto"/>
              </w:rPr>
            </w:pPr>
          </w:p>
        </w:tc>
      </w:tr>
      <w:tr>
        <w:trPr>
          <w:trHeight w:val="175"/>
        </w:trPr>
        <w:tc>
          <w:tcPr>
            <w:tcW w:w="10060" w:type="dxa"/>
            <w:vAlign w:val="bottom"/>
          </w:tcPr>
          <w:p>
            <w:pPr>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250,226</w:t>
            </w:r>
          </w:p>
        </w:tc>
        <w:tc>
          <w:tcPr>
            <w:tcW w:w="100" w:type="dxa"/>
            <w:vAlign w:val="bottom"/>
          </w:tcPr>
          <w:p>
            <w:pPr>
              <w:spacing w:after="0"/>
              <w:rPr>
                <w:sz w:val="15"/>
                <w:szCs w:val="15"/>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250,317</w:t>
            </w:r>
          </w:p>
        </w:tc>
        <w:tc>
          <w:tcPr>
            <w:tcW w:w="100" w:type="dxa"/>
            <w:vAlign w:val="bottom"/>
            <w:shd w:val="clear" w:color="auto" w:fill="CCEEFF"/>
          </w:tcPr>
          <w:p>
            <w:pPr>
              <w:spacing w:after="0"/>
              <w:rPr>
                <w:sz w:val="15"/>
                <w:szCs w:val="15"/>
                <w:color w:val="auto"/>
              </w:rPr>
            </w:pPr>
          </w:p>
        </w:tc>
      </w:tr>
      <w:tr>
        <w:trPr>
          <w:trHeight w:val="175"/>
        </w:trPr>
        <w:tc>
          <w:tcPr>
            <w:tcW w:w="10060" w:type="dxa"/>
            <w:vAlign w:val="bottom"/>
          </w:tcPr>
          <w:p>
            <w:pPr>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249,804</w:t>
            </w:r>
          </w:p>
        </w:tc>
        <w:tc>
          <w:tcPr>
            <w:tcW w:w="100" w:type="dxa"/>
            <w:vAlign w:val="bottom"/>
          </w:tcPr>
          <w:p>
            <w:pPr>
              <w:spacing w:after="0"/>
              <w:rPr>
                <w:sz w:val="15"/>
                <w:szCs w:val="15"/>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246,709</w:t>
            </w:r>
          </w:p>
        </w:tc>
        <w:tc>
          <w:tcPr>
            <w:tcW w:w="100" w:type="dxa"/>
            <w:vAlign w:val="bottom"/>
            <w:shd w:val="clear" w:color="auto" w:fill="CCEEFF"/>
          </w:tcPr>
          <w:p>
            <w:pPr>
              <w:spacing w:after="0"/>
              <w:rPr>
                <w:sz w:val="15"/>
                <w:szCs w:val="15"/>
                <w:color w:val="auto"/>
              </w:rPr>
            </w:pPr>
          </w:p>
        </w:tc>
      </w:tr>
      <w:tr>
        <w:trPr>
          <w:trHeight w:val="177"/>
        </w:trPr>
        <w:tc>
          <w:tcPr>
            <w:tcW w:w="10060" w:type="dxa"/>
            <w:vAlign w:val="bottom"/>
          </w:tcPr>
          <w:p>
            <w:pPr>
              <w:spacing w:after="0"/>
              <w:rPr>
                <w:sz w:val="20"/>
                <w:szCs w:val="20"/>
                <w:color w:val="auto"/>
              </w:rPr>
            </w:pPr>
            <w:r>
              <w:rPr>
                <w:rFonts w:ascii="Arial" w:cs="Arial" w:eastAsia="Arial" w:hAnsi="Arial"/>
                <w:sz w:val="15"/>
                <w:szCs w:val="15"/>
                <w:color w:val="auto"/>
              </w:rPr>
              <w:t>Thereafter</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3,101,260</w:t>
            </w:r>
          </w:p>
        </w:tc>
        <w:tc>
          <w:tcPr>
            <w:tcW w:w="100" w:type="dxa"/>
            <w:vAlign w:val="bottom"/>
          </w:tcPr>
          <w:p>
            <w:pPr>
              <w:spacing w:after="0"/>
              <w:rPr>
                <w:sz w:val="15"/>
                <w:szCs w:val="15"/>
                <w:color w:val="auto"/>
              </w:rPr>
            </w:pPr>
          </w:p>
        </w:tc>
      </w:tr>
      <w:tr>
        <w:trPr>
          <w:trHeight w:val="215"/>
        </w:trPr>
        <w:tc>
          <w:tcPr>
            <w:tcW w:w="10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4,357,054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83"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color w:val="auto"/>
        </w:rPr>
        <w:t>The Company has recognized costs to fulfill a contract with a significant customer, which primarily consist of expenses required to enhance resources to deliver under the agreement with the customer. As of December 31, 2020, the Company has capitalized $11,276, of which $588 of these costs is presented within Other current assets and $10,688 is presented within Other non-current assets on the consolidated balance sheets. As of December 31, 2019, the Company had capitalized $8,839, of which $331 of these costs was presented within Other current assets and $8,508 was presented within Other non-current assets on the consolidated balance sheets. In the first quarter of 2020, the Company began delivery under the agreement and started recognizing these costs on a straight-line basis over the expected term of the agreement.</w:t>
      </w:r>
    </w:p>
    <w:p>
      <w:pPr>
        <w:spacing w:after="0" w:line="165"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204"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2020, the Company’s operating lease cost recorded within the consolidated statements of operations and comprehensive loss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192"/>
        </w:trPr>
        <w:tc>
          <w:tcPr>
            <w:tcW w:w="41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r>
      <w:tr>
        <w:trPr>
          <w:trHeight w:val="17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Fixed lease cost</w:t>
            </w:r>
          </w:p>
        </w:tc>
        <w:tc>
          <w:tcPr>
            <w:tcW w:w="59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39,841</w:t>
            </w:r>
          </w:p>
        </w:tc>
        <w:tc>
          <w:tcPr>
            <w:tcW w:w="100" w:type="dxa"/>
            <w:vAlign w:val="bottom"/>
            <w:shd w:val="clear" w:color="auto" w:fill="CCEEFF"/>
          </w:tcPr>
          <w:p>
            <w:pPr>
              <w:spacing w:after="0"/>
              <w:rPr>
                <w:sz w:val="15"/>
                <w:szCs w:val="15"/>
                <w:color w:val="auto"/>
              </w:rPr>
            </w:pPr>
          </w:p>
        </w:tc>
      </w:tr>
      <w:tr>
        <w:trPr>
          <w:trHeight w:val="175"/>
        </w:trPr>
        <w:tc>
          <w:tcPr>
            <w:tcW w:w="4160" w:type="dxa"/>
            <w:vAlign w:val="bottom"/>
          </w:tcPr>
          <w:p>
            <w:pPr>
              <w:spacing w:after="0"/>
              <w:rPr>
                <w:sz w:val="20"/>
                <w:szCs w:val="20"/>
                <w:color w:val="auto"/>
              </w:rPr>
            </w:pPr>
            <w:r>
              <w:rPr>
                <w:rFonts w:ascii="Arial" w:cs="Arial" w:eastAsia="Arial" w:hAnsi="Arial"/>
                <w:sz w:val="15"/>
                <w:szCs w:val="15"/>
                <w:color w:val="auto"/>
              </w:rPr>
              <w:t>Variable lease cost</w:t>
            </w: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15"/>
                <w:szCs w:val="15"/>
                <w:color w:val="auto"/>
              </w:rPr>
            </w:pPr>
          </w:p>
        </w:tc>
      </w:tr>
      <w:tr>
        <w:trPr>
          <w:trHeight w:val="17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Short-term lease cost</w:t>
            </w:r>
          </w:p>
        </w:tc>
        <w:tc>
          <w:tcPr>
            <w:tcW w:w="5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1,454</w:t>
            </w:r>
          </w:p>
        </w:tc>
        <w:tc>
          <w:tcPr>
            <w:tcW w:w="100" w:type="dxa"/>
            <w:vAlign w:val="bottom"/>
            <w:shd w:val="clear" w:color="auto" w:fill="CCEEFF"/>
          </w:tcPr>
          <w:p>
            <w:pPr>
              <w:spacing w:after="0"/>
              <w:rPr>
                <w:sz w:val="15"/>
                <w:szCs w:val="15"/>
                <w:color w:val="auto"/>
              </w:rPr>
            </w:pPr>
          </w:p>
        </w:tc>
      </w:tr>
      <w:tr>
        <w:trPr>
          <w:trHeight w:val="175"/>
        </w:trPr>
        <w:tc>
          <w:tcPr>
            <w:tcW w:w="4160" w:type="dxa"/>
            <w:vAlign w:val="bottom"/>
          </w:tcPr>
          <w:p>
            <w:pPr>
              <w:spacing w:after="0"/>
              <w:rPr>
                <w:sz w:val="15"/>
                <w:szCs w:val="15"/>
                <w:color w:val="auto"/>
              </w:rPr>
            </w:pPr>
          </w:p>
        </w:tc>
        <w:tc>
          <w:tcPr>
            <w:tcW w:w="6000" w:type="dxa"/>
            <w:vAlign w:val="bottom"/>
            <w:gridSpan w:val="2"/>
          </w:tcPr>
          <w:p>
            <w:pPr>
              <w:spacing w:after="0"/>
              <w:rPr>
                <w:sz w:val="15"/>
                <w:szCs w:val="15"/>
                <w:color w:val="auto"/>
              </w:rPr>
            </w:pPr>
          </w:p>
        </w:tc>
        <w:tc>
          <w:tcPr>
            <w:tcW w:w="1120" w:type="dxa"/>
            <w:vAlign w:val="bottom"/>
            <w:gridSpan w:val="2"/>
          </w:tcPr>
          <w:p>
            <w:pPr>
              <w:spacing w:after="0"/>
              <w:rPr>
                <w:sz w:val="15"/>
                <w:szCs w:val="15"/>
                <w:color w:val="auto"/>
              </w:rPr>
            </w:pPr>
          </w:p>
        </w:tc>
      </w:tr>
      <w:tr>
        <w:trPr>
          <w:trHeight w:val="17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Lease cost - Cost of sales</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36,283</w:t>
            </w:r>
          </w:p>
        </w:tc>
      </w:tr>
      <w:tr>
        <w:trPr>
          <w:trHeight w:val="175"/>
        </w:trPr>
        <w:tc>
          <w:tcPr>
            <w:tcW w:w="4160" w:type="dxa"/>
            <w:vAlign w:val="bottom"/>
          </w:tcPr>
          <w:p>
            <w:pPr>
              <w:spacing w:after="0"/>
              <w:rPr>
                <w:sz w:val="20"/>
                <w:szCs w:val="20"/>
                <w:color w:val="auto"/>
              </w:rPr>
            </w:pPr>
            <w:r>
              <w:rPr>
                <w:rFonts w:ascii="Arial" w:cs="Arial" w:eastAsia="Arial" w:hAnsi="Arial"/>
                <w:sz w:val="15"/>
                <w:szCs w:val="15"/>
                <w:color w:val="auto"/>
              </w:rPr>
              <w:t>Lease cost - Operations and maintenance</w:t>
            </w: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2,501</w:t>
            </w:r>
          </w:p>
        </w:tc>
        <w:tc>
          <w:tcPr>
            <w:tcW w:w="100" w:type="dxa"/>
            <w:vAlign w:val="bottom"/>
          </w:tcPr>
          <w:p>
            <w:pPr>
              <w:spacing w:after="0"/>
              <w:rPr>
                <w:sz w:val="15"/>
                <w:szCs w:val="15"/>
                <w:color w:val="auto"/>
              </w:rPr>
            </w:pPr>
          </w:p>
        </w:tc>
      </w:tr>
      <w:tr>
        <w:trPr>
          <w:trHeight w:val="17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Lease cost - Selling, general and administrative</w:t>
            </w:r>
          </w:p>
        </w:tc>
        <w:tc>
          <w:tcPr>
            <w:tcW w:w="5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4,524</w:t>
            </w:r>
          </w:p>
        </w:tc>
        <w:tc>
          <w:tcPr>
            <w:tcW w:w="100" w:type="dxa"/>
            <w:vAlign w:val="bottom"/>
            <w:shd w:val="clear" w:color="auto" w:fill="CCEEFF"/>
          </w:tcPr>
          <w:p>
            <w:pPr>
              <w:spacing w:after="0"/>
              <w:rPr>
                <w:sz w:val="15"/>
                <w:szCs w:val="15"/>
                <w:color w:val="auto"/>
              </w:rPr>
            </w:pPr>
          </w:p>
        </w:tc>
      </w:tr>
      <w:tr>
        <w:trPr>
          <w:trHeight w:val="484"/>
        </w:trPr>
        <w:tc>
          <w:tcPr>
            <w:tcW w:w="4160" w:type="dxa"/>
            <w:vAlign w:val="bottom"/>
          </w:tcPr>
          <w:p>
            <w:pPr>
              <w:spacing w:after="0"/>
              <w:rPr>
                <w:sz w:val="24"/>
                <w:szCs w:val="24"/>
                <w:color w:val="auto"/>
              </w:rPr>
            </w:pPr>
          </w:p>
        </w:tc>
        <w:tc>
          <w:tcPr>
            <w:tcW w:w="6000" w:type="dxa"/>
            <w:vAlign w:val="bottom"/>
            <w:gridSpan w:val="2"/>
          </w:tcPr>
          <w:p>
            <w:pPr>
              <w:jc w:val="right"/>
              <w:ind w:right="4348"/>
              <w:spacing w:after="0"/>
              <w:rPr>
                <w:sz w:val="20"/>
                <w:szCs w:val="20"/>
                <w:color w:val="auto"/>
              </w:rPr>
            </w:pPr>
            <w:r>
              <w:rPr>
                <w:rFonts w:ascii="Arial" w:cs="Arial" w:eastAsia="Arial" w:hAnsi="Arial"/>
                <w:sz w:val="12"/>
                <w:szCs w:val="12"/>
                <w:color w:val="auto"/>
              </w:rPr>
              <w:t>F-21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416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5" w:right="319" w:bottom="1440" w:gutter="0" w:footer="0" w:header="0"/>
        </w:sectPr>
      </w:pPr>
    </w:p>
    <w:bookmarkStart w:id="109" w:name="page110"/>
    <w:bookmarkEnd w:id="10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240"/>
        <w:spacing w:after="0" w:line="340" w:lineRule="auto"/>
        <w:rPr>
          <w:sz w:val="20"/>
          <w:szCs w:val="20"/>
          <w:color w:val="auto"/>
        </w:rPr>
      </w:pPr>
      <w:r>
        <w:rPr>
          <w:rFonts w:ascii="Arial" w:cs="Arial" w:eastAsia="Arial" w:hAnsi="Arial"/>
          <w:sz w:val="13"/>
          <w:szCs w:val="13"/>
          <w:color w:val="auto"/>
        </w:rPr>
        <w:t>For the year ended December 31, 2020, the Company has capitalized $10,457 of lease costs for vessels and port space used during the commissioning of development projects in addition to short-term lease costs for vessels chartered by the Company to bring inventory from a supplier’s facilities to the Company’s storage locations which are capitalized to inventory.</w:t>
      </w:r>
    </w:p>
    <w:p>
      <w:pPr>
        <w:spacing w:after="0" w:line="125"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Cash paid for operating leases is reported in operating activities in the consolidated statements of cash flows. Supplemental cash flow information related to leases was as follows for the year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192"/>
        </w:trPr>
        <w:tc>
          <w:tcPr>
            <w:tcW w:w="10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Operating cash outflows for operating lease liabilities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45,934</w:t>
            </w:r>
          </w:p>
        </w:tc>
        <w:tc>
          <w:tcPr>
            <w:tcW w:w="100" w:type="dxa"/>
            <w:vAlign w:val="bottom"/>
            <w:shd w:val="clear" w:color="auto" w:fill="CCEEFF"/>
          </w:tcPr>
          <w:p>
            <w:pPr>
              <w:spacing w:after="0"/>
              <w:rPr>
                <w:sz w:val="15"/>
                <w:szCs w:val="15"/>
                <w:color w:val="auto"/>
              </w:rPr>
            </w:pPr>
          </w:p>
        </w:tc>
      </w:tr>
      <w:tr>
        <w:trPr>
          <w:trHeight w:val="186"/>
        </w:trPr>
        <w:tc>
          <w:tcPr>
            <w:tcW w:w="10060" w:type="dxa"/>
            <w:vAlign w:val="bottom"/>
          </w:tcPr>
          <w:p>
            <w:pPr>
              <w:spacing w:after="0"/>
              <w:rPr>
                <w:sz w:val="20"/>
                <w:szCs w:val="20"/>
                <w:color w:val="auto"/>
              </w:rPr>
            </w:pPr>
            <w:r>
              <w:rPr>
                <w:rFonts w:ascii="Arial" w:cs="Arial" w:eastAsia="Arial" w:hAnsi="Arial"/>
                <w:sz w:val="15"/>
                <w:szCs w:val="15"/>
                <w:color w:val="auto"/>
              </w:rPr>
              <w:t>Right-of-use assets obtained in exchange for new operating lease liabilities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182,799</w:t>
            </w:r>
          </w:p>
        </w:tc>
        <w:tc>
          <w:tcPr>
            <w:tcW w:w="100" w:type="dxa"/>
            <w:vAlign w:val="bottom"/>
          </w:tcPr>
          <w:p>
            <w:pPr>
              <w:spacing w:after="0"/>
              <w:rPr>
                <w:sz w:val="16"/>
                <w:szCs w:val="16"/>
                <w:color w:val="auto"/>
              </w:rPr>
            </w:pPr>
          </w:p>
        </w:tc>
      </w:tr>
      <w:tr>
        <w:trPr>
          <w:trHeight w:val="362"/>
        </w:trPr>
        <w:tc>
          <w:tcPr>
            <w:tcW w:w="10060" w:type="dxa"/>
            <w:vAlign w:val="bottom"/>
          </w:tcPr>
          <w:p>
            <w:pPr>
              <w:spacing w:after="0"/>
              <w:rPr>
                <w:sz w:val="20"/>
                <w:szCs w:val="20"/>
                <w:color w:val="auto"/>
              </w:rPr>
            </w:pPr>
            <w:r>
              <w:rPr>
                <w:rFonts w:ascii="Arial" w:cs="Arial" w:eastAsia="Arial" w:hAnsi="Arial"/>
                <w:sz w:val="15"/>
                <w:szCs w:val="15"/>
                <w:color w:val="auto"/>
              </w:rPr>
              <w:t>The future payments due under operating leases as of December 31, 2020 are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100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5"/>
                <w:szCs w:val="15"/>
                <w:b w:val="1"/>
                <w:bCs w:val="1"/>
                <w:color w:val="auto"/>
                <w:w w:val="95"/>
              </w:rPr>
              <w:t>Operating Leases</w:t>
            </w: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43,467</w:t>
            </w:r>
          </w:p>
        </w:tc>
        <w:tc>
          <w:tcPr>
            <w:tcW w:w="100" w:type="dxa"/>
            <w:vAlign w:val="bottom"/>
            <w:shd w:val="clear" w:color="auto" w:fill="CCEEFF"/>
          </w:tcPr>
          <w:p>
            <w:pPr>
              <w:spacing w:after="0"/>
              <w:rPr>
                <w:sz w:val="15"/>
                <w:szCs w:val="15"/>
                <w:color w:val="auto"/>
              </w:rPr>
            </w:pPr>
          </w:p>
        </w:tc>
      </w:tr>
      <w:tr>
        <w:trPr>
          <w:trHeight w:val="175"/>
        </w:trPr>
        <w:tc>
          <w:tcPr>
            <w:tcW w:w="10060" w:type="dxa"/>
            <w:vAlign w:val="bottom"/>
          </w:tcPr>
          <w:p>
            <w:pPr>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29,949</w:t>
            </w:r>
          </w:p>
        </w:tc>
        <w:tc>
          <w:tcPr>
            <w:tcW w:w="100" w:type="dxa"/>
            <w:vAlign w:val="bottom"/>
          </w:tcPr>
          <w:p>
            <w:pPr>
              <w:spacing w:after="0"/>
              <w:rPr>
                <w:sz w:val="15"/>
                <w:szCs w:val="15"/>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18,738</w:t>
            </w:r>
          </w:p>
        </w:tc>
        <w:tc>
          <w:tcPr>
            <w:tcW w:w="100" w:type="dxa"/>
            <w:vAlign w:val="bottom"/>
            <w:shd w:val="clear" w:color="auto" w:fill="CCEEFF"/>
          </w:tcPr>
          <w:p>
            <w:pPr>
              <w:spacing w:after="0"/>
              <w:rPr>
                <w:sz w:val="15"/>
                <w:szCs w:val="15"/>
                <w:color w:val="auto"/>
              </w:rPr>
            </w:pPr>
          </w:p>
        </w:tc>
      </w:tr>
      <w:tr>
        <w:trPr>
          <w:trHeight w:val="175"/>
        </w:trPr>
        <w:tc>
          <w:tcPr>
            <w:tcW w:w="10060" w:type="dxa"/>
            <w:vAlign w:val="bottom"/>
          </w:tcPr>
          <w:p>
            <w:pPr>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17,884</w:t>
            </w:r>
          </w:p>
        </w:tc>
        <w:tc>
          <w:tcPr>
            <w:tcW w:w="100" w:type="dxa"/>
            <w:vAlign w:val="bottom"/>
          </w:tcPr>
          <w:p>
            <w:pPr>
              <w:spacing w:after="0"/>
              <w:rPr>
                <w:sz w:val="15"/>
                <w:szCs w:val="15"/>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10,698</w:t>
            </w:r>
          </w:p>
        </w:tc>
        <w:tc>
          <w:tcPr>
            <w:tcW w:w="100" w:type="dxa"/>
            <w:vAlign w:val="bottom"/>
            <w:shd w:val="clear" w:color="auto" w:fill="CCEEFF"/>
          </w:tcPr>
          <w:p>
            <w:pPr>
              <w:spacing w:after="0"/>
              <w:rPr>
                <w:sz w:val="15"/>
                <w:szCs w:val="15"/>
                <w:color w:val="auto"/>
              </w:rPr>
            </w:pPr>
          </w:p>
        </w:tc>
      </w:tr>
      <w:tr>
        <w:trPr>
          <w:trHeight w:val="177"/>
        </w:trPr>
        <w:tc>
          <w:tcPr>
            <w:tcW w:w="10060" w:type="dxa"/>
            <w:vAlign w:val="bottom"/>
          </w:tcPr>
          <w:p>
            <w:pPr>
              <w:spacing w:after="0"/>
              <w:rPr>
                <w:sz w:val="20"/>
                <w:szCs w:val="20"/>
                <w:color w:val="auto"/>
              </w:rPr>
            </w:pPr>
            <w:r>
              <w:rPr>
                <w:rFonts w:ascii="Arial" w:cs="Arial" w:eastAsia="Arial" w:hAnsi="Arial"/>
                <w:sz w:val="15"/>
                <w:szCs w:val="15"/>
                <w:color w:val="auto"/>
              </w:rPr>
              <w:t>Thereafter</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50,387</w:t>
            </w:r>
          </w:p>
        </w:tc>
        <w:tc>
          <w:tcPr>
            <w:tcW w:w="100" w:type="dxa"/>
            <w:vAlign w:val="bottom"/>
          </w:tcPr>
          <w:p>
            <w:pPr>
              <w:spacing w:after="0"/>
              <w:rPr>
                <w:sz w:val="15"/>
                <w:szCs w:val="15"/>
                <w:color w:val="auto"/>
              </w:rPr>
            </w:pPr>
          </w:p>
        </w:tc>
      </w:tr>
      <w:tr>
        <w:trPr>
          <w:trHeight w:val="175"/>
        </w:trPr>
        <w:tc>
          <w:tcPr>
            <w:tcW w:w="10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lease payments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171,123</w:t>
            </w:r>
          </w:p>
        </w:tc>
        <w:tc>
          <w:tcPr>
            <w:tcW w:w="100" w:type="dxa"/>
            <w:vAlign w:val="bottom"/>
            <w:shd w:val="clear" w:color="auto" w:fill="CCEEFF"/>
          </w:tcPr>
          <w:p>
            <w:pPr>
              <w:spacing w:after="0"/>
              <w:rPr>
                <w:sz w:val="15"/>
                <w:szCs w:val="15"/>
                <w:color w:val="auto"/>
              </w:rPr>
            </w:pPr>
          </w:p>
        </w:tc>
      </w:tr>
      <w:tr>
        <w:trPr>
          <w:trHeight w:val="177"/>
        </w:trPr>
        <w:tc>
          <w:tcPr>
            <w:tcW w:w="10060" w:type="dxa"/>
            <w:vAlign w:val="bottom"/>
          </w:tcPr>
          <w:p>
            <w:pPr>
              <w:spacing w:after="0"/>
              <w:rPr>
                <w:sz w:val="20"/>
                <w:szCs w:val="20"/>
                <w:color w:val="auto"/>
              </w:rPr>
            </w:pPr>
            <w:r>
              <w:rPr>
                <w:rFonts w:ascii="Arial" w:cs="Arial" w:eastAsia="Arial" w:hAnsi="Arial"/>
                <w:sz w:val="15"/>
                <w:szCs w:val="15"/>
                <w:color w:val="auto"/>
              </w:rPr>
              <w:t>Less: effects of discounting</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51,319</w:t>
            </w:r>
          </w:p>
        </w:tc>
        <w:tc>
          <w:tcPr>
            <w:tcW w:w="100" w:type="dxa"/>
            <w:vAlign w:val="bottom"/>
          </w:tcPr>
          <w:p>
            <w:pPr>
              <w:spacing w:after="0"/>
              <w:rPr>
                <w:sz w:val="15"/>
                <w:szCs w:val="15"/>
                <w:color w:val="auto"/>
              </w:rPr>
            </w:pPr>
          </w:p>
        </w:tc>
      </w:tr>
      <w:tr>
        <w:trPr>
          <w:trHeight w:val="215"/>
        </w:trPr>
        <w:tc>
          <w:tcPr>
            <w:tcW w:w="10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Present value of lease liabilities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9"/>
        </w:trPr>
        <w:tc>
          <w:tcPr>
            <w:tcW w:w="10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10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lease liability</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35,481</w:t>
            </w:r>
          </w:p>
        </w:tc>
        <w:tc>
          <w:tcPr>
            <w:tcW w:w="100" w:type="dxa"/>
            <w:vAlign w:val="bottom"/>
            <w:shd w:val="clear" w:color="auto" w:fill="CCEEFF"/>
          </w:tcPr>
          <w:p>
            <w:pPr>
              <w:spacing w:after="0"/>
              <w:rPr>
                <w:sz w:val="15"/>
                <w:szCs w:val="15"/>
                <w:color w:val="auto"/>
              </w:rPr>
            </w:pPr>
          </w:p>
        </w:tc>
      </w:tr>
      <w:tr>
        <w:trPr>
          <w:trHeight w:val="186"/>
        </w:trPr>
        <w:tc>
          <w:tcPr>
            <w:tcW w:w="10060" w:type="dxa"/>
            <w:vAlign w:val="bottom"/>
          </w:tcPr>
          <w:p>
            <w:pPr>
              <w:ind w:left="120"/>
              <w:spacing w:after="0"/>
              <w:rPr>
                <w:sz w:val="20"/>
                <w:szCs w:val="20"/>
                <w:color w:val="auto"/>
              </w:rPr>
            </w:pPr>
            <w:r>
              <w:rPr>
                <w:rFonts w:ascii="Arial" w:cs="Arial" w:eastAsia="Arial" w:hAnsi="Arial"/>
                <w:sz w:val="15"/>
                <w:szCs w:val="15"/>
                <w:color w:val="auto"/>
              </w:rPr>
              <w:t>Non-current lease liability</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84,323</w:t>
            </w:r>
          </w:p>
        </w:tc>
        <w:tc>
          <w:tcPr>
            <w:tcW w:w="100" w:type="dxa"/>
            <w:vAlign w:val="bottom"/>
          </w:tcPr>
          <w:p>
            <w:pPr>
              <w:spacing w:after="0"/>
              <w:rPr>
                <w:sz w:val="16"/>
                <w:szCs w:val="16"/>
                <w:color w:val="auto"/>
              </w:rPr>
            </w:pPr>
          </w:p>
        </w:tc>
      </w:tr>
    </w:tbl>
    <w:p>
      <w:pPr>
        <w:spacing w:after="0" w:line="176" w:lineRule="exact"/>
        <w:rPr>
          <w:sz w:val="20"/>
          <w:szCs w:val="20"/>
          <w:color w:val="auto"/>
        </w:rPr>
      </w:pPr>
    </w:p>
    <w:p>
      <w:pPr>
        <w:ind w:right="60"/>
        <w:spacing w:after="0" w:line="340" w:lineRule="auto"/>
        <w:rPr>
          <w:sz w:val="20"/>
          <w:szCs w:val="20"/>
          <w:color w:val="auto"/>
        </w:rPr>
      </w:pPr>
      <w:r>
        <w:rPr>
          <w:rFonts w:ascii="Arial" w:cs="Arial" w:eastAsia="Arial" w:hAnsi="Arial"/>
          <w:sz w:val="13"/>
          <w:szCs w:val="13"/>
          <w:color w:val="auto"/>
        </w:rPr>
        <w:t>As of December 31, 2020, the weighted-average remaining lease term for all operating leases was 7.2 years. Because the Company generally does not have access to the rate implicit in the lease, the incremental borrowing rate is utilized as the discount rate. The weighted average discount rate associated with operating leases as of December 31, 2020 was 8.3%.</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Future annual minimum lease payments for operating leases as of December 31, 2019, prepared in accordance with accounting standards prior to the adoption of ASC 842,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60" w:type="dxa"/>
            <w:vAlign w:val="bottom"/>
          </w:tcPr>
          <w:p>
            <w:pPr>
              <w:spacing w:after="0"/>
              <w:rPr>
                <w:sz w:val="20"/>
                <w:szCs w:val="20"/>
                <w:color w:val="auto"/>
              </w:rPr>
            </w:pPr>
            <w:r>
              <w:rPr>
                <w:rFonts w:ascii="Arial" w:cs="Arial" w:eastAsia="Arial" w:hAnsi="Arial"/>
                <w:sz w:val="15"/>
                <w:szCs w:val="15"/>
                <w:b w:val="1"/>
                <w:bCs w:val="1"/>
                <w:color w:val="auto"/>
              </w:rPr>
              <w:t>Year ending December 31:</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37,776</w:t>
            </w:r>
          </w:p>
        </w:tc>
      </w:tr>
      <w:tr>
        <w:trPr>
          <w:trHeight w:val="175"/>
        </w:trPr>
        <w:tc>
          <w:tcPr>
            <w:tcW w:w="10060" w:type="dxa"/>
            <w:vAlign w:val="bottom"/>
          </w:tcPr>
          <w:p>
            <w:pPr>
              <w:spacing w:after="0"/>
              <w:rPr>
                <w:sz w:val="20"/>
                <w:szCs w:val="20"/>
                <w:color w:val="auto"/>
              </w:rPr>
            </w:pPr>
            <w:r>
              <w:rPr>
                <w:rFonts w:ascii="Arial" w:cs="Arial" w:eastAsia="Arial" w:hAnsi="Arial"/>
                <w:sz w:val="15"/>
                <w:szCs w:val="15"/>
                <w:color w:val="auto"/>
              </w:rPr>
              <w:t>2021</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35,478</w:t>
            </w: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18,387</w:t>
            </w:r>
          </w:p>
        </w:tc>
      </w:tr>
      <w:tr>
        <w:trPr>
          <w:trHeight w:val="175"/>
        </w:trPr>
        <w:tc>
          <w:tcPr>
            <w:tcW w:w="10060" w:type="dxa"/>
            <w:vAlign w:val="bottom"/>
          </w:tcPr>
          <w:p>
            <w:pPr>
              <w:spacing w:after="0"/>
              <w:rPr>
                <w:sz w:val="20"/>
                <w:szCs w:val="20"/>
                <w:color w:val="auto"/>
              </w:rPr>
            </w:pPr>
            <w:r>
              <w:rPr>
                <w:rFonts w:ascii="Arial" w:cs="Arial" w:eastAsia="Arial" w:hAnsi="Arial"/>
                <w:sz w:val="15"/>
                <w:szCs w:val="15"/>
                <w:color w:val="auto"/>
              </w:rPr>
              <w:t>2023</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7,083</w:t>
            </w:r>
          </w:p>
        </w:tc>
        <w:tc>
          <w:tcPr>
            <w:tcW w:w="100" w:type="dxa"/>
            <w:vAlign w:val="bottom"/>
          </w:tcPr>
          <w:p>
            <w:pPr>
              <w:spacing w:after="0"/>
              <w:rPr>
                <w:sz w:val="15"/>
                <w:szCs w:val="15"/>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7,151</w:t>
            </w:r>
          </w:p>
        </w:tc>
        <w:tc>
          <w:tcPr>
            <w:tcW w:w="100" w:type="dxa"/>
            <w:vAlign w:val="bottom"/>
            <w:shd w:val="clear" w:color="auto" w:fill="CCEEFF"/>
          </w:tcPr>
          <w:p>
            <w:pPr>
              <w:spacing w:after="0"/>
              <w:rPr>
                <w:sz w:val="15"/>
                <w:szCs w:val="15"/>
                <w:color w:val="auto"/>
              </w:rPr>
            </w:pPr>
          </w:p>
        </w:tc>
      </w:tr>
      <w:tr>
        <w:trPr>
          <w:trHeight w:val="177"/>
        </w:trPr>
        <w:tc>
          <w:tcPr>
            <w:tcW w:w="10060" w:type="dxa"/>
            <w:vAlign w:val="bottom"/>
          </w:tcPr>
          <w:p>
            <w:pPr>
              <w:spacing w:after="0"/>
              <w:rPr>
                <w:sz w:val="20"/>
                <w:szCs w:val="20"/>
                <w:color w:val="auto"/>
              </w:rPr>
            </w:pPr>
            <w:r>
              <w:rPr>
                <w:rFonts w:ascii="Arial" w:cs="Arial" w:eastAsia="Arial" w:hAnsi="Arial"/>
                <w:sz w:val="15"/>
                <w:szCs w:val="15"/>
                <w:color w:val="auto"/>
              </w:rPr>
              <w:t>Thereafter</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26,458</w:t>
            </w:r>
          </w:p>
        </w:tc>
      </w:tr>
      <w:tr>
        <w:trPr>
          <w:trHeight w:val="215"/>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36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132,333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During the years ended December 31, 2019 and 2018, the Company recognized rental expense for all operating leases of $37,069 and $23,687, respectively, related primarily to LNG vessel time charters, office space, a land site lease and marine port berth leases.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5"/>
          <w:szCs w:val="15"/>
          <w:color w:val="auto"/>
        </w:rPr>
        <w:t>The Company has entered into several leases for ISO tanks that have not commenced as of December 31, 2020 with noncancelable terms of 5 years and including fixed payments of approximately $19 million.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Lessor</w:t>
      </w:r>
    </w:p>
    <w:p>
      <w:pPr>
        <w:spacing w:after="0" w:line="204" w:lineRule="exact"/>
        <w:rPr>
          <w:sz w:val="20"/>
          <w:szCs w:val="20"/>
          <w:color w:val="auto"/>
        </w:rPr>
      </w:pPr>
    </w:p>
    <w:p>
      <w:pPr>
        <w:jc w:val="both"/>
        <w:ind w:right="100"/>
        <w:spacing w:after="0" w:line="253" w:lineRule="auto"/>
        <w:rPr>
          <w:sz w:val="20"/>
          <w:szCs w:val="20"/>
          <w:color w:val="auto"/>
        </w:rPr>
      </w:pPr>
      <w:r>
        <w:rPr>
          <w:rFonts w:ascii="Arial" w:cs="Arial" w:eastAsia="Arial" w:hAnsi="Arial"/>
          <w:sz w:val="15"/>
          <w:szCs w:val="15"/>
          <w:color w:val="auto"/>
        </w:rPr>
        <w:t>In the Company’s agreements to sell LNG or natural gas to customers, the Company may also lease certain equipment to customers which are accounted for either as a finance or an operating lease. Property, plant and equipment subject to operating leases is included within ISO containers and other equipment within Note 11. Property, plant and equipment, net. The following is the amount of property, plant and equipment that is leased to customers: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38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r>
      <w:tr>
        <w:trPr>
          <w:trHeight w:val="175"/>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w:t>
            </w:r>
          </w:p>
        </w:tc>
        <w:tc>
          <w:tcPr>
            <w:tcW w:w="6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18,394</w:t>
            </w:r>
          </w:p>
        </w:tc>
        <w:tc>
          <w:tcPr>
            <w:tcW w:w="100" w:type="dxa"/>
            <w:vAlign w:val="bottom"/>
            <w:shd w:val="clear" w:color="auto" w:fill="CCEEFF"/>
          </w:tcPr>
          <w:p>
            <w:pPr>
              <w:spacing w:after="0"/>
              <w:rPr>
                <w:sz w:val="15"/>
                <w:szCs w:val="15"/>
                <w:color w:val="auto"/>
              </w:rPr>
            </w:pPr>
          </w:p>
        </w:tc>
      </w:tr>
      <w:tr>
        <w:trPr>
          <w:trHeight w:val="177"/>
        </w:trPr>
        <w:tc>
          <w:tcPr>
            <w:tcW w:w="3820" w:type="dxa"/>
            <w:vAlign w:val="bottom"/>
          </w:tcPr>
          <w:p>
            <w:pPr>
              <w:spacing w:after="0"/>
              <w:rPr>
                <w:sz w:val="20"/>
                <w:szCs w:val="20"/>
                <w:color w:val="auto"/>
              </w:rPr>
            </w:pPr>
            <w:r>
              <w:rPr>
                <w:rFonts w:ascii="Arial" w:cs="Arial" w:eastAsia="Arial" w:hAnsi="Arial"/>
                <w:sz w:val="15"/>
                <w:szCs w:val="15"/>
                <w:color w:val="auto"/>
              </w:rPr>
              <w:t>Accumulated depreciation</w:t>
            </w:r>
          </w:p>
        </w:tc>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(932)</w:t>
            </w:r>
          </w:p>
        </w:tc>
      </w:tr>
      <w:tr>
        <w:trPr>
          <w:trHeight w:val="215"/>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Property, plant and equipment, net</w:t>
            </w:r>
          </w:p>
        </w:tc>
        <w:tc>
          <w:tcPr>
            <w:tcW w:w="6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17,462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67"/>
        </w:trPr>
        <w:tc>
          <w:tcPr>
            <w:tcW w:w="3820" w:type="dxa"/>
            <w:vAlign w:val="bottom"/>
          </w:tcPr>
          <w:p>
            <w:pPr>
              <w:spacing w:after="0"/>
              <w:rPr>
                <w:sz w:val="24"/>
                <w:szCs w:val="24"/>
                <w:color w:val="auto"/>
              </w:rPr>
            </w:pPr>
          </w:p>
        </w:tc>
        <w:tc>
          <w:tcPr>
            <w:tcW w:w="6340" w:type="dxa"/>
            <w:vAlign w:val="bottom"/>
            <w:gridSpan w:val="2"/>
          </w:tcPr>
          <w:p>
            <w:pPr>
              <w:jc w:val="right"/>
              <w:ind w:right="4348"/>
              <w:spacing w:after="0"/>
              <w:rPr>
                <w:sz w:val="20"/>
                <w:szCs w:val="20"/>
                <w:color w:val="auto"/>
              </w:rPr>
            </w:pPr>
            <w:r>
              <w:rPr>
                <w:rFonts w:ascii="Arial" w:cs="Arial" w:eastAsia="Arial" w:hAnsi="Arial"/>
                <w:sz w:val="12"/>
                <w:szCs w:val="12"/>
                <w:color w:val="auto"/>
              </w:rPr>
              <w:t>F-22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382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00" w:type="dxa"/>
            <w:vAlign w:val="bottom"/>
            <w:gridSpan w:val="2"/>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6"/>
        </w:trPr>
        <w:tc>
          <w:tcPr>
            <w:tcW w:w="8700" w:type="dxa"/>
            <w:vAlign w:val="bottom"/>
            <w:gridSpan w:val="2"/>
          </w:tcPr>
          <w:p>
            <w:pPr>
              <w:spacing w:after="0"/>
              <w:rPr>
                <w:sz w:val="20"/>
                <w:szCs w:val="20"/>
                <w:color w:val="auto"/>
              </w:rPr>
            </w:pPr>
            <w:r>
              <w:rPr>
                <w:rFonts w:ascii="Arial" w:cs="Arial" w:eastAsia="Arial" w:hAnsi="Arial"/>
                <w:sz w:val="15"/>
                <w:szCs w:val="15"/>
                <w:color w:val="auto"/>
              </w:rPr>
              <w:t>The following table shows the expected future lease payments as of December 31, 2020, for 2021 through 2025 and thereafter:</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3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5"/>
                <w:szCs w:val="15"/>
                <w:b w:val="1"/>
                <w:bCs w:val="1"/>
                <w:color w:val="auto"/>
              </w:rPr>
              <w:t>Future cash receipts</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36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5"/>
                <w:szCs w:val="15"/>
                <w:b w:val="1"/>
                <w:bCs w:val="1"/>
                <w:color w:val="auto"/>
              </w:rPr>
              <w:t>Financing leases</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w w:val="85"/>
              </w:rPr>
              <w:t>Operating leases</w:t>
            </w:r>
          </w:p>
        </w:tc>
        <w:tc>
          <w:tcPr>
            <w:tcW w:w="100" w:type="dxa"/>
            <w:vAlign w:val="bottom"/>
          </w:tcPr>
          <w:p>
            <w:pPr>
              <w:spacing w:after="0"/>
              <w:rPr>
                <w:sz w:val="15"/>
                <w:szCs w:val="15"/>
                <w:color w:val="auto"/>
              </w:rPr>
            </w:pPr>
          </w:p>
        </w:tc>
      </w:tr>
      <w:tr>
        <w:trPr>
          <w:trHeight w:val="175"/>
        </w:trPr>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83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2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00" w:type="dxa"/>
            <w:vAlign w:val="bottom"/>
            <w:shd w:val="clear" w:color="auto" w:fill="CCEEFF"/>
          </w:tcPr>
          <w:p>
            <w:pPr>
              <w:spacing w:after="0"/>
              <w:rPr>
                <w:sz w:val="15"/>
                <w:szCs w:val="15"/>
                <w:color w:val="auto"/>
              </w:rPr>
            </w:pPr>
          </w:p>
        </w:tc>
      </w:tr>
      <w:tr>
        <w:trPr>
          <w:trHeight w:val="175"/>
        </w:trPr>
        <w:tc>
          <w:tcPr>
            <w:tcW w:w="360" w:type="dxa"/>
            <w:vAlign w:val="bottom"/>
          </w:tcPr>
          <w:p>
            <w:pPr>
              <w:spacing w:after="0"/>
              <w:rPr>
                <w:sz w:val="20"/>
                <w:szCs w:val="20"/>
                <w:color w:val="auto"/>
              </w:rPr>
            </w:pPr>
            <w:r>
              <w:rPr>
                <w:rFonts w:ascii="Arial" w:cs="Arial" w:eastAsia="Arial" w:hAnsi="Arial"/>
                <w:sz w:val="15"/>
                <w:szCs w:val="15"/>
                <w:color w:val="auto"/>
              </w:rPr>
              <w:t>2022</w:t>
            </w:r>
          </w:p>
        </w:tc>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2,065</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247</w:t>
            </w:r>
          </w:p>
        </w:tc>
      </w:tr>
      <w:tr>
        <w:trPr>
          <w:trHeight w:val="175"/>
        </w:trPr>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2,066</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249</w:t>
            </w:r>
          </w:p>
        </w:tc>
      </w:tr>
      <w:tr>
        <w:trPr>
          <w:trHeight w:val="175"/>
        </w:trPr>
        <w:tc>
          <w:tcPr>
            <w:tcW w:w="360" w:type="dxa"/>
            <w:vAlign w:val="bottom"/>
          </w:tcPr>
          <w:p>
            <w:pPr>
              <w:spacing w:after="0"/>
              <w:rPr>
                <w:sz w:val="20"/>
                <w:szCs w:val="20"/>
                <w:color w:val="auto"/>
              </w:rPr>
            </w:pPr>
            <w:r>
              <w:rPr>
                <w:rFonts w:ascii="Arial" w:cs="Arial" w:eastAsia="Arial" w:hAnsi="Arial"/>
                <w:sz w:val="15"/>
                <w:szCs w:val="15"/>
                <w:color w:val="auto"/>
              </w:rPr>
              <w:t>2024</w:t>
            </w:r>
          </w:p>
        </w:tc>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2,068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234</w:t>
            </w:r>
          </w:p>
        </w:tc>
      </w:tr>
      <w:tr>
        <w:trPr>
          <w:trHeight w:val="175"/>
        </w:trPr>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1,933</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194</w:t>
            </w:r>
          </w:p>
        </w:tc>
      </w:tr>
      <w:tr>
        <w:trPr>
          <w:trHeight w:val="177"/>
        </w:trPr>
        <w:tc>
          <w:tcPr>
            <w:tcW w:w="870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5,438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539</w:t>
            </w:r>
          </w:p>
        </w:tc>
      </w:tr>
      <w:tr>
        <w:trPr>
          <w:trHeight w:val="177"/>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Total</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15,535</w:t>
            </w: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2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1,719</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7"/>
        </w:trPr>
        <w:tc>
          <w:tcPr>
            <w:tcW w:w="8700" w:type="dxa"/>
            <w:vAlign w:val="bottom"/>
            <w:gridSpan w:val="2"/>
          </w:tcPr>
          <w:p>
            <w:pPr>
              <w:spacing w:after="0"/>
              <w:rPr>
                <w:sz w:val="20"/>
                <w:szCs w:val="20"/>
                <w:color w:val="auto"/>
              </w:rPr>
            </w:pPr>
            <w:r>
              <w:rPr>
                <w:rFonts w:ascii="Arial" w:cs="Arial" w:eastAsia="Arial" w:hAnsi="Arial"/>
                <w:sz w:val="15"/>
                <w:szCs w:val="15"/>
                <w:color w:val="auto"/>
              </w:rPr>
              <w:t>Less: Imputed interest</w:t>
            </w:r>
          </w:p>
        </w:tc>
        <w:tc>
          <w:tcPr>
            <w:tcW w:w="3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7,119</w:t>
            </w: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Present value of total lease receipts</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8,416</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59"/>
        </w:trPr>
        <w:tc>
          <w:tcPr>
            <w:tcW w:w="870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finance leases, net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8700" w:type="dxa"/>
            <w:vAlign w:val="bottom"/>
            <w:gridSpan w:val="2"/>
          </w:tcPr>
          <w:p>
            <w:pPr>
              <w:spacing w:after="0"/>
              <w:rPr>
                <w:sz w:val="20"/>
                <w:szCs w:val="20"/>
                <w:color w:val="auto"/>
              </w:rPr>
            </w:pPr>
            <w:r>
              <w:rPr>
                <w:rFonts w:ascii="Arial" w:cs="Arial" w:eastAsia="Arial" w:hAnsi="Arial"/>
                <w:sz w:val="15"/>
                <w:szCs w:val="15"/>
                <w:color w:val="auto"/>
              </w:rPr>
              <w:t>Non-current finance leases, net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7,044</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360" w:type="dxa"/>
            <w:vAlign w:val="bottom"/>
          </w:tcPr>
          <w:p>
            <w:pPr>
              <w:spacing w:after="0"/>
              <w:rPr>
                <w:sz w:val="20"/>
                <w:szCs w:val="20"/>
                <w:color w:val="auto"/>
              </w:rPr>
            </w:pPr>
            <w:r>
              <w:rPr>
                <w:rFonts w:ascii="Arial" w:cs="Arial" w:eastAsia="Arial" w:hAnsi="Arial"/>
                <w:sz w:val="15"/>
                <w:szCs w:val="15"/>
                <w:b w:val="1"/>
                <w:bCs w:val="1"/>
                <w:color w:val="auto"/>
              </w:rPr>
              <w:t>6.</w:t>
            </w:r>
          </w:p>
        </w:tc>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Fair value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Fair value measurements and disclosures require the use of valuation techniques to measure fair value that maximize the use of observable inputs and minimize use of unobservable inputs.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These inputs are prioritized as follows:</w:t>
      </w:r>
    </w:p>
    <w:p>
      <w:pPr>
        <w:spacing w:after="0" w:line="190"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Level 1 – observable inputs such as quoted prices in active markets for identical assets or liabilities.</w:t>
      </w:r>
    </w:p>
    <w:p>
      <w:pPr>
        <w:spacing w:after="0" w:line="200" w:lineRule="exact"/>
        <w:rPr>
          <w:rFonts w:ascii="Arial" w:cs="Arial" w:eastAsia="Arial" w:hAnsi="Arial"/>
          <w:sz w:val="15"/>
          <w:szCs w:val="15"/>
          <w:color w:val="auto"/>
        </w:rPr>
      </w:pPr>
    </w:p>
    <w:p>
      <w:pPr>
        <w:ind w:left="400" w:right="600" w:hanging="392"/>
        <w:spacing w:after="0" w:line="263" w:lineRule="auto"/>
        <w:tabs>
          <w:tab w:leader="none" w:pos="4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Level 2 – inputs other than quoted prices included within Level 1 that are observable, either directly or indirectly, such as quoted prices for similar assets or liabilities or market corroborated inputs.</w:t>
      </w:r>
    </w:p>
    <w:p>
      <w:pPr>
        <w:spacing w:after="0" w:line="170" w:lineRule="exact"/>
        <w:rPr>
          <w:rFonts w:ascii="Arial" w:cs="Arial" w:eastAsia="Arial" w:hAnsi="Arial"/>
          <w:sz w:val="15"/>
          <w:szCs w:val="15"/>
          <w:color w:val="auto"/>
        </w:rPr>
      </w:pPr>
    </w:p>
    <w:p>
      <w:pPr>
        <w:ind w:left="400" w:right="60" w:hanging="392"/>
        <w:spacing w:after="0" w:line="263" w:lineRule="auto"/>
        <w:tabs>
          <w:tab w:leader="none" w:pos="4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Level 3 – unobservable inputs for which there is little or no market data and which require the Company to develop its own assumptions about how market participants price the asset or liability.</w:t>
      </w:r>
    </w:p>
    <w:p>
      <w:pPr>
        <w:spacing w:after="0" w:line="200" w:lineRule="exact"/>
        <w:rPr>
          <w:sz w:val="20"/>
          <w:szCs w:val="20"/>
          <w:color w:val="auto"/>
        </w:rPr>
      </w:pPr>
    </w:p>
    <w:p>
      <w:pPr>
        <w:spacing w:after="0" w:line="343"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Market approach – uses prices and other relevant information generated by market transactions involving identical or comparable assets or liabilities.</w:t>
      </w:r>
    </w:p>
    <w:p>
      <w:pPr>
        <w:spacing w:after="0" w:line="200" w:lineRule="exact"/>
        <w:rPr>
          <w:rFonts w:ascii="Arial" w:cs="Arial" w:eastAsia="Arial" w:hAnsi="Arial"/>
          <w:sz w:val="15"/>
          <w:szCs w:val="15"/>
          <w:color w:val="auto"/>
        </w:rPr>
      </w:pPr>
    </w:p>
    <w:p>
      <w:pPr>
        <w:ind w:left="400" w:right="280" w:hanging="392"/>
        <w:spacing w:after="0" w:line="263" w:lineRule="auto"/>
        <w:tabs>
          <w:tab w:leader="none" w:pos="4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Income approach – uses valuation techniques, such as the discounted cash flow technique, to convert future amounts to a single present amount based on current market expectations about those future amounts.</w:t>
      </w:r>
    </w:p>
    <w:p>
      <w:pPr>
        <w:spacing w:after="0" w:line="170" w:lineRule="exact"/>
        <w:rPr>
          <w:rFonts w:ascii="Arial" w:cs="Arial" w:eastAsia="Arial" w:hAnsi="Arial"/>
          <w:sz w:val="15"/>
          <w:szCs w:val="15"/>
          <w:color w:val="auto"/>
        </w:rPr>
      </w:pPr>
    </w:p>
    <w:p>
      <w:pPr>
        <w:ind w:left="400" w:hanging="392"/>
        <w:spacing w:after="0"/>
        <w:tabs>
          <w:tab w:leader="none" w:pos="4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Cost approach – based on the amount that currently would be required to replace the service capacity of an asset (replacement cost).</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Company’s financial assets and financial liabilities that are measured at fair value as of December 31, 2020 and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160"/>
              <w:spacing w:after="0"/>
              <w:rPr>
                <w:sz w:val="20"/>
                <w:szCs w:val="20"/>
                <w:color w:val="auto"/>
              </w:rPr>
            </w:pPr>
            <w:r>
              <w:rPr>
                <w:rFonts w:ascii="Arial" w:cs="Arial" w:eastAsia="Arial" w:hAnsi="Arial"/>
                <w:sz w:val="15"/>
                <w:szCs w:val="15"/>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1"/>
              </w:rPr>
              <w:t>Valuation</w:t>
            </w:r>
          </w:p>
        </w:tc>
        <w:tc>
          <w:tcPr>
            <w:tcW w:w="100" w:type="dxa"/>
            <w:vAlign w:val="bottom"/>
          </w:tcPr>
          <w:p>
            <w:pPr>
              <w:spacing w:after="0"/>
              <w:rPr>
                <w:sz w:val="13"/>
                <w:szCs w:val="13"/>
                <w:color w:val="auto"/>
              </w:rPr>
            </w:pPr>
          </w:p>
        </w:tc>
      </w:tr>
      <w:tr>
        <w:trPr>
          <w:trHeight w:val="192"/>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1</w:t>
            </w:r>
          </w:p>
        </w:tc>
        <w:tc>
          <w:tcPr>
            <w:tcW w:w="940" w:type="dxa"/>
            <w:vAlign w:val="bottom"/>
          </w:tcPr>
          <w:p>
            <w:pPr>
              <w:jc w:val="right"/>
              <w:ind w:right="67"/>
              <w:spacing w:after="0"/>
              <w:rPr>
                <w:sz w:val="20"/>
                <w:szCs w:val="20"/>
                <w:color w:val="auto"/>
              </w:rPr>
            </w:pPr>
            <w:r>
              <w:rPr>
                <w:rFonts w:ascii="Arial" w:cs="Arial" w:eastAsia="Arial" w:hAnsi="Arial"/>
                <w:sz w:val="15"/>
                <w:szCs w:val="15"/>
                <w:b w:val="1"/>
                <w:bCs w:val="1"/>
                <w:color w:val="auto"/>
              </w:rPr>
              <w:t>Level 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7"/>
              </w:rPr>
              <w:t>technique</w:t>
            </w:r>
          </w:p>
        </w:tc>
        <w:tc>
          <w:tcPr>
            <w:tcW w:w="100" w:type="dxa"/>
            <w:vAlign w:val="bottom"/>
          </w:tcPr>
          <w:p>
            <w:pPr>
              <w:spacing w:after="0"/>
              <w:rPr>
                <w:sz w:val="16"/>
                <w:szCs w:val="16"/>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601,522</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601,522</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Market approach</w:t>
            </w:r>
          </w:p>
        </w:tc>
        <w:tc>
          <w:tcPr>
            <w:tcW w:w="100" w:type="dxa"/>
            <w:vAlign w:val="bottom"/>
            <w:shd w:val="clear" w:color="auto" w:fill="CCEEFF"/>
          </w:tcPr>
          <w:p>
            <w:pPr>
              <w:spacing w:after="0"/>
              <w:rPr>
                <w:sz w:val="15"/>
                <w:szCs w:val="15"/>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27,814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27,814</w:t>
            </w:r>
          </w:p>
        </w:tc>
        <w:tc>
          <w:tcPr>
            <w:tcW w:w="1120" w:type="dxa"/>
            <w:vAlign w:val="bottom"/>
          </w:tcPr>
          <w:p>
            <w:pPr>
              <w:jc w:val="center"/>
              <w:spacing w:after="0"/>
              <w:rPr>
                <w:sz w:val="20"/>
                <w:szCs w:val="20"/>
                <w:color w:val="auto"/>
              </w:rPr>
            </w:pPr>
            <w:r>
              <w:rPr>
                <w:rFonts w:ascii="Arial" w:cs="Arial" w:eastAsia="Arial" w:hAnsi="Arial"/>
                <w:sz w:val="15"/>
                <w:szCs w:val="15"/>
                <w:color w:val="auto"/>
                <w:w w:val="87"/>
              </w:rPr>
              <w:t>Market approach</w:t>
            </w:r>
          </w:p>
        </w:tc>
        <w:tc>
          <w:tcPr>
            <w:tcW w:w="100" w:type="dxa"/>
            <w:vAlign w:val="bottom"/>
          </w:tcPr>
          <w:p>
            <w:pPr>
              <w:spacing w:after="0"/>
              <w:rPr>
                <w:sz w:val="15"/>
                <w:szCs w:val="15"/>
                <w:color w:val="auto"/>
              </w:rPr>
            </w:pPr>
          </w:p>
        </w:tc>
      </w:tr>
      <w:tr>
        <w:trPr>
          <w:trHeight w:val="17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Investment in equity securities</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1,095</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1,095</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Market approach</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630,431</w:t>
            </w:r>
          </w:p>
        </w:tc>
        <w:tc>
          <w:tcPr>
            <w:tcW w:w="240" w:type="dxa"/>
            <w:vAlign w:val="bottom"/>
          </w:tcPr>
          <w:p>
            <w:pPr>
              <w:spacing w:after="0"/>
              <w:rPr>
                <w:sz w:val="15"/>
                <w:szCs w:val="15"/>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630,431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Derivative liability¹</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10,716</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10,716</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Income approach</w:t>
            </w:r>
          </w:p>
        </w:tc>
        <w:tc>
          <w:tcPr>
            <w:tcW w:w="100" w:type="dxa"/>
            <w:vAlign w:val="bottom"/>
            <w:shd w:val="clear" w:color="auto" w:fill="CCEEFF"/>
          </w:tcPr>
          <w:p>
            <w:pPr>
              <w:spacing w:after="0"/>
              <w:rPr>
                <w:sz w:val="15"/>
                <w:szCs w:val="15"/>
                <w:color w:val="auto"/>
              </w:rPr>
            </w:pPr>
          </w:p>
        </w:tc>
      </w:tr>
      <w:tr>
        <w:trPr>
          <w:trHeight w:val="177"/>
        </w:trPr>
        <w:tc>
          <w:tcPr>
            <w:tcW w:w="4640" w:type="dxa"/>
            <w:vAlign w:val="bottom"/>
          </w:tcPr>
          <w:p>
            <w:pPr>
              <w:spacing w:after="0"/>
              <w:rPr>
                <w:sz w:val="20"/>
                <w:szCs w:val="20"/>
                <w:color w:val="auto"/>
              </w:rPr>
            </w:pPr>
            <w:r>
              <w:rPr>
                <w:rFonts w:ascii="Arial" w:cs="Arial" w:eastAsia="Arial" w:hAnsi="Arial"/>
                <w:sz w:val="15"/>
                <w:szCs w:val="15"/>
                <w:color w:val="auto"/>
              </w:rPr>
              <w:t>Equity agreement²</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22,768</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22,768</w:t>
            </w:r>
          </w:p>
        </w:tc>
        <w:tc>
          <w:tcPr>
            <w:tcW w:w="1120" w:type="dxa"/>
            <w:vAlign w:val="bottom"/>
          </w:tcPr>
          <w:p>
            <w:pPr>
              <w:jc w:val="center"/>
              <w:spacing w:after="0"/>
              <w:rPr>
                <w:sz w:val="20"/>
                <w:szCs w:val="20"/>
                <w:color w:val="auto"/>
              </w:rPr>
            </w:pPr>
            <w:r>
              <w:rPr>
                <w:rFonts w:ascii="Arial" w:cs="Arial" w:eastAsia="Arial" w:hAnsi="Arial"/>
                <w:sz w:val="15"/>
                <w:szCs w:val="15"/>
                <w:color w:val="auto"/>
                <w:w w:val="87"/>
              </w:rPr>
              <w:t>Income approach</w:t>
            </w:r>
          </w:p>
        </w:tc>
        <w:tc>
          <w:tcPr>
            <w:tcW w:w="100" w:type="dxa"/>
            <w:vAlign w:val="bottom"/>
          </w:tcPr>
          <w:p>
            <w:pPr>
              <w:spacing w:after="0"/>
              <w:rPr>
                <w:sz w:val="15"/>
                <w:szCs w:val="15"/>
                <w:color w:val="auto"/>
              </w:rPr>
            </w:pPr>
          </w:p>
        </w:tc>
      </w:tr>
      <w:tr>
        <w:trPr>
          <w:trHeight w:val="215"/>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33,484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33,484</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467"/>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680"/>
              <w:spacing w:after="0"/>
              <w:rPr>
                <w:sz w:val="20"/>
                <w:szCs w:val="20"/>
                <w:color w:val="auto"/>
              </w:rPr>
            </w:pPr>
            <w:r>
              <w:rPr>
                <w:rFonts w:ascii="Arial" w:cs="Arial" w:eastAsia="Arial" w:hAnsi="Arial"/>
                <w:sz w:val="12"/>
                <w:szCs w:val="12"/>
                <w:color w:val="auto"/>
              </w:rPr>
              <w:t>F-23</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4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sectPr>
      </w:pPr>
    </w:p>
    <w:bookmarkStart w:id="111" w:name="page112"/>
    <w:bookmarkEnd w:id="11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160"/>
              <w:spacing w:after="0"/>
              <w:rPr>
                <w:sz w:val="20"/>
                <w:szCs w:val="20"/>
                <w:color w:val="auto"/>
              </w:rPr>
            </w:pPr>
            <w:r>
              <w:rPr>
                <w:rFonts w:ascii="Arial" w:cs="Arial" w:eastAsia="Arial" w:hAnsi="Arial"/>
                <w:sz w:val="15"/>
                <w:szCs w:val="15"/>
                <w:b w:val="1"/>
                <w:bCs w:val="1"/>
                <w:color w:val="auto"/>
              </w:rPr>
              <w:t>December 31, 2019</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1"/>
              </w:rPr>
              <w:t>Valuation</w:t>
            </w:r>
          </w:p>
        </w:tc>
        <w:tc>
          <w:tcPr>
            <w:tcW w:w="100" w:type="dxa"/>
            <w:vAlign w:val="bottom"/>
          </w:tcPr>
          <w:p>
            <w:pPr>
              <w:spacing w:after="0"/>
              <w:rPr>
                <w:sz w:val="13"/>
                <w:szCs w:val="13"/>
                <w:color w:val="auto"/>
              </w:rPr>
            </w:pPr>
          </w:p>
        </w:tc>
      </w:tr>
      <w:tr>
        <w:trPr>
          <w:trHeight w:val="192"/>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1</w:t>
            </w:r>
          </w:p>
        </w:tc>
        <w:tc>
          <w:tcPr>
            <w:tcW w:w="940" w:type="dxa"/>
            <w:vAlign w:val="bottom"/>
          </w:tcPr>
          <w:p>
            <w:pPr>
              <w:jc w:val="right"/>
              <w:ind w:right="67"/>
              <w:spacing w:after="0"/>
              <w:rPr>
                <w:sz w:val="20"/>
                <w:szCs w:val="20"/>
                <w:color w:val="auto"/>
              </w:rPr>
            </w:pPr>
            <w:r>
              <w:rPr>
                <w:rFonts w:ascii="Arial" w:cs="Arial" w:eastAsia="Arial" w:hAnsi="Arial"/>
                <w:sz w:val="15"/>
                <w:szCs w:val="15"/>
                <w:b w:val="1"/>
                <w:bCs w:val="1"/>
                <w:color w:val="auto"/>
              </w:rPr>
              <w:t>Level 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7"/>
              </w:rPr>
              <w:t>technique</w:t>
            </w:r>
          </w:p>
        </w:tc>
        <w:tc>
          <w:tcPr>
            <w:tcW w:w="100" w:type="dxa"/>
            <w:vAlign w:val="bottom"/>
          </w:tcPr>
          <w:p>
            <w:pPr>
              <w:spacing w:after="0"/>
              <w:rPr>
                <w:sz w:val="16"/>
                <w:szCs w:val="16"/>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27,098</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27,098</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Market approach</w:t>
            </w:r>
          </w:p>
        </w:tc>
        <w:tc>
          <w:tcPr>
            <w:tcW w:w="100" w:type="dxa"/>
            <w:vAlign w:val="bottom"/>
            <w:shd w:val="clear" w:color="auto" w:fill="CCEEFF"/>
          </w:tcPr>
          <w:p>
            <w:pPr>
              <w:spacing w:after="0"/>
              <w:rPr>
                <w:sz w:val="15"/>
                <w:szCs w:val="15"/>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65,937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65,937</w:t>
            </w:r>
          </w:p>
        </w:tc>
        <w:tc>
          <w:tcPr>
            <w:tcW w:w="1120" w:type="dxa"/>
            <w:vAlign w:val="bottom"/>
          </w:tcPr>
          <w:p>
            <w:pPr>
              <w:jc w:val="center"/>
              <w:spacing w:after="0"/>
              <w:rPr>
                <w:sz w:val="20"/>
                <w:szCs w:val="20"/>
                <w:color w:val="auto"/>
              </w:rPr>
            </w:pPr>
            <w:r>
              <w:rPr>
                <w:rFonts w:ascii="Arial" w:cs="Arial" w:eastAsia="Arial" w:hAnsi="Arial"/>
                <w:sz w:val="15"/>
                <w:szCs w:val="15"/>
                <w:color w:val="auto"/>
                <w:w w:val="87"/>
              </w:rPr>
              <w:t>Market approach</w:t>
            </w:r>
          </w:p>
        </w:tc>
        <w:tc>
          <w:tcPr>
            <w:tcW w:w="100" w:type="dxa"/>
            <w:vAlign w:val="bottom"/>
          </w:tcPr>
          <w:p>
            <w:pPr>
              <w:spacing w:after="0"/>
              <w:rPr>
                <w:sz w:val="15"/>
                <w:szCs w:val="15"/>
                <w:color w:val="auto"/>
              </w:rPr>
            </w:pPr>
          </w:p>
        </w:tc>
      </w:tr>
      <w:tr>
        <w:trPr>
          <w:trHeight w:val="17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Investment in equity securities</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2,540</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2,540</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Market approach</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4640" w:type="dxa"/>
            <w:vAlign w:val="bottom"/>
          </w:tcPr>
          <w:p>
            <w:pPr>
              <w:ind w:left="120"/>
              <w:spacing w:after="0"/>
              <w:rPr>
                <w:sz w:val="20"/>
                <w:szCs w:val="20"/>
                <w:color w:val="auto"/>
              </w:rPr>
            </w:pPr>
            <w:r>
              <w:rPr>
                <w:rFonts w:ascii="Arial" w:cs="Arial" w:eastAsia="Arial" w:hAnsi="Arial"/>
                <w:sz w:val="15"/>
                <w:szCs w:val="15"/>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95,575</w:t>
            </w:r>
          </w:p>
        </w:tc>
        <w:tc>
          <w:tcPr>
            <w:tcW w:w="240" w:type="dxa"/>
            <w:vAlign w:val="bottom"/>
          </w:tcPr>
          <w:p>
            <w:pPr>
              <w:spacing w:after="0"/>
              <w:rPr>
                <w:sz w:val="15"/>
                <w:szCs w:val="15"/>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95,575</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Derivative liability¹</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9,800</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Income approach</w:t>
            </w:r>
          </w:p>
        </w:tc>
        <w:tc>
          <w:tcPr>
            <w:tcW w:w="100" w:type="dxa"/>
            <w:vAlign w:val="bottom"/>
            <w:shd w:val="clear" w:color="auto" w:fill="CCEEFF"/>
          </w:tcPr>
          <w:p>
            <w:pPr>
              <w:spacing w:after="0"/>
              <w:rPr>
                <w:sz w:val="15"/>
                <w:szCs w:val="15"/>
                <w:color w:val="auto"/>
              </w:rPr>
            </w:pPr>
          </w:p>
        </w:tc>
      </w:tr>
      <w:tr>
        <w:trPr>
          <w:trHeight w:val="177"/>
        </w:trPr>
        <w:tc>
          <w:tcPr>
            <w:tcW w:w="4640" w:type="dxa"/>
            <w:vAlign w:val="bottom"/>
          </w:tcPr>
          <w:p>
            <w:pPr>
              <w:spacing w:after="0"/>
              <w:rPr>
                <w:sz w:val="20"/>
                <w:szCs w:val="20"/>
                <w:color w:val="auto"/>
              </w:rPr>
            </w:pPr>
            <w:r>
              <w:rPr>
                <w:rFonts w:ascii="Arial" w:cs="Arial" w:eastAsia="Arial" w:hAnsi="Arial"/>
                <w:sz w:val="15"/>
                <w:szCs w:val="15"/>
                <w:color w:val="auto"/>
              </w:rPr>
              <w:t>Equity agreement²</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16,800</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16,800</w:t>
            </w:r>
          </w:p>
        </w:tc>
        <w:tc>
          <w:tcPr>
            <w:tcW w:w="1120" w:type="dxa"/>
            <w:vAlign w:val="bottom"/>
          </w:tcPr>
          <w:p>
            <w:pPr>
              <w:jc w:val="center"/>
              <w:spacing w:after="0"/>
              <w:rPr>
                <w:sz w:val="20"/>
                <w:szCs w:val="20"/>
                <w:color w:val="auto"/>
              </w:rPr>
            </w:pPr>
            <w:r>
              <w:rPr>
                <w:rFonts w:ascii="Arial" w:cs="Arial" w:eastAsia="Arial" w:hAnsi="Arial"/>
                <w:sz w:val="15"/>
                <w:szCs w:val="15"/>
                <w:color w:val="auto"/>
                <w:w w:val="87"/>
              </w:rPr>
              <w:t>Income approach</w:t>
            </w:r>
          </w:p>
        </w:tc>
        <w:tc>
          <w:tcPr>
            <w:tcW w:w="100" w:type="dxa"/>
            <w:vAlign w:val="bottom"/>
          </w:tcPr>
          <w:p>
            <w:pPr>
              <w:spacing w:after="0"/>
              <w:rPr>
                <w:sz w:val="15"/>
                <w:szCs w:val="15"/>
                <w:color w:val="auto"/>
              </w:rPr>
            </w:pPr>
          </w:p>
        </w:tc>
      </w:tr>
      <w:tr>
        <w:trPr>
          <w:trHeight w:val="215"/>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26,600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26,600</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97" w:lineRule="exact"/>
        <w:rPr>
          <w:sz w:val="20"/>
          <w:szCs w:val="20"/>
          <w:color w:val="auto"/>
        </w:rPr>
      </w:pPr>
    </w:p>
    <w:p>
      <w:pPr>
        <w:ind w:left="400" w:hanging="392"/>
        <w:spacing w:after="0"/>
        <w:tabs>
          <w:tab w:leader="none" w:pos="400" w:val="left"/>
        </w:tabs>
        <w:numPr>
          <w:ilvl w:val="0"/>
          <w:numId w:val="81"/>
        </w:numPr>
        <w:rPr>
          <w:rFonts w:ascii="Arial" w:cs="Arial" w:eastAsia="Arial" w:hAnsi="Arial"/>
          <w:sz w:val="24"/>
          <w:szCs w:val="24"/>
          <w:color w:val="auto"/>
          <w:vertAlign w:val="superscript"/>
        </w:rPr>
      </w:pPr>
      <w:r>
        <w:rPr>
          <w:rFonts w:ascii="Arial" w:cs="Arial" w:eastAsia="Arial" w:hAnsi="Arial"/>
          <w:sz w:val="15"/>
          <w:szCs w:val="15"/>
          <w:color w:val="auto"/>
        </w:rPr>
        <w:t>Consideration due to the sellers of Shannon LNG once first gas is supplied from the terminal to be built.</w:t>
      </w:r>
    </w:p>
    <w:p>
      <w:pPr>
        <w:spacing w:after="0" w:line="1" w:lineRule="exact"/>
        <w:rPr>
          <w:rFonts w:ascii="Arial" w:cs="Arial" w:eastAsia="Arial" w:hAnsi="Arial"/>
          <w:sz w:val="24"/>
          <w:szCs w:val="24"/>
          <w:color w:val="auto"/>
          <w:vertAlign w:val="superscript"/>
        </w:rPr>
      </w:pPr>
    </w:p>
    <w:p>
      <w:pPr>
        <w:ind w:left="400" w:hanging="392"/>
        <w:spacing w:after="0" w:line="181" w:lineRule="auto"/>
        <w:tabs>
          <w:tab w:leader="none" w:pos="400" w:val="left"/>
        </w:tabs>
        <w:numPr>
          <w:ilvl w:val="0"/>
          <w:numId w:val="81"/>
        </w:numPr>
        <w:rPr>
          <w:rFonts w:ascii="Arial" w:cs="Arial" w:eastAsia="Arial" w:hAnsi="Arial"/>
          <w:sz w:val="20"/>
          <w:szCs w:val="20"/>
          <w:color w:val="auto"/>
          <w:vertAlign w:val="superscript"/>
        </w:rPr>
      </w:pPr>
      <w:r>
        <w:rPr>
          <w:rFonts w:ascii="Arial" w:cs="Arial" w:eastAsia="Arial" w:hAnsi="Arial"/>
          <w:sz w:val="13"/>
          <w:szCs w:val="13"/>
          <w:color w:val="auto"/>
        </w:rPr>
        <w:t>To be paid at the earlier of agreed-upon date or the date on which the valid planning permission is received as specified in the amended Shannon LNG Agreement.</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table below summarizes the fair value adjustment, recorded within Other expense (income), net in the consolidated statements of operations and comprehensive loss, and currency translation adjustment, recorded within the Other comprehensive loss, for the year ended December 31,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7"/>
              <w:spacing w:after="0"/>
              <w:rPr>
                <w:sz w:val="20"/>
                <w:szCs w:val="20"/>
                <w:color w:val="auto"/>
              </w:rPr>
            </w:pPr>
            <w:r>
              <w:rPr>
                <w:rFonts w:ascii="Arial" w:cs="Arial" w:eastAsia="Arial" w:hAnsi="Arial"/>
                <w:sz w:val="15"/>
                <w:szCs w:val="15"/>
                <w:b w:val="1"/>
                <w:bCs w:val="1"/>
                <w:color w:val="auto"/>
                <w:w w:val="90"/>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8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Fair value adjustment -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5"/>
                <w:szCs w:val="15"/>
                <w:color w:val="auto"/>
              </w:rPr>
            </w:pPr>
          </w:p>
        </w:tc>
      </w:tr>
      <w:tr>
        <w:trPr>
          <w:trHeight w:val="186"/>
        </w:trPr>
        <w:tc>
          <w:tcPr>
            <w:tcW w:w="8700" w:type="dxa"/>
            <w:vAlign w:val="bottom"/>
          </w:tcPr>
          <w:p>
            <w:pPr>
              <w:spacing w:after="0"/>
              <w:rPr>
                <w:sz w:val="20"/>
                <w:szCs w:val="20"/>
                <w:color w:val="auto"/>
              </w:rPr>
            </w:pPr>
            <w:r>
              <w:rPr>
                <w:rFonts w:ascii="Arial" w:cs="Arial" w:eastAsia="Arial" w:hAnsi="Arial"/>
                <w:sz w:val="15"/>
                <w:szCs w:val="15"/>
                <w:color w:val="auto"/>
              </w:rPr>
              <w:t>Currency translation adjustment - Loss/(gain)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(280)</w:t>
            </w:r>
          </w:p>
        </w:tc>
      </w:tr>
    </w:tbl>
    <w:p>
      <w:pPr>
        <w:spacing w:after="0" w:line="176" w:lineRule="exact"/>
        <w:rPr>
          <w:sz w:val="20"/>
          <w:szCs w:val="20"/>
          <w:color w:val="auto"/>
        </w:rPr>
      </w:pPr>
    </w:p>
    <w:p>
      <w:pPr>
        <w:ind w:right="400"/>
        <w:spacing w:after="0" w:line="263" w:lineRule="auto"/>
        <w:rPr>
          <w:sz w:val="20"/>
          <w:szCs w:val="20"/>
          <w:color w:val="auto"/>
        </w:rPr>
      </w:pPr>
      <w:r>
        <w:rPr>
          <w:rFonts w:ascii="Arial" w:cs="Arial" w:eastAsia="Arial" w:hAnsi="Arial"/>
          <w:sz w:val="15"/>
          <w:szCs w:val="15"/>
          <w:color w:val="auto"/>
        </w:rPr>
        <w:t>During the years ended December 31, 2020 and 2019, the Company had no settlements of the equity agreement or derivative liability or any transfers in or out of Level 3 in the fair value hierarchy.</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The liability associated with the equity agreement of $22,768 and $16,800 as of December 31, 2020 and 2019, respectively, is recorded within Other current liabilities on the consolidated balance sheets. The liability associated with the derivative liability of $10,716 and $9,800 as of December 31, 2020 and 2019, respectively, is recorded within Other long-term liabilities on the consolidated balance sheets.</w:t>
      </w:r>
    </w:p>
    <w:p>
      <w:pPr>
        <w:spacing w:after="0" w:line="178" w:lineRule="exact"/>
        <w:rPr>
          <w:sz w:val="20"/>
          <w:szCs w:val="20"/>
          <w:color w:val="auto"/>
        </w:rPr>
      </w:pPr>
    </w:p>
    <w:p>
      <w:pPr>
        <w:ind w:right="660"/>
        <w:spacing w:after="0" w:line="263" w:lineRule="auto"/>
        <w:rPr>
          <w:sz w:val="20"/>
          <w:szCs w:val="20"/>
          <w:color w:val="auto"/>
        </w:rPr>
      </w:pPr>
      <w:r>
        <w:rPr>
          <w:rFonts w:ascii="Arial" w:cs="Arial" w:eastAsia="Arial" w:hAnsi="Arial"/>
          <w:sz w:val="15"/>
          <w:szCs w:val="15"/>
          <w:color w:val="auto"/>
        </w:rPr>
        <w:t>The Company estimates fair value of outstanding debt using quoted market prices. The fair value of the Senior Secured Notes (defined below in “Note 15. Debt”) was approximately $1,327,488 as of December 31, 2020. The fair value estimate is classified as Level 2 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20"/>
                <w:szCs w:val="20"/>
                <w:color w:val="auto"/>
              </w:rPr>
            </w:pPr>
            <w:r>
              <w:rPr>
                <w:rFonts w:ascii="Arial" w:cs="Arial" w:eastAsia="Arial" w:hAnsi="Arial"/>
                <w:sz w:val="15"/>
                <w:szCs w:val="15"/>
                <w:color w:val="auto"/>
              </w:rPr>
              <w:t>7</w:t>
            </w:r>
            <w:r>
              <w:rPr>
                <w:rFonts w:ascii="Arial" w:cs="Arial" w:eastAsia="Arial" w:hAnsi="Arial"/>
                <w:sz w:val="15"/>
                <w:szCs w:val="15"/>
                <w:b w:val="1"/>
                <w:bCs w:val="1"/>
                <w:color w:val="auto"/>
              </w:rPr>
              <w:t>.</w:t>
            </w:r>
          </w:p>
        </w:tc>
        <w:tc>
          <w:tcPr>
            <w:tcW w:w="4800" w:type="dxa"/>
            <w:vAlign w:val="bottom"/>
          </w:tcPr>
          <w:p>
            <w:pPr>
              <w:ind w:left="140"/>
              <w:spacing w:after="0"/>
              <w:rPr>
                <w:sz w:val="20"/>
                <w:szCs w:val="20"/>
                <w:color w:val="auto"/>
              </w:rPr>
            </w:pPr>
            <w:r>
              <w:rPr>
                <w:rFonts w:ascii="Arial" w:cs="Arial" w:eastAsia="Arial" w:hAnsi="Arial"/>
                <w:sz w:val="15"/>
                <w:szCs w:val="15"/>
                <w:b w:val="1"/>
                <w:bCs w:val="1"/>
                <w:color w:val="auto"/>
              </w:rPr>
              <w:t>Restricted cash</w:t>
            </w: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3"/>
        </w:trPr>
        <w:tc>
          <w:tcPr>
            <w:tcW w:w="5060" w:type="dxa"/>
            <w:vAlign w:val="bottom"/>
            <w:gridSpan w:val="2"/>
          </w:tcPr>
          <w:p>
            <w:pPr>
              <w:spacing w:after="0"/>
              <w:rPr>
                <w:sz w:val="20"/>
                <w:szCs w:val="20"/>
                <w:color w:val="auto"/>
              </w:rPr>
            </w:pPr>
            <w:r>
              <w:rPr>
                <w:rFonts w:ascii="Arial" w:cs="Arial" w:eastAsia="Arial" w:hAnsi="Arial"/>
                <w:sz w:val="15"/>
                <w:szCs w:val="15"/>
                <w:color w:val="auto"/>
                <w:w w:val="97"/>
              </w:rPr>
              <w:t>As of December 31, 2020 and 2019, restricted cash consisted of the following:</w:t>
            </w: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192"/>
        </w:trPr>
        <w:tc>
          <w:tcPr>
            <w:tcW w:w="2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r>
      <w:tr>
        <w:trPr>
          <w:trHeight w:val="175"/>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Collateral for performance under customer agreements</w:t>
            </w: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shd w:val="clear" w:color="auto" w:fill="CCEEFF"/>
          </w:tcPr>
          <w:p>
            <w:pPr>
              <w:spacing w:after="0"/>
              <w:rPr>
                <w:sz w:val="15"/>
                <w:szCs w:val="15"/>
                <w:color w:val="auto"/>
              </w:rPr>
            </w:pPr>
          </w:p>
        </w:tc>
      </w:tr>
      <w:tr>
        <w:trPr>
          <w:trHeight w:val="175"/>
        </w:trPr>
        <w:tc>
          <w:tcPr>
            <w:tcW w:w="5060" w:type="dxa"/>
            <w:vAlign w:val="bottom"/>
            <w:gridSpan w:val="2"/>
          </w:tcPr>
          <w:p>
            <w:pPr>
              <w:spacing w:after="0"/>
              <w:rPr>
                <w:sz w:val="20"/>
                <w:szCs w:val="20"/>
                <w:color w:val="auto"/>
              </w:rPr>
            </w:pPr>
            <w:r>
              <w:rPr>
                <w:rFonts w:ascii="Arial" w:cs="Arial" w:eastAsia="Arial" w:hAnsi="Arial"/>
                <w:sz w:val="15"/>
                <w:szCs w:val="15"/>
                <w:color w:val="auto"/>
              </w:rPr>
              <w:t>Collateral for LNG purchases</w:t>
            </w: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11,664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35,000</w:t>
            </w:r>
          </w:p>
        </w:tc>
      </w:tr>
      <w:tr>
        <w:trPr>
          <w:trHeight w:val="175"/>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Collateral for letters of credit and performance bonds</w:t>
            </w: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7,388</w:t>
            </w:r>
          </w:p>
        </w:tc>
        <w:tc>
          <w:tcPr>
            <w:tcW w:w="100" w:type="dxa"/>
            <w:vAlign w:val="bottom"/>
            <w:shd w:val="clear" w:color="auto" w:fill="CCEEFF"/>
          </w:tcPr>
          <w:p>
            <w:pPr>
              <w:spacing w:after="0"/>
              <w:rPr>
                <w:sz w:val="15"/>
                <w:szCs w:val="15"/>
                <w:color w:val="auto"/>
              </w:rPr>
            </w:pPr>
          </w:p>
        </w:tc>
      </w:tr>
      <w:tr>
        <w:trPr>
          <w:trHeight w:val="175"/>
        </w:trPr>
        <w:tc>
          <w:tcPr>
            <w:tcW w:w="5060" w:type="dxa"/>
            <w:vAlign w:val="bottom"/>
            <w:gridSpan w:val="2"/>
          </w:tcPr>
          <w:p>
            <w:pPr>
              <w:spacing w:after="0"/>
              <w:rPr>
                <w:sz w:val="20"/>
                <w:szCs w:val="20"/>
                <w:color w:val="auto"/>
              </w:rPr>
            </w:pPr>
            <w:r>
              <w:rPr>
                <w:rFonts w:ascii="Arial" w:cs="Arial" w:eastAsia="Arial" w:hAnsi="Arial"/>
                <w:sz w:val="15"/>
                <w:szCs w:val="15"/>
                <w:color w:val="auto"/>
              </w:rPr>
              <w:t>Debt service reserve account</w:t>
            </w: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8,299</w:t>
            </w:r>
          </w:p>
        </w:tc>
        <w:tc>
          <w:tcPr>
            <w:tcW w:w="100" w:type="dxa"/>
            <w:vAlign w:val="bottom"/>
          </w:tcPr>
          <w:p>
            <w:pPr>
              <w:spacing w:after="0"/>
              <w:rPr>
                <w:sz w:val="15"/>
                <w:szCs w:val="15"/>
                <w:color w:val="auto"/>
              </w:rPr>
            </w:pPr>
          </w:p>
        </w:tc>
      </w:tr>
      <w:tr>
        <w:trPr>
          <w:trHeight w:val="177"/>
        </w:trPr>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restricted cash</w:t>
            </w:r>
          </w:p>
        </w:tc>
        <w:tc>
          <w:tcPr>
            <w:tcW w:w="3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5060" w:type="dxa"/>
            <w:vAlign w:val="bottom"/>
            <w:gridSpan w:val="2"/>
          </w:tcPr>
          <w:p>
            <w:pPr>
              <w:ind w:left="120"/>
              <w:spacing w:after="0"/>
              <w:rPr>
                <w:sz w:val="20"/>
                <w:szCs w:val="20"/>
                <w:color w:val="auto"/>
              </w:rPr>
            </w:pPr>
            <w:r>
              <w:rPr>
                <w:rFonts w:ascii="Arial" w:cs="Arial" w:eastAsia="Arial" w:hAnsi="Arial"/>
                <w:sz w:val="15"/>
                <w:szCs w:val="15"/>
                <w:color w:val="auto"/>
              </w:rPr>
              <w:t>Total restricted cash</w:t>
            </w:r>
          </w:p>
        </w:tc>
        <w:tc>
          <w:tcPr>
            <w:tcW w:w="36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27,814</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65,937</w:t>
            </w:r>
          </w:p>
        </w:tc>
        <w:tc>
          <w:tcPr>
            <w:tcW w:w="100" w:type="dxa"/>
            <w:vAlign w:val="bottom"/>
          </w:tcPr>
          <w:p>
            <w:pPr>
              <w:spacing w:after="0"/>
              <w:rPr>
                <w:sz w:val="15"/>
                <w:szCs w:val="15"/>
                <w:color w:val="auto"/>
              </w:rPr>
            </w:pPr>
          </w:p>
        </w:tc>
      </w:tr>
      <w:tr>
        <w:trPr>
          <w:trHeight w:val="20"/>
        </w:trPr>
        <w:tc>
          <w:tcPr>
            <w:tcW w:w="50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5060" w:type="dxa"/>
            <w:vAlign w:val="bottom"/>
            <w:gridSpan w:val="2"/>
            <w:shd w:val="clear" w:color="auto" w:fill="CCEEFF"/>
          </w:tcPr>
          <w:p>
            <w:pPr>
              <w:spacing w:after="0"/>
              <w:rPr>
                <w:sz w:val="13"/>
                <w:szCs w:val="13"/>
                <w:color w:val="auto"/>
              </w:rPr>
            </w:pPr>
          </w:p>
        </w:tc>
        <w:tc>
          <w:tcPr>
            <w:tcW w:w="3740" w:type="dxa"/>
            <w:vAlign w:val="bottom"/>
            <w:gridSpan w:val="2"/>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r>
      <w:tr>
        <w:trPr>
          <w:trHeight w:val="175"/>
        </w:trPr>
        <w:tc>
          <w:tcPr>
            <w:tcW w:w="5060" w:type="dxa"/>
            <w:vAlign w:val="bottom"/>
            <w:gridSpan w:val="2"/>
          </w:tcPr>
          <w:p>
            <w:pPr>
              <w:spacing w:after="0"/>
              <w:rPr>
                <w:sz w:val="20"/>
                <w:szCs w:val="20"/>
                <w:color w:val="auto"/>
              </w:rPr>
            </w:pPr>
            <w:r>
              <w:rPr>
                <w:rFonts w:ascii="Arial" w:cs="Arial" w:eastAsia="Arial" w:hAnsi="Arial"/>
                <w:sz w:val="15"/>
                <w:szCs w:val="15"/>
                <w:color w:val="auto"/>
              </w:rPr>
              <w:t>Current restricted cash</w:t>
            </w:r>
          </w:p>
        </w:tc>
        <w:tc>
          <w:tcPr>
            <w:tcW w:w="37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12,814</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30,966</w:t>
            </w:r>
          </w:p>
        </w:tc>
      </w:tr>
      <w:tr>
        <w:trPr>
          <w:trHeight w:val="175"/>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Non-current restricted cash</w:t>
            </w: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34,971</w:t>
            </w:r>
          </w:p>
        </w:tc>
      </w:tr>
      <w:tr>
        <w:trPr>
          <w:trHeight w:val="484"/>
        </w:trPr>
        <w:tc>
          <w:tcPr>
            <w:tcW w:w="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740" w:type="dxa"/>
            <w:vAlign w:val="bottom"/>
            <w:gridSpan w:val="2"/>
          </w:tcPr>
          <w:p>
            <w:pPr>
              <w:jc w:val="right"/>
              <w:ind w:right="2967"/>
              <w:spacing w:after="0"/>
              <w:rPr>
                <w:sz w:val="20"/>
                <w:szCs w:val="20"/>
                <w:color w:val="auto"/>
              </w:rPr>
            </w:pPr>
            <w:r>
              <w:rPr>
                <w:rFonts w:ascii="Arial" w:cs="Arial" w:eastAsia="Arial" w:hAnsi="Arial"/>
                <w:sz w:val="12"/>
                <w:szCs w:val="12"/>
                <w:color w:val="auto"/>
              </w:rPr>
              <w:t>F-24</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2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5" w:right="319" w:bottom="1440" w:gutter="0" w:footer="0" w:header="0"/>
        </w:sectPr>
      </w:pPr>
    </w:p>
    <w:bookmarkStart w:id="112" w:name="page113"/>
    <w:bookmarkEnd w:id="11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20"/>
                <w:szCs w:val="20"/>
                <w:color w:val="auto"/>
              </w:rPr>
            </w:pPr>
            <w:r>
              <w:rPr>
                <w:rFonts w:ascii="Arial" w:cs="Arial" w:eastAsia="Arial" w:hAnsi="Arial"/>
                <w:sz w:val="15"/>
                <w:szCs w:val="15"/>
                <w:color w:val="auto"/>
              </w:rPr>
              <w:t>8</w:t>
            </w:r>
            <w:r>
              <w:rPr>
                <w:rFonts w:ascii="Arial" w:cs="Arial" w:eastAsia="Arial" w:hAnsi="Arial"/>
                <w:sz w:val="15"/>
                <w:szCs w:val="15"/>
                <w:b w:val="1"/>
                <w:bCs w:val="1"/>
                <w:color w:val="auto"/>
              </w:rPr>
              <w:t>.</w:t>
            </w:r>
          </w:p>
        </w:tc>
        <w:tc>
          <w:tcPr>
            <w:tcW w:w="8440" w:type="dxa"/>
            <w:vAlign w:val="bottom"/>
          </w:tcPr>
          <w:p>
            <w:pPr>
              <w:ind w:left="140"/>
              <w:spacing w:after="0"/>
              <w:rPr>
                <w:sz w:val="20"/>
                <w:szCs w:val="20"/>
                <w:color w:val="auto"/>
              </w:rPr>
            </w:pPr>
            <w:r>
              <w:rPr>
                <w:rFonts w:ascii="Arial" w:cs="Arial" w:eastAsia="Arial" w:hAnsi="Arial"/>
                <w:sz w:val="15"/>
                <w:szCs w:val="15"/>
                <w:b w:val="1"/>
                <w:bCs w:val="1"/>
                <w:color w:val="auto"/>
              </w:rPr>
              <w:t>Inventory</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3"/>
        </w:trPr>
        <w:tc>
          <w:tcPr>
            <w:tcW w:w="8700" w:type="dxa"/>
            <w:vAlign w:val="bottom"/>
            <w:gridSpan w:val="2"/>
          </w:tcPr>
          <w:p>
            <w:pPr>
              <w:spacing w:after="0"/>
              <w:rPr>
                <w:sz w:val="20"/>
                <w:szCs w:val="20"/>
                <w:color w:val="auto"/>
              </w:rPr>
            </w:pPr>
            <w:r>
              <w:rPr>
                <w:rFonts w:ascii="Arial" w:cs="Arial" w:eastAsia="Arial" w:hAnsi="Arial"/>
                <w:sz w:val="15"/>
                <w:szCs w:val="15"/>
                <w:color w:val="auto"/>
              </w:rPr>
              <w:t>As of December 31, 2020 and 2019, inventory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26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192"/>
        </w:trPr>
        <w:tc>
          <w:tcPr>
            <w:tcW w:w="26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LNG and natural gas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13,986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57,436</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gridSpan w:val="2"/>
          </w:tcPr>
          <w:p>
            <w:pPr>
              <w:spacing w:after="0"/>
              <w:rPr>
                <w:sz w:val="20"/>
                <w:szCs w:val="20"/>
                <w:color w:val="auto"/>
              </w:rPr>
            </w:pPr>
            <w:r>
              <w:rPr>
                <w:rFonts w:ascii="Arial" w:cs="Arial" w:eastAsia="Arial" w:hAnsi="Arial"/>
                <w:sz w:val="15"/>
                <w:szCs w:val="15"/>
                <w:color w:val="auto"/>
              </w:rPr>
              <w:t>Automotive diesel oil inventory</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3,986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4,746</w:t>
            </w:r>
          </w:p>
        </w:tc>
        <w:tc>
          <w:tcPr>
            <w:tcW w:w="100" w:type="dxa"/>
            <w:vAlign w:val="bottom"/>
          </w:tcPr>
          <w:p>
            <w:pPr>
              <w:spacing w:after="0"/>
              <w:rPr>
                <w:sz w:val="15"/>
                <w:szCs w:val="15"/>
                <w:color w:val="auto"/>
              </w:rPr>
            </w:pPr>
          </w:p>
        </w:tc>
      </w:tr>
      <w:tr>
        <w:trPr>
          <w:trHeight w:val="177"/>
        </w:trPr>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Bunker fuel, materials, supplies and other</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4,888</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8700" w:type="dxa"/>
            <w:vAlign w:val="bottom"/>
            <w:gridSpan w:val="2"/>
          </w:tcPr>
          <w:p>
            <w:pPr>
              <w:ind w:left="120"/>
              <w:spacing w:after="0"/>
              <w:rPr>
                <w:sz w:val="20"/>
                <w:szCs w:val="20"/>
                <w:color w:val="auto"/>
              </w:rPr>
            </w:pPr>
            <w:r>
              <w:rPr>
                <w:rFonts w:ascii="Arial" w:cs="Arial" w:eastAsia="Arial" w:hAnsi="Arial"/>
                <w:sz w:val="15"/>
                <w:szCs w:val="15"/>
                <w:color w:val="auto"/>
              </w:rPr>
              <w:t>Total inventory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22,860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63,432</w:t>
            </w:r>
          </w:p>
        </w:tc>
      </w:tr>
      <w:tr>
        <w:trPr>
          <w:trHeight w:val="20"/>
        </w:trPr>
        <w:tc>
          <w:tcPr>
            <w:tcW w:w="2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right="200"/>
        <w:spacing w:after="0" w:line="340" w:lineRule="auto"/>
        <w:rPr>
          <w:sz w:val="20"/>
          <w:szCs w:val="20"/>
          <w:color w:val="auto"/>
        </w:rPr>
      </w:pPr>
      <w:r>
        <w:rPr>
          <w:rFonts w:ascii="Arial" w:cs="Arial" w:eastAsia="Arial" w:hAnsi="Arial"/>
          <w:sz w:val="13"/>
          <w:szCs w:val="13"/>
          <w:color w:val="auto"/>
        </w:rPr>
        <w:t>Inventory is adjusted to the lower of cost or net realizable value each quarter. Changes in the value of inventory are recorded within Cost of sales in the consolidated statements of operations and comprehensive loss. The Company recorded an adjustment to the value of inventory of $0, $251 and $0 during the years ended December 31, 2020, 2019 and 2018,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20"/>
                <w:szCs w:val="20"/>
                <w:color w:val="auto"/>
              </w:rPr>
            </w:pPr>
            <w:r>
              <w:rPr>
                <w:rFonts w:ascii="Arial" w:cs="Arial" w:eastAsia="Arial" w:hAnsi="Arial"/>
                <w:sz w:val="15"/>
                <w:szCs w:val="15"/>
                <w:b w:val="1"/>
                <w:bCs w:val="1"/>
                <w:color w:val="auto"/>
              </w:rPr>
              <w:t>9.</w:t>
            </w:r>
          </w:p>
        </w:tc>
        <w:tc>
          <w:tcPr>
            <w:tcW w:w="8400" w:type="dxa"/>
            <w:vAlign w:val="bottom"/>
          </w:tcPr>
          <w:p>
            <w:pPr>
              <w:ind w:left="100"/>
              <w:spacing w:after="0"/>
              <w:rPr>
                <w:sz w:val="20"/>
                <w:szCs w:val="20"/>
                <w:color w:val="auto"/>
              </w:rPr>
            </w:pPr>
            <w:r>
              <w:rPr>
                <w:rFonts w:ascii="Arial" w:cs="Arial" w:eastAsia="Arial" w:hAnsi="Arial"/>
                <w:sz w:val="15"/>
                <w:szCs w:val="15"/>
                <w:b w:val="1"/>
                <w:bCs w:val="1"/>
                <w:color w:val="auto"/>
              </w:rPr>
              <w:t>Prepaid expenses and other current assets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3"/>
        </w:trPr>
        <w:tc>
          <w:tcPr>
            <w:tcW w:w="8700" w:type="dxa"/>
            <w:vAlign w:val="bottom"/>
            <w:gridSpan w:val="2"/>
          </w:tcPr>
          <w:p>
            <w:pPr>
              <w:spacing w:after="0"/>
              <w:rPr>
                <w:sz w:val="20"/>
                <w:szCs w:val="20"/>
                <w:color w:val="auto"/>
              </w:rPr>
            </w:pPr>
            <w:r>
              <w:rPr>
                <w:rFonts w:ascii="Arial" w:cs="Arial" w:eastAsia="Arial" w:hAnsi="Arial"/>
                <w:sz w:val="15"/>
                <w:szCs w:val="15"/>
                <w:color w:val="auto"/>
              </w:rPr>
              <w:t>As of December 31, 2020 and 2019, prepaid expenses and other current assets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30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Pr>
          <w:p>
            <w:pPr>
              <w:spacing w:after="0"/>
              <w:rPr>
                <w:sz w:val="16"/>
                <w:szCs w:val="16"/>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Prepaid LNG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7,097</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gridSpan w:val="2"/>
          </w:tcPr>
          <w:p>
            <w:pPr>
              <w:spacing w:after="0"/>
              <w:rPr>
                <w:sz w:val="20"/>
                <w:szCs w:val="20"/>
                <w:color w:val="auto"/>
              </w:rPr>
            </w:pPr>
            <w:r>
              <w:rPr>
                <w:rFonts w:ascii="Arial" w:cs="Arial" w:eastAsia="Arial" w:hAnsi="Arial"/>
                <w:sz w:val="15"/>
                <w:szCs w:val="15"/>
                <w:color w:val="auto"/>
              </w:rPr>
              <w:t>Prepaid expenses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7,458</w:t>
            </w:r>
          </w:p>
        </w:tc>
        <w:tc>
          <w:tcPr>
            <w:tcW w:w="100" w:type="dxa"/>
            <w:vAlign w:val="bottom"/>
          </w:tcPr>
          <w:p>
            <w:pPr>
              <w:spacing w:after="0"/>
              <w:rPr>
                <w:sz w:val="15"/>
                <w:szCs w:val="15"/>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from affiliates (Note 21)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1,577</w:t>
            </w:r>
          </w:p>
        </w:tc>
        <w:tc>
          <w:tcPr>
            <w:tcW w:w="100" w:type="dxa"/>
            <w:vAlign w:val="bottom"/>
            <w:shd w:val="clear" w:color="auto" w:fill="CCEEFF"/>
          </w:tcPr>
          <w:p>
            <w:pPr>
              <w:spacing w:after="0"/>
              <w:rPr>
                <w:sz w:val="15"/>
                <w:szCs w:val="15"/>
                <w:color w:val="auto"/>
              </w:rPr>
            </w:pPr>
          </w:p>
        </w:tc>
      </w:tr>
      <w:tr>
        <w:trPr>
          <w:trHeight w:val="177"/>
        </w:trPr>
        <w:tc>
          <w:tcPr>
            <w:tcW w:w="8700" w:type="dxa"/>
            <w:vAlign w:val="bottom"/>
            <w:gridSpan w:val="2"/>
          </w:tcPr>
          <w:p>
            <w:pPr>
              <w:spacing w:after="0"/>
              <w:rPr>
                <w:sz w:val="20"/>
                <w:szCs w:val="20"/>
                <w:color w:val="auto"/>
              </w:rPr>
            </w:pPr>
            <w:r>
              <w:rPr>
                <w:rFonts w:ascii="Arial" w:cs="Arial" w:eastAsia="Arial" w:hAnsi="Arial"/>
                <w:sz w:val="15"/>
                <w:szCs w:val="15"/>
                <w:color w:val="auto"/>
              </w:rPr>
              <w:t>Other current assets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29,461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23,602</w:t>
            </w:r>
          </w:p>
        </w:tc>
      </w:tr>
      <w:tr>
        <w:trPr>
          <w:trHeight w:val="215"/>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Total prepaid expenses and other current assets,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48,270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57"/>
        </w:trPr>
        <w:tc>
          <w:tcPr>
            <w:tcW w:w="8700" w:type="dxa"/>
            <w:vAlign w:val="bottom"/>
            <w:gridSpan w:val="2"/>
          </w:tcPr>
          <w:p>
            <w:pPr>
              <w:spacing w:after="0"/>
              <w:rPr>
                <w:sz w:val="20"/>
                <w:szCs w:val="20"/>
                <w:color w:val="auto"/>
              </w:rPr>
            </w:pPr>
            <w:r>
              <w:rPr>
                <w:rFonts w:ascii="Arial" w:cs="Arial" w:eastAsia="Arial" w:hAnsi="Arial"/>
                <w:sz w:val="15"/>
                <w:szCs w:val="15"/>
                <w:color w:val="auto"/>
              </w:rPr>
              <w:t>Other current assets as of December 31, 2020 and 2019 primarily consists of receivables for recoverable taxes.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300" w:type="dxa"/>
            <w:vAlign w:val="bottom"/>
          </w:tcPr>
          <w:p>
            <w:pPr>
              <w:spacing w:after="0"/>
              <w:rPr>
                <w:sz w:val="20"/>
                <w:szCs w:val="20"/>
                <w:color w:val="auto"/>
              </w:rPr>
            </w:pPr>
            <w:r>
              <w:rPr>
                <w:rFonts w:ascii="Arial" w:cs="Arial" w:eastAsia="Arial" w:hAnsi="Arial"/>
                <w:sz w:val="15"/>
                <w:szCs w:val="15"/>
                <w:color w:val="auto"/>
              </w:rPr>
              <w:t>10</w:t>
            </w:r>
            <w:r>
              <w:rPr>
                <w:rFonts w:ascii="Arial" w:cs="Arial" w:eastAsia="Arial" w:hAnsi="Arial"/>
                <w:sz w:val="15"/>
                <w:szCs w:val="15"/>
                <w:b w:val="1"/>
                <w:bCs w:val="1"/>
                <w:color w:val="auto"/>
              </w:rPr>
              <w:t>.</w:t>
            </w:r>
          </w:p>
        </w:tc>
        <w:tc>
          <w:tcPr>
            <w:tcW w:w="8400" w:type="dxa"/>
            <w:vAlign w:val="bottom"/>
          </w:tcPr>
          <w:p>
            <w:pPr>
              <w:ind w:left="100"/>
              <w:spacing w:after="0"/>
              <w:rPr>
                <w:sz w:val="20"/>
                <w:szCs w:val="20"/>
                <w:color w:val="auto"/>
              </w:rPr>
            </w:pPr>
            <w:r>
              <w:rPr>
                <w:rFonts w:ascii="Arial" w:cs="Arial" w:eastAsia="Arial" w:hAnsi="Arial"/>
                <w:sz w:val="15"/>
                <w:szCs w:val="15"/>
                <w:b w:val="1"/>
                <w:bCs w:val="1"/>
                <w:color w:val="auto"/>
              </w:rPr>
              <w:t>Construction in progress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8700" w:type="dxa"/>
            <w:vAlign w:val="bottom"/>
            <w:gridSpan w:val="2"/>
          </w:tcPr>
          <w:p>
            <w:pPr>
              <w:spacing w:after="0"/>
              <w:rPr>
                <w:sz w:val="20"/>
                <w:szCs w:val="20"/>
                <w:color w:val="auto"/>
              </w:rPr>
            </w:pPr>
            <w:r>
              <w:rPr>
                <w:rFonts w:ascii="Arial" w:cs="Arial" w:eastAsia="Arial" w:hAnsi="Arial"/>
                <w:sz w:val="15"/>
                <w:szCs w:val="15"/>
                <w:color w:val="auto"/>
              </w:rPr>
              <w:t>The Company’s construction in progress activity during the years ended December 31, 2020 and 2019 is detailed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30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Pr>
          <w:p>
            <w:pPr>
              <w:spacing w:after="0"/>
              <w:rPr>
                <w:sz w:val="16"/>
                <w:szCs w:val="16"/>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466,587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254,700</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gridSpan w:val="2"/>
          </w:tcPr>
          <w:p>
            <w:pPr>
              <w:ind w:left="120"/>
              <w:spacing w:after="0"/>
              <w:rPr>
                <w:sz w:val="20"/>
                <w:szCs w:val="20"/>
                <w:color w:val="auto"/>
              </w:rPr>
            </w:pPr>
            <w:r>
              <w:rPr>
                <w:rFonts w:ascii="Arial" w:cs="Arial" w:eastAsia="Arial" w:hAnsi="Arial"/>
                <w:sz w:val="15"/>
                <w:szCs w:val="15"/>
                <w:color w:val="auto"/>
              </w:rPr>
              <w:t>Additions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118,530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315,188</w:t>
            </w:r>
          </w:p>
        </w:tc>
        <w:tc>
          <w:tcPr>
            <w:tcW w:w="100" w:type="dxa"/>
            <w:vAlign w:val="bottom"/>
          </w:tcPr>
          <w:p>
            <w:pPr>
              <w:spacing w:after="0"/>
              <w:rPr>
                <w:sz w:val="15"/>
                <w:szCs w:val="15"/>
                <w:color w:val="auto"/>
              </w:rPr>
            </w:pPr>
          </w:p>
        </w:tc>
      </w:tr>
      <w:tr>
        <w:trPr>
          <w:trHeight w:val="177"/>
        </w:trPr>
        <w:tc>
          <w:tcPr>
            <w:tcW w:w="87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Transferred to property, plant and equipment, net (Note 11)</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(351,080)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(103,301)</w:t>
            </w:r>
          </w:p>
        </w:tc>
      </w:tr>
      <w:tr>
        <w:trPr>
          <w:trHeight w:val="175"/>
        </w:trPr>
        <w:tc>
          <w:tcPr>
            <w:tcW w:w="870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234,037</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466,587</w:t>
            </w:r>
          </w:p>
        </w:tc>
        <w:tc>
          <w:tcPr>
            <w:tcW w:w="100" w:type="dxa"/>
            <w:vAlign w:val="bottom"/>
            <w:tcBorders>
              <w:top w:val="single" w:sz="8" w:color="CCEEFF"/>
            </w:tcBorders>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Interest expense of $25,924, $25,172 and $1,732 was capitalized for the years ended December 31, 2020, 2019 and 2018, respectively, inclusive of amortized debt issuance costs disclosed in “Note 15.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20"/>
                <w:szCs w:val="20"/>
                <w:color w:val="auto"/>
              </w:rPr>
            </w:pPr>
            <w:r>
              <w:rPr>
                <w:rFonts w:ascii="Arial" w:cs="Arial" w:eastAsia="Arial" w:hAnsi="Arial"/>
                <w:sz w:val="15"/>
                <w:szCs w:val="15"/>
                <w:color w:val="auto"/>
              </w:rPr>
              <w:t>11</w:t>
            </w:r>
            <w:r>
              <w:rPr>
                <w:rFonts w:ascii="Arial" w:cs="Arial" w:eastAsia="Arial" w:hAnsi="Arial"/>
                <w:sz w:val="15"/>
                <w:szCs w:val="15"/>
                <w:b w:val="1"/>
                <w:bCs w:val="1"/>
                <w:color w:val="auto"/>
              </w:rPr>
              <w:t>.   Property, plant and equipment, net</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1"/>
        </w:trPr>
        <w:tc>
          <w:tcPr>
            <w:tcW w:w="8700" w:type="dxa"/>
            <w:vAlign w:val="bottom"/>
          </w:tcPr>
          <w:p>
            <w:pPr>
              <w:spacing w:after="0"/>
              <w:rPr>
                <w:sz w:val="20"/>
                <w:szCs w:val="20"/>
                <w:color w:val="auto"/>
              </w:rPr>
            </w:pPr>
            <w:r>
              <w:rPr>
                <w:rFonts w:ascii="Arial" w:cs="Arial" w:eastAsia="Arial" w:hAnsi="Arial"/>
                <w:sz w:val="15"/>
                <w:szCs w:val="15"/>
                <w:color w:val="auto"/>
              </w:rPr>
              <w:t>As of December 31, 2020 and 2019 the Company’s property, plant and equipment, net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8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Terminal and power plant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188,855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14,981</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CHP facilities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119,723</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Gas terminals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120,810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53,380</w:t>
            </w: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ISO containers and other equipment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100,137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42,704</w:t>
            </w: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LNG liquefaction facilities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63,213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62,929</w:t>
            </w: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Gas pipelines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58,974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11,684</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Land</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16,246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15,401</w:t>
            </w: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Leasehold improvements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8,723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8,054</w:t>
            </w:r>
          </w:p>
        </w:tc>
        <w:tc>
          <w:tcPr>
            <w:tcW w:w="100" w:type="dxa"/>
            <w:vAlign w:val="bottom"/>
          </w:tcPr>
          <w:p>
            <w:pPr>
              <w:spacing w:after="0"/>
              <w:rPr>
                <w:sz w:val="15"/>
                <w:szCs w:val="15"/>
                <w:color w:val="auto"/>
              </w:rPr>
            </w:pPr>
          </w:p>
        </w:tc>
      </w:tr>
      <w:tr>
        <w:trPr>
          <w:trHeight w:val="177"/>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(62,475)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(16,911)</w:t>
            </w:r>
          </w:p>
        </w:tc>
      </w:tr>
      <w:tr>
        <w:trPr>
          <w:trHeight w:val="175"/>
        </w:trPr>
        <w:tc>
          <w:tcPr>
            <w:tcW w:w="8700" w:type="dxa"/>
            <w:vAlign w:val="bottom"/>
            <w:tcBorders>
              <w:top w:val="single" w:sz="8" w:color="CCEEFF"/>
            </w:tcBorders>
          </w:tcPr>
          <w:p>
            <w:pPr>
              <w:ind w:left="120"/>
              <w:spacing w:after="0"/>
              <w:rPr>
                <w:sz w:val="20"/>
                <w:szCs w:val="20"/>
                <w:color w:val="auto"/>
              </w:rPr>
            </w:pPr>
            <w:r>
              <w:rPr>
                <w:rFonts w:ascii="Arial" w:cs="Arial" w:eastAsia="Arial" w:hAnsi="Arial"/>
                <w:sz w:val="15"/>
                <w:szCs w:val="15"/>
                <w:color w:val="auto"/>
              </w:rPr>
              <w:t>Total property, plant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614,206</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192,222</w:t>
            </w:r>
          </w:p>
        </w:tc>
        <w:tc>
          <w:tcPr>
            <w:tcW w:w="100" w:type="dxa"/>
            <w:vAlign w:val="bottom"/>
            <w:tcBorders>
              <w:top w:val="single" w:sz="8" w:color="CCEEFF"/>
            </w:tcBorders>
          </w:tcPr>
          <w:p>
            <w:pPr>
              <w:spacing w:after="0"/>
              <w:rPr>
                <w:sz w:val="15"/>
                <w:szCs w:val="15"/>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5"/>
          <w:szCs w:val="15"/>
          <w:color w:val="auto"/>
        </w:rPr>
        <w:t>Depreciation for years ended December 31, 2020, 2019 and 2018 totaled $32,116, $7,527 and $3,900, respectively, of which $927, $701 and $713, respectively, is included within Cost of sales in the consolidated statements of operations and comprehensive loss.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13" w:name="page114"/>
    <w:bookmarkEnd w:id="11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24"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12</w:t>
      </w:r>
      <w:r>
        <w:rPr>
          <w:rFonts w:ascii="Arial" w:cs="Arial" w:eastAsia="Arial" w:hAnsi="Arial"/>
          <w:sz w:val="15"/>
          <w:szCs w:val="15"/>
          <w:b w:val="1"/>
          <w:bCs w:val="1"/>
          <w:color w:val="auto"/>
        </w:rPr>
        <w:t>.</w:t>
      </w:r>
      <w:r>
        <w:rPr>
          <w:sz w:val="20"/>
          <w:szCs w:val="20"/>
          <w:color w:val="auto"/>
        </w:rPr>
        <w:tab/>
      </w:r>
      <w:r>
        <w:rPr>
          <w:rFonts w:ascii="Arial" w:cs="Arial" w:eastAsia="Arial" w:hAnsi="Arial"/>
          <w:sz w:val="11"/>
          <w:szCs w:val="11"/>
          <w:b w:val="1"/>
          <w:bCs w:val="1"/>
          <w:color w:val="auto"/>
        </w:rPr>
        <w:t>Intangible assets, net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composition of intangible assets as of December 31, 2020 and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5"/>
                <w:szCs w:val="15"/>
                <w:b w:val="1"/>
                <w:bCs w:val="1"/>
                <w:color w:val="auto"/>
              </w:rPr>
              <w:t>December 31, 2020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00"/>
              <w:spacing w:after="0" w:line="161" w:lineRule="exact"/>
              <w:rPr>
                <w:sz w:val="20"/>
                <w:szCs w:val="20"/>
                <w:color w:val="auto"/>
              </w:rPr>
            </w:pPr>
            <w:r>
              <w:rPr>
                <w:rFonts w:ascii="Arial" w:cs="Arial" w:eastAsia="Arial" w:hAnsi="Arial"/>
                <w:sz w:val="15"/>
                <w:szCs w:val="15"/>
                <w:b w:val="1"/>
                <w:bCs w:val="1"/>
                <w:color w:val="auto"/>
                <w:w w:val="89"/>
              </w:rPr>
              <w:t>Gross Carrying</w:t>
            </w:r>
          </w:p>
        </w:tc>
        <w:tc>
          <w:tcPr>
            <w:tcW w:w="120" w:type="dxa"/>
            <w:vAlign w:val="bottom"/>
          </w:tcPr>
          <w:p>
            <w:pPr>
              <w:spacing w:after="0"/>
              <w:rPr>
                <w:sz w:val="13"/>
                <w:szCs w:val="13"/>
                <w:color w:val="auto"/>
              </w:rPr>
            </w:pPr>
          </w:p>
        </w:tc>
        <w:tc>
          <w:tcPr>
            <w:tcW w:w="1220" w:type="dxa"/>
            <w:vAlign w:val="bottom"/>
            <w:gridSpan w:val="2"/>
          </w:tcPr>
          <w:p>
            <w:pPr>
              <w:jc w:val="right"/>
              <w:ind w:right="360"/>
              <w:spacing w:after="0" w:line="161" w:lineRule="exact"/>
              <w:rPr>
                <w:sz w:val="20"/>
                <w:szCs w:val="20"/>
                <w:color w:val="auto"/>
              </w:rPr>
            </w:pPr>
            <w:r>
              <w:rPr>
                <w:rFonts w:ascii="Arial" w:cs="Arial" w:eastAsia="Arial" w:hAnsi="Arial"/>
                <w:sz w:val="15"/>
                <w:szCs w:val="15"/>
                <w:b w:val="1"/>
                <w:bCs w:val="1"/>
                <w:color w:val="auto"/>
                <w:w w:val="89"/>
              </w:rPr>
              <w:t>Accumulated</w:t>
            </w:r>
          </w:p>
        </w:tc>
        <w:tc>
          <w:tcPr>
            <w:tcW w:w="120" w:type="dxa"/>
            <w:vAlign w:val="bottom"/>
          </w:tcPr>
          <w:p>
            <w:pPr>
              <w:spacing w:after="0"/>
              <w:rPr>
                <w:sz w:val="13"/>
                <w:szCs w:val="13"/>
                <w:color w:val="auto"/>
              </w:rPr>
            </w:pPr>
          </w:p>
        </w:tc>
        <w:tc>
          <w:tcPr>
            <w:tcW w:w="1220" w:type="dxa"/>
            <w:vAlign w:val="bottom"/>
            <w:gridSpan w:val="2"/>
          </w:tcPr>
          <w:p>
            <w:pPr>
              <w:jc w:val="right"/>
              <w:ind w:right="360"/>
              <w:spacing w:after="0" w:line="161" w:lineRule="exact"/>
              <w:rPr>
                <w:sz w:val="20"/>
                <w:szCs w:val="20"/>
                <w:color w:val="auto"/>
              </w:rPr>
            </w:pPr>
            <w:r>
              <w:rPr>
                <w:rFonts w:ascii="Arial" w:cs="Arial" w:eastAsia="Arial" w:hAnsi="Arial"/>
                <w:sz w:val="15"/>
                <w:szCs w:val="15"/>
                <w:b w:val="1"/>
                <w:bCs w:val="1"/>
                <w:color w:val="auto"/>
                <w:w w:val="93"/>
              </w:rPr>
              <w:t>Net Carrying</w:t>
            </w:r>
          </w:p>
        </w:tc>
        <w:tc>
          <w:tcPr>
            <w:tcW w:w="11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Weighted Average</w:t>
            </w:r>
          </w:p>
        </w:tc>
        <w:tc>
          <w:tcPr>
            <w:tcW w:w="100" w:type="dxa"/>
            <w:vAlign w:val="bottom"/>
          </w:tcPr>
          <w:p>
            <w:pPr>
              <w:spacing w:after="0"/>
              <w:rPr>
                <w:sz w:val="13"/>
                <w:szCs w:val="13"/>
                <w:color w:val="auto"/>
              </w:rPr>
            </w:pPr>
          </w:p>
        </w:tc>
      </w:tr>
      <w:tr>
        <w:trPr>
          <w:trHeight w:val="192"/>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Amount</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1"/>
              </w:rPr>
              <w:t>Amortization</w:t>
            </w:r>
          </w:p>
        </w:tc>
        <w:tc>
          <w:tcPr>
            <w:tcW w:w="12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7"/>
              </w:rPr>
              <w:t>Life</w:t>
            </w:r>
          </w:p>
        </w:tc>
      </w:tr>
      <w:tr>
        <w:trPr>
          <w:trHeight w:val="175"/>
        </w:trPr>
        <w:tc>
          <w:tcPr>
            <w:tcW w:w="6000" w:type="dxa"/>
            <w:vAlign w:val="bottom"/>
          </w:tcPr>
          <w:p>
            <w:pPr>
              <w:spacing w:after="0"/>
              <w:rPr>
                <w:sz w:val="20"/>
                <w:szCs w:val="20"/>
                <w:color w:val="auto"/>
              </w:rPr>
            </w:pPr>
            <w:r>
              <w:rPr>
                <w:rFonts w:ascii="Arial" w:cs="Arial" w:eastAsia="Arial" w:hAnsi="Arial"/>
                <w:sz w:val="15"/>
                <w:szCs w:val="15"/>
                <w:b w:val="1"/>
                <w:bCs w:val="1"/>
                <w:color w:val="auto"/>
              </w:rPr>
              <w:t>Definite-lived intangible assets</w:t>
            </w: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Shannon LNG permits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45,897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43,459</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5"/>
                <w:szCs w:val="15"/>
                <w:color w:val="auto"/>
              </w:rPr>
            </w:pPr>
          </w:p>
        </w:tc>
      </w:tr>
      <w:tr>
        <w:trPr>
          <w:trHeight w:val="175"/>
        </w:trPr>
        <w:tc>
          <w:tcPr>
            <w:tcW w:w="6000" w:type="dxa"/>
            <w:vAlign w:val="bottom"/>
          </w:tcPr>
          <w:p>
            <w:pPr>
              <w:ind w:left="120"/>
              <w:spacing w:after="0"/>
              <w:rPr>
                <w:sz w:val="20"/>
                <w:szCs w:val="20"/>
                <w:color w:val="auto"/>
              </w:rPr>
            </w:pPr>
            <w:r>
              <w:rPr>
                <w:rFonts w:ascii="Arial" w:cs="Arial" w:eastAsia="Arial" w:hAnsi="Arial"/>
                <w:sz w:val="15"/>
                <w:szCs w:val="15"/>
                <w:color w:val="auto"/>
              </w:rPr>
              <w:t>Easements</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1,559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190</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1,369</w:t>
            </w:r>
          </w:p>
        </w:tc>
        <w:tc>
          <w:tcPr>
            <w:tcW w:w="114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5"/>
                <w:szCs w:val="15"/>
                <w:color w:val="auto"/>
              </w:rPr>
            </w:pPr>
          </w:p>
        </w:tc>
      </w:tr>
      <w:tr>
        <w:trPr>
          <w:trHeight w:val="175"/>
        </w:trPr>
        <w:tc>
          <w:tcPr>
            <w:tcW w:w="6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00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Easements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n/a</w:t>
            </w:r>
          </w:p>
        </w:tc>
      </w:tr>
      <w:tr>
        <w:trPr>
          <w:trHeight w:val="22"/>
        </w:trPr>
        <w:tc>
          <w:tcPr>
            <w:tcW w:w="6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5"/>
        </w:trPr>
        <w:tc>
          <w:tcPr>
            <w:tcW w:w="6000" w:type="dxa"/>
            <w:vAlign w:val="bottom"/>
          </w:tcPr>
          <w:p>
            <w:pPr>
              <w:ind w:left="120"/>
              <w:spacing w:after="0"/>
              <w:rPr>
                <w:sz w:val="20"/>
                <w:szCs w:val="20"/>
                <w:color w:val="auto"/>
              </w:rPr>
            </w:pPr>
            <w:r>
              <w:rPr>
                <w:rFonts w:ascii="Arial" w:cs="Arial" w:eastAsia="Arial" w:hAnsi="Arial"/>
                <w:sz w:val="15"/>
                <w:szCs w:val="15"/>
                <w:color w:val="auto"/>
              </w:rPr>
              <w:t>Total intangible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48,730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2,628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46,102</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5"/>
                <w:szCs w:val="15"/>
                <w:b w:val="1"/>
                <w:bCs w:val="1"/>
                <w:color w:val="auto"/>
              </w:rPr>
              <w:t>December 31, 2019</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00"/>
              <w:spacing w:after="0" w:line="161" w:lineRule="exact"/>
              <w:rPr>
                <w:sz w:val="20"/>
                <w:szCs w:val="20"/>
                <w:color w:val="auto"/>
              </w:rPr>
            </w:pPr>
            <w:r>
              <w:rPr>
                <w:rFonts w:ascii="Arial" w:cs="Arial" w:eastAsia="Arial" w:hAnsi="Arial"/>
                <w:sz w:val="15"/>
                <w:szCs w:val="15"/>
                <w:b w:val="1"/>
                <w:bCs w:val="1"/>
                <w:color w:val="auto"/>
                <w:w w:val="89"/>
              </w:rPr>
              <w:t>Gross Carrying</w:t>
            </w:r>
          </w:p>
        </w:tc>
        <w:tc>
          <w:tcPr>
            <w:tcW w:w="120" w:type="dxa"/>
            <w:vAlign w:val="bottom"/>
          </w:tcPr>
          <w:p>
            <w:pPr>
              <w:spacing w:after="0"/>
              <w:rPr>
                <w:sz w:val="13"/>
                <w:szCs w:val="13"/>
                <w:color w:val="auto"/>
              </w:rPr>
            </w:pPr>
          </w:p>
        </w:tc>
        <w:tc>
          <w:tcPr>
            <w:tcW w:w="1220" w:type="dxa"/>
            <w:vAlign w:val="bottom"/>
            <w:gridSpan w:val="2"/>
          </w:tcPr>
          <w:p>
            <w:pPr>
              <w:jc w:val="right"/>
              <w:ind w:right="360"/>
              <w:spacing w:after="0" w:line="161" w:lineRule="exact"/>
              <w:rPr>
                <w:sz w:val="20"/>
                <w:szCs w:val="20"/>
                <w:color w:val="auto"/>
              </w:rPr>
            </w:pPr>
            <w:r>
              <w:rPr>
                <w:rFonts w:ascii="Arial" w:cs="Arial" w:eastAsia="Arial" w:hAnsi="Arial"/>
                <w:sz w:val="15"/>
                <w:szCs w:val="15"/>
                <w:b w:val="1"/>
                <w:bCs w:val="1"/>
                <w:color w:val="auto"/>
                <w:w w:val="89"/>
              </w:rPr>
              <w:t>Accumulated</w:t>
            </w:r>
          </w:p>
        </w:tc>
        <w:tc>
          <w:tcPr>
            <w:tcW w:w="120" w:type="dxa"/>
            <w:vAlign w:val="bottom"/>
          </w:tcPr>
          <w:p>
            <w:pPr>
              <w:spacing w:after="0"/>
              <w:rPr>
                <w:sz w:val="13"/>
                <w:szCs w:val="13"/>
                <w:color w:val="auto"/>
              </w:rPr>
            </w:pPr>
          </w:p>
        </w:tc>
        <w:tc>
          <w:tcPr>
            <w:tcW w:w="1220" w:type="dxa"/>
            <w:vAlign w:val="bottom"/>
            <w:gridSpan w:val="2"/>
          </w:tcPr>
          <w:p>
            <w:pPr>
              <w:jc w:val="right"/>
              <w:ind w:right="360"/>
              <w:spacing w:after="0" w:line="161" w:lineRule="exact"/>
              <w:rPr>
                <w:sz w:val="20"/>
                <w:szCs w:val="20"/>
                <w:color w:val="auto"/>
              </w:rPr>
            </w:pPr>
            <w:r>
              <w:rPr>
                <w:rFonts w:ascii="Arial" w:cs="Arial" w:eastAsia="Arial" w:hAnsi="Arial"/>
                <w:sz w:val="15"/>
                <w:szCs w:val="15"/>
                <w:b w:val="1"/>
                <w:bCs w:val="1"/>
                <w:color w:val="auto"/>
                <w:w w:val="93"/>
              </w:rPr>
              <w:t>Net Carrying</w:t>
            </w:r>
          </w:p>
        </w:tc>
        <w:tc>
          <w:tcPr>
            <w:tcW w:w="11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Weighted Average</w:t>
            </w:r>
          </w:p>
        </w:tc>
        <w:tc>
          <w:tcPr>
            <w:tcW w:w="100" w:type="dxa"/>
            <w:vAlign w:val="bottom"/>
          </w:tcPr>
          <w:p>
            <w:pPr>
              <w:spacing w:after="0"/>
              <w:rPr>
                <w:sz w:val="13"/>
                <w:szCs w:val="13"/>
                <w:color w:val="auto"/>
              </w:rPr>
            </w:pPr>
          </w:p>
        </w:tc>
      </w:tr>
      <w:tr>
        <w:trPr>
          <w:trHeight w:val="192"/>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Amount</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1"/>
              </w:rPr>
              <w:t>Amortization</w:t>
            </w:r>
          </w:p>
        </w:tc>
        <w:tc>
          <w:tcPr>
            <w:tcW w:w="12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7"/>
              </w:rPr>
              <w:t>Life</w:t>
            </w:r>
          </w:p>
        </w:tc>
      </w:tr>
      <w:tr>
        <w:trPr>
          <w:trHeight w:val="175"/>
        </w:trPr>
        <w:tc>
          <w:tcPr>
            <w:tcW w:w="6000" w:type="dxa"/>
            <w:vAlign w:val="bottom"/>
          </w:tcPr>
          <w:p>
            <w:pPr>
              <w:spacing w:after="0"/>
              <w:rPr>
                <w:sz w:val="20"/>
                <w:szCs w:val="20"/>
                <w:color w:val="auto"/>
              </w:rPr>
            </w:pPr>
            <w:r>
              <w:rPr>
                <w:rFonts w:ascii="Arial" w:cs="Arial" w:eastAsia="Arial" w:hAnsi="Arial"/>
                <w:sz w:val="15"/>
                <w:szCs w:val="15"/>
                <w:b w:val="1"/>
                <w:bCs w:val="1"/>
                <w:color w:val="auto"/>
              </w:rPr>
              <w:t>Definite-lived intangible assets</w:t>
            </w: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Shannon LNG permits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42,157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40,959</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5"/>
                <w:szCs w:val="15"/>
                <w:color w:val="auto"/>
              </w:rPr>
            </w:pPr>
          </w:p>
        </w:tc>
      </w:tr>
      <w:tr>
        <w:trPr>
          <w:trHeight w:val="175"/>
        </w:trPr>
        <w:tc>
          <w:tcPr>
            <w:tcW w:w="6000" w:type="dxa"/>
            <w:vAlign w:val="bottom"/>
          </w:tcPr>
          <w:p>
            <w:pPr>
              <w:ind w:left="120"/>
              <w:spacing w:after="0"/>
              <w:rPr>
                <w:sz w:val="20"/>
                <w:szCs w:val="20"/>
                <w:color w:val="auto"/>
              </w:rPr>
            </w:pPr>
            <w:r>
              <w:rPr>
                <w:rFonts w:ascii="Arial" w:cs="Arial" w:eastAsia="Arial" w:hAnsi="Arial"/>
                <w:sz w:val="15"/>
                <w:szCs w:val="15"/>
                <w:color w:val="auto"/>
              </w:rPr>
              <w:t>Easements</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1,559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1,420</w:t>
            </w:r>
          </w:p>
        </w:tc>
        <w:tc>
          <w:tcPr>
            <w:tcW w:w="114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5"/>
                <w:szCs w:val="15"/>
                <w:color w:val="auto"/>
              </w:rPr>
            </w:pPr>
          </w:p>
        </w:tc>
      </w:tr>
      <w:tr>
        <w:trPr>
          <w:trHeight w:val="175"/>
        </w:trPr>
        <w:tc>
          <w:tcPr>
            <w:tcW w:w="6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00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Easements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n/a</w:t>
            </w:r>
          </w:p>
        </w:tc>
      </w:tr>
      <w:tr>
        <w:trPr>
          <w:trHeight w:val="22"/>
        </w:trPr>
        <w:tc>
          <w:tcPr>
            <w:tcW w:w="6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5"/>
        </w:trPr>
        <w:tc>
          <w:tcPr>
            <w:tcW w:w="6000" w:type="dxa"/>
            <w:vAlign w:val="bottom"/>
          </w:tcPr>
          <w:p>
            <w:pPr>
              <w:ind w:left="120"/>
              <w:spacing w:after="0"/>
              <w:rPr>
                <w:sz w:val="20"/>
                <w:szCs w:val="20"/>
                <w:color w:val="auto"/>
              </w:rPr>
            </w:pPr>
            <w:r>
              <w:rPr>
                <w:rFonts w:ascii="Arial" w:cs="Arial" w:eastAsia="Arial" w:hAnsi="Arial"/>
                <w:sz w:val="15"/>
                <w:szCs w:val="15"/>
                <w:color w:val="auto"/>
              </w:rPr>
              <w:t>Total intangible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44,877</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1,337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43,540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right="620"/>
        <w:spacing w:after="0" w:line="299" w:lineRule="auto"/>
        <w:rPr>
          <w:sz w:val="20"/>
          <w:szCs w:val="20"/>
          <w:color w:val="auto"/>
        </w:rPr>
      </w:pPr>
      <w:r>
        <w:rPr>
          <w:rFonts w:ascii="Arial" w:cs="Arial" w:eastAsia="Arial" w:hAnsi="Arial"/>
          <w:sz w:val="14"/>
          <w:szCs w:val="14"/>
          <w:color w:val="auto"/>
        </w:rPr>
        <w:t>As of December 31, 2020 and 2019, the weighted-average remaining amortization periods for the intangible assets was 37.5 years and 38.8 years, respectively. As of January 1, 2020, intangible assets associated with favorable lease terms in acquired leases have been reclassified as ROU assets as a result of adoption of ASC 842.</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Amortization for the years ended December 31, 2020 and 2019 totaled $1,120 and $1,114, respectively. The estimated aggregate amortization expense for each of the next five years 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20"/>
                <w:szCs w:val="20"/>
                <w:color w:val="auto"/>
              </w:rPr>
            </w:pPr>
            <w:r>
              <w:rPr>
                <w:rFonts w:ascii="Arial" w:cs="Arial" w:eastAsia="Arial" w:hAnsi="Arial"/>
                <w:sz w:val="15"/>
                <w:szCs w:val="15"/>
                <w:b w:val="1"/>
                <w:bCs w:val="1"/>
                <w:color w:val="auto"/>
              </w:rPr>
              <w:t>Year ending December 31:</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w:t>
            </w:r>
          </w:p>
        </w:tc>
        <w:tc>
          <w:tcPr>
            <w:tcW w:w="100" w:type="dxa"/>
            <w:vAlign w:val="bottom"/>
            <w:shd w:val="clear" w:color="auto" w:fill="CCEEFF"/>
          </w:tcPr>
          <w:p>
            <w:pPr>
              <w:spacing w:after="0"/>
              <w:rPr>
                <w:sz w:val="15"/>
                <w:szCs w:val="15"/>
                <w:color w:val="auto"/>
              </w:rPr>
            </w:pPr>
          </w:p>
        </w:tc>
      </w:tr>
      <w:tr>
        <w:trPr>
          <w:trHeight w:val="175"/>
        </w:trPr>
        <w:tc>
          <w:tcPr>
            <w:tcW w:w="5340" w:type="dxa"/>
            <w:vAlign w:val="bottom"/>
          </w:tcPr>
          <w:p>
            <w:pPr>
              <w:spacing w:after="0"/>
              <w:rPr>
                <w:sz w:val="20"/>
                <w:szCs w:val="20"/>
                <w:color w:val="auto"/>
              </w:rPr>
            </w:pPr>
            <w:r>
              <w:rPr>
                <w:rFonts w:ascii="Arial" w:cs="Arial" w:eastAsia="Arial" w:hAnsi="Arial"/>
                <w:sz w:val="15"/>
                <w:szCs w:val="15"/>
                <w:color w:val="auto"/>
              </w:rPr>
              <w:t>2022</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1,199</w:t>
            </w:r>
          </w:p>
        </w:tc>
        <w:tc>
          <w:tcPr>
            <w:tcW w:w="100" w:type="dxa"/>
            <w:vAlign w:val="bottom"/>
          </w:tcPr>
          <w:p>
            <w:pPr>
              <w:spacing w:after="0"/>
              <w:rPr>
                <w:sz w:val="15"/>
                <w:szCs w:val="15"/>
                <w:color w:val="auto"/>
              </w:rPr>
            </w:pPr>
          </w:p>
        </w:tc>
      </w:tr>
      <w:tr>
        <w:trPr>
          <w:trHeight w:val="175"/>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w:t>
            </w:r>
          </w:p>
        </w:tc>
        <w:tc>
          <w:tcPr>
            <w:tcW w:w="100" w:type="dxa"/>
            <w:vAlign w:val="bottom"/>
            <w:shd w:val="clear" w:color="auto" w:fill="CCEEFF"/>
          </w:tcPr>
          <w:p>
            <w:pPr>
              <w:spacing w:after="0"/>
              <w:rPr>
                <w:sz w:val="15"/>
                <w:szCs w:val="15"/>
                <w:color w:val="auto"/>
              </w:rPr>
            </w:pPr>
          </w:p>
        </w:tc>
      </w:tr>
      <w:tr>
        <w:trPr>
          <w:trHeight w:val="175"/>
        </w:trPr>
        <w:tc>
          <w:tcPr>
            <w:tcW w:w="5340" w:type="dxa"/>
            <w:vAlign w:val="bottom"/>
          </w:tcPr>
          <w:p>
            <w:pPr>
              <w:spacing w:after="0"/>
              <w:rPr>
                <w:sz w:val="20"/>
                <w:szCs w:val="20"/>
                <w:color w:val="auto"/>
              </w:rPr>
            </w:pPr>
            <w:r>
              <w:rPr>
                <w:rFonts w:ascii="Arial" w:cs="Arial" w:eastAsia="Arial" w:hAnsi="Arial"/>
                <w:sz w:val="15"/>
                <w:szCs w:val="15"/>
                <w:color w:val="auto"/>
              </w:rPr>
              <w:t>2024</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1,199</w:t>
            </w:r>
          </w:p>
        </w:tc>
        <w:tc>
          <w:tcPr>
            <w:tcW w:w="100" w:type="dxa"/>
            <w:vAlign w:val="bottom"/>
          </w:tcPr>
          <w:p>
            <w:pPr>
              <w:spacing w:after="0"/>
              <w:rPr>
                <w:sz w:val="15"/>
                <w:szCs w:val="15"/>
                <w:color w:val="auto"/>
              </w:rPr>
            </w:pPr>
          </w:p>
        </w:tc>
      </w:tr>
      <w:tr>
        <w:trPr>
          <w:trHeight w:val="175"/>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w:t>
            </w:r>
          </w:p>
        </w:tc>
        <w:tc>
          <w:tcPr>
            <w:tcW w:w="100" w:type="dxa"/>
            <w:vAlign w:val="bottom"/>
            <w:shd w:val="clear" w:color="auto" w:fill="CCEEFF"/>
          </w:tcPr>
          <w:p>
            <w:pPr>
              <w:spacing w:after="0"/>
              <w:rPr>
                <w:sz w:val="15"/>
                <w:szCs w:val="15"/>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5"/>
                <w:szCs w:val="15"/>
                <w:color w:val="auto"/>
              </w:rPr>
              <w:t>Thereafter</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38,833</w:t>
            </w:r>
          </w:p>
        </w:tc>
        <w:tc>
          <w:tcPr>
            <w:tcW w:w="100" w:type="dxa"/>
            <w:vAlign w:val="bottom"/>
          </w:tcPr>
          <w:p>
            <w:pPr>
              <w:spacing w:after="0"/>
              <w:rPr>
                <w:sz w:val="15"/>
                <w:szCs w:val="15"/>
                <w:color w:val="auto"/>
              </w:rPr>
            </w:pPr>
          </w:p>
        </w:tc>
      </w:tr>
      <w:tr>
        <w:trPr>
          <w:trHeight w:val="215"/>
        </w:trPr>
        <w:tc>
          <w:tcPr>
            <w:tcW w:w="5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w:t>
            </w:r>
          </w:p>
        </w:tc>
        <w:tc>
          <w:tcPr>
            <w:tcW w:w="3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57"/>
        </w:trPr>
        <w:tc>
          <w:tcPr>
            <w:tcW w:w="5340" w:type="dxa"/>
            <w:vAlign w:val="bottom"/>
          </w:tcPr>
          <w:p>
            <w:pPr>
              <w:spacing w:after="0"/>
              <w:rPr>
                <w:sz w:val="20"/>
                <w:szCs w:val="20"/>
                <w:color w:val="auto"/>
              </w:rPr>
            </w:pPr>
            <w:r>
              <w:rPr>
                <w:rFonts w:ascii="Arial" w:cs="Arial" w:eastAsia="Arial" w:hAnsi="Arial"/>
                <w:sz w:val="15"/>
                <w:szCs w:val="15"/>
                <w:color w:val="auto"/>
              </w:rPr>
              <w:t>13</w:t>
            </w:r>
            <w:r>
              <w:rPr>
                <w:rFonts w:ascii="Arial" w:cs="Arial" w:eastAsia="Arial" w:hAnsi="Arial"/>
                <w:sz w:val="15"/>
                <w:szCs w:val="15"/>
                <w:b w:val="1"/>
                <w:bCs w:val="1"/>
                <w:color w:val="auto"/>
              </w:rPr>
              <w:t>.   Other non-current assets</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5340" w:type="dxa"/>
            <w:vAlign w:val="bottom"/>
          </w:tcPr>
          <w:p>
            <w:pPr>
              <w:spacing w:after="0"/>
              <w:rPr>
                <w:sz w:val="20"/>
                <w:szCs w:val="20"/>
                <w:color w:val="auto"/>
              </w:rPr>
            </w:pPr>
            <w:r>
              <w:rPr>
                <w:rFonts w:ascii="Arial" w:cs="Arial" w:eastAsia="Arial" w:hAnsi="Arial"/>
                <w:sz w:val="15"/>
                <w:szCs w:val="15"/>
                <w:color w:val="auto"/>
                <w:w w:val="91"/>
              </w:rPr>
              <w:t>As of December 31, 2020 and 2019, other non-current assets consisted of the following:</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5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192"/>
        </w:trPr>
        <w:tc>
          <w:tcPr>
            <w:tcW w:w="5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r>
      <w:tr>
        <w:trPr>
          <w:trHeight w:val="175"/>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Nonrefundable deposit</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28,509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22,262</w:t>
            </w:r>
          </w:p>
        </w:tc>
        <w:tc>
          <w:tcPr>
            <w:tcW w:w="100" w:type="dxa"/>
            <w:vAlign w:val="bottom"/>
            <w:shd w:val="clear" w:color="auto" w:fill="CCEEFF"/>
          </w:tcPr>
          <w:p>
            <w:pPr>
              <w:spacing w:after="0"/>
              <w:rPr>
                <w:sz w:val="15"/>
                <w:szCs w:val="15"/>
                <w:color w:val="auto"/>
              </w:rPr>
            </w:pPr>
          </w:p>
        </w:tc>
      </w:tr>
      <w:tr>
        <w:trPr>
          <w:trHeight w:val="175"/>
        </w:trPr>
        <w:tc>
          <w:tcPr>
            <w:tcW w:w="5340" w:type="dxa"/>
            <w:vAlign w:val="bottom"/>
          </w:tcPr>
          <w:p>
            <w:pPr>
              <w:spacing w:after="0"/>
              <w:rPr>
                <w:sz w:val="20"/>
                <w:szCs w:val="20"/>
                <w:color w:val="auto"/>
              </w:rPr>
            </w:pPr>
            <w:r>
              <w:rPr>
                <w:rFonts w:ascii="Arial" w:cs="Arial" w:eastAsia="Arial" w:hAnsi="Arial"/>
                <w:sz w:val="15"/>
                <w:szCs w:val="15"/>
                <w:color w:val="auto"/>
              </w:rPr>
              <w:t>Contract asset, net (Note 4)</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23,972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19,474</w:t>
            </w:r>
          </w:p>
        </w:tc>
        <w:tc>
          <w:tcPr>
            <w:tcW w:w="100" w:type="dxa"/>
            <w:vAlign w:val="bottom"/>
          </w:tcPr>
          <w:p>
            <w:pPr>
              <w:spacing w:after="0"/>
              <w:rPr>
                <w:sz w:val="15"/>
                <w:szCs w:val="15"/>
                <w:color w:val="auto"/>
              </w:rPr>
            </w:pPr>
          </w:p>
        </w:tc>
      </w:tr>
      <w:tr>
        <w:trPr>
          <w:trHeight w:val="175"/>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Cost to fulfill (Note 4)</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10,688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8,508</w:t>
            </w:r>
          </w:p>
        </w:tc>
        <w:tc>
          <w:tcPr>
            <w:tcW w:w="100" w:type="dxa"/>
            <w:vAlign w:val="bottom"/>
            <w:shd w:val="clear" w:color="auto" w:fill="CCEEFF"/>
          </w:tcPr>
          <w:p>
            <w:pPr>
              <w:spacing w:after="0"/>
              <w:rPr>
                <w:sz w:val="15"/>
                <w:szCs w:val="15"/>
                <w:color w:val="auto"/>
              </w:rPr>
            </w:pPr>
          </w:p>
        </w:tc>
      </w:tr>
      <w:tr>
        <w:trPr>
          <w:trHeight w:val="175"/>
        </w:trPr>
        <w:tc>
          <w:tcPr>
            <w:tcW w:w="5340" w:type="dxa"/>
            <w:vAlign w:val="bottom"/>
          </w:tcPr>
          <w:p>
            <w:pPr>
              <w:spacing w:after="0"/>
              <w:rPr>
                <w:sz w:val="20"/>
                <w:szCs w:val="20"/>
                <w:color w:val="auto"/>
              </w:rPr>
            </w:pPr>
            <w:r>
              <w:rPr>
                <w:rFonts w:ascii="Arial" w:cs="Arial" w:eastAsia="Arial" w:hAnsi="Arial"/>
                <w:sz w:val="15"/>
                <w:szCs w:val="15"/>
                <w:color w:val="auto"/>
              </w:rPr>
              <w:t>Unbilled receivables, net (Note 4)</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6,462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Upfront payments to customers</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5,904</w:t>
            </w:r>
          </w:p>
        </w:tc>
        <w:tc>
          <w:tcPr>
            <w:tcW w:w="100" w:type="dxa"/>
            <w:vAlign w:val="bottom"/>
            <w:shd w:val="clear" w:color="auto" w:fill="CCEEFF"/>
          </w:tcPr>
          <w:p>
            <w:pPr>
              <w:spacing w:after="0"/>
              <w:rPr>
                <w:sz w:val="15"/>
                <w:szCs w:val="15"/>
                <w:color w:val="auto"/>
              </w:rPr>
            </w:pPr>
          </w:p>
        </w:tc>
      </w:tr>
      <w:tr>
        <w:trPr>
          <w:trHeight w:val="175"/>
        </w:trPr>
        <w:tc>
          <w:tcPr>
            <w:tcW w:w="5340" w:type="dxa"/>
            <w:vAlign w:val="bottom"/>
          </w:tcPr>
          <w:p>
            <w:pPr>
              <w:spacing w:after="0"/>
              <w:rPr>
                <w:sz w:val="20"/>
                <w:szCs w:val="20"/>
                <w:color w:val="auto"/>
              </w:rPr>
            </w:pPr>
            <w:r>
              <w:rPr>
                <w:rFonts w:ascii="Arial" w:cs="Arial" w:eastAsia="Arial" w:hAnsi="Arial"/>
                <w:sz w:val="15"/>
                <w:szCs w:val="15"/>
                <w:color w:val="auto"/>
              </w:rPr>
              <w:t>Port access rights and initial lease costs</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17,762</w:t>
            </w:r>
          </w:p>
        </w:tc>
        <w:tc>
          <w:tcPr>
            <w:tcW w:w="100" w:type="dxa"/>
            <w:vAlign w:val="bottom"/>
          </w:tcPr>
          <w:p>
            <w:pPr>
              <w:spacing w:after="0"/>
              <w:rPr>
                <w:sz w:val="15"/>
                <w:szCs w:val="15"/>
                <w:color w:val="auto"/>
              </w:rPr>
            </w:pPr>
          </w:p>
        </w:tc>
      </w:tr>
      <w:tr>
        <w:trPr>
          <w:trHeight w:val="177"/>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3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10,069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10,256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5340" w:type="dxa"/>
            <w:vAlign w:val="bottom"/>
          </w:tcPr>
          <w:p>
            <w:pPr>
              <w:ind w:left="120"/>
              <w:spacing w:after="0"/>
              <w:rPr>
                <w:sz w:val="20"/>
                <w:szCs w:val="20"/>
                <w:color w:val="auto"/>
              </w:rPr>
            </w:pPr>
            <w:r>
              <w:rPr>
                <w:rFonts w:ascii="Arial" w:cs="Arial" w:eastAsia="Arial" w:hAnsi="Arial"/>
                <w:sz w:val="15"/>
                <w:szCs w:val="15"/>
                <w:color w:val="auto"/>
              </w:rPr>
              <w:t>Total other non-current assets, net</w:t>
            </w:r>
          </w:p>
        </w:tc>
        <w:tc>
          <w:tcPr>
            <w:tcW w:w="33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86,030</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84,166</w:t>
            </w:r>
          </w:p>
        </w:tc>
        <w:tc>
          <w:tcPr>
            <w:tcW w:w="100" w:type="dxa"/>
            <w:vAlign w:val="bottom"/>
          </w:tcPr>
          <w:p>
            <w:pPr>
              <w:spacing w:after="0"/>
              <w:rPr>
                <w:sz w:val="15"/>
                <w:szCs w:val="15"/>
                <w:color w:val="auto"/>
              </w:rPr>
            </w:pPr>
          </w:p>
        </w:tc>
      </w:tr>
      <w:tr>
        <w:trPr>
          <w:trHeight w:val="20"/>
        </w:trPr>
        <w:tc>
          <w:tcPr>
            <w:tcW w:w="5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340" w:type="dxa"/>
            <w:vAlign w:val="bottom"/>
          </w:tcPr>
          <w:p>
            <w:pPr>
              <w:spacing w:after="0"/>
              <w:rPr>
                <w:sz w:val="24"/>
                <w:szCs w:val="24"/>
                <w:color w:val="auto"/>
              </w:rPr>
            </w:pPr>
          </w:p>
        </w:tc>
        <w:tc>
          <w:tcPr>
            <w:tcW w:w="3460" w:type="dxa"/>
            <w:vAlign w:val="bottom"/>
            <w:gridSpan w:val="2"/>
          </w:tcPr>
          <w:p>
            <w:pPr>
              <w:jc w:val="right"/>
              <w:ind w:right="2967"/>
              <w:spacing w:after="0"/>
              <w:rPr>
                <w:sz w:val="20"/>
                <w:szCs w:val="20"/>
                <w:color w:val="auto"/>
              </w:rPr>
            </w:pPr>
            <w:r>
              <w:rPr>
                <w:rFonts w:ascii="Arial" w:cs="Arial" w:eastAsia="Arial" w:hAnsi="Arial"/>
                <w:sz w:val="12"/>
                <w:szCs w:val="12"/>
                <w:color w:val="auto"/>
              </w:rPr>
              <w:t>F-26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53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sectPr>
      </w:pPr>
    </w:p>
    <w:bookmarkStart w:id="114" w:name="page115"/>
    <w:bookmarkEnd w:id="11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Nonrefundable deposits are primarily related to deposits for planned land purchases in Pennsylvania and Ireland.</w:t>
      </w:r>
    </w:p>
    <w:p>
      <w:pPr>
        <w:spacing w:after="0" w:line="200"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Upfront payments to customers consist of amounts the Company has paid in relation to two natural gas sales contracts with customers to construct fuel-delivery infrastructure that the customers will own.</w:t>
      </w:r>
    </w:p>
    <w:p>
      <w:pPr>
        <w:spacing w:after="0" w:line="170" w:lineRule="exact"/>
        <w:rPr>
          <w:sz w:val="20"/>
          <w:szCs w:val="20"/>
          <w:color w:val="auto"/>
        </w:rPr>
      </w:pPr>
    </w:p>
    <w:p>
      <w:pPr>
        <w:jc w:val="both"/>
        <w:ind w:right="80"/>
        <w:spacing w:after="0" w:line="253" w:lineRule="auto"/>
        <w:rPr>
          <w:sz w:val="20"/>
          <w:szCs w:val="20"/>
          <w:color w:val="auto"/>
        </w:rPr>
      </w:pPr>
      <w:r>
        <w:rPr>
          <w:rFonts w:ascii="Arial" w:cs="Arial" w:eastAsia="Arial" w:hAnsi="Arial"/>
          <w:sz w:val="15"/>
          <w:szCs w:val="15"/>
          <w:color w:val="auto"/>
        </w:rPr>
        <w:t>Other includes upfront payments to our service providers, a long-term refundable deposit and investments in equity securities. During the fourth quarter of 2020, the Company invested $1,000 in a hydrogen technology development company through a Simple Agreement for Future Equity (“SAFE”) that will convert to preferred shares upon completion of a qualified financing by the investee, and this amount is classified within other in the table above.</w:t>
      </w:r>
    </w:p>
    <w:p>
      <w:pPr>
        <w:spacing w:after="0" w:line="178" w:lineRule="exact"/>
        <w:rPr>
          <w:sz w:val="20"/>
          <w:szCs w:val="20"/>
          <w:color w:val="auto"/>
        </w:rPr>
      </w:pPr>
    </w:p>
    <w:p>
      <w:pPr>
        <w:ind w:right="340"/>
        <w:spacing w:after="0" w:line="263" w:lineRule="auto"/>
        <w:rPr>
          <w:sz w:val="20"/>
          <w:szCs w:val="20"/>
          <w:color w:val="auto"/>
        </w:rPr>
      </w:pPr>
      <w:r>
        <w:rPr>
          <w:rFonts w:ascii="Arial" w:cs="Arial" w:eastAsia="Arial" w:hAnsi="Arial"/>
          <w:sz w:val="15"/>
          <w:szCs w:val="15"/>
          <w:color w:val="auto"/>
        </w:rPr>
        <w:t>As of January 1, 2020, port access rights related to the Company’s port lease in Baja California Sur, Mexico, and payments to incumbent tenants to secure the Company’s port lease in San Juan, Puerto Rico were reclassified as ROU assets in connection with the adoption of ASC 842.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20"/>
                <w:szCs w:val="20"/>
                <w:color w:val="auto"/>
              </w:rPr>
            </w:pPr>
            <w:r>
              <w:rPr>
                <w:rFonts w:ascii="Arial" w:cs="Arial" w:eastAsia="Arial" w:hAnsi="Arial"/>
                <w:sz w:val="15"/>
                <w:szCs w:val="15"/>
                <w:color w:val="auto"/>
              </w:rPr>
              <w:t>14</w:t>
            </w:r>
            <w:r>
              <w:rPr>
                <w:rFonts w:ascii="Arial" w:cs="Arial" w:eastAsia="Arial" w:hAnsi="Arial"/>
                <w:sz w:val="15"/>
                <w:szCs w:val="15"/>
                <w:b w:val="1"/>
                <w:bCs w:val="1"/>
                <w:color w:val="auto"/>
              </w:rPr>
              <w:t>.</w:t>
            </w:r>
          </w:p>
        </w:tc>
        <w:tc>
          <w:tcPr>
            <w:tcW w:w="8400" w:type="dxa"/>
            <w:vAlign w:val="bottom"/>
          </w:tcPr>
          <w:p>
            <w:pPr>
              <w:ind w:left="100"/>
              <w:spacing w:after="0"/>
              <w:rPr>
                <w:sz w:val="20"/>
                <w:szCs w:val="20"/>
                <w:color w:val="auto"/>
              </w:rPr>
            </w:pPr>
            <w:r>
              <w:rPr>
                <w:rFonts w:ascii="Arial" w:cs="Arial" w:eastAsia="Arial" w:hAnsi="Arial"/>
                <w:sz w:val="15"/>
                <w:szCs w:val="15"/>
                <w:b w:val="1"/>
                <w:bCs w:val="1"/>
                <w:color w:val="auto"/>
              </w:rPr>
              <w:t>Accrued liabilities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3"/>
        </w:trPr>
        <w:tc>
          <w:tcPr>
            <w:tcW w:w="8700" w:type="dxa"/>
            <w:vAlign w:val="bottom"/>
            <w:gridSpan w:val="2"/>
          </w:tcPr>
          <w:p>
            <w:pPr>
              <w:spacing w:after="0"/>
              <w:rPr>
                <w:sz w:val="20"/>
                <w:szCs w:val="20"/>
                <w:color w:val="auto"/>
              </w:rPr>
            </w:pPr>
            <w:r>
              <w:rPr>
                <w:rFonts w:ascii="Arial" w:cs="Arial" w:eastAsia="Arial" w:hAnsi="Arial"/>
                <w:sz w:val="15"/>
                <w:szCs w:val="15"/>
                <w:color w:val="auto"/>
              </w:rPr>
              <w:t>As of December 31, 2020 and 2019 accrued liabilities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30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Pr>
          <w:p>
            <w:pPr>
              <w:spacing w:after="0"/>
              <w:rPr>
                <w:sz w:val="16"/>
                <w:szCs w:val="16"/>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16,631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25,037</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gridSpan w:val="2"/>
          </w:tcPr>
          <w:p>
            <w:pPr>
              <w:spacing w:after="0"/>
              <w:rPr>
                <w:sz w:val="20"/>
                <w:szCs w:val="20"/>
                <w:color w:val="auto"/>
              </w:rPr>
            </w:pPr>
            <w:r>
              <w:rPr>
                <w:rFonts w:ascii="Arial" w:cs="Arial" w:eastAsia="Arial" w:hAnsi="Arial"/>
                <w:sz w:val="15"/>
                <w:szCs w:val="15"/>
                <w:color w:val="auto"/>
              </w:rPr>
              <w:t>Accrued interest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27,938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bonuses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17,344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14,991</w:t>
            </w:r>
          </w:p>
        </w:tc>
      </w:tr>
      <w:tr>
        <w:trPr>
          <w:trHeight w:val="177"/>
        </w:trPr>
        <w:tc>
          <w:tcPr>
            <w:tcW w:w="8700" w:type="dxa"/>
            <w:vAlign w:val="bottom"/>
            <w:gridSpan w:val="2"/>
          </w:tcPr>
          <w:p>
            <w:pPr>
              <w:spacing w:after="0"/>
              <w:rPr>
                <w:sz w:val="20"/>
                <w:szCs w:val="20"/>
                <w:color w:val="auto"/>
              </w:rPr>
            </w:pPr>
            <w:r>
              <w:rPr>
                <w:rFonts w:ascii="Arial" w:cs="Arial" w:eastAsia="Arial" w:hAnsi="Arial"/>
                <w:sz w:val="15"/>
                <w:szCs w:val="15"/>
                <w:color w:val="auto"/>
              </w:rPr>
              <w:t>Other accrued expenses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28,439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14,915</w:t>
            </w:r>
          </w:p>
        </w:tc>
      </w:tr>
      <w:tr>
        <w:trPr>
          <w:trHeight w:val="215"/>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Total accrued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90,352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57"/>
        </w:trPr>
        <w:tc>
          <w:tcPr>
            <w:tcW w:w="300" w:type="dxa"/>
            <w:vAlign w:val="bottom"/>
          </w:tcPr>
          <w:p>
            <w:pPr>
              <w:spacing w:after="0"/>
              <w:rPr>
                <w:sz w:val="20"/>
                <w:szCs w:val="20"/>
                <w:color w:val="auto"/>
              </w:rPr>
            </w:pPr>
            <w:r>
              <w:rPr>
                <w:rFonts w:ascii="Arial" w:cs="Arial" w:eastAsia="Arial" w:hAnsi="Arial"/>
                <w:sz w:val="15"/>
                <w:szCs w:val="15"/>
                <w:color w:val="auto"/>
              </w:rPr>
              <w:t>15</w:t>
            </w:r>
            <w:r>
              <w:rPr>
                <w:rFonts w:ascii="Arial" w:cs="Arial" w:eastAsia="Arial" w:hAnsi="Arial"/>
                <w:sz w:val="15"/>
                <w:szCs w:val="15"/>
                <w:b w:val="1"/>
                <w:bCs w:val="1"/>
                <w:color w:val="auto"/>
              </w:rPr>
              <w:t>.</w:t>
            </w:r>
          </w:p>
        </w:tc>
        <w:tc>
          <w:tcPr>
            <w:tcW w:w="8400" w:type="dxa"/>
            <w:vAlign w:val="bottom"/>
          </w:tcPr>
          <w:p>
            <w:pPr>
              <w:ind w:left="100"/>
              <w:spacing w:after="0"/>
              <w:rPr>
                <w:sz w:val="20"/>
                <w:szCs w:val="20"/>
                <w:color w:val="auto"/>
              </w:rPr>
            </w:pPr>
            <w:r>
              <w:rPr>
                <w:rFonts w:ascii="Arial" w:cs="Arial" w:eastAsia="Arial" w:hAnsi="Arial"/>
                <w:sz w:val="15"/>
                <w:szCs w:val="15"/>
                <w:b w:val="1"/>
                <w:bCs w:val="1"/>
                <w:color w:val="auto"/>
              </w:rPr>
              <w:t>Debt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8700" w:type="dxa"/>
            <w:vAlign w:val="bottom"/>
            <w:gridSpan w:val="2"/>
          </w:tcPr>
          <w:p>
            <w:pPr>
              <w:spacing w:after="0"/>
              <w:rPr>
                <w:sz w:val="20"/>
                <w:szCs w:val="20"/>
                <w:color w:val="auto"/>
              </w:rPr>
            </w:pPr>
            <w:r>
              <w:rPr>
                <w:rFonts w:ascii="Arial" w:cs="Arial" w:eastAsia="Arial" w:hAnsi="Arial"/>
                <w:sz w:val="15"/>
                <w:szCs w:val="15"/>
                <w:color w:val="auto"/>
              </w:rPr>
              <w:t>As of December 31, 2020 and 2019, debt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192"/>
        </w:trPr>
        <w:tc>
          <w:tcPr>
            <w:tcW w:w="30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Pr>
          <w:p>
            <w:pPr>
              <w:spacing w:after="0"/>
              <w:rPr>
                <w:sz w:val="16"/>
                <w:szCs w:val="16"/>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Secured Notes, due September 15, 2025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1,239,561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gridSpan w:val="2"/>
          </w:tcPr>
          <w:p>
            <w:pPr>
              <w:spacing w:after="0"/>
              <w:rPr>
                <w:sz w:val="20"/>
                <w:szCs w:val="20"/>
                <w:color w:val="auto"/>
              </w:rPr>
            </w:pPr>
            <w:r>
              <w:rPr>
                <w:rFonts w:ascii="Arial" w:cs="Arial" w:eastAsia="Arial" w:hAnsi="Arial"/>
                <w:sz w:val="15"/>
                <w:szCs w:val="15"/>
                <w:color w:val="auto"/>
              </w:rPr>
              <w:t>Term Loan Facility, due January 21, 2020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495,000</w:t>
            </w:r>
          </w:p>
        </w:tc>
        <w:tc>
          <w:tcPr>
            <w:tcW w:w="100" w:type="dxa"/>
            <w:vAlign w:val="bottom"/>
          </w:tcPr>
          <w:p>
            <w:pPr>
              <w:spacing w:after="0"/>
              <w:rPr>
                <w:sz w:val="15"/>
                <w:szCs w:val="15"/>
                <w:color w:val="auto"/>
              </w:rPr>
            </w:pPr>
          </w:p>
        </w:tc>
      </w:tr>
      <w:tr>
        <w:trPr>
          <w:trHeight w:val="175"/>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Secured Bonds, due September 2034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70,960</w:t>
            </w:r>
          </w:p>
        </w:tc>
      </w:tr>
      <w:tr>
        <w:trPr>
          <w:trHeight w:val="175"/>
        </w:trPr>
        <w:tc>
          <w:tcPr>
            <w:tcW w:w="8700" w:type="dxa"/>
            <w:vAlign w:val="bottom"/>
            <w:gridSpan w:val="2"/>
          </w:tcPr>
          <w:p>
            <w:pPr>
              <w:spacing w:after="0"/>
              <w:rPr>
                <w:sz w:val="20"/>
                <w:szCs w:val="20"/>
                <w:color w:val="auto"/>
              </w:rPr>
            </w:pPr>
            <w:r>
              <w:rPr>
                <w:rFonts w:ascii="Arial" w:cs="Arial" w:eastAsia="Arial" w:hAnsi="Arial"/>
                <w:sz w:val="15"/>
                <w:szCs w:val="15"/>
                <w:color w:val="auto"/>
              </w:rPr>
              <w:t>Senior Secured Bonds, due December 2034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10,823</w:t>
            </w:r>
          </w:p>
        </w:tc>
      </w:tr>
      <w:tr>
        <w:trPr>
          <w:trHeight w:val="177"/>
        </w:trPr>
        <w:tc>
          <w:tcPr>
            <w:tcW w:w="8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Unsecured Bonds, due September 2036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42,274</w:t>
            </w:r>
          </w:p>
        </w:tc>
      </w:tr>
      <w:tr>
        <w:trPr>
          <w:trHeight w:val="175"/>
        </w:trPr>
        <w:tc>
          <w:tcPr>
            <w:tcW w:w="8700" w:type="dxa"/>
            <w:vAlign w:val="bottom"/>
            <w:tcBorders>
              <w:top w:val="single" w:sz="8" w:color="CCEEFF"/>
            </w:tcBorders>
            <w:gridSpan w:val="2"/>
          </w:tcPr>
          <w:p>
            <w:pPr>
              <w:ind w:left="120"/>
              <w:spacing w:after="0"/>
              <w:rPr>
                <w:sz w:val="20"/>
                <w:szCs w:val="20"/>
                <w:color w:val="auto"/>
              </w:rPr>
            </w:pPr>
            <w:r>
              <w:rPr>
                <w:rFonts w:ascii="Arial" w:cs="Arial" w:eastAsia="Arial" w:hAnsi="Arial"/>
                <w:sz w:val="15"/>
                <w:szCs w:val="15"/>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1,239,561</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619,057</w:t>
            </w:r>
          </w:p>
        </w:tc>
        <w:tc>
          <w:tcPr>
            <w:tcW w:w="100" w:type="dxa"/>
            <w:vAlign w:val="bottom"/>
            <w:tcBorders>
              <w:top w:val="single" w:sz="8" w:color="CCEEFF"/>
            </w:tcBorders>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Notes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On September 2, 2020, the Company issued $1,000,000 of 6.75% senior secured notes in a private offering pursuant to Rule 144A under the Securities Act (the “Senior Secured Notes”).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Interest is payable semi-annually in arrears on March 15 and September 15 of each year, commencing on March 15, 2021; no principal payments are due until maturity on September 15, 2025.</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The Company may redeem the Senior Secured Notes, in whole or in part, at any time prior to maturity, subject to certain make-whole premiums.</w:t>
      </w:r>
    </w:p>
    <w:p>
      <w:pPr>
        <w:spacing w:after="0" w:line="190"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The Senior Secured Notes are guaranteed, jointly and severally, by certain of the Company’s subsidiaries, in addition to other collateral. The Senior Secured Notes may limit the Company’s ability to incur additional indebtedness or issue certain preferred shares, make certain payments, and sell or transfer certain assets subject to certain financial covenants and qualifications. The Senior Secured Notes also provide for customary events of default and prepayment provisions.</w:t>
      </w:r>
    </w:p>
    <w:p>
      <w:pPr>
        <w:spacing w:after="0" w:line="178"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The Company used a portion of the net cash proceeds received from the Senior Secured Notes to repay in full the outstanding principal and interest under the Credit Agreement (as defined below), including related costs and expenses. The Company also used the remaining net proceeds, together with cash on hand, to redeem in full the outstanding Senior Secured Bonds and Senior Unsecured Bonds (as defined below), including related premiums, costs and expenses, terminating the Senior Secured Bonds and Senior Unsecured Bonds. The Company completed the redemption of the Senior Secured Bonds and Senior Unsecured Bonds on September 21, 2020.</w:t>
      </w:r>
    </w:p>
    <w:p>
      <w:pPr>
        <w:spacing w:after="0" w:line="164"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In connection with the issuance of the Senior Secured Notes, the Company incurred $17,937 in origination, structuring and other fees. Issuance costs of $13,909 were deferred as a reduction of the principal balance of the Senior Secured Notes on the consolidated balance sheets; unamortized deferred financing costs related to lenders in the Credit Agreement that participated in the Senior Secured Notes were $6,501 and such unamortized costs were also included as a reduction of the principal balance of the Senior Secured Notes and will be amortized over the remaining term of the Senior Secured Notes. As a portion of the repayment of the Credit Agreement was a modification, the Company recorded $4,028 of third-party fees in Selling, general and administrative in the consolidated statements of operations and comprehensive loss.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5" w:name="page116"/>
    <w:bookmarkEnd w:id="11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160"/>
        <w:spacing w:after="0" w:line="280" w:lineRule="auto"/>
        <w:rPr>
          <w:sz w:val="20"/>
          <w:szCs w:val="20"/>
          <w:color w:val="auto"/>
        </w:rPr>
      </w:pPr>
      <w:r>
        <w:rPr>
          <w:rFonts w:ascii="Arial" w:cs="Arial" w:eastAsia="Arial" w:hAnsi="Arial"/>
          <w:sz w:val="14"/>
          <w:szCs w:val="14"/>
          <w:color w:val="auto"/>
        </w:rPr>
        <w:t>On December 17, 2020, the Company issued $250,000 of additional notes on the same terms as the Senior Secured Notes in a private offering pursuant to Rule 144A under the Securities Act (subsequent to this issuance, these additional notes are included in the definition of Senior Secured Notes herein). Proceeds received included a premium of $13,125, which was offset by additional financing costs incurred of $4,188. As of December 31, 2020, total remaining unamortized deferred financing costs were $10,439.</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Credit Agreement</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On January 10, 2020, the Company entered into a credit agreement to borrow $800,000 in term loans (the “Credit Agreement”). The Credit Agreement was set to mature in January 2023 with the full principal balance due upon maturity. Interest was payable quarterly and was based on a LIBOR rate divided by one minus the applicable reserve requirement, subject to a floor of 1.50%, plus a margin of 6.25%. The interest rate margin was to increase each year of the term by 1.50%. A portion of the proceeds received were utilized to extinguish the Term Loan Facility (defined below), including outstanding principal of $495,000.</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Credit Agreement was secured by mortgages on certain properties owned by the Company’s subsidiaries, in addition to other collateral. The Company was required to comply with certain financial covenants and other restricted covenants customary for credit agreements of this type, including restrictions on indebtedness, liens, acquisitions and investments, restricted payments and dispositions. The Credit Agreement also provided for customary events of default, prepayment and cure provisions.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In connection with obtaining the Credit Agreement and the extinguishment of the Term Loan Facility, the Company incurred $37,051 in origination, structuring and other fees which were recognized as a reduction of the principal balance of the Credit Agreement on the consolidated balance sheets.</w:t>
      </w:r>
    </w:p>
    <w:p>
      <w:pPr>
        <w:spacing w:after="0" w:line="170"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On September 2, 2020, the Company repaid the full amount outstanding using proceeds from the Senior Secured Notes. Certain lenders in the Credit Agreement participated in the issuance of the Senior Secured Notes, and a portion of the repayment of the Credit Agreement was treated as a debt modification. For the portion of the Credit Agreement that was considered extinguished, $16,310 of unamortized deferred debt issuance costs was recognized as a loss on extinguishment of debt in the consolidated statements of operations and comprehensive loss. The remaining unamortized deferred debt issuance costs of $6,501 will be amortized over the remaining term of the Senior Secured Notes.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 Facility</w:t>
      </w:r>
    </w:p>
    <w:p>
      <w:pPr>
        <w:spacing w:after="0" w:line="200" w:lineRule="exact"/>
        <w:rPr>
          <w:sz w:val="20"/>
          <w:szCs w:val="20"/>
          <w:color w:val="auto"/>
        </w:rPr>
      </w:pPr>
    </w:p>
    <w:p>
      <w:pPr>
        <w:ind w:right="100"/>
        <w:spacing w:after="0" w:line="301" w:lineRule="auto"/>
        <w:rPr>
          <w:sz w:val="20"/>
          <w:szCs w:val="20"/>
          <w:color w:val="auto"/>
        </w:rPr>
      </w:pPr>
      <w:r>
        <w:rPr>
          <w:rFonts w:ascii="Arial" w:cs="Arial" w:eastAsia="Arial" w:hAnsi="Arial"/>
          <w:sz w:val="13"/>
          <w:szCs w:val="13"/>
          <w:color w:val="auto"/>
        </w:rPr>
        <w:t>On August 16, 2018, the Company entered into a credit agreement with a syndicate of two lenders to borrow up to an aggregate principal amount of $240,000, and proceeds received from this credit agreement were utilized to repay prior debt facilities. On December 31, 2018, the Company amended this credit agreement to increase the available borrowing principal amount to $500,000 (as amended, the “Term Loan Facility”), and as of December 31, 2018, the Company had an outstanding principal balance of $280,000 under the Term Loan Facility. On March 21, 2019, the Company drew an additional $220,000, bringing the Company’s total outstanding borrowings to $500,000 under the Term Loan Facility.</w:t>
      </w:r>
    </w:p>
    <w:p>
      <w:pPr>
        <w:spacing w:after="0" w:line="149" w:lineRule="exact"/>
        <w:rPr>
          <w:sz w:val="20"/>
          <w:szCs w:val="20"/>
          <w:color w:val="auto"/>
        </w:rPr>
      </w:pPr>
    </w:p>
    <w:p>
      <w:pPr>
        <w:ind w:right="140"/>
        <w:spacing w:after="0" w:line="280" w:lineRule="auto"/>
        <w:rPr>
          <w:sz w:val="20"/>
          <w:szCs w:val="20"/>
          <w:color w:val="auto"/>
        </w:rPr>
      </w:pPr>
      <w:r>
        <w:rPr>
          <w:rFonts w:ascii="Arial" w:cs="Arial" w:eastAsia="Arial" w:hAnsi="Arial"/>
          <w:sz w:val="14"/>
          <w:szCs w:val="14"/>
          <w:color w:val="auto"/>
        </w:rPr>
        <w:t>All borrowings under the Term Loan Facility bore interest at a rate selected by the Company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Term Loan Facility was secured by mortgages on certain properties owned by the Company’s subsidiaries, in addition to other collateral. The Term Loan Facility was amended in the third quarter of 2019 to allow certain properties of a consolidated subsidiary to secure the Senior Secured Bonds.</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3"/>
          <w:szCs w:val="13"/>
          <w:color w:val="auto"/>
        </w:rPr>
        <w:t>The Company incurred costs in connection with obtaining the Term Loan Facility, the extinguishment of the Company’s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color w:val="auto"/>
        </w:rPr>
        <w:t>The Term Loan Facility had a maturity date of December 31, 2019 with an option to extend the maturity date for two additional six-month periods. Upon the exercise of each extension option, the Company would pay a fee equal to 1.0% of the outstanding principal balance at the time of the exercise and the spread on LIBOR and Base Rate would increase by 0.5%. On December 30, 2019, the Company entered into an amendment with the lenders to extend the maturity to January 21, 2020; no fees were due to lenders from the execution of this amendment. On January 15, 2020, the Company repaid the full amount outstanding including fees due to the lenders using proceeds from the Credit Agreement to extinguish the Term Loan Facility. In conjunction with the extinguishment of the Term Loan Facility, the Company recognized a Loss on extinguishment of debt of $9,557 in the consolidated statements of operations and comprehensive loss.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South Power Bonds</w:t>
      </w:r>
    </w:p>
    <w:p>
      <w:pPr>
        <w:spacing w:after="0" w:line="200" w:lineRule="exact"/>
        <w:rPr>
          <w:sz w:val="20"/>
          <w:szCs w:val="20"/>
          <w:color w:val="auto"/>
        </w:rPr>
      </w:pPr>
    </w:p>
    <w:p>
      <w:pPr>
        <w:ind w:right="40"/>
        <w:spacing w:after="0" w:line="296" w:lineRule="auto"/>
        <w:rPr>
          <w:sz w:val="20"/>
          <w:szCs w:val="20"/>
          <w:color w:val="auto"/>
        </w:rPr>
      </w:pPr>
      <w:r>
        <w:rPr>
          <w:rFonts w:ascii="Arial" w:cs="Arial" w:eastAsia="Arial" w:hAnsi="Arial"/>
          <w:sz w:val="13"/>
          <w:szCs w:val="13"/>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were secured by the dual-fired combined heat and power facility in Clarendon, Jamaica (the “CHP Plant”) and related receivables and assets, and the proceeds were used to fund the completion of the CHP Plant and to reimburse shareholder advances. Upon completion of construction of the CHP Plant in the fourth quarter of 2019, South Power issued an additional $63,000 in Senior Secured Bonds. The Company received $10,856 of the proceeds in 2019 and received the remaining proceeds of $52,144 in January 2020.</w:t>
      </w:r>
    </w:p>
    <w:p>
      <w:pPr>
        <w:spacing w:after="0" w:line="153"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The Senior Secured Bonds bore interest at an annual fixed rate of 8.25% and matured 15 years from the closing date of each issuance. No principal payments were due for the first seven years. After seven years, quarterly principal payments of approximately 1.6% of the original principal amount were due, with a 50% balloon payment due upon maturity. Interest payments on outstanding principal balances were due quarterly.</w:t>
      </w:r>
    </w:p>
    <w:p>
      <w:pPr>
        <w:spacing w:after="0" w:line="178"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color w:val="auto"/>
        </w:rPr>
        <w:t>The Senior Unsecured Bonds bore interest at an annual fixed rate of 11.00% and matured in September 2036. No principal payments were due for the first nine years. Beginning in 2028, principal payments were due quarterly on an escalating schedule. Interest payments on outstanding principal balances were due quarterly.</w:t>
      </w:r>
    </w:p>
    <w:p>
      <w:pPr>
        <w:spacing w:after="0" w:line="14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South Power was required to comply with certain financial covenants as well as customary affirmative and negative covenants, including limitations on incurring additional indebtedness. The facility also provided for customary events of default, prepayment and cure provisions.</w:t>
      </w:r>
    </w:p>
    <w:p>
      <w:pPr>
        <w:spacing w:after="0" w:line="170"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The Company paid approximately $3,892 of fees in connection with the issuance of Senior Secured Bonds and Senior Unsecured Bonds. These fees were capitalized on a pro-rata basis as a reduction of the Senior Secured Bonds and Senior Unsecured Bonds on the consolidated balance sheets. On September 21, 2020, the Company repaid the full amount outstanding including fees dues to the lenders using proceeds from the Senior Secured Notes and cash on hand. In conjunction with the repayment of the Senior Secured Bonds and Senior Unsecured Bonds, the Company recognized a loss on extinguishment of debt of $7,195 in the consolidated statements of operations and comprehensive loss, including the write-off of $3,594 of unamortized deferred financing costs and prepayment premium paid to bondholders of $3,601.</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w:t>
      </w:r>
    </w:p>
    <w:p>
      <w:pPr>
        <w:spacing w:after="0" w:line="200"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Interest and related amortization of debt issuance costs recognized during major development and construction projects are capitalized and included in the cost of the project. Interest expense, net of amounts capitalized, recognized for the years ended December 31, 2020, 2019 and 2018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47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r>
      <w:tr>
        <w:trPr>
          <w:trHeight w:val="175"/>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Interest per contractual rates</w:t>
            </w:r>
          </w:p>
        </w:tc>
        <w:tc>
          <w:tcPr>
            <w:tcW w:w="26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76,176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32,283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9,363</w:t>
            </w:r>
          </w:p>
        </w:tc>
        <w:tc>
          <w:tcPr>
            <w:tcW w:w="100" w:type="dxa"/>
            <w:vAlign w:val="bottom"/>
            <w:shd w:val="clear" w:color="auto" w:fill="CCEEFF"/>
          </w:tcPr>
          <w:p>
            <w:pPr>
              <w:spacing w:after="0"/>
              <w:rPr>
                <w:sz w:val="15"/>
                <w:szCs w:val="15"/>
                <w:color w:val="auto"/>
              </w:rPr>
            </w:pPr>
          </w:p>
        </w:tc>
      </w:tr>
      <w:tr>
        <w:trPr>
          <w:trHeight w:val="177"/>
        </w:trPr>
        <w:tc>
          <w:tcPr>
            <w:tcW w:w="4720" w:type="dxa"/>
            <w:vAlign w:val="bottom"/>
          </w:tcPr>
          <w:p>
            <w:pPr>
              <w:spacing w:after="0"/>
              <w:rPr>
                <w:sz w:val="20"/>
                <w:szCs w:val="20"/>
                <w:color w:val="auto"/>
              </w:rPr>
            </w:pPr>
            <w:r>
              <w:rPr>
                <w:rFonts w:ascii="Arial" w:cs="Arial" w:eastAsia="Arial" w:hAnsi="Arial"/>
                <w:sz w:val="15"/>
                <w:szCs w:val="15"/>
                <w:color w:val="auto"/>
              </w:rPr>
              <w:t>Amortization of debt issuance costs</w:t>
            </w:r>
          </w:p>
        </w:tc>
        <w:tc>
          <w:tcPr>
            <w:tcW w:w="2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15,471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12,301</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3,617</w:t>
            </w:r>
          </w:p>
        </w:tc>
        <w:tc>
          <w:tcPr>
            <w:tcW w:w="100" w:type="dxa"/>
            <w:vAlign w:val="bottom"/>
          </w:tcPr>
          <w:p>
            <w:pPr>
              <w:spacing w:after="0"/>
              <w:rPr>
                <w:sz w:val="15"/>
                <w:szCs w:val="15"/>
                <w:color w:val="auto"/>
              </w:rPr>
            </w:pPr>
          </w:p>
        </w:tc>
      </w:tr>
      <w:tr>
        <w:trPr>
          <w:trHeight w:val="175"/>
        </w:trPr>
        <w:tc>
          <w:tcPr>
            <w:tcW w:w="4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interest costs</w:t>
            </w:r>
          </w:p>
        </w:tc>
        <w:tc>
          <w:tcPr>
            <w:tcW w:w="262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91,647</w:t>
            </w:r>
          </w:p>
        </w:tc>
        <w:tc>
          <w:tcPr>
            <w:tcW w:w="2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44,584</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12,980</w:t>
            </w:r>
          </w:p>
        </w:tc>
        <w:tc>
          <w:tcPr>
            <w:tcW w:w="100" w:type="dxa"/>
            <w:vAlign w:val="bottom"/>
            <w:shd w:val="clear" w:color="auto" w:fill="CCEEFF"/>
          </w:tcPr>
          <w:p>
            <w:pPr>
              <w:spacing w:after="0"/>
              <w:rPr>
                <w:sz w:val="15"/>
                <w:szCs w:val="15"/>
                <w:color w:val="auto"/>
              </w:rPr>
            </w:pPr>
          </w:p>
        </w:tc>
      </w:tr>
      <w:tr>
        <w:trPr>
          <w:trHeight w:val="177"/>
        </w:trPr>
        <w:tc>
          <w:tcPr>
            <w:tcW w:w="4720" w:type="dxa"/>
            <w:vAlign w:val="bottom"/>
          </w:tcPr>
          <w:p>
            <w:pPr>
              <w:spacing w:after="0"/>
              <w:rPr>
                <w:sz w:val="20"/>
                <w:szCs w:val="20"/>
                <w:color w:val="auto"/>
              </w:rPr>
            </w:pPr>
            <w:r>
              <w:rPr>
                <w:rFonts w:ascii="Arial" w:cs="Arial" w:eastAsia="Arial" w:hAnsi="Arial"/>
                <w:sz w:val="15"/>
                <w:szCs w:val="15"/>
                <w:color w:val="auto"/>
              </w:rPr>
              <w:t>Capitalized interest</w:t>
            </w:r>
          </w:p>
        </w:tc>
        <w:tc>
          <w:tcPr>
            <w:tcW w:w="2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25,924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25,172</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1,732</w:t>
            </w:r>
          </w:p>
        </w:tc>
        <w:tc>
          <w:tcPr>
            <w:tcW w:w="100" w:type="dxa"/>
            <w:vAlign w:val="bottom"/>
          </w:tcPr>
          <w:p>
            <w:pPr>
              <w:spacing w:after="0"/>
              <w:rPr>
                <w:sz w:val="15"/>
                <w:szCs w:val="15"/>
                <w:color w:val="auto"/>
              </w:rPr>
            </w:pPr>
          </w:p>
        </w:tc>
      </w:tr>
      <w:tr>
        <w:trPr>
          <w:trHeight w:val="215"/>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interest expense</w:t>
            </w:r>
          </w:p>
        </w:tc>
        <w:tc>
          <w:tcPr>
            <w:tcW w:w="26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65,723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19,412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11,248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b w:val="1"/>
          <w:bCs w:val="1"/>
          <w:color w:val="auto"/>
        </w:rPr>
        <w:t>16.</w:t>
        <w:tab/>
        <w:t>Income taxes</w:t>
      </w:r>
    </w:p>
    <w:p>
      <w:pPr>
        <w:spacing w:after="0" w:line="204" w:lineRule="exact"/>
        <w:rPr>
          <w:sz w:val="20"/>
          <w:szCs w:val="20"/>
          <w:color w:val="auto"/>
        </w:rPr>
      </w:pPr>
    </w:p>
    <w:p>
      <w:pPr>
        <w:ind w:right="60"/>
        <w:spacing w:after="0" w:line="296" w:lineRule="auto"/>
        <w:rPr>
          <w:sz w:val="20"/>
          <w:szCs w:val="20"/>
          <w:color w:val="auto"/>
        </w:rPr>
      </w:pPr>
      <w:r>
        <w:rPr>
          <w:rFonts w:ascii="Arial" w:cs="Arial" w:eastAsia="Arial" w:hAnsi="Arial"/>
          <w:sz w:val="13"/>
          <w:szCs w:val="13"/>
          <w:color w:val="auto"/>
        </w:rPr>
        <w:t>In connection with the IPO, NFE LLC contributed the net proceeds from the IPO to NFI in exchange for NFI LLC Units, and NFE LLC became the managing member of NFI. NFI is a limited liability company that was treated as a partnership through December 31, 2020 for U.S. federal income tax purposes and for most applicable state and local income tax purposes. As a partnership, NFI was not subject to U.S. federal and certain state and local income taxes. Any taxable income or loss generated by NFI was passed through to and included in the taxable income or loss of its members,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17" w:name="page118"/>
    <w:bookmarkEnd w:id="11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340"/>
        <w:spacing w:after="0" w:line="299" w:lineRule="auto"/>
        <w:rPr>
          <w:sz w:val="20"/>
          <w:szCs w:val="20"/>
          <w:color w:val="auto"/>
        </w:rPr>
      </w:pPr>
      <w:r>
        <w:rPr>
          <w:rFonts w:ascii="Arial" w:cs="Arial" w:eastAsia="Arial" w:hAnsi="Arial"/>
          <w:sz w:val="14"/>
          <w:szCs w:val="14"/>
          <w:color w:val="auto"/>
        </w:rPr>
        <w:t>In connection with the IPO, NFE recorded a deferred tax asset of $42,783 related to the difference between its tax basis in its investment in NFI and NFE’s share of the financial statement carrying amount of the net assets of NFI. The deferred tax asset was recorded to equity and is fully offset by a valuation allowance also recorded to equity.</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Subsequent to the Exchange Transactions completed on June 10, 2020, 100% of NFI’s operations are included in the NFE income tax provision; there was no impact on income tax expense due to the Exchange Transactions. Additionally, in the third quarter of 2020, the Company completed the Conversion; NFE LLC has been a corporation for U.S. federal tax purposes, and converting NFE LLC from a limited liability company to a corporation has no effect on the U.S. federal tax treatment of the Company or its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the Company’s loss before income taxes for the years ended December 31, 2020, 2019, and 2018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8"/>
          </w:tcPr>
          <w:p>
            <w:pPr>
              <w:jc w:val="center"/>
              <w:ind w:right="68"/>
              <w:spacing w:after="0"/>
              <w:rPr>
                <w:sz w:val="20"/>
                <w:szCs w:val="20"/>
                <w:color w:val="auto"/>
              </w:rPr>
            </w:pPr>
            <w:r>
              <w:rPr>
                <w:rFonts w:ascii="Arial" w:cs="Arial" w:eastAsia="Arial" w:hAnsi="Arial"/>
                <w:sz w:val="15"/>
                <w:szCs w:val="15"/>
                <w:b w:val="1"/>
                <w:bCs w:val="1"/>
                <w:color w:val="auto"/>
                <w:w w:val="87"/>
              </w:rPr>
              <w:t>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2020</w:t>
            </w: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(166,571)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(194,481)</w:t>
            </w:r>
          </w:p>
        </w:tc>
        <w:tc>
          <w:tcPr>
            <w:tcW w:w="2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(74,873)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20" w:type="dxa"/>
            <w:vAlign w:val="bottom"/>
          </w:tcPr>
          <w:p>
            <w:pPr>
              <w:spacing w:after="0"/>
              <w:rPr>
                <w:sz w:val="20"/>
                <w:szCs w:val="20"/>
                <w:color w:val="auto"/>
              </w:rPr>
            </w:pPr>
            <w:r>
              <w:rPr>
                <w:rFonts w:ascii="Arial" w:cs="Arial" w:eastAsia="Arial" w:hAnsi="Arial"/>
                <w:sz w:val="15"/>
                <w:szCs w:val="15"/>
                <w:color w:val="auto"/>
              </w:rPr>
              <w:t>Foreign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5"/>
                <w:szCs w:val="15"/>
                <w:color w:val="auto"/>
              </w:rPr>
              <w:t>(92,577)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5"/>
                <w:szCs w:val="15"/>
                <w:color w:val="auto"/>
              </w:rPr>
              <w:t>(9,399)</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(3,647)</w:t>
            </w:r>
          </w:p>
        </w:tc>
        <w:tc>
          <w:tcPr>
            <w:tcW w:w="0" w:type="dxa"/>
            <w:vAlign w:val="bottom"/>
          </w:tcPr>
          <w:p>
            <w:pPr>
              <w:spacing w:after="0"/>
              <w:rPr>
                <w:sz w:val="1"/>
                <w:szCs w:val="1"/>
                <w:color w:val="auto"/>
              </w:rPr>
            </w:pPr>
          </w:p>
        </w:tc>
      </w:tr>
      <w:tr>
        <w:trPr>
          <w:trHeight w:val="215"/>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Loss before taxes</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(259,148)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(203,880)</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(78,520)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220" w:type="dxa"/>
            <w:vAlign w:val="bottom"/>
          </w:tcPr>
          <w:p>
            <w:pPr>
              <w:spacing w:after="0"/>
              <w:rPr>
                <w:sz w:val="20"/>
                <w:szCs w:val="20"/>
                <w:color w:val="auto"/>
              </w:rPr>
            </w:pPr>
            <w:r>
              <w:rPr>
                <w:rFonts w:ascii="Arial" w:cs="Arial" w:eastAsia="Arial" w:hAnsi="Arial"/>
                <w:sz w:val="15"/>
                <w:szCs w:val="15"/>
                <w:color w:val="auto"/>
                <w:w w:val="93"/>
              </w:rPr>
              <w:t>Income tax expense (benefit) is comprised of the following for the years ended December 31, 2020, 2019, and 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center"/>
              <w:ind w:right="68"/>
              <w:spacing w:after="0"/>
              <w:rPr>
                <w:sz w:val="20"/>
                <w:szCs w:val="20"/>
                <w:color w:val="auto"/>
              </w:rPr>
            </w:pPr>
            <w:r>
              <w:rPr>
                <w:rFonts w:ascii="Arial" w:cs="Arial" w:eastAsia="Arial" w:hAnsi="Arial"/>
                <w:sz w:val="15"/>
                <w:szCs w:val="15"/>
                <w:b w:val="1"/>
                <w:bCs w:val="1"/>
                <w:color w:val="auto"/>
                <w:w w:val="87"/>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2020</w:t>
            </w: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5"/>
                <w:szCs w:val="15"/>
                <w:b w:val="1"/>
                <w:bCs w:val="1"/>
                <w:color w:val="auto"/>
              </w:rPr>
              <w:t>Current: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20" w:type="dxa"/>
            <w:vAlign w:val="bottom"/>
          </w:tcPr>
          <w:p>
            <w:pPr>
              <w:spacing w:after="0"/>
              <w:rPr>
                <w:sz w:val="20"/>
                <w:szCs w:val="20"/>
                <w:color w:val="auto"/>
              </w:rPr>
            </w:pPr>
            <w:r>
              <w:rPr>
                <w:rFonts w:ascii="Arial" w:cs="Arial" w:eastAsia="Arial" w:hAnsi="Arial"/>
                <w:sz w:val="15"/>
                <w:szCs w:val="15"/>
                <w:color w:val="auto"/>
              </w:rPr>
              <w:t>Foreign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2,063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current tax expense</w:t>
            </w: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2,063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2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5"/>
                <w:szCs w:val="15"/>
                <w:b w:val="1"/>
                <w:bCs w:val="1"/>
                <w:color w:val="auto"/>
              </w:rPr>
              <w:t>Deferred: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20" w:type="dxa"/>
            <w:vAlign w:val="bottom"/>
          </w:tcPr>
          <w:p>
            <w:pPr>
              <w:spacing w:after="0"/>
              <w:rPr>
                <w:sz w:val="20"/>
                <w:szCs w:val="20"/>
                <w:color w:val="auto"/>
              </w:rPr>
            </w:pPr>
            <w:r>
              <w:rPr>
                <w:rFonts w:ascii="Arial" w:cs="Arial" w:eastAsia="Arial" w:hAnsi="Arial"/>
                <w:sz w:val="15"/>
                <w:szCs w:val="15"/>
                <w:color w:val="auto"/>
              </w:rPr>
              <w:t>Foreign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2,754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5"/>
                <w:szCs w:val="15"/>
                <w:color w:val="auto"/>
              </w:rPr>
              <w:t>392</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177"/>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deferred tax expense (benefit)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2,754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120"/>
              <w:spacing w:after="0"/>
              <w:rPr>
                <w:sz w:val="20"/>
                <w:szCs w:val="20"/>
                <w:color w:val="auto"/>
              </w:rPr>
            </w:pPr>
            <w:r>
              <w:rPr>
                <w:rFonts w:ascii="Arial" w:cs="Arial" w:eastAsia="Arial" w:hAnsi="Arial"/>
                <w:sz w:val="15"/>
                <w:szCs w:val="15"/>
                <w:color w:val="auto"/>
              </w:rPr>
              <w:t>Total provision for (benefit from) income taxes</w:t>
            </w:r>
          </w:p>
        </w:tc>
        <w:tc>
          <w:tcPr>
            <w:tcW w:w="300" w:type="dxa"/>
            <w:vAlign w:val="bottom"/>
            <w:gridSpan w:val="2"/>
          </w:tcPr>
          <w:p>
            <w:pPr>
              <w:jc w:val="right"/>
              <w:ind w:right="27"/>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4,817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140" w:type="dxa"/>
            <w:vAlign w:val="bottom"/>
            <w:gridSpan w:val="3"/>
          </w:tcPr>
          <w:p>
            <w:pPr>
              <w:jc w:val="right"/>
              <w:ind w:right="220"/>
              <w:spacing w:after="0"/>
              <w:rPr>
                <w:sz w:val="20"/>
                <w:szCs w:val="20"/>
                <w:color w:val="auto"/>
              </w:rPr>
            </w:pPr>
            <w:r>
              <w:rPr>
                <w:rFonts w:ascii="Arial" w:cs="Arial" w:eastAsia="Arial" w:hAnsi="Arial"/>
                <w:sz w:val="15"/>
                <w:szCs w:val="15"/>
                <w:color w:val="auto"/>
              </w:rPr>
              <w:t>439</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5"/>
                <w:szCs w:val="15"/>
                <w:i w:val="1"/>
                <w:iCs w:val="1"/>
                <w:color w:val="auto"/>
              </w:rPr>
              <w:t>Effective Tax Rate</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220" w:type="dxa"/>
            <w:vAlign w:val="bottom"/>
          </w:tcPr>
          <w:p>
            <w:pPr>
              <w:spacing w:after="0"/>
              <w:rPr>
                <w:sz w:val="20"/>
                <w:szCs w:val="20"/>
                <w:color w:val="auto"/>
              </w:rPr>
            </w:pPr>
            <w:r>
              <w:rPr>
                <w:rFonts w:ascii="Arial" w:cs="Arial" w:eastAsia="Arial" w:hAnsi="Arial"/>
                <w:sz w:val="15"/>
                <w:szCs w:val="15"/>
                <w:color w:val="auto"/>
              </w:rPr>
              <w:t>A reconciliation of the U.S. federal statutory income tax rate to the Company’s effective tax rate is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5"/>
                <w:szCs w:val="15"/>
                <w:b w:val="1"/>
                <w:bCs w:val="1"/>
                <w:color w:val="auto"/>
                <w:w w:val="87"/>
              </w:rPr>
              <w:t>Year Ended December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Income tax at the statutory rate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21.0%</w:t>
            </w:r>
          </w:p>
        </w:tc>
        <w:tc>
          <w:tcPr>
            <w:tcW w:w="22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5"/>
                <w:szCs w:val="15"/>
                <w:color w:val="auto"/>
              </w:rPr>
              <w:t>Impact from foreign operations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Foreign tax rate differential</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0.8%</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5"/>
                <w:szCs w:val="15"/>
                <w:color w:val="auto"/>
              </w:rPr>
              <w:t>Foreign tax on foreign operations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Foreign permanent adjustments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5.0%</w:t>
            </w:r>
          </w:p>
        </w:tc>
        <w:tc>
          <w:tcPr>
            <w:tcW w:w="22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5"/>
                <w:szCs w:val="15"/>
                <w:color w:val="auto"/>
              </w:rPr>
              <w:t>Foreign valuation allowance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(10.8%)</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Domestic valuation allowance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(2.1%)</w:t>
            </w:r>
          </w:p>
        </w:tc>
        <w:tc>
          <w:tcPr>
            <w:tcW w:w="22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5"/>
                <w:szCs w:val="15"/>
                <w:color w:val="auto"/>
              </w:rPr>
              <w:t>Income attributable to non-controlling interest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(18.2%)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1.2%</w:t>
            </w:r>
          </w:p>
        </w:tc>
        <w:tc>
          <w:tcPr>
            <w:tcW w:w="22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5"/>
                <w:szCs w:val="15"/>
                <w:color w:val="auto"/>
              </w:rPr>
              <w:t>Effective income tax rate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(0.2%)</w:t>
            </w:r>
          </w:p>
        </w:tc>
        <w:tc>
          <w:tcPr>
            <w:tcW w:w="2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5540"/>
              <w:spacing w:after="0"/>
              <w:rPr>
                <w:sz w:val="20"/>
                <w:szCs w:val="20"/>
                <w:color w:val="auto"/>
              </w:rPr>
            </w:pPr>
            <w:r>
              <w:rPr>
                <w:rFonts w:ascii="Arial" w:cs="Arial" w:eastAsia="Arial" w:hAnsi="Arial"/>
                <w:sz w:val="12"/>
                <w:szCs w:val="12"/>
                <w:color w:val="auto"/>
              </w:rPr>
              <w:t>F-30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4" w:right="319" w:bottom="1440" w:gutter="0" w:footer="0" w:header="0"/>
        </w:sectPr>
      </w:pPr>
    </w:p>
    <w:bookmarkStart w:id="118" w:name="page119"/>
    <w:bookmarkEnd w:id="11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9"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color w:val="auto"/>
        </w:rPr>
        <w:t>The primary items which decreased the Company’s effective income tax rate from the federal statutory rate in 2020 and 2019 were increases in domestic and foreign valuation allowances and income attributable to non-controlling interests. For 2018, the entire difference between the statutory and effective rate was attributable to foreign taxes.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years ended December 31, 2020, 2019 and 2018, the Company did not have any unrecognized tax benefits.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the Company’s valuation allowance on deferred tax assets for the period indicated for the years ended December 31,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Arial" w:cs="Arial" w:eastAsia="Arial" w:hAnsi="Arial"/>
                <w:sz w:val="15"/>
                <w:szCs w:val="15"/>
                <w:b w:val="1"/>
                <w:bCs w:val="1"/>
                <w:color w:val="auto"/>
              </w:rPr>
              <w:t>Year Ended December 31,</w:t>
            </w:r>
          </w:p>
        </w:tc>
      </w:tr>
      <w:tr>
        <w:trPr>
          <w:trHeight w:val="177"/>
        </w:trPr>
        <w:tc>
          <w:tcPr>
            <w:tcW w:w="87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Balance at the beginning of the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80,911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15"/>
                <w:szCs w:val="15"/>
                <w:color w:val="auto"/>
              </w:rPr>
            </w:pPr>
          </w:p>
        </w:tc>
      </w:tr>
      <w:tr>
        <w:trPr>
          <w:trHeight w:val="177"/>
        </w:trPr>
        <w:tc>
          <w:tcPr>
            <w:tcW w:w="870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51,586</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80,670</w:t>
            </w:r>
          </w:p>
        </w:tc>
      </w:tr>
      <w:tr>
        <w:trPr>
          <w:trHeight w:val="215"/>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the end of the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132,497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80,911</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tax effect of each type of temporary difference and carryforward that give rise to a significant deferred tax asset or liability as of December 31, 2020 and 2019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Arial" w:cs="Arial" w:eastAsia="Arial" w:hAnsi="Arial"/>
                <w:sz w:val="15"/>
                <w:szCs w:val="15"/>
                <w:b w:val="1"/>
                <w:bCs w:val="1"/>
                <w:color w:val="auto"/>
              </w:rPr>
              <w:t>Year Ended December 31,</w:t>
            </w:r>
          </w:p>
        </w:tc>
      </w:tr>
      <w:tr>
        <w:trPr>
          <w:trHeight w:val="177"/>
        </w:trPr>
        <w:tc>
          <w:tcPr>
            <w:tcW w:w="87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75"/>
        </w:trPr>
        <w:tc>
          <w:tcPr>
            <w:tcW w:w="8700" w:type="dxa"/>
            <w:vAlign w:val="bottom"/>
          </w:tcPr>
          <w:p>
            <w:pPr>
              <w:spacing w:after="0"/>
              <w:rPr>
                <w:sz w:val="20"/>
                <w:szCs w:val="20"/>
                <w:color w:val="auto"/>
              </w:rPr>
            </w:pPr>
            <w:r>
              <w:rPr>
                <w:rFonts w:ascii="Arial" w:cs="Arial" w:eastAsia="Arial" w:hAnsi="Arial"/>
                <w:sz w:val="15"/>
                <w:szCs w:val="15"/>
                <w:b w:val="1"/>
                <w:bCs w:val="1"/>
                <w:color w:val="auto"/>
              </w:rPr>
              <w:t>Deferred tax assets: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Investment in NFI</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64,553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46,185</w:t>
            </w: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Accrued interest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18,885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14,047</w:t>
            </w: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IRC Section 163(j) interest carryforward</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6,909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182</w:t>
            </w: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Federal and state net operating loss carryforward</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32,145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3,215</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Foreign net operating loss carryforward</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24,525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19,713</w:t>
            </w: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6,611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8,958</w:t>
            </w: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Lease liability</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4,383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7"/>
        </w:trPr>
        <w:tc>
          <w:tcPr>
            <w:tcW w:w="8700" w:type="dxa"/>
            <w:vAlign w:val="bottom"/>
          </w:tcPr>
          <w:p>
            <w:pPr>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1,252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224</w:t>
            </w: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deferred tax assets</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159,263</w:t>
            </w: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92,524</w:t>
            </w:r>
          </w:p>
        </w:tc>
        <w:tc>
          <w:tcPr>
            <w:tcW w:w="100" w:type="dxa"/>
            <w:vAlign w:val="bottom"/>
            <w:shd w:val="clear" w:color="auto" w:fill="CCEEFF"/>
          </w:tcPr>
          <w:p>
            <w:pPr>
              <w:spacing w:after="0"/>
              <w:rPr>
                <w:sz w:val="15"/>
                <w:szCs w:val="15"/>
                <w:color w:val="auto"/>
              </w:rPr>
            </w:pPr>
          </w:p>
        </w:tc>
      </w:tr>
      <w:tr>
        <w:trPr>
          <w:trHeight w:val="177"/>
        </w:trPr>
        <w:tc>
          <w:tcPr>
            <w:tcW w:w="8700" w:type="dxa"/>
            <w:vAlign w:val="bottom"/>
          </w:tcPr>
          <w:p>
            <w:pPr>
              <w:spacing w:after="0"/>
              <w:rPr>
                <w:sz w:val="20"/>
                <w:szCs w:val="20"/>
                <w:color w:val="auto"/>
              </w:rPr>
            </w:pPr>
            <w:r>
              <w:rPr>
                <w:rFonts w:ascii="Arial" w:cs="Arial" w:eastAsia="Arial" w:hAnsi="Arial"/>
                <w:sz w:val="15"/>
                <w:szCs w:val="15"/>
                <w:color w:val="auto"/>
              </w:rPr>
              <w:t>Valuation allowance</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(132,497)</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(80,911)</w:t>
            </w:r>
          </w:p>
        </w:tc>
      </w:tr>
      <w:tr>
        <w:trPr>
          <w:trHeight w:val="175"/>
        </w:trPr>
        <w:tc>
          <w:tcPr>
            <w:tcW w:w="8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tax assets, net of valuation allowance</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26,766</w:t>
            </w: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11,613</w:t>
            </w: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2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8700" w:type="dxa"/>
            <w:vAlign w:val="bottom"/>
          </w:tcPr>
          <w:p>
            <w:pPr>
              <w:spacing w:after="0"/>
              <w:rPr>
                <w:sz w:val="20"/>
                <w:szCs w:val="20"/>
                <w:color w:val="auto"/>
              </w:rPr>
            </w:pPr>
            <w:r>
              <w:rPr>
                <w:rFonts w:ascii="Arial" w:cs="Arial" w:eastAsia="Arial" w:hAnsi="Arial"/>
                <w:sz w:val="15"/>
                <w:szCs w:val="15"/>
                <w:color w:val="auto"/>
              </w:rPr>
              <w:t>Property and equipment</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(22,566)</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(11,820)</w:t>
            </w: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Lease asset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(4,215)</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22"/>
        </w:trPr>
        <w:tc>
          <w:tcPr>
            <w:tcW w:w="8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7"/>
        </w:trPr>
        <w:tc>
          <w:tcPr>
            <w:tcW w:w="8700" w:type="dxa"/>
            <w:vAlign w:val="bottom"/>
          </w:tcPr>
          <w:p>
            <w:pPr>
              <w:ind w:left="120"/>
              <w:spacing w:after="0"/>
              <w:rPr>
                <w:sz w:val="20"/>
                <w:szCs w:val="20"/>
                <w:color w:val="auto"/>
              </w:rPr>
            </w:pPr>
            <w:r>
              <w:rPr>
                <w:rFonts w:ascii="Arial" w:cs="Arial" w:eastAsia="Arial" w:hAnsi="Arial"/>
                <w:sz w:val="15"/>
                <w:szCs w:val="15"/>
                <w:color w:val="auto"/>
              </w:rPr>
              <w:t>Total deferred tax liabilities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(26,781)</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(11,820)</w:t>
            </w:r>
          </w:p>
        </w:tc>
      </w:tr>
      <w:tr>
        <w:trPr>
          <w:trHeight w:val="215"/>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deferred tax liabilities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Federal and State Jurisdictions</w:t>
      </w:r>
    </w:p>
    <w:p>
      <w:pPr>
        <w:spacing w:after="0" w:line="204" w:lineRule="exact"/>
        <w:rPr>
          <w:sz w:val="20"/>
          <w:szCs w:val="20"/>
          <w:color w:val="auto"/>
        </w:rPr>
      </w:pPr>
    </w:p>
    <w:p>
      <w:pPr>
        <w:ind w:right="460"/>
        <w:spacing w:after="0" w:line="311" w:lineRule="auto"/>
        <w:rPr>
          <w:sz w:val="20"/>
          <w:szCs w:val="20"/>
          <w:color w:val="auto"/>
        </w:rPr>
      </w:pPr>
      <w:r>
        <w:rPr>
          <w:rFonts w:ascii="Arial" w:cs="Arial" w:eastAsia="Arial" w:hAnsi="Arial"/>
          <w:sz w:val="13"/>
          <w:szCs w:val="13"/>
          <w:color w:val="auto"/>
        </w:rPr>
        <w:t>The Company and its subsidiaries file income tax returns in the U.S. federal and various state and local jurisdictions. The Company is not currently under income tax examination in any jurisdiction, and NFE filed its first corporate U.S. federal and state income tax returns for the period ended December 31, 2019. NFI was taxed as a U.S. partnership and controlled the underlying operations, thus the tax effects of temporary differences were captured through December 31, 2020 within the net deferred tax asset for the investment in the partnership.</w:t>
      </w:r>
    </w:p>
    <w:p>
      <w:pPr>
        <w:spacing w:after="0" w:line="143" w:lineRule="exact"/>
        <w:rPr>
          <w:sz w:val="20"/>
          <w:szCs w:val="20"/>
          <w:color w:val="auto"/>
        </w:rPr>
      </w:pPr>
    </w:p>
    <w:p>
      <w:pPr>
        <w:ind w:right="40"/>
        <w:spacing w:after="0" w:line="340" w:lineRule="auto"/>
        <w:rPr>
          <w:sz w:val="20"/>
          <w:szCs w:val="20"/>
          <w:color w:val="auto"/>
        </w:rPr>
      </w:pPr>
      <w:r>
        <w:rPr>
          <w:rFonts w:ascii="Arial" w:cs="Arial" w:eastAsia="Arial" w:hAnsi="Arial"/>
          <w:sz w:val="13"/>
          <w:szCs w:val="13"/>
          <w:color w:val="auto"/>
        </w:rPr>
        <w:t>As of December 31, 2020, NFE has approximately $147,928 of federal and $30,661 of state net operating loss carry forwards. The federal net operating losses are generally allowed to be carried forward indefinitely and can offset up to 80 percent of future taxable income. The state net operating losses relate to Florida and are generally allowed to be carried forward indefinitely.</w:t>
      </w:r>
    </w:p>
    <w:p>
      <w:pPr>
        <w:spacing w:after="0" w:line="125" w:lineRule="exact"/>
        <w:rPr>
          <w:sz w:val="20"/>
          <w:szCs w:val="20"/>
          <w:color w:val="auto"/>
        </w:rPr>
      </w:pPr>
    </w:p>
    <w:p>
      <w:pPr>
        <w:ind w:right="200"/>
        <w:spacing w:after="0" w:line="253" w:lineRule="auto"/>
        <w:rPr>
          <w:sz w:val="20"/>
          <w:szCs w:val="20"/>
          <w:color w:val="auto"/>
        </w:rPr>
      </w:pPr>
      <w:r>
        <w:rPr>
          <w:rFonts w:ascii="Arial" w:cs="Arial" w:eastAsia="Arial" w:hAnsi="Arial"/>
          <w:sz w:val="15"/>
          <w:szCs w:val="15"/>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A portion of the Company’s net operating loss carryforwards are subject to an annual limitation under Section 382 of the Internal Revenue Code.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120"/>
        <w:spacing w:after="0" w:line="311" w:lineRule="auto"/>
        <w:rPr>
          <w:sz w:val="20"/>
          <w:szCs w:val="20"/>
          <w:color w:val="auto"/>
        </w:rPr>
      </w:pPr>
      <w:r>
        <w:rPr>
          <w:rFonts w:ascii="Arial" w:cs="Arial" w:eastAsia="Arial" w:hAnsi="Arial"/>
          <w:sz w:val="13"/>
          <w:szCs w:val="13"/>
          <w:color w:val="auto"/>
        </w:rPr>
        <w:t>NFE recorded a valuation allowance against its U.S. federal and state deferred tax assets to reduce the net carrying value to an amount that it believes is more likely than not to be realized. As of December 31, 2020, the Company concluded, based on the weight of all available positive and negative evidence, those deferred tax assets are not more likely than not to be realized and accordingly, a valuation allowance has been recorded on this deferred tax asset as of December 31, 2020 for the amount not supported by reversing taxable temporary differences.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Company has not recorded any deferred tax liabilities for undistributed earnings of controlled foreign corporations, primarily consisting of the Company’s Puerto Rican operations. The Company’s intent is to only make distributions from non-U.S. subsidiaries in the future when distributions can be made at no net tax cost; any remaining cash will be reinvested to grow operations in such subsidiaries. The Company has no material unremitted earnings from its non-U.S. subsidiaries.</w:t>
      </w:r>
    </w:p>
    <w:p>
      <w:pPr>
        <w:spacing w:after="0" w:line="178" w:lineRule="exact"/>
        <w:rPr>
          <w:sz w:val="20"/>
          <w:szCs w:val="20"/>
          <w:color w:val="auto"/>
        </w:rPr>
      </w:pPr>
    </w:p>
    <w:p>
      <w:pPr>
        <w:ind w:right="400"/>
        <w:spacing w:after="0" w:line="253" w:lineRule="auto"/>
        <w:rPr>
          <w:sz w:val="20"/>
          <w:szCs w:val="20"/>
          <w:color w:val="auto"/>
        </w:rPr>
      </w:pPr>
      <w:r>
        <w:rPr>
          <w:rFonts w:ascii="Arial" w:cs="Arial" w:eastAsia="Arial" w:hAnsi="Arial"/>
          <w:sz w:val="15"/>
          <w:szCs w:val="15"/>
          <w:color w:val="auto"/>
        </w:rPr>
        <w:t>On March 27, 2020, the Coronavirus Aid, Relief and Economic Security Act, which includes various income and payroll tax provisions, was signed into law by the U.S. government. In addition, various other coronavirus tax relief initiatives have been implemented around the world. This tax legislation did not have a material impact on the Company’s financial position, results of operations or cash flows for the year ended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Jurisdictions</w:t>
      </w:r>
    </w:p>
    <w:p>
      <w:pPr>
        <w:spacing w:after="0" w:line="204" w:lineRule="exact"/>
        <w:rPr>
          <w:sz w:val="20"/>
          <w:szCs w:val="20"/>
          <w:color w:val="auto"/>
        </w:rPr>
      </w:pPr>
    </w:p>
    <w:p>
      <w:pPr>
        <w:ind w:right="80"/>
        <w:spacing w:after="0" w:line="311" w:lineRule="auto"/>
        <w:rPr>
          <w:sz w:val="20"/>
          <w:szCs w:val="20"/>
          <w:color w:val="auto"/>
        </w:rPr>
      </w:pPr>
      <w:r>
        <w:rPr>
          <w:rFonts w:ascii="Arial" w:cs="Arial" w:eastAsia="Arial" w:hAnsi="Arial"/>
          <w:sz w:val="13"/>
          <w:szCs w:val="13"/>
          <w:color w:val="auto"/>
        </w:rPr>
        <w:t>NFI’s foreign subsidiaries file income tax returns in certain foreign jurisdictions. As of December 31, 2020, NFI’s foreign subsidiaries have approximately $86,176 of net operating loss carry forwards. Net operating losses of $64,819 incurred in Jamaica are generally allowed to be carried forward indefinitely. Net operating loss carryforwards of $11,830 incurred in Puerto Rico and Mexico will expire, if unused, between 2028 and 2029. Net operating loss carryforwards of $8,865 incurred in Ireland are generally allowed to be carried forward indefinitely.</w:t>
      </w:r>
    </w:p>
    <w:p>
      <w:pPr>
        <w:spacing w:after="0" w:line="143" w:lineRule="exact"/>
        <w:rPr>
          <w:sz w:val="20"/>
          <w:szCs w:val="20"/>
          <w:color w:val="auto"/>
        </w:rPr>
      </w:pPr>
    </w:p>
    <w:p>
      <w:pPr>
        <w:ind w:right="320"/>
        <w:spacing w:after="0" w:line="253" w:lineRule="auto"/>
        <w:rPr>
          <w:sz w:val="20"/>
          <w:szCs w:val="20"/>
          <w:color w:val="auto"/>
        </w:rPr>
      </w:pPr>
      <w:r>
        <w:rPr>
          <w:rFonts w:ascii="Arial" w:cs="Arial" w:eastAsia="Arial" w:hAnsi="Arial"/>
          <w:sz w:val="15"/>
          <w:szCs w:val="15"/>
          <w:color w:val="auto"/>
        </w:rPr>
        <w:t>The Company commenced operations in Puerto Rico during the year ended December 31, 2020 giving rise to cumulative profits, and the valuation allowance against a portion of the net deferred tax asset has been released. The Company recorded a valuation allowance against other foreign deferred tax assets to reduce the net carrying value to an amount that it believes is more likely than not to be realized.</w:t>
      </w:r>
    </w:p>
    <w:p>
      <w:pPr>
        <w:spacing w:after="0" w:line="178"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w:t>
      </w:r>
    </w:p>
    <w:p>
      <w:pPr>
        <w:spacing w:after="0" w:line="143" w:lineRule="exact"/>
        <w:rPr>
          <w:sz w:val="20"/>
          <w:szCs w:val="20"/>
          <w:color w:val="auto"/>
        </w:rPr>
      </w:pPr>
    </w:p>
    <w:p>
      <w:pPr>
        <w:ind w:left="400" w:hanging="392"/>
        <w:spacing w:after="0"/>
        <w:tabs>
          <w:tab w:leader="none" w:pos="40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82" w:lineRule="exact"/>
        <w:rPr>
          <w:sz w:val="20"/>
          <w:szCs w:val="20"/>
          <w:color w:val="auto"/>
        </w:rPr>
      </w:pPr>
    </w:p>
    <w:p>
      <w:pPr>
        <w:ind w:right="240"/>
        <w:spacing w:after="0" w:line="253" w:lineRule="auto"/>
        <w:rPr>
          <w:sz w:val="20"/>
          <w:szCs w:val="20"/>
          <w:color w:val="auto"/>
        </w:rPr>
      </w:pPr>
      <w:r>
        <w:rPr>
          <w:rFonts w:ascii="Arial" w:cs="Arial" w:eastAsia="Arial" w:hAnsi="Arial"/>
          <w:sz w:val="15"/>
          <w:szCs w:val="15"/>
          <w:color w:val="auto"/>
        </w:rPr>
        <w:t>In conjunction with its principal business activities, the Company enters into various firm commitments for the purchase, production, and transportation of LNG and natural gas, as well as engineering, procurement and construction agreements to develop the Company’s terminals and related infrastructure. The estimated future cash payments related to outstanding contractual commitments, at market prices as of December 31, 2020, is summarized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6"/>
                <w:szCs w:val="16"/>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376,097</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362,294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362,294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362,311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1,027,352</w:t>
            </w:r>
          </w:p>
        </w:tc>
        <w:tc>
          <w:tcPr>
            <w:tcW w:w="100" w:type="dxa"/>
            <w:vAlign w:val="bottom"/>
            <w:shd w:val="clear" w:color="auto" w:fill="CCEEFF"/>
          </w:tcPr>
          <w:p>
            <w:pPr>
              <w:spacing w:after="0"/>
              <w:rPr>
                <w:sz w:val="15"/>
                <w:szCs w:val="15"/>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The future cash payments summarized above represent the Company’s minimum firm purchase commitments as of December 31, 2020.</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In 2020, the Company entered into four LNG supply agreements for the purchase of 415 TBtu of LNG between 2021 and 2030. Between 2022 and 2025, the total annual commitment under these agreements is approximately 68 TBtu per year, reducing to approximately 28 TBtu per year from 2026 to 2029. The amounts disclosed above also include the commitment to purchase 12 firm cargoes in 2021 under a supply contract entered into in December 2018.</w:t>
      </w:r>
    </w:p>
    <w:p>
      <w:pPr>
        <w:spacing w:after="0" w:line="178" w:lineRule="exact"/>
        <w:rPr>
          <w:sz w:val="20"/>
          <w:szCs w:val="20"/>
          <w:color w:val="auto"/>
        </w:rPr>
      </w:pPr>
    </w:p>
    <w:p>
      <w:pPr>
        <w:ind w:right="320"/>
        <w:spacing w:after="0" w:line="280" w:lineRule="auto"/>
        <w:rPr>
          <w:sz w:val="20"/>
          <w:szCs w:val="20"/>
          <w:color w:val="auto"/>
        </w:rPr>
      </w:pPr>
      <w:r>
        <w:rPr>
          <w:rFonts w:ascii="Arial" w:cs="Arial" w:eastAsia="Arial" w:hAnsi="Arial"/>
          <w:sz w:val="14"/>
          <w:szCs w:val="14"/>
          <w:color w:val="auto"/>
        </w:rPr>
        <w:t>The Company has a contractual purchase commitment for feedgas with a remaining term of approximately five years. This commitment is designed to assure sources of supply and is not expected to be in excess of normal requirements. For agreements for supply where there is an active market, such agreements qualify for and the Company has elected the normal purchase exception under the derivatives guidance; therefore, the purchases under these contracts are included in Inventory and Cost of sales as incurred.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Company’s lease obligations are discussed in Note 5. Leases.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0" w:name="page121"/>
    <w:bookmarkEnd w:id="12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Contingencies</w:t>
      </w:r>
    </w:p>
    <w:p>
      <w:pPr>
        <w:spacing w:after="0" w:line="20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20"/>
                <w:szCs w:val="20"/>
                <w:color w:val="auto"/>
              </w:rPr>
            </w:pPr>
            <w:r>
              <w:rPr>
                <w:rFonts w:ascii="Arial" w:cs="Arial" w:eastAsia="Arial" w:hAnsi="Arial"/>
                <w:sz w:val="15"/>
                <w:szCs w:val="15"/>
                <w:color w:val="auto"/>
              </w:rPr>
              <w:t>18</w:t>
            </w:r>
            <w:r>
              <w:rPr>
                <w:rFonts w:ascii="Arial" w:cs="Arial" w:eastAsia="Arial" w:hAnsi="Arial"/>
                <w:sz w:val="15"/>
                <w:szCs w:val="15"/>
                <w:b w:val="1"/>
                <w:bCs w:val="1"/>
                <w:color w:val="auto"/>
              </w:rPr>
              <w:t>.   Earnings per share</w:t>
            </w: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5"/>
        </w:trPr>
        <w:tc>
          <w:tcPr>
            <w:tcW w:w="5920" w:type="dxa"/>
            <w:vAlign w:val="bottom"/>
          </w:tcPr>
          <w:p>
            <w:pPr>
              <w:spacing w:after="0"/>
              <w:rPr>
                <w:sz w:val="24"/>
                <w:szCs w:val="24"/>
                <w:color w:val="auto"/>
              </w:rPr>
            </w:pPr>
          </w:p>
        </w:tc>
        <w:tc>
          <w:tcPr>
            <w:tcW w:w="4080" w:type="dxa"/>
            <w:vAlign w:val="bottom"/>
            <w:gridSpan w:val="5"/>
          </w:tcPr>
          <w:p>
            <w:pPr>
              <w:ind w:left="2680"/>
              <w:spacing w:after="0"/>
              <w:rPr>
                <w:sz w:val="20"/>
                <w:szCs w:val="20"/>
                <w:color w:val="auto"/>
              </w:rPr>
            </w:pPr>
            <w:r>
              <w:rPr>
                <w:rFonts w:ascii="Arial" w:cs="Arial" w:eastAsia="Arial" w:hAnsi="Arial"/>
                <w:sz w:val="15"/>
                <w:szCs w:val="15"/>
                <w:b w:val="1"/>
                <w:bCs w:val="1"/>
                <w:color w:val="auto"/>
              </w:rPr>
              <w:t>December 31, 2020</w:t>
            </w:r>
          </w:p>
        </w:tc>
        <w:tc>
          <w:tcPr>
            <w:tcW w:w="1280" w:type="dxa"/>
            <w:vAlign w:val="bottom"/>
            <w:gridSpan w:val="3"/>
          </w:tcPr>
          <w:p>
            <w:pPr>
              <w:spacing w:after="0"/>
              <w:rPr>
                <w:sz w:val="20"/>
                <w:szCs w:val="20"/>
                <w:color w:val="auto"/>
              </w:rPr>
            </w:pPr>
            <w:r>
              <w:rPr>
                <w:rFonts w:ascii="Arial" w:cs="Arial" w:eastAsia="Arial" w:hAnsi="Arial"/>
                <w:sz w:val="15"/>
                <w:szCs w:val="15"/>
                <w:b w:val="1"/>
                <w:bCs w:val="1"/>
                <w:color w:val="auto"/>
                <w:w w:val="93"/>
              </w:rPr>
              <w:t>December 31, 2019</w:t>
            </w:r>
          </w:p>
        </w:tc>
      </w:tr>
      <w:tr>
        <w:trPr>
          <w:trHeight w:val="175"/>
        </w:trPr>
        <w:tc>
          <w:tcPr>
            <w:tcW w:w="5920" w:type="dxa"/>
            <w:vAlign w:val="bottom"/>
          </w:tcPr>
          <w:p>
            <w:pPr>
              <w:spacing w:after="0"/>
              <w:rPr>
                <w:sz w:val="20"/>
                <w:szCs w:val="20"/>
                <w:color w:val="auto"/>
              </w:rPr>
            </w:pPr>
            <w:r>
              <w:rPr>
                <w:rFonts w:ascii="Arial" w:cs="Arial" w:eastAsia="Arial" w:hAnsi="Arial"/>
                <w:sz w:val="15"/>
                <w:szCs w:val="15"/>
                <w:color w:val="auto"/>
              </w:rPr>
              <w:t>Numerator:</w:t>
            </w:r>
          </w:p>
        </w:tc>
        <w:tc>
          <w:tcPr>
            <w:tcW w:w="26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2940" w:type="dxa"/>
            <w:vAlign w:val="bottom"/>
            <w:gridSpan w:val="2"/>
            <w:shd w:val="clear" w:color="auto" w:fill="CCEEFF"/>
          </w:tcPr>
          <w:p>
            <w:pPr>
              <w:ind w:left="268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(263,965)</w:t>
            </w:r>
          </w:p>
        </w:tc>
        <w:tc>
          <w:tcPr>
            <w:tcW w:w="3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(204,319)</w:t>
            </w:r>
          </w:p>
        </w:tc>
      </w:tr>
      <w:tr>
        <w:trPr>
          <w:trHeight w:val="177"/>
        </w:trPr>
        <w:tc>
          <w:tcPr>
            <w:tcW w:w="5920" w:type="dxa"/>
            <w:vAlign w:val="bottom"/>
          </w:tcPr>
          <w:p>
            <w:pPr>
              <w:ind w:left="120"/>
              <w:spacing w:after="0"/>
              <w:rPr>
                <w:sz w:val="20"/>
                <w:szCs w:val="20"/>
                <w:color w:val="auto"/>
              </w:rPr>
            </w:pPr>
            <w:r>
              <w:rPr>
                <w:rFonts w:ascii="Arial" w:cs="Arial" w:eastAsia="Arial" w:hAnsi="Arial"/>
                <w:sz w:val="15"/>
                <w:szCs w:val="15"/>
                <w:color w:val="auto"/>
              </w:rPr>
              <w:t>Less: net loss attributable to non-controlling interests</w:t>
            </w:r>
          </w:p>
        </w:tc>
        <w:tc>
          <w:tcPr>
            <w:tcW w:w="2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81,818</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170,510</w:t>
            </w:r>
          </w:p>
        </w:tc>
        <w:tc>
          <w:tcPr>
            <w:tcW w:w="100" w:type="dxa"/>
            <w:vAlign w:val="bottom"/>
          </w:tcPr>
          <w:p>
            <w:pPr>
              <w:spacing w:after="0"/>
              <w:rPr>
                <w:sz w:val="15"/>
                <w:szCs w:val="15"/>
                <w:color w:val="auto"/>
              </w:rPr>
            </w:pPr>
          </w:p>
        </w:tc>
      </w:tr>
      <w:tr>
        <w:trPr>
          <w:trHeight w:val="215"/>
        </w:trPr>
        <w:tc>
          <w:tcPr>
            <w:tcW w:w="5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 attributable to Class A common stock</w:t>
            </w:r>
          </w:p>
        </w:tc>
        <w:tc>
          <w:tcPr>
            <w:tcW w:w="2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(182,147)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(33,809)</w:t>
            </w:r>
          </w:p>
        </w:tc>
        <w:tc>
          <w:tcPr>
            <w:tcW w:w="100" w:type="dxa"/>
            <w:vAlign w:val="bottom"/>
            <w:shd w:val="clear" w:color="auto" w:fill="CCEEFF"/>
          </w:tcPr>
          <w:p>
            <w:pPr>
              <w:spacing w:after="0"/>
              <w:rPr>
                <w:sz w:val="18"/>
                <w:szCs w:val="18"/>
                <w:color w:val="auto"/>
              </w:rPr>
            </w:pPr>
          </w:p>
        </w:tc>
      </w:tr>
      <w:tr>
        <w:trPr>
          <w:trHeight w:val="159"/>
        </w:trPr>
        <w:tc>
          <w:tcPr>
            <w:tcW w:w="5920" w:type="dxa"/>
            <w:vAlign w:val="bottom"/>
            <w:tcBorders>
              <w:top w:val="single" w:sz="8" w:color="CCEEFF"/>
            </w:tcBorders>
          </w:tcPr>
          <w:p>
            <w:pPr>
              <w:spacing w:after="0" w:line="159" w:lineRule="exact"/>
              <w:rPr>
                <w:sz w:val="20"/>
                <w:szCs w:val="20"/>
                <w:color w:val="auto"/>
              </w:rPr>
            </w:pPr>
            <w:r>
              <w:rPr>
                <w:rFonts w:ascii="Arial" w:cs="Arial" w:eastAsia="Arial" w:hAnsi="Arial"/>
                <w:sz w:val="15"/>
                <w:szCs w:val="15"/>
                <w:color w:val="auto"/>
              </w:rPr>
              <w:t>Denominator:</w:t>
            </w:r>
          </w:p>
        </w:tc>
        <w:tc>
          <w:tcPr>
            <w:tcW w:w="26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5"/>
        </w:trPr>
        <w:tc>
          <w:tcPr>
            <w:tcW w:w="5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Weighted-average shares-basic and diluted</w:t>
            </w: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106,654,918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20,862,555</w:t>
            </w:r>
          </w:p>
        </w:tc>
      </w:tr>
      <w:tr>
        <w:trPr>
          <w:trHeight w:val="177"/>
        </w:trPr>
        <w:tc>
          <w:tcPr>
            <w:tcW w:w="5920" w:type="dxa"/>
            <w:vAlign w:val="bottom"/>
          </w:tcPr>
          <w:p>
            <w:pPr>
              <w:spacing w:after="0"/>
              <w:rPr>
                <w:sz w:val="15"/>
                <w:szCs w:val="15"/>
                <w:color w:val="auto"/>
              </w:rPr>
            </w:pPr>
          </w:p>
        </w:tc>
        <w:tc>
          <w:tcPr>
            <w:tcW w:w="2940" w:type="dxa"/>
            <w:vAlign w:val="bottom"/>
            <w:gridSpan w:val="2"/>
          </w:tcPr>
          <w:p>
            <w:pPr>
              <w:spacing w:after="0"/>
              <w:rPr>
                <w:sz w:val="15"/>
                <w:szCs w:val="15"/>
                <w:color w:val="auto"/>
              </w:rPr>
            </w:pPr>
          </w:p>
        </w:tc>
        <w:tc>
          <w:tcPr>
            <w:tcW w:w="114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r>
      <w:tr>
        <w:trPr>
          <w:trHeight w:val="215"/>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per share - basic and diluted</w:t>
            </w:r>
          </w:p>
        </w:tc>
        <w:tc>
          <w:tcPr>
            <w:tcW w:w="26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ind w:right="100"/>
        <w:spacing w:after="0" w:line="340" w:lineRule="auto"/>
        <w:rPr>
          <w:sz w:val="20"/>
          <w:szCs w:val="20"/>
          <w:color w:val="auto"/>
        </w:rPr>
      </w:pPr>
      <w:r>
        <w:rPr>
          <w:rFonts w:ascii="Arial" w:cs="Arial" w:eastAsia="Arial" w:hAnsi="Arial"/>
          <w:sz w:val="13"/>
          <w:szCs w:val="13"/>
          <w:color w:val="auto"/>
        </w:rPr>
        <w:t>In connection with the closing of the Exchange Transactions on June 10, 2020, all outstanding Class B shares were exchanged for Class A shares. The weighted average shares outstanding for the year ended December 31, 2020 are significantly lower than the Class A common stock outstanding on December 31, 2020 due to the timing of the Exchange Transactions.</w:t>
      </w:r>
    </w:p>
    <w:p>
      <w:pPr>
        <w:spacing w:after="0" w:line="125"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color w:val="auto"/>
        </w:rPr>
        <w:t>The following table presents potentially dilutive securities excluded from the computation of diluted net loss per share for the periods presented because its effects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4640" w:type="dxa"/>
            <w:vAlign w:val="bottom"/>
            <w:gridSpan w:val="3"/>
          </w:tcPr>
          <w:p>
            <w:pPr>
              <w:ind w:left="3240"/>
              <w:spacing w:after="0"/>
              <w:rPr>
                <w:sz w:val="20"/>
                <w:szCs w:val="20"/>
                <w:color w:val="auto"/>
              </w:rPr>
            </w:pPr>
            <w:r>
              <w:rPr>
                <w:rFonts w:ascii="Arial" w:cs="Arial" w:eastAsia="Arial" w:hAnsi="Arial"/>
                <w:sz w:val="15"/>
                <w:szCs w:val="15"/>
                <w:b w:val="1"/>
                <w:bCs w:val="1"/>
                <w:color w:val="auto"/>
              </w:rPr>
              <w:t>December 31, 2020</w:t>
            </w:r>
          </w:p>
        </w:tc>
        <w:tc>
          <w:tcPr>
            <w:tcW w:w="1280" w:type="dxa"/>
            <w:vAlign w:val="bottom"/>
            <w:gridSpan w:val="2"/>
          </w:tcPr>
          <w:p>
            <w:pPr>
              <w:spacing w:after="0"/>
              <w:rPr>
                <w:sz w:val="20"/>
                <w:szCs w:val="20"/>
                <w:color w:val="auto"/>
              </w:rPr>
            </w:pPr>
            <w:r>
              <w:rPr>
                <w:rFonts w:ascii="Arial" w:cs="Arial" w:eastAsia="Arial" w:hAnsi="Arial"/>
                <w:sz w:val="15"/>
                <w:szCs w:val="15"/>
                <w:b w:val="1"/>
                <w:bCs w:val="1"/>
                <w:color w:val="auto"/>
                <w:w w:val="93"/>
              </w:rPr>
              <w:t>December 31, 2019</w:t>
            </w:r>
          </w:p>
        </w:tc>
      </w:tr>
      <w:tr>
        <w:trPr>
          <w:trHeight w:val="175"/>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Unvested RSUs1</w:t>
            </w:r>
          </w:p>
        </w:tc>
        <w:tc>
          <w:tcPr>
            <w:tcW w:w="3240" w:type="dxa"/>
            <w:vAlign w:val="bottom"/>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1,538,060</w:t>
            </w:r>
          </w:p>
        </w:tc>
        <w:tc>
          <w:tcPr>
            <w:tcW w:w="220" w:type="dxa"/>
            <w:vAlign w:val="bottom"/>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3,137,415</w:t>
            </w:r>
          </w:p>
        </w:tc>
        <w:tc>
          <w:tcPr>
            <w:tcW w:w="100" w:type="dxa"/>
            <w:vAlign w:val="bottom"/>
            <w:shd w:val="clear" w:color="auto" w:fill="CCEEFF"/>
          </w:tcPr>
          <w:p>
            <w:pPr>
              <w:spacing w:after="0"/>
              <w:rPr>
                <w:sz w:val="15"/>
                <w:szCs w:val="15"/>
                <w:color w:val="auto"/>
              </w:rPr>
            </w:pPr>
          </w:p>
        </w:tc>
      </w:tr>
      <w:tr>
        <w:trPr>
          <w:trHeight w:val="175"/>
        </w:trPr>
        <w:tc>
          <w:tcPr>
            <w:tcW w:w="5360" w:type="dxa"/>
            <w:vAlign w:val="bottom"/>
          </w:tcPr>
          <w:p>
            <w:pPr>
              <w:spacing w:after="0"/>
              <w:rPr>
                <w:sz w:val="20"/>
                <w:szCs w:val="20"/>
                <w:color w:val="auto"/>
              </w:rPr>
            </w:pPr>
            <w:r>
              <w:rPr>
                <w:rFonts w:ascii="Arial" w:cs="Arial" w:eastAsia="Arial" w:hAnsi="Arial"/>
                <w:sz w:val="15"/>
                <w:szCs w:val="15"/>
                <w:color w:val="auto"/>
              </w:rPr>
              <w:t>Class B shares2</w:t>
            </w:r>
          </w:p>
        </w:tc>
        <w:tc>
          <w:tcPr>
            <w:tcW w:w="4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144,342,572</w:t>
            </w:r>
          </w:p>
        </w:tc>
        <w:tc>
          <w:tcPr>
            <w:tcW w:w="100" w:type="dxa"/>
            <w:vAlign w:val="bottom"/>
          </w:tcPr>
          <w:p>
            <w:pPr>
              <w:spacing w:after="0"/>
              <w:rPr>
                <w:sz w:val="15"/>
                <w:szCs w:val="15"/>
                <w:color w:val="auto"/>
              </w:rPr>
            </w:pPr>
          </w:p>
        </w:tc>
      </w:tr>
      <w:tr>
        <w:trPr>
          <w:trHeight w:val="17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Shannon Equity Agreement shares3</w:t>
            </w:r>
          </w:p>
        </w:tc>
        <w:tc>
          <w:tcPr>
            <w:tcW w:w="3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428,275</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1,083,995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5360" w:type="dxa"/>
            <w:vAlign w:val="bottom"/>
          </w:tcPr>
          <w:p>
            <w:pPr>
              <w:spacing w:after="0"/>
              <w:rPr>
                <w:sz w:val="20"/>
                <w:szCs w:val="20"/>
                <w:color w:val="auto"/>
              </w:rPr>
            </w:pPr>
            <w:r>
              <w:rPr>
                <w:rFonts w:ascii="Arial" w:cs="Arial" w:eastAsia="Arial" w:hAnsi="Arial"/>
                <w:sz w:val="15"/>
                <w:szCs w:val="15"/>
                <w:color w:val="auto"/>
              </w:rPr>
              <w:t>Total</w:t>
            </w:r>
          </w:p>
        </w:tc>
        <w:tc>
          <w:tcPr>
            <w:tcW w:w="4420" w:type="dxa"/>
            <w:vAlign w:val="bottom"/>
            <w:gridSpan w:val="2"/>
          </w:tcPr>
          <w:p>
            <w:pPr>
              <w:jc w:val="right"/>
              <w:spacing w:after="0"/>
              <w:rPr>
                <w:sz w:val="20"/>
                <w:szCs w:val="20"/>
                <w:color w:val="auto"/>
              </w:rPr>
            </w:pPr>
            <w:r>
              <w:rPr>
                <w:rFonts w:ascii="Arial" w:cs="Arial" w:eastAsia="Arial" w:hAnsi="Arial"/>
                <w:sz w:val="15"/>
                <w:szCs w:val="15"/>
                <w:color w:val="auto"/>
              </w:rPr>
              <w:t>1,966,335</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148,563,982</w:t>
            </w:r>
          </w:p>
        </w:tc>
        <w:tc>
          <w:tcPr>
            <w:tcW w:w="10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400" w:hanging="392"/>
        <w:spacing w:after="0"/>
        <w:tabs>
          <w:tab w:leader="none" w:pos="4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Represents the number of instruments outstanding at the end of the period.</w:t>
      </w:r>
    </w:p>
    <w:p>
      <w:pPr>
        <w:spacing w:after="0" w:line="14" w:lineRule="exact"/>
        <w:rPr>
          <w:sz w:val="20"/>
          <w:szCs w:val="20"/>
          <w:color w:val="auto"/>
        </w:rPr>
      </w:pPr>
    </w:p>
    <w:p>
      <w:pPr>
        <w:ind w:left="400" w:hanging="392"/>
        <w:spacing w:after="0"/>
        <w:tabs>
          <w:tab w:leader="none" w:pos="4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Class B shares at the end of the period are considered potentially dilutive Class A shares.</w:t>
      </w:r>
    </w:p>
    <w:p>
      <w:pPr>
        <w:spacing w:after="0" w:line="3" w:lineRule="exact"/>
        <w:rPr>
          <w:sz w:val="20"/>
          <w:szCs w:val="20"/>
          <w:color w:val="auto"/>
        </w:rPr>
      </w:pPr>
    </w:p>
    <w:p>
      <w:pPr>
        <w:ind w:right="5260" w:firstLine="8"/>
        <w:spacing w:after="0" w:line="511" w:lineRule="auto"/>
        <w:tabs>
          <w:tab w:leader="none" w:pos="395" w:val="left"/>
        </w:tabs>
        <w:numPr>
          <w:ilvl w:val="0"/>
          <w:numId w:val="85"/>
        </w:numPr>
        <w:rPr>
          <w:rFonts w:ascii="Arial" w:cs="Arial" w:eastAsia="Arial" w:hAnsi="Arial"/>
          <w:sz w:val="15"/>
          <w:szCs w:val="15"/>
          <w:color w:val="auto"/>
        </w:rPr>
      </w:pPr>
      <w:r>
        <w:rPr>
          <w:rFonts w:ascii="Arial" w:cs="Arial" w:eastAsia="Arial" w:hAnsi="Arial"/>
          <w:sz w:val="15"/>
          <w:szCs w:val="15"/>
          <w:color w:val="auto"/>
        </w:rPr>
        <w:t>Class A common stock that would be issued in relation to the Shannon LNG Equity Agreement. 19</w:t>
      </w:r>
      <w:r>
        <w:rPr>
          <w:rFonts w:ascii="Arial" w:cs="Arial" w:eastAsia="Arial" w:hAnsi="Arial"/>
          <w:sz w:val="15"/>
          <w:szCs w:val="15"/>
          <w:b w:val="1"/>
          <w:bCs w:val="1"/>
          <w:color w:val="auto"/>
        </w:rPr>
        <w:t>. Share-based compensation</w:t>
      </w:r>
    </w:p>
    <w:p>
      <w:pPr>
        <w:spacing w:after="0"/>
        <w:rPr>
          <w:sz w:val="20"/>
          <w:szCs w:val="20"/>
          <w:color w:val="auto"/>
        </w:rPr>
      </w:pPr>
      <w:r>
        <w:rPr>
          <w:rFonts w:ascii="Arial" w:cs="Arial" w:eastAsia="Arial" w:hAnsi="Arial"/>
          <w:sz w:val="15"/>
          <w:szCs w:val="15"/>
          <w:i w:val="1"/>
          <w:iCs w:val="1"/>
          <w:color w:val="auto"/>
        </w:rPr>
        <w:t>RSUs</w:t>
      </w:r>
    </w:p>
    <w:p>
      <w:pPr>
        <w:spacing w:after="0" w:line="178"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auto"/>
        </w:rPr>
        <w:t>The Company has granted RSUs to select officers, employees, non-employee members of the board of directors and select non-employees under the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20"/>
                <w:szCs w:val="20"/>
                <w:color w:val="auto"/>
              </w:rPr>
            </w:pPr>
            <w:r>
              <w:rPr>
                <w:rFonts w:ascii="Arial" w:cs="Arial" w:eastAsia="Arial" w:hAnsi="Arial"/>
                <w:sz w:val="15"/>
                <w:szCs w:val="15"/>
                <w:color w:val="auto"/>
                <w:w w:val="91"/>
              </w:rPr>
              <w:t>The following table summarizes the RSU activity for the year ended December 31, 2020:</w:t>
            </w: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8"/>
        </w:trPr>
        <w:tc>
          <w:tcPr>
            <w:tcW w:w="5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5"/>
                <w:szCs w:val="15"/>
                <w:b w:val="1"/>
                <w:bCs w:val="1"/>
                <w:color w:val="auto"/>
                <w:w w:val="92"/>
              </w:rPr>
              <w:t>Weighted-average</w:t>
            </w:r>
          </w:p>
        </w:tc>
      </w:tr>
      <w:tr>
        <w:trPr>
          <w:trHeight w:val="175"/>
        </w:trPr>
        <w:tc>
          <w:tcPr>
            <w:tcW w:w="5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8"/>
              </w:rPr>
              <w:t>Restricted Share</w:t>
            </w:r>
          </w:p>
        </w:tc>
        <w:tc>
          <w:tcPr>
            <w:tcW w:w="6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grant date fair</w:t>
            </w:r>
          </w:p>
        </w:tc>
      </w:tr>
      <w:tr>
        <w:trPr>
          <w:trHeight w:val="192"/>
        </w:trPr>
        <w:tc>
          <w:tcPr>
            <w:tcW w:w="53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Units</w:t>
            </w:r>
          </w:p>
        </w:tc>
        <w:tc>
          <w:tcPr>
            <w:tcW w:w="6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5"/>
              </w:rPr>
              <w:t>value per share</w:t>
            </w:r>
          </w:p>
        </w:tc>
      </w:tr>
      <w:tr>
        <w:trPr>
          <w:trHeight w:val="17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Non-vested RSUs as of December 31, 2019</w:t>
            </w:r>
          </w:p>
        </w:tc>
        <w:tc>
          <w:tcPr>
            <w:tcW w:w="33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3,137,415</w:t>
            </w:r>
          </w:p>
        </w:tc>
        <w:tc>
          <w:tcPr>
            <w:tcW w:w="22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w:t>
            </w:r>
          </w:p>
        </w:tc>
        <w:tc>
          <w:tcPr>
            <w:tcW w:w="100" w:type="dxa"/>
            <w:vAlign w:val="bottom"/>
            <w:shd w:val="clear" w:color="auto" w:fill="CCEEFF"/>
          </w:tcPr>
          <w:p>
            <w:pPr>
              <w:spacing w:after="0"/>
              <w:rPr>
                <w:sz w:val="15"/>
                <w:szCs w:val="15"/>
                <w:color w:val="auto"/>
              </w:rPr>
            </w:pPr>
          </w:p>
        </w:tc>
      </w:tr>
      <w:tr>
        <w:trPr>
          <w:trHeight w:val="175"/>
        </w:trPr>
        <w:tc>
          <w:tcPr>
            <w:tcW w:w="5380" w:type="dxa"/>
            <w:vAlign w:val="bottom"/>
          </w:tcPr>
          <w:p>
            <w:pPr>
              <w:spacing w:after="0"/>
              <w:rPr>
                <w:sz w:val="20"/>
                <w:szCs w:val="20"/>
                <w:color w:val="auto"/>
              </w:rPr>
            </w:pPr>
            <w:r>
              <w:rPr>
                <w:rFonts w:ascii="Arial" w:cs="Arial" w:eastAsia="Arial" w:hAnsi="Arial"/>
                <w:sz w:val="15"/>
                <w:szCs w:val="15"/>
                <w:color w:val="auto"/>
              </w:rPr>
              <w:t>Granted</w:t>
            </w:r>
          </w:p>
        </w:tc>
        <w:tc>
          <w:tcPr>
            <w:tcW w:w="4460" w:type="dxa"/>
            <w:vAlign w:val="bottom"/>
            <w:gridSpan w:val="2"/>
          </w:tcPr>
          <w:p>
            <w:pPr>
              <w:jc w:val="right"/>
              <w:spacing w:after="0"/>
              <w:rPr>
                <w:sz w:val="20"/>
                <w:szCs w:val="20"/>
                <w:color w:val="auto"/>
              </w:rPr>
            </w:pPr>
            <w:r>
              <w:rPr>
                <w:rFonts w:ascii="Arial" w:cs="Arial" w:eastAsia="Arial" w:hAnsi="Arial"/>
                <w:sz w:val="15"/>
                <w:szCs w:val="15"/>
                <w:color w:val="auto"/>
              </w:rPr>
              <w:t>109,409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14.47</w:t>
            </w:r>
          </w:p>
        </w:tc>
        <w:tc>
          <w:tcPr>
            <w:tcW w:w="100" w:type="dxa"/>
            <w:vAlign w:val="bottom"/>
          </w:tcPr>
          <w:p>
            <w:pPr>
              <w:spacing w:after="0"/>
              <w:rPr>
                <w:sz w:val="15"/>
                <w:szCs w:val="15"/>
                <w:color w:val="auto"/>
              </w:rPr>
            </w:pPr>
          </w:p>
        </w:tc>
      </w:tr>
      <w:tr>
        <w:trPr>
          <w:trHeight w:val="17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46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(1,507,633)</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13.47</w:t>
            </w:r>
          </w:p>
        </w:tc>
        <w:tc>
          <w:tcPr>
            <w:tcW w:w="100" w:type="dxa"/>
            <w:vAlign w:val="bottom"/>
            <w:shd w:val="clear" w:color="auto" w:fill="CCEEFF"/>
          </w:tcPr>
          <w:p>
            <w:pPr>
              <w:spacing w:after="0"/>
              <w:rPr>
                <w:sz w:val="15"/>
                <w:szCs w:val="15"/>
                <w:color w:val="auto"/>
              </w:rPr>
            </w:pPr>
          </w:p>
        </w:tc>
      </w:tr>
      <w:tr>
        <w:trPr>
          <w:trHeight w:val="177"/>
        </w:trPr>
        <w:tc>
          <w:tcPr>
            <w:tcW w:w="5380" w:type="dxa"/>
            <w:vAlign w:val="bottom"/>
          </w:tcPr>
          <w:p>
            <w:pPr>
              <w:spacing w:after="0"/>
              <w:rPr>
                <w:sz w:val="20"/>
                <w:szCs w:val="20"/>
                <w:color w:val="auto"/>
              </w:rPr>
            </w:pPr>
            <w:r>
              <w:rPr>
                <w:rFonts w:ascii="Arial" w:cs="Arial" w:eastAsia="Arial" w:hAnsi="Arial"/>
                <w:sz w:val="15"/>
                <w:szCs w:val="15"/>
                <w:color w:val="auto"/>
              </w:rPr>
              <w:t>Forfeited</w:t>
            </w:r>
          </w:p>
        </w:tc>
        <w:tc>
          <w:tcPr>
            <w:tcW w:w="4680" w:type="dxa"/>
            <w:vAlign w:val="bottom"/>
            <w:gridSpan w:val="3"/>
          </w:tcPr>
          <w:p>
            <w:pPr>
              <w:jc w:val="right"/>
              <w:ind w:right="180"/>
              <w:spacing w:after="0"/>
              <w:rPr>
                <w:sz w:val="20"/>
                <w:szCs w:val="20"/>
                <w:color w:val="auto"/>
              </w:rPr>
            </w:pPr>
            <w:r>
              <w:rPr>
                <w:rFonts w:ascii="Arial" w:cs="Arial" w:eastAsia="Arial" w:hAnsi="Arial"/>
                <w:sz w:val="15"/>
                <w:szCs w:val="15"/>
                <w:color w:val="auto"/>
              </w:rPr>
              <w:t>(201,131)</w:t>
            </w: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13.51</w:t>
            </w:r>
          </w:p>
        </w:tc>
        <w:tc>
          <w:tcPr>
            <w:tcW w:w="100" w:type="dxa"/>
            <w:vAlign w:val="bottom"/>
          </w:tcPr>
          <w:p>
            <w:pPr>
              <w:spacing w:after="0"/>
              <w:rPr>
                <w:sz w:val="15"/>
                <w:szCs w:val="15"/>
                <w:color w:val="auto"/>
              </w:rPr>
            </w:pPr>
          </w:p>
        </w:tc>
      </w:tr>
      <w:tr>
        <w:trPr>
          <w:trHeight w:val="215"/>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Non-vested RSUs as of December 31, 2020</w:t>
            </w:r>
          </w:p>
        </w:tc>
        <w:tc>
          <w:tcPr>
            <w:tcW w:w="3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1,538,060</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67"/>
        </w:trPr>
        <w:tc>
          <w:tcPr>
            <w:tcW w:w="5380" w:type="dxa"/>
            <w:vAlign w:val="bottom"/>
          </w:tcPr>
          <w:p>
            <w:pPr>
              <w:spacing w:after="0"/>
              <w:rPr>
                <w:sz w:val="24"/>
                <w:szCs w:val="24"/>
                <w:color w:val="auto"/>
              </w:rPr>
            </w:pPr>
          </w:p>
        </w:tc>
        <w:tc>
          <w:tcPr>
            <w:tcW w:w="4680" w:type="dxa"/>
            <w:vAlign w:val="bottom"/>
            <w:gridSpan w:val="3"/>
          </w:tcPr>
          <w:p>
            <w:pPr>
              <w:jc w:val="right"/>
              <w:ind w:right="4300"/>
              <w:spacing w:after="0"/>
              <w:rPr>
                <w:sz w:val="20"/>
                <w:szCs w:val="20"/>
                <w:color w:val="auto"/>
              </w:rPr>
            </w:pPr>
            <w:r>
              <w:rPr>
                <w:rFonts w:ascii="Arial" w:cs="Arial" w:eastAsia="Arial" w:hAnsi="Arial"/>
                <w:sz w:val="12"/>
                <w:szCs w:val="12"/>
                <w:color w:val="auto"/>
              </w:rPr>
              <w:t>F-33</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5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4" w:right="31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700" w:type="dxa"/>
            <w:vAlign w:val="bottom"/>
          </w:tcPr>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6"/>
        </w:trPr>
        <w:tc>
          <w:tcPr>
            <w:tcW w:w="9460" w:type="dxa"/>
            <w:vAlign w:val="bottom"/>
            <w:gridSpan w:val="2"/>
          </w:tcPr>
          <w:p>
            <w:pPr>
              <w:spacing w:after="0"/>
              <w:rPr>
                <w:sz w:val="20"/>
                <w:szCs w:val="20"/>
                <w:color w:val="auto"/>
              </w:rPr>
            </w:pPr>
            <w:r>
              <w:rPr>
                <w:rFonts w:ascii="Arial" w:cs="Arial" w:eastAsia="Arial" w:hAnsi="Arial"/>
                <w:sz w:val="15"/>
                <w:szCs w:val="15"/>
                <w:color w:val="auto"/>
                <w:w w:val="90"/>
              </w:rPr>
              <w:t>The following table summarizes the share-based compensation expense for the Company’s RSUs recorded for the year ended December 31, 2020 and 2019: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8700" w:type="dxa"/>
            <w:vAlign w:val="bottom"/>
          </w:tcPr>
          <w:p>
            <w:pPr>
              <w:spacing w:after="0"/>
              <w:rPr>
                <w:sz w:val="24"/>
                <w:szCs w:val="24"/>
                <w:color w:val="auto"/>
              </w:rPr>
            </w:pPr>
          </w:p>
        </w:tc>
        <w:tc>
          <w:tcPr>
            <w:tcW w:w="2060" w:type="dxa"/>
            <w:vAlign w:val="bottom"/>
            <w:tcBorders>
              <w:bottom w:val="single" w:sz="8" w:color="auto"/>
            </w:tcBorders>
            <w:gridSpan w:val="4"/>
          </w:tcPr>
          <w:p>
            <w:pPr>
              <w:ind w:left="420"/>
              <w:spacing w:after="0"/>
              <w:rPr>
                <w:sz w:val="20"/>
                <w:szCs w:val="20"/>
                <w:color w:val="auto"/>
              </w:rPr>
            </w:pPr>
            <w:r>
              <w:rPr>
                <w:rFonts w:ascii="Arial" w:cs="Arial" w:eastAsia="Arial" w:hAnsi="Arial"/>
                <w:sz w:val="15"/>
                <w:szCs w:val="15"/>
                <w:b w:val="1"/>
                <w:bCs w:val="1"/>
                <w:color w:val="auto"/>
                <w:w w:val="87"/>
              </w:rPr>
              <w:t>Year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8700" w:type="dxa"/>
            <w:vAlign w:val="bottom"/>
          </w:tcPr>
          <w:p>
            <w:pPr>
              <w:spacing w:after="0"/>
              <w:rPr>
                <w:sz w:val="15"/>
                <w:szCs w:val="15"/>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w w:val="95"/>
              </w:rPr>
              <w:t>2020</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Operations and maintenance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8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w:t>
            </w:r>
          </w:p>
        </w:tc>
        <w:tc>
          <w:tcPr>
            <w:tcW w:w="100" w:type="dxa"/>
            <w:vAlign w:val="bottom"/>
            <w:shd w:val="clear" w:color="auto" w:fill="CCEEFF"/>
          </w:tcPr>
          <w:p>
            <w:pPr>
              <w:spacing w:after="0"/>
              <w:rPr>
                <w:sz w:val="15"/>
                <w:szCs w:val="15"/>
                <w:color w:val="auto"/>
              </w:rPr>
            </w:pPr>
          </w:p>
        </w:tc>
      </w:tr>
      <w:tr>
        <w:trPr>
          <w:trHeight w:val="177"/>
        </w:trPr>
        <w:tc>
          <w:tcPr>
            <w:tcW w:w="870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7,943</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40,594</w:t>
            </w:r>
          </w:p>
        </w:tc>
      </w:tr>
      <w:tr>
        <w:trPr>
          <w:trHeight w:val="215"/>
        </w:trPr>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share-based compensation expense</w:t>
            </w:r>
          </w:p>
        </w:tc>
        <w:tc>
          <w:tcPr>
            <w:tcW w:w="76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8,743</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41,447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7" w:lineRule="exact"/>
        <w:rPr>
          <w:sz w:val="20"/>
          <w:szCs w:val="20"/>
          <w:color w:val="auto"/>
        </w:rPr>
      </w:pPr>
    </w:p>
    <w:p>
      <w:pPr>
        <w:ind w:right="400"/>
        <w:spacing w:after="0" w:line="299" w:lineRule="auto"/>
        <w:rPr>
          <w:sz w:val="20"/>
          <w:szCs w:val="20"/>
          <w:color w:val="auto"/>
        </w:rPr>
      </w:pPr>
      <w:r>
        <w:rPr>
          <w:rFonts w:ascii="Arial" w:cs="Arial" w:eastAsia="Arial" w:hAnsi="Arial"/>
          <w:sz w:val="14"/>
          <w:szCs w:val="14"/>
          <w:color w:val="auto"/>
        </w:rPr>
        <w:t>For the years ended December 31, 2020 and 2019, cumulative compensation expense recognized for forfeited RSU awards of $914 and $2,248, respectively, was reversed. The Company recognizes the income tax benefits resulting from vesting of RSUs in the period of vesting, to the extent the compensation expense has been recognized.</w:t>
      </w:r>
    </w:p>
    <w:p>
      <w:pPr>
        <w:spacing w:after="0" w:line="147" w:lineRule="exact"/>
        <w:rPr>
          <w:sz w:val="20"/>
          <w:szCs w:val="20"/>
          <w:color w:val="auto"/>
        </w:rPr>
      </w:pPr>
    </w:p>
    <w:p>
      <w:pPr>
        <w:ind w:right="220"/>
        <w:spacing w:after="0" w:line="253" w:lineRule="auto"/>
        <w:rPr>
          <w:sz w:val="20"/>
          <w:szCs w:val="20"/>
          <w:color w:val="auto"/>
        </w:rPr>
      </w:pPr>
      <w:r>
        <w:rPr>
          <w:rFonts w:ascii="Arial" w:cs="Arial" w:eastAsia="Arial" w:hAnsi="Arial"/>
          <w:sz w:val="15"/>
          <w:szCs w:val="15"/>
          <w:color w:val="auto"/>
        </w:rPr>
        <w:t>As of December 31, 2020, the Company had 1,538,060 non-vested RSUs subject to service conditions and had unrecognized compensation costs of approximately $8,211. The non-vested RSUs will vest over a period from ten months to three years following the grant date. The weighted-average remaining vesting period of non-vested RSUs totaled 1.03 years as of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Performance Share Units (“PSUs”)</w:t>
      </w:r>
    </w:p>
    <w:p>
      <w:pPr>
        <w:spacing w:after="0" w:line="178" w:lineRule="exact"/>
        <w:rPr>
          <w:sz w:val="20"/>
          <w:szCs w:val="20"/>
          <w:color w:val="auto"/>
        </w:rPr>
      </w:pPr>
    </w:p>
    <w:p>
      <w:pPr>
        <w:ind w:right="60"/>
        <w:spacing w:after="0" w:line="296" w:lineRule="auto"/>
        <w:rPr>
          <w:sz w:val="20"/>
          <w:szCs w:val="20"/>
          <w:color w:val="auto"/>
        </w:rPr>
      </w:pPr>
      <w:r>
        <w:rPr>
          <w:rFonts w:ascii="Arial" w:cs="Arial" w:eastAsia="Arial" w:hAnsi="Arial"/>
          <w:sz w:val="13"/>
          <w:szCs w:val="13"/>
          <w:color w:val="auto"/>
        </w:rPr>
        <w:t>During the first quarter of 2020, the Company granted 1,109,777 PSUs to certain employees and non-employees. The PSUs contain a performance condition, and vesting will be determined based on achievement of a performance metric for the year ended December 31, 2021. The number of shares that will vest can range from zero to 2,219,554. For the year ended December 31, 2020, the Company determined that it was not probable that the performance condition required for any of the PSUs to vest would be achieved, and as such, no compensation expense has been recognized in the consolidated statements of operations and comprehensive loss. Unrecognized compensation costs if the maximum amount of shares were to vest based on the achievement of the performance condition was $30,864, and the weighted-average remaining vesting period of non-vested PSUs was one year as of December 31, 2020.</w:t>
      </w:r>
    </w:p>
    <w:p>
      <w:pPr>
        <w:spacing w:after="0" w:line="149"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20</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color w:val="auto"/>
        </w:rPr>
        <w:t>Stockholder’s equity and Members’ equity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New Fortress Energy Holdings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In January 2018, the Company issued 665,843 common shares (no par value) to members of New Fortress Energy Holdings for $20,150 in proceeds.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New Fortress Energy LLC, New Fortress Energy Inc.</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December 31, 2019, the Company issued 2,716,252 shares of Class A shares in exchange for Class B shares, and 53,572 Class A shares were issued for vested RSUs.</w:t>
      </w:r>
    </w:p>
    <w:p>
      <w:pPr>
        <w:spacing w:after="0" w:line="223" w:lineRule="exact"/>
        <w:rPr>
          <w:sz w:val="20"/>
          <w:szCs w:val="20"/>
          <w:color w:val="auto"/>
        </w:rPr>
      </w:pPr>
    </w:p>
    <w:p>
      <w:pPr>
        <w:ind w:right="100"/>
        <w:spacing w:after="0" w:line="340" w:lineRule="auto"/>
        <w:rPr>
          <w:sz w:val="20"/>
          <w:szCs w:val="20"/>
          <w:color w:val="auto"/>
        </w:rPr>
      </w:pPr>
      <w:r>
        <w:rPr>
          <w:rFonts w:ascii="Arial" w:cs="Arial" w:eastAsia="Arial" w:hAnsi="Arial"/>
          <w:sz w:val="13"/>
          <w:szCs w:val="13"/>
          <w:color w:val="auto"/>
        </w:rPr>
        <w:t>As a result of the Exchange Transactions, 144,342,572 Class A shares were issued in exchange for all outstanding Class B shares. As a result of the Conversion, all outstanding Class A shares were converted to Class A common stock. In December 2020, NFE issued 5,882,352 shares of Class A common stock and received proceeds of $290,771, net of $1,221 in issuance costs.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Company declared dividends of $0.10 per share in August and October 2020, totaling $33,742 in dividend payments during the year ended December 31, 2020.</w:t>
      </w:r>
    </w:p>
    <w:p>
      <w:pPr>
        <w:spacing w:after="0" w:line="196" w:lineRule="exact"/>
        <w:rPr>
          <w:sz w:val="20"/>
          <w:szCs w:val="20"/>
          <w:color w:val="auto"/>
        </w:rPr>
      </w:pPr>
    </w:p>
    <w:p>
      <w:pPr>
        <w:ind w:left="400" w:hanging="392"/>
        <w:spacing w:after="0"/>
        <w:tabs>
          <w:tab w:leader="none" w:pos="40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Management services</w:t>
      </w:r>
    </w:p>
    <w:p>
      <w:pPr>
        <w:spacing w:after="0" w:line="200"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$7,291, $7,942 and $5,741 for the years ended December 31, 2020, 2019 and 2018, respectively. Costs associated with the Management Agreement and Administrative Agreement are included within Selling, general and administrative in the consolidated statements of operations and comprehensive loss. As of December 31, 2020 and 2019, $5,535 and $5,083 were due to Fortress, respectively.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In addition to management and administrative services, an affiliate of Fortress owns and leases an aircraft chartered by the Company for business purposes in the course of operations. The Company incurred, at aircraft operator market rates, charter costs of $2,483 and $5,367 for the years ended December 31, 2020 and 2019, respectively. In 2018, such charges were incurred under the Management Agreement, and amounts incurred of $1,873 for the year ended December 31, 2018 are included in the activity and balances disclosed above. As of December 31, 2020 and 2019, $472 and $4,286 was due to this affiliate,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Land and office lease</w:t>
      </w:r>
    </w:p>
    <w:p>
      <w:pPr>
        <w:spacing w:after="0" w:line="178"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Company has leased land and office space from Florida East Coast Industries, LLC (“FECI”), which is controlled by funds managed by an affiliate of Fortress. In April 2019, FECI sold the office building to a non-affiliate, and as such, the lease of the office space is no longer held with a related party. The Company recognized expense related to the land lease still held by a related party of $730, $396 and $260 during the years ended December 31, 2020, 2019 and 2018, respectively, which was included within Operations and maintenance in the consolidated statements of operations and comprehensive loss. The expense for the period that the building was owned by a related party during the year ended December 31, 2019 totaled $609, of which $386 was capitalized to Construction in progress and $223 was included in Selling, general and administrative in the consolidated statements of operations and comprehensive loss; no expense for the office space was incurred prior to 2019. As of December 31, 2020 and 2019, $316 and $0 was due to FECI, respectively. As of December 31, 2020, the Company has recorded a lease liability of $3,279 within Non-current lease liabilities on the consolidated balance sheet.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DevTech Investment</w:t>
      </w:r>
    </w:p>
    <w:p>
      <w:pPr>
        <w:spacing w:after="0" w:line="200"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consolidated financial statements. DevTech purchased 10% of a note payable due to an affiliate of the Company. As of December 31, 2020 and 2019, $715 and $815 was owed to DevTech on the note payable, respectively. The outstanding note payable due to DevTech is included in Other long-term liabilities on the consolidated balance sheets. The interest expense on the note payable due to DevTech was $77, $94 and $18 for the years ended December 31, 2020, 2019 and 2018 respectively. No interest has been paid, and accrued interest has been recognized within Accrued expenses on the consolidated balance sheets. As of December 31, 2020 and 2019, $343 and $443 was due from DevTech,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Fortress affiliated entities</w:t>
      </w:r>
    </w:p>
    <w:p>
      <w:pPr>
        <w:spacing w:after="0" w:line="200"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Since 2017, the Company has provided certain administrative services to related parties including Fortress affiliated entities. As of December 31, 2020 and 2019, $1,334 and $1,134 were due from affiliates, respectively. There are no costs incurred by the Company as the Company is fully reimbursed for all costs incurred.</w:t>
      </w:r>
    </w:p>
    <w:p>
      <w:pPr>
        <w:spacing w:after="0" w:line="170"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$2,357, $811 and $903 for the years ended December 31, 2020, 2019 and 2018, respectively. Additionally, the Company subleases a portion of office space to an affiliate of an entity managed by Fortress, and for the year ended December 31, 2020, $204 of rent and office related expenses were incurred by this affiliate. As of December 31, 2020 and 2019, $2,657 and $883 were due to Fortress affiliated entities,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Arial" w:cs="Arial" w:eastAsia="Arial" w:hAnsi="Arial"/>
                <w:sz w:val="15"/>
                <w:szCs w:val="15"/>
                <w:i w:val="1"/>
                <w:iCs w:val="1"/>
                <w:color w:val="auto"/>
              </w:rPr>
              <w:t>Due to/from Affiliates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3"/>
        </w:trPr>
        <w:tc>
          <w:tcPr>
            <w:tcW w:w="8700" w:type="dxa"/>
            <w:vAlign w:val="bottom"/>
          </w:tcPr>
          <w:p>
            <w:pPr>
              <w:spacing w:after="0"/>
              <w:rPr>
                <w:sz w:val="20"/>
                <w:szCs w:val="20"/>
                <w:color w:val="auto"/>
              </w:rPr>
            </w:pPr>
            <w:r>
              <w:rPr>
                <w:rFonts w:ascii="Arial" w:cs="Arial" w:eastAsia="Arial" w:hAnsi="Arial"/>
                <w:sz w:val="15"/>
                <w:szCs w:val="15"/>
                <w:color w:val="auto"/>
              </w:rPr>
              <w:t>The table below summarizes the balances outstanding with affiliates as of December 31, 2020 and 2019: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7"/>
              <w:spacing w:after="0"/>
              <w:rPr>
                <w:sz w:val="20"/>
                <w:szCs w:val="20"/>
                <w:color w:val="auto"/>
              </w:rPr>
            </w:pPr>
            <w:r>
              <w:rPr>
                <w:rFonts w:ascii="Arial" w:cs="Arial" w:eastAsia="Arial" w:hAnsi="Arial"/>
                <w:sz w:val="15"/>
                <w:szCs w:val="15"/>
                <w:b w:val="1"/>
                <w:bCs w:val="1"/>
                <w:color w:val="auto"/>
                <w:w w:val="90"/>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192"/>
        </w:trPr>
        <w:tc>
          <w:tcPr>
            <w:tcW w:w="8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6"/>
                <w:szCs w:val="16"/>
                <w:color w:val="auto"/>
              </w:rPr>
            </w:pPr>
          </w:p>
        </w:tc>
      </w:tr>
      <w:tr>
        <w:trPr>
          <w:trHeight w:val="17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Amounts due to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10,252</w:t>
            </w:r>
          </w:p>
        </w:tc>
        <w:tc>
          <w:tcPr>
            <w:tcW w:w="100" w:type="dxa"/>
            <w:vAlign w:val="bottom"/>
            <w:shd w:val="clear" w:color="auto" w:fill="CCEEFF"/>
          </w:tcPr>
          <w:p>
            <w:pPr>
              <w:spacing w:after="0"/>
              <w:rPr>
                <w:sz w:val="15"/>
                <w:szCs w:val="15"/>
                <w:color w:val="auto"/>
              </w:rPr>
            </w:pPr>
          </w:p>
        </w:tc>
      </w:tr>
      <w:tr>
        <w:trPr>
          <w:trHeight w:val="186"/>
        </w:trPr>
        <w:tc>
          <w:tcPr>
            <w:tcW w:w="8700" w:type="dxa"/>
            <w:vAlign w:val="bottom"/>
          </w:tcPr>
          <w:p>
            <w:pPr>
              <w:spacing w:after="0"/>
              <w:rPr>
                <w:sz w:val="20"/>
                <w:szCs w:val="20"/>
                <w:color w:val="auto"/>
              </w:rPr>
            </w:pPr>
            <w:r>
              <w:rPr>
                <w:rFonts w:ascii="Arial" w:cs="Arial" w:eastAsia="Arial" w:hAnsi="Arial"/>
                <w:sz w:val="15"/>
                <w:szCs w:val="15"/>
                <w:color w:val="auto"/>
              </w:rPr>
              <w:t>Amounts due from affiliates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1,881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1,577</w:t>
            </w:r>
          </w:p>
        </w:tc>
        <w:tc>
          <w:tcPr>
            <w:tcW w:w="100" w:type="dxa"/>
            <w:vAlign w:val="bottom"/>
          </w:tcPr>
          <w:p>
            <w:pPr>
              <w:spacing w:after="0"/>
              <w:rPr>
                <w:sz w:val="16"/>
                <w:szCs w:val="16"/>
                <w:color w:val="auto"/>
              </w:rPr>
            </w:pPr>
          </w:p>
        </w:tc>
      </w:tr>
    </w:tbl>
    <w:p>
      <w:pPr>
        <w:spacing w:after="0" w:line="172"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22</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color w:val="auto"/>
        </w:rPr>
        <w:t>Customer concentrations</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For the year ended December 31, 2020, revenue from three significant customers constituted 88% of the total revenue and 83% of trade receivables. For the year ended December 31, 2019, revenue from two significant customers constituted 74% of the total revenue and 85% of trade receivables, and for the year ended December 31, 2018, one significant customer constituted 87% of total revenue. Prior to the adoption of ASC 842, the Company recognized a direct financing leases within the Company’s agreement with this customer. As of December 31, 2019, 99% of the Finance leases, net balance was attributed to this significant customer.</w:t>
      </w:r>
    </w:p>
    <w:p>
      <w:pPr>
        <w:spacing w:after="0" w:line="180" w:lineRule="exact"/>
        <w:rPr>
          <w:sz w:val="20"/>
          <w:szCs w:val="20"/>
          <w:color w:val="auto"/>
        </w:rPr>
      </w:pPr>
    </w:p>
    <w:p>
      <w:pPr>
        <w:ind w:right="140"/>
        <w:spacing w:after="0" w:line="280" w:lineRule="auto"/>
        <w:rPr>
          <w:sz w:val="20"/>
          <w:szCs w:val="20"/>
          <w:color w:val="auto"/>
        </w:rPr>
      </w:pPr>
      <w:r>
        <w:rPr>
          <w:rFonts w:ascii="Arial" w:cs="Arial" w:eastAsia="Arial" w:hAnsi="Arial"/>
          <w:sz w:val="14"/>
          <w:szCs w:val="14"/>
          <w:color w:val="auto"/>
        </w:rPr>
        <w:t>During the years ended December 31, 2020, 2019 and 2018, revenue from external customers that were derived from customers located in the United States were $135,702, $21,386 and $7,214, respectively, and from customers outside of the United States were $315,948, $167,739 and $105,087, respectively, primarily derived from customers in the Caribbean. The Company attributes revenue from external customers to the country in which the party to the applicable agreement has its principal place of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3" w:name="page124"/>
    <w:bookmarkEnd w:id="12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As of December 31, 2020 and 2019, long lived assets, which are all non-current assets excluding investment in equity securities, restricted cash, deferred tax assets and intangible assets, located in the United States were $442,199 and $360,860 respectively, and long lived assets located outside of the United States were $639,370 and $470,749, respectively, primarily located in the Caribbean.</w:t>
      </w:r>
    </w:p>
    <w:p>
      <w:pPr>
        <w:spacing w:after="0" w:line="174"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Unaudited quarterly financial data</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Summarized quarterly financial data for the years ended December 31, 2020 and 2019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20"/>
                <w:szCs w:val="20"/>
                <w:color w:val="auto"/>
              </w:rPr>
            </w:pPr>
            <w:r>
              <w:rPr>
                <w:rFonts w:ascii="Arial" w:cs="Arial" w:eastAsia="Arial" w:hAnsi="Arial"/>
                <w:sz w:val="15"/>
                <w:szCs w:val="15"/>
                <w:color w:val="auto"/>
              </w:rPr>
              <w:t>(in thousands of U.S. dollars, except per share data)</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vMerge w:val="restart"/>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00"/>
              <w:spacing w:after="0" w:line="161" w:lineRule="exact"/>
              <w:rPr>
                <w:sz w:val="20"/>
                <w:szCs w:val="20"/>
                <w:color w:val="auto"/>
              </w:rPr>
            </w:pPr>
            <w:r>
              <w:rPr>
                <w:rFonts w:ascii="Arial" w:cs="Arial" w:eastAsia="Arial" w:hAnsi="Arial"/>
                <w:sz w:val="15"/>
                <w:szCs w:val="15"/>
                <w:b w:val="1"/>
                <w:bCs w:val="1"/>
                <w:color w:val="auto"/>
              </w:rPr>
              <w:t>March 31,</w:t>
            </w:r>
          </w:p>
        </w:tc>
        <w:tc>
          <w:tcPr>
            <w:tcW w:w="160" w:type="dxa"/>
            <w:vAlign w:val="bottom"/>
          </w:tcPr>
          <w:p>
            <w:pPr>
              <w:spacing w:after="0"/>
              <w:rPr>
                <w:sz w:val="13"/>
                <w:szCs w:val="13"/>
                <w:color w:val="auto"/>
              </w:rPr>
            </w:pPr>
          </w:p>
        </w:tc>
        <w:tc>
          <w:tcPr>
            <w:tcW w:w="1180" w:type="dxa"/>
            <w:vAlign w:val="bottom"/>
            <w:gridSpan w:val="2"/>
          </w:tcPr>
          <w:p>
            <w:pPr>
              <w:jc w:val="right"/>
              <w:ind w:right="520"/>
              <w:spacing w:after="0" w:line="161" w:lineRule="exact"/>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13"/>
                <w:szCs w:val="13"/>
                <w:color w:val="auto"/>
              </w:rPr>
            </w:pPr>
          </w:p>
        </w:tc>
        <w:tc>
          <w:tcPr>
            <w:tcW w:w="1260" w:type="dxa"/>
            <w:vAlign w:val="bottom"/>
            <w:gridSpan w:val="2"/>
          </w:tcPr>
          <w:p>
            <w:pPr>
              <w:jc w:val="center"/>
              <w:ind w:right="320"/>
              <w:spacing w:after="0" w:line="161" w:lineRule="exact"/>
              <w:rPr>
                <w:sz w:val="20"/>
                <w:szCs w:val="20"/>
                <w:color w:val="auto"/>
              </w:rPr>
            </w:pPr>
            <w:r>
              <w:rPr>
                <w:rFonts w:ascii="Arial" w:cs="Arial" w:eastAsia="Arial" w:hAnsi="Arial"/>
                <w:sz w:val="15"/>
                <w:szCs w:val="15"/>
                <w:b w:val="1"/>
                <w:bCs w:val="1"/>
                <w:color w:val="auto"/>
                <w:w w:val="87"/>
              </w:rPr>
              <w:t>September 30,</w:t>
            </w:r>
          </w:p>
        </w:tc>
        <w:tc>
          <w:tcPr>
            <w:tcW w:w="100" w:type="dxa"/>
            <w:vAlign w:val="bottom"/>
          </w:tcPr>
          <w:p>
            <w:pPr>
              <w:spacing w:after="0"/>
              <w:rPr>
                <w:sz w:val="13"/>
                <w:szCs w:val="13"/>
                <w:color w:val="auto"/>
              </w:rPr>
            </w:pPr>
          </w:p>
        </w:tc>
        <w:tc>
          <w:tcPr>
            <w:tcW w:w="1020" w:type="dxa"/>
            <w:vAlign w:val="bottom"/>
          </w:tcPr>
          <w:p>
            <w:pPr>
              <w:jc w:val="center"/>
              <w:ind w:right="47"/>
              <w:spacing w:after="0" w:line="161" w:lineRule="exact"/>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2020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96"/>
              </w:rPr>
              <w:t>2020 (1, 2)</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74,530</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94,566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136,858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145,696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20"/>
                <w:szCs w:val="20"/>
                <w:color w:val="auto"/>
              </w:rPr>
            </w:pPr>
            <w:r>
              <w:rPr>
                <w:rFonts w:ascii="Arial" w:cs="Arial" w:eastAsia="Arial" w:hAnsi="Arial"/>
                <w:sz w:val="15"/>
                <w:szCs w:val="15"/>
                <w:color w:val="auto"/>
              </w:rPr>
              <w:t>Operating loss</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(36,169)</w:t>
            </w: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(148,273)</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11,053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18,031</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(60,223)</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(166,587)</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(36,670)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20"/>
                <w:szCs w:val="20"/>
                <w:color w:val="auto"/>
              </w:rPr>
            </w:pPr>
            <w:r>
              <w:rPr>
                <w:rFonts w:ascii="Arial" w:cs="Arial" w:eastAsia="Arial" w:hAnsi="Arial"/>
                <w:sz w:val="15"/>
                <w:szCs w:val="15"/>
                <w:color w:val="auto"/>
              </w:rPr>
              <w:t>Net (loss) income attributable to stockholders</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(8,466)</w:t>
            </w: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(137,493)</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(36,358)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(loss) income per share (3)</w:t>
            </w: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(0.32)</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(2.40)</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(0.21)</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375"/>
        </w:trPr>
        <w:tc>
          <w:tcPr>
            <w:tcW w:w="4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00"/>
              <w:spacing w:after="0" w:line="161" w:lineRule="exact"/>
              <w:rPr>
                <w:sz w:val="20"/>
                <w:szCs w:val="20"/>
                <w:color w:val="auto"/>
              </w:rPr>
            </w:pPr>
            <w:r>
              <w:rPr>
                <w:rFonts w:ascii="Arial" w:cs="Arial" w:eastAsia="Arial" w:hAnsi="Arial"/>
                <w:sz w:val="15"/>
                <w:szCs w:val="15"/>
                <w:b w:val="1"/>
                <w:bCs w:val="1"/>
                <w:color w:val="auto"/>
              </w:rPr>
              <w:t>March 31,</w:t>
            </w:r>
          </w:p>
        </w:tc>
        <w:tc>
          <w:tcPr>
            <w:tcW w:w="160" w:type="dxa"/>
            <w:vAlign w:val="bottom"/>
          </w:tcPr>
          <w:p>
            <w:pPr>
              <w:spacing w:after="0"/>
              <w:rPr>
                <w:sz w:val="13"/>
                <w:szCs w:val="13"/>
                <w:color w:val="auto"/>
              </w:rPr>
            </w:pPr>
          </w:p>
        </w:tc>
        <w:tc>
          <w:tcPr>
            <w:tcW w:w="1180" w:type="dxa"/>
            <w:vAlign w:val="bottom"/>
            <w:gridSpan w:val="2"/>
          </w:tcPr>
          <w:p>
            <w:pPr>
              <w:jc w:val="right"/>
              <w:ind w:right="520"/>
              <w:spacing w:after="0" w:line="161" w:lineRule="exact"/>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13"/>
                <w:szCs w:val="13"/>
                <w:color w:val="auto"/>
              </w:rPr>
            </w:pPr>
          </w:p>
        </w:tc>
        <w:tc>
          <w:tcPr>
            <w:tcW w:w="1260" w:type="dxa"/>
            <w:vAlign w:val="bottom"/>
            <w:gridSpan w:val="2"/>
          </w:tcPr>
          <w:p>
            <w:pPr>
              <w:jc w:val="center"/>
              <w:ind w:right="320"/>
              <w:spacing w:after="0" w:line="161" w:lineRule="exact"/>
              <w:rPr>
                <w:sz w:val="20"/>
                <w:szCs w:val="20"/>
                <w:color w:val="auto"/>
              </w:rPr>
            </w:pPr>
            <w:r>
              <w:rPr>
                <w:rFonts w:ascii="Arial" w:cs="Arial" w:eastAsia="Arial" w:hAnsi="Arial"/>
                <w:sz w:val="15"/>
                <w:szCs w:val="15"/>
                <w:b w:val="1"/>
                <w:bCs w:val="1"/>
                <w:color w:val="auto"/>
                <w:w w:val="87"/>
              </w:rPr>
              <w:t>September 30,</w:t>
            </w:r>
          </w:p>
        </w:tc>
        <w:tc>
          <w:tcPr>
            <w:tcW w:w="100" w:type="dxa"/>
            <w:vAlign w:val="bottom"/>
          </w:tcPr>
          <w:p>
            <w:pPr>
              <w:spacing w:after="0"/>
              <w:rPr>
                <w:sz w:val="13"/>
                <w:szCs w:val="13"/>
                <w:color w:val="auto"/>
              </w:rPr>
            </w:pPr>
          </w:p>
        </w:tc>
        <w:tc>
          <w:tcPr>
            <w:tcW w:w="1020" w:type="dxa"/>
            <w:vAlign w:val="bottom"/>
          </w:tcPr>
          <w:p>
            <w:pPr>
              <w:jc w:val="center"/>
              <w:ind w:right="47"/>
              <w:spacing w:after="0" w:line="161" w:lineRule="exact"/>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b w:val="1"/>
                <w:bCs w:val="1"/>
                <w:color w:val="auto"/>
                <w:w w:val="89"/>
              </w:rPr>
              <w:t>2019</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29,951</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39,766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49,656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69,752</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20"/>
                <w:szCs w:val="20"/>
                <w:color w:val="auto"/>
              </w:rPr>
            </w:pPr>
            <w:r>
              <w:rPr>
                <w:rFonts w:ascii="Arial" w:cs="Arial" w:eastAsia="Arial" w:hAnsi="Arial"/>
                <w:sz w:val="15"/>
                <w:szCs w:val="15"/>
                <w:color w:val="auto"/>
              </w:rPr>
              <w:t>Operating loss</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(59,337)</w:t>
            </w: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(43,959)</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(47,726)</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(36,253)</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(60,292)</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(51,233)</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(54,424)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(38,370)</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20"/>
                <w:szCs w:val="20"/>
                <w:color w:val="auto"/>
              </w:rPr>
            </w:pPr>
            <w:r>
              <w:rPr>
                <w:rFonts w:ascii="Arial" w:cs="Arial" w:eastAsia="Arial" w:hAnsi="Arial"/>
                <w:sz w:val="15"/>
                <w:szCs w:val="15"/>
                <w:color w:val="auto"/>
              </w:rPr>
              <w:t>Net loss attributable to stockholders</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(13,557)</w:t>
            </w: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(6,186)</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(6,723)</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(7,343)</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loss per share (3)</w:t>
            </w: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(0.96)</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(0.28)</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(0.30)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80" w:right="320" w:hanging="272"/>
        <w:spacing w:after="0" w:line="251" w:lineRule="auto"/>
        <w:tabs>
          <w:tab w:leader="none" w:pos="2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Operating loss, net loss and net loss attributable to stockholders for the three months ended March 31, 2020 and June 30, 2020 reflect the adoption of ASC 326. The Company adopted ASC 326 in the third quarter of 2020 with an effective date of January 1, 2020, due to the loss of EGC status in that quarter.</w:t>
      </w:r>
    </w:p>
    <w:p>
      <w:pPr>
        <w:ind w:left="280" w:right="40" w:hanging="272"/>
        <w:spacing w:after="0" w:line="244" w:lineRule="auto"/>
        <w:tabs>
          <w:tab w:leader="none" w:pos="2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Operating loss, net loss and net loss attributable to stockholders for the three months ended June 30, 2020 includes a termination charge of $105,000 associated with an agreement with one of the Company’s LNG suppliers to terminate the obligation to purchase any LNG from this supplier for the remainder of 2020.</w:t>
      </w:r>
    </w:p>
    <w:p>
      <w:pPr>
        <w:ind w:left="280" w:right="120" w:hanging="272"/>
        <w:spacing w:after="0" w:line="248" w:lineRule="auto"/>
        <w:tabs>
          <w:tab w:leader="none" w:pos="2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Basic and diluted earnings per share are computed independently for each of the quarters presented. Therefore, the sum of quarterly basic and diluted per share information may not equal annual basic and diluted earnings per share.</w:t>
      </w:r>
    </w:p>
    <w:p>
      <w:pPr>
        <w:spacing w:after="0" w:line="177"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Hygo Merger Agreement</w:t>
      </w:r>
    </w:p>
    <w:p>
      <w:pPr>
        <w:spacing w:after="0" w:line="200"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On January 13, 2021, NFE, Hygo Energy Transition Ltd., a Bermuda exempted company (“Hygo”), Golar LNG Limited, a Bermuda exempted company (“GLNG”), Stonepeak Infrastructure Fund II Cayman (G) Ltd. (“Stonepeak”), and Lobos Acquisition Ltd., a Bermuda exempted company and an indirect, wholly-owned subsidiary of NFE (“Hygo Merger Sub”), entered into an Agreement and Plan of Merger (the “Hygo Merger Agreement”), pursuant to which Hygo Merger Sub will merge with and into Hygo (the “Hygo Merger”), with Hygo surviving the Hygo Merger as a wholly owned subsidiary of NFE. As of the date of the Hygo Merger Agreement, each of GLNG and Stonepeak owned 50% of the outstanding common shares, par value $1.00 per share, of Hygo, and Stonepeak owned all of Hygo’s outstanding redeemable preferred shares, par value $5.00 per share. At the effective time of the Hygo Merger: (i) GLNG will receive 18.6 million shares of NFE Class A common stock and an aggregate of $50 million in cash and (ii) Stonepeak will receive 12.7 million shares of NFE Class A common stock and an aggregate of $530 million in cash. The Hygo Merger Agreement may be terminated by NFE or Hygo under certain circumstances, including, among others, by either NFE or Hygo if the closing of the Hygo Merger has not occurred on or before July 12, 2021.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4" w:name="page125"/>
    <w:bookmarkEnd w:id="12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GMLP Merger Agreement</w:t>
      </w:r>
    </w:p>
    <w:p>
      <w:pPr>
        <w:spacing w:after="0" w:line="200"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On January 13, 2021, NFE entered into an Agreement and Plan of Merger (the “GMLP Merger Agreement”) with Golar LNG Partners LP, a Marshall Islands limited partnership (“GMLP”), Golar GP LLC, a Marshall Islands limited liability company and the general partner of GMLP (the “General Partner”), Lobos Acquisition LLC, a Marshall Islands limited liability company and an indirect subsidiary of NFE (“GMLP Merger Sub”), and NFE International Holdings Limited, a private limited company incorporated under the laws of England and Wales and an indirect subsidiary of NFE (“GP Buyer”), pursuant to which GMLP Merger Sub will merge with and into GMLP, with GMLP surviving the merger as an indirect subsidiary of NFE (the “GMLP Merger”).</w:t>
      </w:r>
    </w:p>
    <w:p>
      <w:pPr>
        <w:spacing w:after="0" w:line="183"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At the effective time of the GMLP Merger (the “GMLP Effective Time”), each common unit representing a limited partner interest in GMLP that is issued and outstanding as of immediately prior to the GMLP Effective Time will automatically be converted into the right to receive $3.55 in cash. At the GMLP Effective Time, each of the incentive distribution rights of GMLP will be canceled and cease to exist, and no consideration shall be delivered in respect thereof. Each 8.75% Series A Cumulative Redeemable Preferred Unit of GMLP issued and outstanding immediately prior to the GMLP Effective Time will be unaffected by the GMLP Merger and will remain outstanding, and no consideration shall be delivered in respect thereof. Each outstanding unit representing a general partner interest of GMLP that is issued and outstanding immediately prior to the GMLP Effective Time will remain issued and outstanding immediately following the GMLP Effective Time.</w:t>
      </w:r>
    </w:p>
    <w:p>
      <w:pPr>
        <w:spacing w:after="0" w:line="185" w:lineRule="exact"/>
        <w:rPr>
          <w:sz w:val="20"/>
          <w:szCs w:val="20"/>
          <w:color w:val="auto"/>
        </w:rPr>
      </w:pPr>
    </w:p>
    <w:p>
      <w:pPr>
        <w:ind w:right="320"/>
        <w:spacing w:after="0" w:line="299" w:lineRule="auto"/>
        <w:rPr>
          <w:sz w:val="20"/>
          <w:szCs w:val="20"/>
          <w:color w:val="auto"/>
        </w:rPr>
      </w:pPr>
      <w:r>
        <w:rPr>
          <w:rFonts w:ascii="Arial" w:cs="Arial" w:eastAsia="Arial" w:hAnsi="Arial"/>
          <w:sz w:val="14"/>
          <w:szCs w:val="14"/>
          <w:color w:val="auto"/>
        </w:rPr>
        <w:t>Concurrently with the consummation of the GMLP Merger, GP Buyer will purchase from GLNG all of the outstanding membership interests of the General Partner pursuant to a Transfer Agreement dated as of January 13, 2021 for a purchase price of approximately $5 million, which is equivalent to $3.55 per general partner unit of GMLP.</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GMLP Merger Agreement may be terminated by NFE or GMLP (which, in the case of GMLP, must be approved by GMLP</w:t>
      </w:r>
      <w:r>
        <w:rPr>
          <w:rFonts w:ascii="Arial" w:cs="Arial" w:eastAsia="Arial" w:hAnsi="Arial"/>
          <w:sz w:val="16"/>
          <w:szCs w:val="16"/>
          <w:color w:val="auto"/>
        </w:rPr>
        <w:t>’</w:t>
      </w:r>
      <w:r>
        <w:rPr>
          <w:rFonts w:ascii="Arial" w:cs="Arial" w:eastAsia="Arial" w:hAnsi="Arial"/>
          <w:sz w:val="14"/>
          <w:szCs w:val="14"/>
          <w:color w:val="auto"/>
        </w:rPr>
        <w:t>s Conflicts Committee) under certain circumstances, including, among others, by either NFE or GMLP if the closing of the GMLP Merger has not occurred on or before July 13, 2021, and further provides that, upon termination of the GMLP Merger Agreement under certain circumstances, GMLP may be required to pay NFE a termination fee equal to approximately $9.4 million.</w:t>
      </w:r>
    </w:p>
    <w:p>
      <w:pPr>
        <w:spacing w:after="0" w:line="159"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We have obtained debt financing commitments from Morgan Stanley Senior Funding, Inc. and Goldman Sachs Bank USA for loans in an aggregate principal amount of $1.7 billion, consisting of a $1.5 billion senior secured bridge facility (the “Bridge Loan”) and a $200 million senior secured revolving facility to pay, subject to the terms and conditions set forth therein, a portion of the cash purchase price in connection with the GMLP Merger, to refinance certain debt of GMLP and its subsidiaries, to pay related fees and expenses and for general corporate purposes. If NFE utilizes the Bridge Loan, the facility will bear a fixed interest rate of 6.25%, subject to a step-up of 50 basis points every three months. The Bridge Loan has a one-year term, is pre-payable without penalty and will automatically be converted into a seven-year term loan if it is not repaid in full at maturity. The senior secured revolving facility has a term of approximately five years and bears interest based on the three-month LIBOR rate plus certain margins.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Suape Development</w:t>
      </w:r>
    </w:p>
    <w:p>
      <w:pPr>
        <w:spacing w:after="0" w:line="200" w:lineRule="exact"/>
        <w:rPr>
          <w:sz w:val="20"/>
          <w:szCs w:val="20"/>
          <w:color w:val="auto"/>
        </w:rPr>
      </w:pPr>
    </w:p>
    <w:p>
      <w:pPr>
        <w:ind w:right="220"/>
        <w:spacing w:after="0" w:line="270" w:lineRule="auto"/>
        <w:rPr>
          <w:sz w:val="20"/>
          <w:szCs w:val="20"/>
          <w:color w:val="auto"/>
        </w:rPr>
      </w:pPr>
      <w:r>
        <w:rPr>
          <w:rFonts w:ascii="Arial" w:cs="Arial" w:eastAsia="Arial" w:hAnsi="Arial"/>
          <w:sz w:val="14"/>
          <w:szCs w:val="14"/>
          <w:color w:val="auto"/>
        </w:rPr>
        <w:t>On January 12, 2021, we acquired CH4 Energia Ltda., an entity that owns key permits and authorizations to develop an LNG terminal at the Port of Suape, Brazil. On March 11, 2021, we acquired 100% of the outstanding shares of Pecem Energia S.A. (“Pecem”) and Energetica Camacari Muricy II S.A. (“Muricy”). These companies collectively hold certain 15-year power purchase agreements for the development of thermoelectric power plants in the State of Bahia, Brazil. We will seek to obtain the necessary approvals to transfer the power purchase agreements to the Port of Suape and plan to construct a gas-fired power plant and LNG import terminal at the Port of Suape. The Company paid approximately $9 million at closing in total and will make additional payments to the sellers based on certain contingent considerations.</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8355"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2440" w:type="dxa"/>
            <w:vAlign w:val="bottom"/>
            <w:gridSpan w:val="2"/>
          </w:tcPr>
          <w:p>
            <w:pPr>
              <w:ind w:left="1560"/>
              <w:spacing w:after="0"/>
              <w:rPr>
                <w:sz w:val="20"/>
                <w:szCs w:val="20"/>
                <w:color w:val="auto"/>
              </w:rPr>
            </w:pPr>
            <w:r>
              <w:rPr>
                <w:rFonts w:ascii="Arial" w:cs="Arial" w:eastAsia="Arial" w:hAnsi="Arial"/>
                <w:sz w:val="15"/>
                <w:szCs w:val="15"/>
                <w:b w:val="1"/>
                <w:bCs w:val="1"/>
                <w:color w:val="auto"/>
              </w:rPr>
              <w:t>Schedule II</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3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b w:val="1"/>
                <w:bCs w:val="1"/>
                <w:color w:val="auto"/>
                <w:w w:val="95"/>
              </w:rPr>
              <w:t>Balance at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right"/>
              <w:ind w:right="540"/>
              <w:spacing w:after="0"/>
              <w:rPr>
                <w:sz w:val="20"/>
                <w:szCs w:val="20"/>
                <w:color w:val="auto"/>
              </w:rPr>
            </w:pPr>
            <w:r>
              <w:rPr>
                <w:rFonts w:ascii="Arial" w:cs="Arial" w:eastAsia="Arial" w:hAnsi="Arial"/>
                <w:sz w:val="15"/>
                <w:szCs w:val="15"/>
                <w:b w:val="1"/>
                <w:bCs w:val="1"/>
                <w:color w:val="auto"/>
                <w:w w:val="90"/>
              </w:rPr>
              <w:t>Additions</w:t>
            </w:r>
            <w:r>
              <w:rPr>
                <w:rFonts w:ascii="Arial" w:cs="Arial" w:eastAsia="Arial" w:hAnsi="Arial"/>
                <w:sz w:val="24"/>
                <w:szCs w:val="24"/>
                <w:b w:val="1"/>
                <w:bCs w:val="1"/>
                <w:color w:val="auto"/>
                <w:w w:val="90"/>
                <w:vertAlign w:val="superscript"/>
              </w:rPr>
              <w:t>(1)</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5"/>
                <w:szCs w:val="15"/>
                <w:b w:val="1"/>
                <w:bCs w:val="1"/>
                <w:color w:val="auto"/>
                <w:w w:val="95"/>
              </w:rPr>
              <w:t>Balance at End of</w:t>
            </w:r>
          </w:p>
        </w:tc>
        <w:tc>
          <w:tcPr>
            <w:tcW w:w="0" w:type="dxa"/>
            <w:vAlign w:val="bottom"/>
          </w:tcPr>
          <w:p>
            <w:pPr>
              <w:spacing w:after="0"/>
              <w:rPr>
                <w:sz w:val="1"/>
                <w:szCs w:val="1"/>
                <w:color w:val="auto"/>
              </w:rPr>
            </w:pPr>
          </w:p>
        </w:tc>
      </w:tr>
      <w:tr>
        <w:trPr>
          <w:trHeight w:val="290"/>
        </w:trPr>
        <w:tc>
          <w:tcPr>
            <w:tcW w:w="372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22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5"/>
                <w:szCs w:val="15"/>
                <w:b w:val="1"/>
                <w:bCs w:val="1"/>
                <w:color w:val="auto"/>
                <w:w w:val="87"/>
              </w:rPr>
              <w:t>Beginning of Year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continue"/>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0"/>
              </w:rPr>
              <w:t>Deductions</w:t>
            </w:r>
          </w:p>
        </w:tc>
        <w:tc>
          <w:tcPr>
            <w:tcW w:w="24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51"/>
        </w:trPr>
        <w:tc>
          <w:tcPr>
            <w:tcW w:w="3720" w:type="dxa"/>
            <w:vAlign w:val="bottom"/>
          </w:tcPr>
          <w:p>
            <w:pPr>
              <w:spacing w:after="0"/>
              <w:rPr>
                <w:sz w:val="20"/>
                <w:szCs w:val="20"/>
                <w:color w:val="auto"/>
              </w:rPr>
            </w:pPr>
            <w:r>
              <w:rPr>
                <w:rFonts w:ascii="Arial" w:cs="Arial" w:eastAsia="Arial" w:hAnsi="Arial"/>
                <w:sz w:val="15"/>
                <w:szCs w:val="15"/>
                <w:b w:val="1"/>
                <w:bCs w:val="1"/>
                <w:color w:val="auto"/>
              </w:rPr>
              <w:t>Year ended December 31, 2020</w:t>
            </w:r>
          </w:p>
        </w:tc>
        <w:tc>
          <w:tcPr>
            <w:tcW w:w="2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2440" w:type="dxa"/>
            <w:vAlign w:val="bottom"/>
            <w:gridSpan w:val="2"/>
            <w:shd w:val="clear" w:color="auto" w:fill="CCEEFF"/>
          </w:tcPr>
          <w:p>
            <w:pPr>
              <w:ind w:left="228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20" w:type="dxa"/>
            <w:vAlign w:val="bottom"/>
          </w:tcPr>
          <w:p>
            <w:pPr>
              <w:spacing w:after="0"/>
              <w:rPr>
                <w:sz w:val="20"/>
                <w:szCs w:val="20"/>
                <w:color w:val="auto"/>
              </w:rPr>
            </w:pPr>
            <w:r>
              <w:rPr>
                <w:rFonts w:ascii="Arial" w:cs="Arial" w:eastAsia="Arial" w:hAnsi="Arial"/>
                <w:sz w:val="15"/>
                <w:szCs w:val="15"/>
                <w:color w:val="auto"/>
              </w:rPr>
              <w:t>Allowance for expected credit losses</w:t>
            </w: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316</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allowance</w:t>
            </w:r>
          </w:p>
        </w:tc>
        <w:tc>
          <w:tcPr>
            <w:tcW w:w="22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 2019</w:t>
            </w:r>
          </w:p>
        </w:tc>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(257)</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 2018</w:t>
            </w:r>
          </w:p>
        </w:tc>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257</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373"/>
        </w:trPr>
        <w:tc>
          <w:tcPr>
            <w:tcW w:w="3720" w:type="dxa"/>
            <w:vAlign w:val="bottom"/>
          </w:tcPr>
          <w:p>
            <w:pPr>
              <w:spacing w:after="0"/>
              <w:rPr>
                <w:sz w:val="20"/>
                <w:szCs w:val="20"/>
                <w:color w:val="auto"/>
              </w:rPr>
            </w:pPr>
            <w:r>
              <w:rPr>
                <w:rFonts w:ascii="Arial" w:cs="Arial" w:eastAsia="Arial" w:hAnsi="Arial"/>
                <w:sz w:val="15"/>
                <w:szCs w:val="15"/>
                <w:b w:val="1"/>
                <w:bCs w:val="1"/>
                <w:color w:val="auto"/>
              </w:rPr>
              <w:t>Note</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00" w:hanging="392"/>
        <w:spacing w:after="0"/>
        <w:tabs>
          <w:tab w:leader="none" w:pos="400" w:val="left"/>
        </w:tabs>
        <w:numPr>
          <w:ilvl w:val="0"/>
          <w:numId w:val="90"/>
        </w:numPr>
        <w:rPr>
          <w:rFonts w:ascii="Arial" w:cs="Arial" w:eastAsia="Arial" w:hAnsi="Arial"/>
          <w:sz w:val="24"/>
          <w:szCs w:val="24"/>
          <w:color w:val="auto"/>
          <w:vertAlign w:val="superscript"/>
        </w:rPr>
      </w:pPr>
      <w:r>
        <w:rPr>
          <w:rFonts w:ascii="Arial" w:cs="Arial" w:eastAsia="Arial" w:hAnsi="Arial"/>
          <w:sz w:val="15"/>
          <w:szCs w:val="15"/>
          <w:color w:val="auto"/>
        </w:rPr>
        <w:t>Amount expensed in included within 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5835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ectPr>
          <w:pgSz w:w="11900" w:h="16838" w:orient="portrait"/>
          <w:cols w:equalWidth="0" w:num="1">
            <w:col w:w="11280"/>
          </w:cols>
          <w:pgMar w:left="300" w:top="662"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58355" cy="27940"/>
                    </a:xfrm>
                    <a:prstGeom prst="rect">
                      <a:avLst/>
                    </a:prstGeom>
                    <a:noFill/>
                  </pic:spPr>
                </pic:pic>
              </a:graphicData>
            </a:graphic>
          </wp:anchor>
        </w:drawing>
        <w:t>Exhibit 21.1</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7460" w:type="dxa"/>
            <w:vAlign w:val="bottom"/>
            <w:gridSpan w:val="2"/>
          </w:tcPr>
          <w:p>
            <w:pPr>
              <w:ind w:left="320"/>
              <w:spacing w:after="0"/>
              <w:rPr>
                <w:sz w:val="20"/>
                <w:szCs w:val="20"/>
                <w:color w:val="auto"/>
              </w:rPr>
            </w:pPr>
            <w:r>
              <w:rPr>
                <w:rFonts w:ascii="Arial" w:cs="Arial" w:eastAsia="Arial" w:hAnsi="Arial"/>
                <w:sz w:val="15"/>
                <w:szCs w:val="15"/>
                <w:b w:val="1"/>
                <w:bCs w:val="1"/>
                <w:color w:val="auto"/>
              </w:rPr>
              <w:t>List of Subsidiaries of New Fortress Energy Inc.</w:t>
            </w:r>
          </w:p>
        </w:tc>
      </w:tr>
      <w:tr>
        <w:trPr>
          <w:trHeight w:val="184"/>
        </w:trPr>
        <w:tc>
          <w:tcPr>
            <w:tcW w:w="38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r>
      <w:tr>
        <w:trPr>
          <w:trHeight w:val="226"/>
        </w:trPr>
        <w:tc>
          <w:tcPr>
            <w:tcW w:w="3820" w:type="dxa"/>
            <w:vAlign w:val="bottom"/>
            <w:tcBorders>
              <w:left w:val="single" w:sz="8" w:color="auto"/>
              <w:bottom w:val="single" w:sz="8" w:color="44546A"/>
            </w:tcBorders>
            <w:shd w:val="clear" w:color="auto" w:fill="44546A"/>
          </w:tcPr>
          <w:p>
            <w:pPr>
              <w:ind w:left="60"/>
              <w:spacing w:after="0"/>
              <w:rPr>
                <w:sz w:val="20"/>
                <w:szCs w:val="20"/>
                <w:color w:val="auto"/>
              </w:rPr>
            </w:pPr>
            <w:r>
              <w:rPr>
                <w:rFonts w:ascii="Arial" w:cs="Arial" w:eastAsia="Arial" w:hAnsi="Arial"/>
                <w:sz w:val="15"/>
                <w:szCs w:val="15"/>
                <w:b w:val="1"/>
                <w:bCs w:val="1"/>
                <w:color w:val="FFFFFF"/>
              </w:rPr>
              <w:t>Entity Name</w:t>
            </w:r>
          </w:p>
        </w:tc>
        <w:tc>
          <w:tcPr>
            <w:tcW w:w="4660" w:type="dxa"/>
            <w:vAlign w:val="bottom"/>
            <w:tcBorders>
              <w:bottom w:val="single" w:sz="8" w:color="44546A"/>
              <w:right w:val="single" w:sz="8" w:color="auto"/>
            </w:tcBorders>
            <w:shd w:val="clear" w:color="auto" w:fill="44546A"/>
          </w:tcPr>
          <w:p>
            <w:pPr>
              <w:spacing w:after="0"/>
              <w:rPr>
                <w:sz w:val="19"/>
                <w:szCs w:val="19"/>
                <w:color w:val="auto"/>
              </w:rPr>
            </w:pPr>
          </w:p>
        </w:tc>
        <w:tc>
          <w:tcPr>
            <w:tcW w:w="2800" w:type="dxa"/>
            <w:vAlign w:val="bottom"/>
            <w:tcBorders>
              <w:bottom w:val="single" w:sz="8" w:color="44546A"/>
              <w:right w:val="single" w:sz="8" w:color="auto"/>
            </w:tcBorders>
            <w:shd w:val="clear" w:color="auto" w:fill="44546A"/>
          </w:tcPr>
          <w:p>
            <w:pPr>
              <w:jc w:val="center"/>
              <w:spacing w:after="0"/>
              <w:rPr>
                <w:sz w:val="20"/>
                <w:szCs w:val="20"/>
                <w:color w:val="auto"/>
              </w:rPr>
            </w:pPr>
            <w:r>
              <w:rPr>
                <w:rFonts w:ascii="Arial" w:cs="Arial" w:eastAsia="Arial" w:hAnsi="Arial"/>
                <w:sz w:val="15"/>
                <w:szCs w:val="15"/>
                <w:b w:val="1"/>
                <w:bCs w:val="1"/>
                <w:color w:val="FFFFFF"/>
                <w:w w:val="86"/>
              </w:rPr>
              <w:t>Jurisdiction</w:t>
            </w:r>
          </w:p>
        </w:tc>
      </w:tr>
      <w:tr>
        <w:trPr>
          <w:trHeight w:val="198"/>
        </w:trPr>
        <w:tc>
          <w:tcPr>
            <w:tcW w:w="382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5"/>
                <w:szCs w:val="15"/>
                <w:color w:val="auto"/>
              </w:rPr>
              <w:t>Amaunet S. de R.L. de C.V.</w:t>
            </w:r>
          </w:p>
        </w:tc>
        <w:tc>
          <w:tcPr>
            <w:tcW w:w="4660" w:type="dxa"/>
            <w:vAlign w:val="bottom"/>
            <w:tcBorders>
              <w:top w:val="single" w:sz="8" w:color="auto"/>
              <w:right w:val="single" w:sz="8" w:color="auto"/>
            </w:tcBorders>
          </w:tcPr>
          <w:p>
            <w:pPr>
              <w:spacing w:after="0"/>
              <w:rPr>
                <w:sz w:val="17"/>
                <w:szCs w:val="17"/>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Mexico</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American Energy Logistics Solutions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American LNG Marketing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American Natural Gas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Distribution Holdings SRL</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Barbados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Energy Holdings Limited</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Barbados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Energy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Energy Infrastructure Holdings SRL</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Barbados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Pipeline Holdings SRL</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Barbados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Power Holdings Limited</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Power Holdings SRL</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Barbados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Terminal Holdings Limited</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Barbados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Atlantic Terminal Infrastructure Holdings SRL</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Barbados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Development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GPF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GPF Partners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LNG Marketing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Power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Power Partners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Real Estate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Real Estate Partners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Transport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Bradford County Transport Partners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CH4 Energia Ltda</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Brazil</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Encanto East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Puerto Rico</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Encanto West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Puerto Rico</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Encanto Power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Puerto Rico</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Encanto Power West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Puerto Rico</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Energy Transport Solutions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Island LNG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LA Development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LA Real Estate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LA Real Estate Partners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LNG Holdings (Florida)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LNG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Lobos Acquisition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Marshall Islands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Lobos Acquisition Ltd.</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New Fortress Energy Foundation Limited</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Jamaica</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New Fortress Energy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New Fortress Energy Jamaica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New Fortress Energy Inc.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New Fortress Energy Marketing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w w:val="96"/>
              </w:rPr>
              <w:t>New Fortress Energy Servicios Mexico, S. de R.L. de C.V.</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Mexico</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New Fortress Intermediate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NFE Angola – Sociedade Unipessoal, Lda.</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Angola</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3820" w:type="dxa"/>
            <w:vAlign w:val="bottom"/>
            <w:tcBorders>
              <w:left w:val="single" w:sz="8" w:color="auto"/>
            </w:tcBorders>
          </w:tcPr>
          <w:p>
            <w:pPr>
              <w:ind w:left="60"/>
              <w:spacing w:after="0"/>
              <w:rPr>
                <w:sz w:val="20"/>
                <w:szCs w:val="20"/>
                <w:color w:val="auto"/>
              </w:rPr>
            </w:pPr>
            <w:r>
              <w:rPr>
                <w:rFonts w:ascii="Arial" w:cs="Arial" w:eastAsia="Arial" w:hAnsi="Arial"/>
                <w:sz w:val="15"/>
                <w:szCs w:val="15"/>
                <w:color w:val="auto"/>
              </w:rPr>
              <w:t>NFE Angola Holdings LLC</w:t>
            </w:r>
          </w:p>
        </w:tc>
        <w:tc>
          <w:tcPr>
            <w:tcW w:w="46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3820" w:type="dxa"/>
            <w:vAlign w:val="bottom"/>
            <w:tcBorders>
              <w:left w:val="single" w:sz="8" w:color="auto"/>
              <w:bottom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83"/>
        </w:trPr>
        <w:tc>
          <w:tcPr>
            <w:tcW w:w="38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45" w:right="319" w:bottom="1440" w:gutter="0" w:footer="0" w:header="0"/>
        </w:sectPr>
      </w:pPr>
    </w:p>
    <w:bookmarkStart w:id="127" w:name="page128"/>
    <w:bookmarkEnd w:id="1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8480" w:type="dxa"/>
            <w:vAlign w:val="bottom"/>
            <w:tcBorders>
              <w:top w:val="single" w:sz="8" w:color="auto"/>
              <w:left w:val="single" w:sz="8" w:color="auto"/>
              <w:bottom w:val="single" w:sz="8" w:color="44546A"/>
              <w:right w:val="single" w:sz="8" w:color="auto"/>
            </w:tcBorders>
            <w:shd w:val="clear" w:color="auto" w:fill="44546A"/>
          </w:tcPr>
          <w:p>
            <w:pPr>
              <w:ind w:left="60"/>
              <w:spacing w:after="0"/>
              <w:rPr>
                <w:sz w:val="20"/>
                <w:szCs w:val="20"/>
                <w:color w:val="auto"/>
              </w:rPr>
            </w:pPr>
            <w:r>
              <w:rPr>
                <w:rFonts w:ascii="Arial" w:cs="Arial" w:eastAsia="Arial" w:hAnsi="Arial"/>
                <w:sz w:val="15"/>
                <w:szCs w:val="15"/>
                <w:b w:val="1"/>
                <w:bCs w:val="1"/>
                <w:color w:val="FFFFFF"/>
              </w:rPr>
              <w:t>Entity Name</w:t>
            </w:r>
          </w:p>
        </w:tc>
        <w:tc>
          <w:tcPr>
            <w:tcW w:w="2800" w:type="dxa"/>
            <w:vAlign w:val="bottom"/>
            <w:tcBorders>
              <w:top w:val="single" w:sz="8" w:color="auto"/>
              <w:bottom w:val="single" w:sz="8" w:color="44546A"/>
              <w:right w:val="single" w:sz="8" w:color="auto"/>
            </w:tcBorders>
            <w:shd w:val="clear" w:color="auto" w:fill="44546A"/>
          </w:tcPr>
          <w:p>
            <w:pPr>
              <w:jc w:val="center"/>
              <w:spacing w:after="0"/>
              <w:rPr>
                <w:sz w:val="20"/>
                <w:szCs w:val="20"/>
                <w:color w:val="auto"/>
              </w:rPr>
            </w:pPr>
            <w:r>
              <w:rPr>
                <w:rFonts w:ascii="Arial" w:cs="Arial" w:eastAsia="Arial" w:hAnsi="Arial"/>
                <w:sz w:val="15"/>
                <w:szCs w:val="15"/>
                <w:b w:val="1"/>
                <w:bCs w:val="1"/>
                <w:color w:val="FFFFFF"/>
                <w:w w:val="86"/>
              </w:rPr>
              <w:t>Jurisdiction</w:t>
            </w:r>
          </w:p>
        </w:tc>
      </w:tr>
      <w:tr>
        <w:trPr>
          <w:trHeight w:val="198"/>
        </w:trPr>
        <w:tc>
          <w:tcPr>
            <w:tcW w:w="8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Atlantic Holdings LLC</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Bahamas Holdings Ltd.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5"/>
              </w:rPr>
              <w:t>Bahamas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Brasil Participações Ltda.</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Brazil</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Brazil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BCS Holdings (A)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BCS Holdings (B)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Ecuador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Equipment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Equipment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Ghana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Ghana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Honduras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International Holdings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United Kingdom</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International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Ireland Financing DAC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Ireland</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ISO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ISO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Jamaica GP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Logistics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Management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Mexico Holdings B.V.</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Netherlands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Mexico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Mexico Holdings Parent B.V.</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Netherlands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Nicaragua Development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Nicaragua Development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Nicaragua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Nicaragua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North Distribution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Jamaica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North Holdings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North Holdings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Jamaica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North Infrastructure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North Trading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North Transport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Jamaica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OSV 1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Pacifico LAP, S. de R.L. de C.V.</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Mexico</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Patent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Plant Development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Power PR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Puerto Rico</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Shannon Holdings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Ireland</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Side Vehicle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Singapore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South Holdings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South Holdings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Jamaica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South Power Holdings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Jamaica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South Power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South Power Trading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2"/>
              </w:rPr>
              <w:t>Jamaica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4"/>
        </w:trPr>
        <w:tc>
          <w:tcPr>
            <w:tcW w:w="84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57" w:right="319" w:bottom="1440" w:gutter="0" w:footer="0" w:header="0"/>
        </w:sectPr>
      </w:pPr>
    </w:p>
    <w:bookmarkStart w:id="128" w:name="page129"/>
    <w:bookmarkEnd w:id="1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8480" w:type="dxa"/>
            <w:vAlign w:val="bottom"/>
            <w:tcBorders>
              <w:top w:val="single" w:sz="8" w:color="auto"/>
              <w:left w:val="single" w:sz="8" w:color="auto"/>
              <w:bottom w:val="single" w:sz="8" w:color="44546A"/>
              <w:right w:val="single" w:sz="8" w:color="auto"/>
            </w:tcBorders>
            <w:shd w:val="clear" w:color="auto" w:fill="44546A"/>
          </w:tcPr>
          <w:p>
            <w:pPr>
              <w:ind w:left="60"/>
              <w:spacing w:after="0"/>
              <w:rPr>
                <w:sz w:val="20"/>
                <w:szCs w:val="20"/>
                <w:color w:val="auto"/>
              </w:rPr>
            </w:pPr>
            <w:r>
              <w:rPr>
                <w:rFonts w:ascii="Arial" w:cs="Arial" w:eastAsia="Arial" w:hAnsi="Arial"/>
                <w:sz w:val="15"/>
                <w:szCs w:val="15"/>
                <w:b w:val="1"/>
                <w:bCs w:val="1"/>
                <w:color w:val="FFFFFF"/>
              </w:rPr>
              <w:t>Entity Name</w:t>
            </w:r>
          </w:p>
        </w:tc>
        <w:tc>
          <w:tcPr>
            <w:tcW w:w="2800" w:type="dxa"/>
            <w:vAlign w:val="bottom"/>
            <w:tcBorders>
              <w:top w:val="single" w:sz="8" w:color="auto"/>
              <w:bottom w:val="single" w:sz="8" w:color="44546A"/>
              <w:right w:val="single" w:sz="8" w:color="auto"/>
            </w:tcBorders>
            <w:shd w:val="clear" w:color="auto" w:fill="44546A"/>
          </w:tcPr>
          <w:p>
            <w:pPr>
              <w:jc w:val="center"/>
              <w:spacing w:after="0"/>
              <w:rPr>
                <w:sz w:val="20"/>
                <w:szCs w:val="20"/>
                <w:color w:val="auto"/>
              </w:rPr>
            </w:pPr>
            <w:r>
              <w:rPr>
                <w:rFonts w:ascii="Arial" w:cs="Arial" w:eastAsia="Arial" w:hAnsi="Arial"/>
                <w:sz w:val="15"/>
                <w:szCs w:val="15"/>
                <w:b w:val="1"/>
                <w:bCs w:val="1"/>
                <w:color w:val="FFFFFF"/>
                <w:w w:val="86"/>
              </w:rPr>
              <w:t>Jurisdiction</w:t>
            </w:r>
          </w:p>
        </w:tc>
      </w:tr>
      <w:tr>
        <w:trPr>
          <w:trHeight w:val="198"/>
        </w:trPr>
        <w:tc>
          <w:tcPr>
            <w:tcW w:w="8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South Power Trading Limited</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South Trading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Bermuda</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Sri Lanka Power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Sub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Transport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Transport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US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Vessel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Vessel Management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 Vessel Operations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NFEnergía GN de BCS S. de R.L. de C.V.</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Mexico</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NFEnergia Honduras S. de R.L.</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Honduras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NFEnergia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Puerto Rico</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NFEnergia Mexico S. de R.L. de C.V.</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Mexico</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NFI Equity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PA Development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PA Real Estate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PA Real Estate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Path Ltd.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5"/>
              </w:rPr>
              <w:t>Bahamas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Shannon LNG Energy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Ireland</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Shannon LNG Limited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Ireland</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Soluciones de Energia Limpia PR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Puerto Rico</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TICO Development Partners Holdings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TICO Development Partners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Zero Blue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198"/>
        </w:trPr>
        <w:tc>
          <w:tcPr>
            <w:tcW w:w="8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Zero Green LLC</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United States</w:t>
            </w:r>
          </w:p>
        </w:tc>
      </w:tr>
      <w:tr>
        <w:trPr>
          <w:trHeight w:val="24"/>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87"/>
        </w:trPr>
        <w:tc>
          <w:tcPr>
            <w:tcW w:w="84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57"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58355" cy="27940"/>
                    </a:xfrm>
                    <a:prstGeom prst="rect">
                      <a:avLst/>
                    </a:prstGeom>
                    <a:noFill/>
                  </pic:spPr>
                </pic:pic>
              </a:graphicData>
            </a:graphic>
          </wp:anchor>
        </w:drawing>
        <w:t>Exhibit 23.1</w:t>
      </w:r>
    </w:p>
    <w:p>
      <w:pPr>
        <w:spacing w:after="0" w:line="196"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00" w:lineRule="exact"/>
        <w:rPr>
          <w:sz w:val="20"/>
          <w:szCs w:val="20"/>
          <w:color w:val="auto"/>
        </w:rPr>
      </w:pPr>
    </w:p>
    <w:p>
      <w:pPr>
        <w:ind w:left="540" w:hanging="269"/>
        <w:spacing w:after="0"/>
        <w:tabs>
          <w:tab w:leader="none" w:pos="5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Registration Statement (Form S-3 No. 333-236921) of New Fortress Energy Inc., and</w:t>
      </w:r>
    </w:p>
    <w:p>
      <w:pPr>
        <w:spacing w:after="0" w:line="13" w:lineRule="exact"/>
        <w:rPr>
          <w:rFonts w:ascii="Arial" w:cs="Arial" w:eastAsia="Arial" w:hAnsi="Arial"/>
          <w:sz w:val="15"/>
          <w:szCs w:val="15"/>
          <w:color w:val="auto"/>
        </w:rPr>
      </w:pPr>
    </w:p>
    <w:p>
      <w:pPr>
        <w:ind w:left="540" w:right="540" w:hanging="269"/>
        <w:spacing w:after="0" w:line="248" w:lineRule="auto"/>
        <w:tabs>
          <w:tab w:leader="none" w:pos="5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Post-Effective Amendment No. 1 to the Registration Statement (Form S-8 No. 333-229507) pertaining to the Amended and Restated New Fortress Energy Inc. 2019 Omnibus Incentive Plan;</w:t>
      </w:r>
    </w:p>
    <w:p>
      <w:pPr>
        <w:spacing w:after="0" w:line="181" w:lineRule="exact"/>
        <w:rPr>
          <w:sz w:val="20"/>
          <w:szCs w:val="20"/>
          <w:color w:val="auto"/>
        </w:rPr>
      </w:pPr>
    </w:p>
    <w:p>
      <w:pPr>
        <w:ind w:right="340"/>
        <w:spacing w:after="0" w:line="263" w:lineRule="auto"/>
        <w:rPr>
          <w:sz w:val="20"/>
          <w:szCs w:val="20"/>
          <w:color w:val="auto"/>
        </w:rPr>
      </w:pPr>
      <w:r>
        <w:rPr>
          <w:rFonts w:ascii="Arial" w:cs="Arial" w:eastAsia="Arial" w:hAnsi="Arial"/>
          <w:sz w:val="15"/>
          <w:szCs w:val="15"/>
          <w:color w:val="auto"/>
        </w:rPr>
        <w:t>of our reports dated March 16, 2021, with respect to the consolidated financial statements and schedule of New Fortress Energy Inc. and the effectiveness of internal control over financial reporting of New Fortress Energy Inc. included in this Annual Report (Form 10-K)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58355"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248"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58355" cy="27940"/>
                    </a:xfrm>
                    <a:prstGeom prst="rect">
                      <a:avLst/>
                    </a:prstGeom>
                    <a:noFill/>
                  </pic:spPr>
                </pic:pic>
              </a:graphicData>
            </a:graphic>
          </wp:anchor>
        </w:drawing>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RULES 13A-14(A) AND RULE 15D-14(A)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I, Wesley R. Edens, certify that:</w:t>
      </w:r>
    </w:p>
    <w:p>
      <w:pPr>
        <w:spacing w:after="0" w:line="200"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 have reviewed this Annual Report on Form 10-K (the “report”) of New Fortress Energy Inc. (the “registrant”);</w:t>
      </w:r>
    </w:p>
    <w:p>
      <w:pPr>
        <w:spacing w:after="0" w:line="200" w:lineRule="exact"/>
        <w:rPr>
          <w:rFonts w:ascii="Arial" w:cs="Arial" w:eastAsia="Arial" w:hAnsi="Arial"/>
          <w:sz w:val="15"/>
          <w:szCs w:val="15"/>
          <w:color w:val="auto"/>
        </w:rPr>
      </w:pPr>
    </w:p>
    <w:p>
      <w:pPr>
        <w:ind w:left="540" w:right="380" w:hanging="532"/>
        <w:spacing w:after="0" w:line="263" w:lineRule="auto"/>
        <w:tabs>
          <w:tab w:leader="none" w:pos="5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540" w:right="460" w:hanging="532"/>
        <w:spacing w:after="0" w:line="263" w:lineRule="auto"/>
        <w:tabs>
          <w:tab w:leader="none" w:pos="5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5"/>
          <w:szCs w:val="15"/>
          <w:color w:val="auto"/>
        </w:rPr>
      </w:pPr>
    </w:p>
    <w:p>
      <w:pPr>
        <w:ind w:left="540" w:hanging="532"/>
        <w:spacing w:after="0"/>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36"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89" w:lineRule="exact"/>
        <w:rPr>
          <w:rFonts w:ascii="Arial" w:cs="Arial" w:eastAsia="Arial" w:hAnsi="Arial"/>
          <w:sz w:val="13"/>
          <w:szCs w:val="13"/>
          <w:color w:val="auto"/>
        </w:rPr>
      </w:pPr>
    </w:p>
    <w:p>
      <w:pPr>
        <w:ind w:left="1060" w:right="20" w:hanging="526"/>
        <w:spacing w:after="0" w:line="253" w:lineRule="auto"/>
        <w:tabs>
          <w:tab w:leader="none" w:pos="10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060" w:right="200" w:hanging="526"/>
        <w:spacing w:after="0" w:line="253" w:lineRule="auto"/>
        <w:tabs>
          <w:tab w:leader="none" w:pos="10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060" w:right="40" w:hanging="526"/>
        <w:spacing w:after="0" w:line="263" w:lineRule="auto"/>
        <w:tabs>
          <w:tab w:leader="none" w:pos="10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5"/>
          <w:szCs w:val="15"/>
          <w:color w:val="auto"/>
        </w:rPr>
      </w:pPr>
    </w:p>
    <w:p>
      <w:pPr>
        <w:ind w:left="1060" w:right="180" w:hanging="526"/>
        <w:spacing w:after="0" w:line="253" w:lineRule="auto"/>
        <w:tabs>
          <w:tab w:leader="none" w:pos="10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540" w:right="20" w:hanging="532"/>
        <w:spacing w:after="0" w:line="263" w:lineRule="auto"/>
        <w:tabs>
          <w:tab w:leader="none" w:pos="5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060" w:right="140" w:hanging="526"/>
        <w:spacing w:after="0" w:line="263" w:lineRule="auto"/>
        <w:tabs>
          <w:tab w:leader="none" w:pos="10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5"/>
          <w:szCs w:val="15"/>
          <w:color w:val="auto"/>
        </w:rPr>
      </w:pPr>
    </w:p>
    <w:p>
      <w:pPr>
        <w:ind w:left="1060" w:hanging="526"/>
        <w:spacing w:after="0"/>
        <w:tabs>
          <w:tab w:leader="none" w:pos="106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tabs>
          <w:tab w:leader="none" w:pos="6760" w:val="left"/>
          <w:tab w:leader="none" w:pos="7200" w:val="left"/>
        </w:tabs>
        <w:rPr>
          <w:sz w:val="20"/>
          <w:szCs w:val="20"/>
          <w:color w:val="auto"/>
        </w:rPr>
      </w:pPr>
      <w:r>
        <w:rPr>
          <w:rFonts w:ascii="Arial" w:cs="Arial" w:eastAsia="Arial" w:hAnsi="Arial"/>
          <w:sz w:val="15"/>
          <w:szCs w:val="15"/>
          <w:color w:val="auto"/>
        </w:rPr>
        <w:t>Date: March 16,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1"/>
          <w:szCs w:val="11"/>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58355"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Wesley R. Edens</w:t>
      </w:r>
    </w:p>
    <w:p>
      <w:pPr>
        <w:spacing w:after="0" w:line="14"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Chief Executive Officer</w:t>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5835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245"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58355" cy="27940"/>
                    </a:xfrm>
                    <a:prstGeom prst="rect">
                      <a:avLst/>
                    </a:prstGeom>
                    <a:noFill/>
                  </pic:spPr>
                </pic:pic>
              </a:graphicData>
            </a:graphic>
          </wp:anchor>
        </w:drawing>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RULE 13A-14(A) AND RULE 15D-14(A)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I, Christopher S. Guinta, certify that:</w:t>
      </w:r>
    </w:p>
    <w:p>
      <w:pPr>
        <w:spacing w:after="0" w:line="200"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 have reviewed this Annual Report on Form 10-K (the “report”) of New Fortress Energy Inc. (the “registrant”);</w:t>
      </w:r>
    </w:p>
    <w:p>
      <w:pPr>
        <w:spacing w:after="0" w:line="200" w:lineRule="exact"/>
        <w:rPr>
          <w:rFonts w:ascii="Arial" w:cs="Arial" w:eastAsia="Arial" w:hAnsi="Arial"/>
          <w:sz w:val="15"/>
          <w:szCs w:val="15"/>
          <w:color w:val="auto"/>
        </w:rPr>
      </w:pPr>
    </w:p>
    <w:p>
      <w:pPr>
        <w:ind w:left="540" w:right="380" w:hanging="532"/>
        <w:spacing w:after="0" w:line="263" w:lineRule="auto"/>
        <w:tabs>
          <w:tab w:leader="none" w:pos="5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540" w:right="460" w:hanging="532"/>
        <w:spacing w:after="0" w:line="263" w:lineRule="auto"/>
        <w:tabs>
          <w:tab w:leader="none" w:pos="5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5"/>
          <w:szCs w:val="15"/>
          <w:color w:val="auto"/>
        </w:rPr>
      </w:pPr>
    </w:p>
    <w:p>
      <w:pPr>
        <w:ind w:left="540" w:hanging="532"/>
        <w:spacing w:after="0"/>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36"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89" w:lineRule="exact"/>
        <w:rPr>
          <w:rFonts w:ascii="Arial" w:cs="Arial" w:eastAsia="Arial" w:hAnsi="Arial"/>
          <w:sz w:val="13"/>
          <w:szCs w:val="13"/>
          <w:color w:val="auto"/>
        </w:rPr>
      </w:pPr>
    </w:p>
    <w:p>
      <w:pPr>
        <w:ind w:left="1060" w:right="20" w:hanging="526"/>
        <w:spacing w:after="0" w:line="253" w:lineRule="auto"/>
        <w:tabs>
          <w:tab w:leader="none" w:pos="1060" w:val="left"/>
        </w:tabs>
        <w:numPr>
          <w:ilvl w:val="1"/>
          <w:numId w:val="9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ind w:left="1580" w:right="260" w:hanging="1046"/>
        <w:spacing w:after="0" w:line="253" w:lineRule="auto"/>
        <w:tabs>
          <w:tab w:leader="none" w:pos="1054" w:val="left"/>
        </w:tabs>
        <w:numPr>
          <w:ilvl w:val="1"/>
          <w:numId w:val="93"/>
        </w:numPr>
        <w:rPr>
          <w:rFonts w:ascii="Arial" w:cs="Arial" w:eastAsia="Arial" w:hAnsi="Arial"/>
          <w:sz w:val="15"/>
          <w:szCs w:val="15"/>
          <w:color w:val="auto"/>
        </w:rPr>
      </w:pPr>
      <w:r>
        <w:rPr>
          <w:rFonts w:ascii="Arial" w:cs="Arial" w:eastAsia="Arial" w:hAnsi="Arial"/>
          <w:sz w:val="15"/>
          <w:szCs w:val="15"/>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060" w:right="40" w:hanging="526"/>
        <w:spacing w:after="0" w:line="263" w:lineRule="auto"/>
        <w:tabs>
          <w:tab w:leader="none" w:pos="1060" w:val="left"/>
        </w:tabs>
        <w:numPr>
          <w:ilvl w:val="1"/>
          <w:numId w:val="9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5"/>
          <w:szCs w:val="15"/>
          <w:color w:val="auto"/>
        </w:rPr>
      </w:pPr>
    </w:p>
    <w:p>
      <w:pPr>
        <w:ind w:left="1060" w:right="180" w:hanging="526"/>
        <w:spacing w:after="0" w:line="253" w:lineRule="auto"/>
        <w:tabs>
          <w:tab w:leader="none" w:pos="1060" w:val="left"/>
        </w:tabs>
        <w:numPr>
          <w:ilvl w:val="1"/>
          <w:numId w:val="9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540" w:right="20" w:hanging="532"/>
        <w:spacing w:after="0" w:line="263" w:lineRule="auto"/>
        <w:tabs>
          <w:tab w:leader="none" w:pos="5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060" w:right="140" w:hanging="526"/>
        <w:spacing w:after="0" w:line="263" w:lineRule="auto"/>
        <w:tabs>
          <w:tab w:leader="none" w:pos="1060" w:val="left"/>
        </w:tabs>
        <w:numPr>
          <w:ilvl w:val="1"/>
          <w:numId w:val="9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5"/>
          <w:szCs w:val="15"/>
          <w:color w:val="auto"/>
        </w:rPr>
      </w:pPr>
    </w:p>
    <w:p>
      <w:pPr>
        <w:ind w:left="1060" w:hanging="526"/>
        <w:spacing w:after="0"/>
        <w:tabs>
          <w:tab w:leader="none" w:pos="1060" w:val="left"/>
        </w:tabs>
        <w:numPr>
          <w:ilvl w:val="1"/>
          <w:numId w:val="9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tabs>
          <w:tab w:leader="none" w:pos="6760" w:val="left"/>
          <w:tab w:leader="none" w:pos="7200" w:val="left"/>
        </w:tabs>
        <w:rPr>
          <w:sz w:val="20"/>
          <w:szCs w:val="20"/>
          <w:color w:val="auto"/>
        </w:rPr>
      </w:pPr>
      <w:r>
        <w:rPr>
          <w:rFonts w:ascii="Arial" w:cs="Arial" w:eastAsia="Arial" w:hAnsi="Arial"/>
          <w:sz w:val="15"/>
          <w:szCs w:val="15"/>
          <w:color w:val="auto"/>
        </w:rPr>
        <w:t>Date: March 16,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5835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Christopher S. Guinta</w:t>
      </w:r>
    </w:p>
    <w:p>
      <w:pPr>
        <w:spacing w:after="0" w:line="14"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Chief Financial Officer</w:t>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5835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245"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58355" cy="27940"/>
                    </a:xfrm>
                    <a:prstGeom prst="rect">
                      <a:avLst/>
                    </a:prstGeom>
                    <a:noFill/>
                  </pic:spPr>
                </pic:pic>
              </a:graphicData>
            </a:graphic>
          </wp:anchor>
        </w:drawing>
        <w:t>EXHIBIT 32.1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EXECUTIVE OFFICER UNDER SECTION 906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THE SARBANES OXLEY ACT OF 2002, 18 U.S.C. § 1350</w:t>
      </w:r>
    </w:p>
    <w:p>
      <w:pPr>
        <w:spacing w:after="0" w:line="190" w:lineRule="exact"/>
        <w:rPr>
          <w:sz w:val="20"/>
          <w:szCs w:val="20"/>
          <w:color w:val="auto"/>
        </w:rPr>
      </w:pPr>
    </w:p>
    <w:p>
      <w:pPr>
        <w:ind w:right="180"/>
        <w:spacing w:after="0" w:line="253" w:lineRule="auto"/>
        <w:rPr>
          <w:sz w:val="20"/>
          <w:szCs w:val="20"/>
          <w:color w:val="auto"/>
        </w:rPr>
      </w:pPr>
      <w:r>
        <w:rPr>
          <w:rFonts w:ascii="Arial" w:cs="Arial" w:eastAsia="Arial" w:hAnsi="Arial"/>
          <w:sz w:val="15"/>
          <w:szCs w:val="15"/>
          <w:color w:val="auto"/>
        </w:rPr>
        <w:t>In connection with the Annual Report on Form 10-K of New Fortress Energy Inc.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78" w:lineRule="exact"/>
        <w:rPr>
          <w:sz w:val="20"/>
          <w:szCs w:val="20"/>
          <w:color w:val="auto"/>
        </w:rPr>
      </w:pPr>
    </w:p>
    <w:p>
      <w:pPr>
        <w:ind w:left="1060" w:hanging="526"/>
        <w:spacing w:after="0"/>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00" w:lineRule="exact"/>
        <w:rPr>
          <w:rFonts w:ascii="Arial" w:cs="Arial" w:eastAsia="Arial" w:hAnsi="Arial"/>
          <w:sz w:val="15"/>
          <w:szCs w:val="15"/>
          <w:color w:val="auto"/>
        </w:rPr>
      </w:pPr>
    </w:p>
    <w:p>
      <w:pPr>
        <w:ind w:left="1060" w:hanging="526"/>
        <w:spacing w:after="0"/>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tabs>
          <w:tab w:leader="none" w:pos="6760" w:val="left"/>
          <w:tab w:leader="none" w:pos="7200" w:val="left"/>
        </w:tabs>
        <w:rPr>
          <w:sz w:val="20"/>
          <w:szCs w:val="20"/>
          <w:color w:val="auto"/>
        </w:rPr>
      </w:pPr>
      <w:r>
        <w:rPr>
          <w:rFonts w:ascii="Arial" w:cs="Arial" w:eastAsia="Arial" w:hAnsi="Arial"/>
          <w:sz w:val="15"/>
          <w:szCs w:val="15"/>
          <w:color w:val="auto"/>
        </w:rPr>
        <w:t>Date: March 16,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1"/>
          <w:szCs w:val="11"/>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5835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Wesley R. Edens</w:t>
      </w:r>
    </w:p>
    <w:p>
      <w:pPr>
        <w:spacing w:after="0" w:line="14"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Chief Executive Officer</w:t>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58355"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246"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58355" cy="27940"/>
                    </a:xfrm>
                    <a:prstGeom prst="rect">
                      <a:avLst/>
                    </a:prstGeom>
                    <a:noFill/>
                  </pic:spPr>
                </pic:pic>
              </a:graphicData>
            </a:graphic>
          </wp:anchor>
        </w:drawing>
        <w:t>EXHIBIT 32.2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FINANCIAL OFFICER UNDER SECTION 906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THE SARBANES OXLEY ACT OF 2002, 18 U.S.C. § 1350</w:t>
      </w:r>
    </w:p>
    <w:p>
      <w:pPr>
        <w:spacing w:after="0" w:line="190"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In connection with Annual Report on Form 10-K of New Fortress Energy Inc.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78" w:lineRule="exact"/>
        <w:rPr>
          <w:sz w:val="20"/>
          <w:szCs w:val="20"/>
          <w:color w:val="auto"/>
        </w:rPr>
      </w:pPr>
    </w:p>
    <w:p>
      <w:pPr>
        <w:ind w:left="1060" w:hanging="526"/>
        <w:spacing w:after="0"/>
        <w:tabs>
          <w:tab w:leader="none" w:pos="10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00" w:lineRule="exact"/>
        <w:rPr>
          <w:rFonts w:ascii="Arial" w:cs="Arial" w:eastAsia="Arial" w:hAnsi="Arial"/>
          <w:sz w:val="15"/>
          <w:szCs w:val="15"/>
          <w:color w:val="auto"/>
        </w:rPr>
      </w:pPr>
    </w:p>
    <w:p>
      <w:pPr>
        <w:ind w:left="1060" w:hanging="526"/>
        <w:spacing w:after="0"/>
        <w:tabs>
          <w:tab w:leader="none" w:pos="10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tabs>
          <w:tab w:leader="none" w:pos="6760" w:val="left"/>
          <w:tab w:leader="none" w:pos="7200" w:val="left"/>
        </w:tabs>
        <w:rPr>
          <w:sz w:val="20"/>
          <w:szCs w:val="20"/>
          <w:color w:val="auto"/>
        </w:rPr>
      </w:pPr>
      <w:r>
        <w:rPr>
          <w:rFonts w:ascii="Arial" w:cs="Arial" w:eastAsia="Arial" w:hAnsi="Arial"/>
          <w:sz w:val="15"/>
          <w:szCs w:val="15"/>
          <w:color w:val="auto"/>
        </w:rPr>
        <w:t>Date: March 16,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5835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Christopher S. Guinta</w:t>
      </w:r>
    </w:p>
    <w:p>
      <w:pPr>
        <w:spacing w:after="0" w:line="14"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Chief Financial Officer</w:t>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58355"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sectPr>
      <w:pgSz w:w="11900" w:h="16838" w:orient="portrait"/>
      <w:cols w:equalWidth="0" w:num="1">
        <w:col w:w="11280"/>
      </w:cols>
      <w:pgMar w:left="300" w:top="24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upperLetter"/>
      <w:start w:val="35"/>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upperLetter"/>
      <w:start w:val="35"/>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2"/>
    </w:lvl>
  </w:abstractNum>
  <w:abstractNum w:abstractNumId="50">
    <w:nsid w:val="1EBA5D23"/>
    <w:multiLevelType w:val="hybridMultilevel"/>
    <w:lvl w:ilvl="0">
      <w:lvlJc w:val="left"/>
      <w:lvlText w:val="(%1)"/>
      <w:numFmt w:val="lowerLetter"/>
      <w:start w:val="2"/>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decimal"/>
      <w:start w:val="2"/>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lowerLetter"/>
      <w:start w:val="2"/>
    </w:lvl>
  </w:abstractNum>
  <w:abstractNum w:abstractNumId="57">
    <w:nsid w:val="BF72B14"/>
    <w:multiLevelType w:val="hybridMultilevel"/>
    <w:lvl w:ilvl="0">
      <w:lvlJc w:val="left"/>
      <w:lvlText w:val="(%1)"/>
      <w:numFmt w:val="lowerLetter"/>
      <w:start w:val="3"/>
    </w:lvl>
  </w:abstractNum>
  <w:abstractNum w:abstractNumId="58">
    <w:nsid w:val="11447B73"/>
    <w:multiLevelType w:val="hybridMultilevel"/>
    <w:lvl w:ilvl="0">
      <w:lvlJc w:val="left"/>
      <w:lvlText w:val="(%1)"/>
      <w:numFmt w:val="lowerLetter"/>
      <w:start w:val="4"/>
    </w:lvl>
  </w:abstractNum>
  <w:abstractNum w:abstractNumId="59">
    <w:nsid w:val="42963E5A"/>
    <w:multiLevelType w:val="hybridMultilevel"/>
    <w:lvl w:ilvl="0">
      <w:lvlJc w:val="left"/>
      <w:lvlText w:val="(%1)"/>
      <w:numFmt w:val="lowerLetter"/>
      <w:start w:val="5"/>
    </w:lvl>
  </w:abstractNum>
  <w:abstractNum w:abstractNumId="60">
    <w:nsid w:val="A0382C5"/>
    <w:multiLevelType w:val="hybridMultilevel"/>
    <w:lvl w:ilvl="0">
      <w:lvlJc w:val="left"/>
      <w:lvlText w:val="(%1)"/>
      <w:numFmt w:val="lowerLetter"/>
      <w:start w:val="6"/>
    </w:lvl>
  </w:abstractNum>
  <w:abstractNum w:abstractNumId="61">
    <w:nsid w:val="8F2B15E"/>
    <w:multiLevelType w:val="hybridMultilevel"/>
    <w:lvl w:ilvl="0">
      <w:lvlJc w:val="left"/>
      <w:lvlText w:val="(%1)"/>
      <w:numFmt w:val="lowerLetter"/>
      <w:start w:val="7"/>
    </w:lvl>
  </w:abstractNum>
  <w:abstractNum w:abstractNumId="62">
    <w:nsid w:val="1A32234B"/>
    <w:multiLevelType w:val="hybridMultilevel"/>
    <w:lvl w:ilvl="0">
      <w:lvlJc w:val="left"/>
      <w:lvlText w:val="(%1)"/>
      <w:numFmt w:val="lowerLetter"/>
      <w:start w:val="8"/>
    </w:lvl>
  </w:abstractNum>
  <w:abstractNum w:abstractNumId="63">
    <w:nsid w:val="3B0FD379"/>
    <w:multiLevelType w:val="hybridMultilevel"/>
    <w:lvl w:ilvl="0">
      <w:lvlJc w:val="left"/>
      <w:lvlText w:val="(%1)"/>
      <w:numFmt w:val="lowerRoman"/>
      <w:start w:val="1"/>
    </w:lvl>
  </w:abstractNum>
  <w:abstractNum w:abstractNumId="64">
    <w:nsid w:val="68EB2F63"/>
    <w:multiLevelType w:val="hybridMultilevel"/>
    <w:lvl w:ilvl="0">
      <w:lvlJc w:val="left"/>
      <w:lvlText w:val="(%1)"/>
      <w:numFmt w:val="lowerLetter"/>
      <w:start w:val="10"/>
    </w:lvl>
  </w:abstractNum>
  <w:abstractNum w:abstractNumId="65">
    <w:nsid w:val="4962813B"/>
    <w:multiLevelType w:val="hybridMultilevel"/>
    <w:lvl w:ilvl="0">
      <w:lvlJc w:val="left"/>
      <w:lvlText w:val="(%1)"/>
      <w:numFmt w:val="lowerLetter"/>
      <w:start w:val="11"/>
    </w:lvl>
  </w:abstractNum>
  <w:abstractNum w:abstractNumId="66">
    <w:nsid w:val="60B6DF70"/>
    <w:multiLevelType w:val="hybridMultilevel"/>
    <w:lvl w:ilvl="0">
      <w:lvlJc w:val="left"/>
      <w:lvlText w:val="(%1)"/>
      <w:numFmt w:val="lowerLetter"/>
      <w:start w:val="12"/>
    </w:lvl>
  </w:abstractNum>
  <w:abstractNum w:abstractNumId="67">
    <w:nsid w:val="6A5EE64"/>
    <w:multiLevelType w:val="hybridMultilevel"/>
    <w:lvl w:ilvl="0">
      <w:lvlJc w:val="left"/>
      <w:lvlText w:val="(%1)"/>
      <w:numFmt w:val="lowerLetter"/>
      <w:start w:val="13"/>
    </w:lvl>
  </w:abstractNum>
  <w:abstractNum w:abstractNumId="68">
    <w:nsid w:val="14330624"/>
    <w:multiLevelType w:val="hybridMultilevel"/>
    <w:lvl w:ilvl="0">
      <w:lvlJc w:val="left"/>
      <w:lvlText w:val="(%1)"/>
      <w:numFmt w:val="lowerLetter"/>
      <w:start w:val="14"/>
    </w:lvl>
  </w:abstractNum>
  <w:abstractNum w:abstractNumId="69">
    <w:nsid w:val="7FFFCA11"/>
    <w:multiLevelType w:val="hybridMultilevel"/>
    <w:lvl w:ilvl="0">
      <w:lvlJc w:val="left"/>
      <w:lvlText w:val="(%1)"/>
      <w:numFmt w:val="lowerLetter"/>
      <w:start w:val="15"/>
    </w:lvl>
  </w:abstractNum>
  <w:abstractNum w:abstractNumId="70">
    <w:nsid w:val="1A27709E"/>
    <w:multiLevelType w:val="hybridMultilevel"/>
    <w:lvl w:ilvl="0">
      <w:lvlJc w:val="left"/>
      <w:lvlText w:val="(%1)"/>
      <w:numFmt w:val="lowerLetter"/>
      <w:start w:val="16"/>
    </w:lvl>
  </w:abstractNum>
  <w:abstractNum w:abstractNumId="71">
    <w:nsid w:val="71EA1109"/>
    <w:multiLevelType w:val="hybridMultilevel"/>
    <w:lvl w:ilvl="0">
      <w:lvlJc w:val="left"/>
      <w:lvlText w:val="(%1)"/>
      <w:numFmt w:val="lowerLetter"/>
      <w:start w:val="17"/>
    </w:lvl>
  </w:abstractNum>
  <w:abstractNum w:abstractNumId="72">
    <w:nsid w:val="100F59DC"/>
    <w:multiLevelType w:val="hybridMultilevel"/>
    <w:lvl w:ilvl="0">
      <w:lvlJc w:val="left"/>
      <w:lvlText w:val="(%1)"/>
      <w:numFmt w:val="lowerLetter"/>
      <w:start w:val="18"/>
    </w:lvl>
  </w:abstractNum>
  <w:abstractNum w:abstractNumId="73">
    <w:nsid w:val="7FB7E0AA"/>
    <w:multiLevelType w:val="hybridMultilevel"/>
    <w:lvl w:ilvl="0">
      <w:lvlJc w:val="left"/>
      <w:lvlText w:val="(%1)"/>
      <w:numFmt w:val="lowerLetter"/>
      <w:start w:val="19"/>
    </w:lvl>
  </w:abstractNum>
  <w:abstractNum w:abstractNumId="74">
    <w:nsid w:val="6EB5BD4"/>
    <w:multiLevelType w:val="hybridMultilevel"/>
    <w:lvl w:ilvl="0">
      <w:lvlJc w:val="left"/>
      <w:lvlText w:val="(%1)"/>
      <w:numFmt w:val="lowerLetter"/>
      <w:start w:val="20"/>
    </w:lvl>
  </w:abstractNum>
  <w:abstractNum w:abstractNumId="75">
    <w:nsid w:val="6F6DD9AC"/>
    <w:multiLevelType w:val="hybridMultilevel"/>
    <w:lvl w:ilvl="0">
      <w:lvlJc w:val="left"/>
      <w:lvlText w:val="(%1)"/>
      <w:numFmt w:val="lowerLetter"/>
      <w:start w:val="21"/>
    </w:lvl>
  </w:abstractNum>
  <w:abstractNum w:abstractNumId="76">
    <w:nsid w:val="94211F2"/>
    <w:multiLevelType w:val="hybridMultilevel"/>
    <w:lvl w:ilvl="0">
      <w:lvlJc w:val="left"/>
      <w:lvlText w:val="%1."/>
      <w:numFmt w:val="decimal"/>
      <w:start w:val="3"/>
    </w:lvl>
  </w:abstractNum>
  <w:abstractNum w:abstractNumId="77">
    <w:nsid w:val="885E1B"/>
    <w:multiLevelType w:val="hybridMultilevel"/>
    <w:lvl w:ilvl="0">
      <w:lvlJc w:val="left"/>
      <w:lvlText w:val="%1."/>
      <w:numFmt w:val="decimal"/>
      <w:start w:val="5"/>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7"/>
    </w:lvl>
  </w:abstractNum>
  <w:abstractNum w:abstractNumId="82">
    <w:nsid w:val="3222E7CD"/>
    <w:multiLevelType w:val="hybridMultilevel"/>
    <w:lvl w:ilvl="0">
      <w:lvlJc w:val="left"/>
      <w:lvlText w:val="1"/>
      <w:numFmt w:val="bullet"/>
      <w:start w:val="1"/>
    </w:lvl>
  </w:abstractNum>
  <w:abstractNum w:abstractNumId="83">
    <w:nsid w:val="74DE0EE3"/>
    <w:multiLevelType w:val="hybridMultilevel"/>
    <w:lvl w:ilvl="0">
      <w:lvlJc w:val="left"/>
      <w:lvlText w:val="2"/>
      <w:numFmt w:val="bullet"/>
      <w:start w:val="1"/>
    </w:lvl>
  </w:abstractNum>
  <w:abstractNum w:abstractNumId="84">
    <w:nsid w:val="68EBC550"/>
    <w:multiLevelType w:val="hybridMultilevel"/>
    <w:lvl w:ilvl="0">
      <w:lvlJc w:val="left"/>
      <w:lvlText w:val="3"/>
      <w:numFmt w:val="bullet"/>
      <w:start w:val="1"/>
    </w:lvl>
  </w:abstractNum>
  <w:abstractNum w:abstractNumId="85">
    <w:nsid w:val="2DF6D648"/>
    <w:multiLevelType w:val="hybridMultilevel"/>
    <w:lvl w:ilvl="0">
      <w:lvlJc w:val="left"/>
      <w:lvlText w:val="%1."/>
      <w:numFmt w:val="decimal"/>
      <w:start w:val="21"/>
    </w:lvl>
  </w:abstractNum>
  <w:abstractNum w:abstractNumId="86">
    <w:nsid w:val="46B7D447"/>
    <w:multiLevelType w:val="hybridMultilevel"/>
    <w:lvl w:ilvl="0">
      <w:lvlJc w:val="left"/>
      <w:lvlText w:val="%1."/>
      <w:numFmt w:val="decimal"/>
      <w:start w:val="23"/>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24"/>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95" Type="http://schemas.openxmlformats.org/officeDocument/2006/relationships/hyperlink" Target="https://www.sec.gov/Archives/edgar/data/1749723/000114036121001601/brhc10019000_ex2-1.htm" TargetMode="External"/><Relationship Id="rId96" Type="http://schemas.openxmlformats.org/officeDocument/2006/relationships/hyperlink" Target="https://www.sec.gov/Archives/edgar/data/1749723/000114036121001601/brhc10019000_ex-2-2.htm" TargetMode="External"/><Relationship Id="rId97" Type="http://schemas.openxmlformats.org/officeDocument/2006/relationships/hyperlink" Target="https://www.sec.gov/Archives/edgar/data/1749723/000114036121001601/brhc10019000_ex2-3.htm" TargetMode="External"/><Relationship Id="rId98" Type="http://schemas.openxmlformats.org/officeDocument/2006/relationships/hyperlink" Target="https://www.sec.gov/Archives/edgar/data/1749723/000114036118042889/s002392x7_ex3-1.htm" TargetMode="External"/><Relationship Id="rId99" Type="http://schemas.openxmlformats.org/officeDocument/2006/relationships/hyperlink" Target="https://www.sec.gov/Archives/edgar/data/1749723/000114036118042889/s002392x7_ex3-2.htm" TargetMode="External"/><Relationship Id="rId100" Type="http://schemas.openxmlformats.org/officeDocument/2006/relationships/hyperlink" Target="https://www.sec.gov/Archives/edgar/data/1749723/000114036119002493/s002392x20_ex3-1.htm" TargetMode="External"/><Relationship Id="rId101" Type="http://schemas.openxmlformats.org/officeDocument/2006/relationships/hyperlink" Target="https://www.sec.gov/Archives/edgar/data/1749723/000114036120017367/brhc10013767_ex99-3.htm" TargetMode="External"/><Relationship Id="rId102" Type="http://schemas.openxmlformats.org/officeDocument/2006/relationships/hyperlink" Target="https://www.sec.gov/Archives/edgar/data/1749723/000114036120017367/brhc10013767_ex99-4.htm" TargetMode="External"/><Relationship Id="rId103" Type="http://schemas.openxmlformats.org/officeDocument/2006/relationships/hyperlink" Target="https://www.sec.gov/Archives/edgar/data/1749723/000114036120017739/brhc10014197_ex99-1.htm" TargetMode="External"/><Relationship Id="rId104" Type="http://schemas.openxmlformats.org/officeDocument/2006/relationships/hyperlink" Target="https://www.sec.gov/Archives/edgar/data/1749723/000114036120019661/nc10014821x1_ex4-1.htm" TargetMode="External"/><Relationship Id="rId105" Type="http://schemas.openxmlformats.org/officeDocument/2006/relationships/hyperlink" Target="https://www.sec.gov/Archives/edgar/data/1749723/000114036120028859/nt10017907x7_ex4-1.htm" TargetMode="External"/><Relationship Id="rId106" Type="http://schemas.openxmlformats.org/officeDocument/2006/relationships/hyperlink" Target="https://www.sec.gov/Archives/edgar/data/1749723/000114036120019661/nc10014821x1_ex4-2.htm" TargetMode="External"/><Relationship Id="rId107" Type="http://schemas.openxmlformats.org/officeDocument/2006/relationships/hyperlink" Target="https://www.sec.gov/Archives/edgar/data/1749723/000114036119002493/s002392x20_ex10-1.htm" TargetMode="External"/><Relationship Id="rId108" Type="http://schemas.openxmlformats.org/officeDocument/2006/relationships/hyperlink" Target="https://www.sec.gov/Archives/edgar/data/1749723/000114036119002493/s002392x20_ex10-2.htm" TargetMode="External"/><Relationship Id="rId109" Type="http://schemas.openxmlformats.org/officeDocument/2006/relationships/hyperlink" Target="https://www.sec.gov/Archives/edgar/data/1749723/000114036119002438/s002392x19_ex4-4.htm" TargetMode="External"/><Relationship Id="rId110" Type="http://schemas.openxmlformats.org/officeDocument/2006/relationships/hyperlink" Target="https://www.sec.gov/Archives/edgar/data/1749723/000114036118045661/s002392x8_ex10-4.htm" TargetMode="External"/><Relationship Id="rId111" Type="http://schemas.openxmlformats.org/officeDocument/2006/relationships/hyperlink" Target="https://www.sec.gov/Archives/edgar/data/1749723/000114036119009182/ex10_5.htm" TargetMode="External"/><Relationship Id="rId112" Type="http://schemas.openxmlformats.org/officeDocument/2006/relationships/hyperlink" Target="https://www.sec.gov/Archives/edgar/data/1749723/000114036119000862/s002392x10_ex10-6.htm" TargetMode="External"/><Relationship Id="rId113" Type="http://schemas.openxmlformats.org/officeDocument/2006/relationships/hyperlink" Target="https://www.sec.gov/Archives/edgar/data/1749723/000114036119002493/s002392x20_ex4-1.htm" TargetMode="External"/><Relationship Id="rId114" Type="http://schemas.openxmlformats.org/officeDocument/2006/relationships/hyperlink" Target="https://www.sec.gov/Archives/edgar/data/1749723/000114036119002493/s002392x20_ex10-3.htm" TargetMode="External"/><Relationship Id="rId115" Type="http://schemas.openxmlformats.org/officeDocument/2006/relationships/hyperlink" Target="https://www.sec.gov/Archives/edgar/data/1749723/000114036118042889/s002392x7_ex10-12.htm" TargetMode="External"/><Relationship Id="rId116" Type="http://schemas.openxmlformats.org/officeDocument/2006/relationships/hyperlink" Target="https://www.sec.gov/Archives/edgar/data/1749723/000114036118042889/s002392x7_ex10-13.htm" TargetMode="External"/><Relationship Id="rId117" Type="http://schemas.openxmlformats.org/officeDocument/2006/relationships/hyperlink" Target="https://www.sec.gov/Archives/edgar/data/1749723/000114036119002493/s002392x20_ex10-4.htm" TargetMode="External"/><Relationship Id="rId118" Type="http://schemas.openxmlformats.org/officeDocument/2006/relationships/hyperlink" Target="https://www.sec.gov/Archives/edgar/data/1749723/000114036119002493/s002392x20_ex10-5.htm" TargetMode="External"/><Relationship Id="rId119" Type="http://schemas.openxmlformats.org/officeDocument/2006/relationships/hyperlink" Target="https://www.sec.gov/Archives/edgar/data/1749723/000114036119002493/s002392x20_ex10-6.htm" TargetMode="External"/><Relationship Id="rId120" Type="http://schemas.openxmlformats.org/officeDocument/2006/relationships/hyperlink" Target="https://www.sec.gov/Archives/edgar/data/1749723/000114036119002493/s002392x20_ex10-7.htm" TargetMode="External"/><Relationship Id="rId121" Type="http://schemas.openxmlformats.org/officeDocument/2006/relationships/hyperlink" Target="https://www.sec.gov/Archives/edgar/data/1749723/000114036119002493/s002392x20_ex10-8.htm" TargetMode="External"/><Relationship Id="rId122" Type="http://schemas.openxmlformats.org/officeDocument/2006/relationships/hyperlink" Target="https://www.sec.gov/Archives/edgar/data/1749723/000114036119002493/s002392x20_ex10-9.htm" TargetMode="External"/><Relationship Id="rId123" Type="http://schemas.openxmlformats.org/officeDocument/2006/relationships/hyperlink" Target="https://www.sec.gov/Archives/edgar/data/1749723/000114036119002493/s002392x20_ex10-10.htm" TargetMode="External"/><Relationship Id="rId124" Type="http://schemas.openxmlformats.org/officeDocument/2006/relationships/hyperlink" Target="https://www.sec.gov/Archives/edgar/data/1749723/000114036119002493/s002392x20_ex10-11.htm" TargetMode="External"/><Relationship Id="rId125" Type="http://schemas.openxmlformats.org/officeDocument/2006/relationships/hyperlink" Target="https://www.sec.gov/Archives/edgar/data/1749723/000114036119002493/s002392x20_ex10-12.htm" TargetMode="External"/><Relationship Id="rId126" Type="http://schemas.openxmlformats.org/officeDocument/2006/relationships/hyperlink" Target="https://www.sec.gov/Archives/edgar/data/1749723/000114036119002493/s002392x20_ex10-13.htm" TargetMode="External"/><Relationship Id="rId127" Type="http://schemas.openxmlformats.org/officeDocument/2006/relationships/hyperlink" Target="https://www.sec.gov/Archives/edgar/data/1749723/000114036119000862/s002392x10_ex10-16.htm" TargetMode="External"/><Relationship Id="rId128" Type="http://schemas.openxmlformats.org/officeDocument/2006/relationships/hyperlink" Target="https://www.sec.gov/Archives/edgar/data/1749723/000114036119000862/s002392x10_ex10-17.htm" TargetMode="External"/><Relationship Id="rId129" Type="http://schemas.openxmlformats.org/officeDocument/2006/relationships/hyperlink" Target="https://www.sec.gov/Archives/edgar/data/1749723/000114036119005657/s002752x1_ex10-29.htm" TargetMode="External"/><Relationship Id="rId130" Type="http://schemas.openxmlformats.org/officeDocument/2006/relationships/hyperlink" Target="https://www.sec.gov/Archives/edgar/data/1749723/000114036120013428/ex10_1.htm" TargetMode="External"/><Relationship Id="rId131" Type="http://schemas.openxmlformats.org/officeDocument/2006/relationships/hyperlink" Target="https://www.sec.gov/Archives/edgar/data/1749723/000114036121001601/brhc1001900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2021-03-16T16:15:26Z</dcterms:created>
  <dcterms:modified xsi:type="dcterms:W3CDTF">2021-03-16T16:15:26Z</dcterms:modified>
</cp:coreProperties>
</file>