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13D/A</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1)</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New Fortress Energy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Shares Representing Limited Liability Company Interests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644393 100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Randal A. Nardone</w:t>
      </w:r>
    </w:p>
    <w:p>
      <w:pPr>
        <w:jc w:val="center"/>
        <w:ind w:right="-39"/>
        <w:spacing w:after="0" w:line="182" w:lineRule="auto"/>
        <w:rPr>
          <w:sz w:val="20"/>
          <w:szCs w:val="20"/>
          <w:color w:val="auto"/>
        </w:rPr>
      </w:pPr>
      <w:r>
        <w:rPr>
          <w:rFonts w:ascii="Arial" w:cs="Arial" w:eastAsia="Arial" w:hAnsi="Arial"/>
          <w:sz w:val="17"/>
          <w:szCs w:val="17"/>
          <w:b w:val="1"/>
          <w:bCs w:val="1"/>
          <w:color w:val="auto"/>
        </w:rPr>
        <w:t>111 W. 19</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St., 8</w:t>
      </w:r>
      <w:r>
        <w:rPr>
          <w:rFonts w:ascii="Arial" w:cs="Arial" w:eastAsia="Arial" w:hAnsi="Arial"/>
          <w:sz w:val="28"/>
          <w:szCs w:val="28"/>
          <w:b w:val="1"/>
          <w:bCs w:val="1"/>
          <w:color w:val="auto"/>
          <w:vertAlign w:val="superscript"/>
        </w:rPr>
        <w:t>th</w:t>
      </w:r>
      <w:r>
        <w:rPr>
          <w:rFonts w:ascii="Arial" w:cs="Arial" w:eastAsia="Arial" w:hAnsi="Arial"/>
          <w:sz w:val="17"/>
          <w:szCs w:val="17"/>
          <w:b w:val="1"/>
          <w:bCs w:val="1"/>
          <w:color w:val="auto"/>
        </w:rPr>
        <w:t xml:space="preserve"> Floor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10011</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March 28,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ind w:right="3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which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93" w:lineRule="exact"/>
        <w:rPr>
          <w:sz w:val="24"/>
          <w:szCs w:val="24"/>
          <w:color w:val="auto"/>
        </w:rPr>
      </w:pPr>
    </w:p>
    <w:p>
      <w:pPr>
        <w:ind w:right="140" w:firstLine="8"/>
        <w:spacing w:after="0" w:line="277" w:lineRule="auto"/>
        <w:tabs>
          <w:tab w:leader="none" w:pos="41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(the “</w:t>
      </w:r>
      <w:r>
        <w:rPr>
          <w:rFonts w:ascii="Arial" w:cs="Arial" w:eastAsia="Arial" w:hAnsi="Arial"/>
          <w:sz w:val="18"/>
          <w:szCs w:val="18"/>
          <w:i w:val="1"/>
          <w:i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535" w:right="2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60" w:type="dxa"/>
            <w:vAlign w:val="bottom"/>
          </w:tcPr>
          <w:p>
            <w:pPr>
              <w:ind w:left="2380"/>
              <w:spacing w:after="0"/>
              <w:rPr>
                <w:sz w:val="20"/>
                <w:szCs w:val="20"/>
                <w:color w:val="auto"/>
              </w:rPr>
            </w:pPr>
            <w:r>
              <w:rPr>
                <w:rFonts w:ascii="Arial" w:cs="Arial" w:eastAsia="Arial" w:hAnsi="Arial"/>
                <w:sz w:val="18"/>
                <w:szCs w:val="18"/>
                <w:b w:val="1"/>
                <w:bCs w:val="1"/>
                <w:color w:val="auto"/>
              </w:rPr>
              <w:t>SCHEDULE 13 D</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w w:val="99"/>
              </w:rPr>
              <w:t>CUSIP No.</w:t>
            </w:r>
          </w:p>
        </w:tc>
        <w:tc>
          <w:tcPr>
            <w:tcW w:w="1040" w:type="dxa"/>
            <w:vAlign w:val="bottom"/>
            <w:gridSpan w:val="2"/>
          </w:tcPr>
          <w:p>
            <w:pPr>
              <w:jc w:val="right"/>
              <w:ind w:right="36"/>
              <w:spacing w:after="0"/>
              <w:rPr>
                <w:sz w:val="20"/>
                <w:szCs w:val="20"/>
                <w:color w:val="auto"/>
              </w:rPr>
            </w:pPr>
            <w:r>
              <w:rPr>
                <w:rFonts w:ascii="Arial" w:cs="Arial" w:eastAsia="Arial" w:hAnsi="Arial"/>
                <w:sz w:val="18"/>
                <w:szCs w:val="18"/>
                <w:color w:val="auto"/>
                <w:w w:val="94"/>
              </w:rPr>
              <w:t>644393 100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gridSpan w:val="4"/>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NAMES OF REPORTING PERSONS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1</w:t>
            </w:r>
          </w:p>
        </w:tc>
        <w:tc>
          <w:tcPr>
            <w:tcW w:w="380" w:type="dxa"/>
            <w:vAlign w:val="bottom"/>
            <w:tcBorders>
              <w:right w:val="single" w:sz="8" w:color="auto"/>
            </w:tcBorders>
          </w:tcPr>
          <w:p>
            <w:pPr>
              <w:spacing w:after="0"/>
              <w:rPr>
                <w:sz w:val="22"/>
                <w:szCs w:val="22"/>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I.R.S. IDENTIFICATION NOS. OF ABOVE PERSONS (ENTITIES ONLY)</w:t>
            </w:r>
          </w:p>
        </w:tc>
        <w:tc>
          <w:tcPr>
            <w:tcW w:w="5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00" w:type="dxa"/>
            <w:vAlign w:val="bottom"/>
            <w:tcBorders>
              <w:left w:val="single" w:sz="8" w:color="auto"/>
            </w:tcBorders>
            <w:vMerge w:val="continue"/>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9620" w:type="dxa"/>
            <w:vAlign w:val="bottom"/>
            <w:gridSpan w:val="4"/>
            <w:vMerge w:val="restart"/>
          </w:tcPr>
          <w:p>
            <w:pPr>
              <w:ind w:left="20"/>
              <w:spacing w:after="0"/>
              <w:rPr>
                <w:sz w:val="20"/>
                <w:szCs w:val="20"/>
                <w:color w:val="auto"/>
              </w:rPr>
            </w:pPr>
            <w:r>
              <w:rPr>
                <w:rFonts w:ascii="Arial" w:cs="Arial" w:eastAsia="Arial" w:hAnsi="Arial"/>
                <w:sz w:val="18"/>
                <w:szCs w:val="18"/>
                <w:color w:val="auto"/>
              </w:rPr>
              <w:t>Randal A. Nardone</w:t>
            </w:r>
          </w:p>
        </w:tc>
        <w:tc>
          <w:tcPr>
            <w:tcW w:w="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900" w:type="dxa"/>
            <w:vAlign w:val="bottom"/>
            <w:tcBorders>
              <w:left w:val="single" w:sz="8" w:color="auto"/>
            </w:tcBorders>
          </w:tcPr>
          <w:p>
            <w:pPr>
              <w:spacing w:after="0"/>
              <w:rPr>
                <w:sz w:val="15"/>
                <w:szCs w:val="15"/>
                <w:color w:val="auto"/>
              </w:rPr>
            </w:pPr>
          </w:p>
        </w:tc>
        <w:tc>
          <w:tcPr>
            <w:tcW w:w="380" w:type="dxa"/>
            <w:vAlign w:val="bottom"/>
            <w:tcBorders>
              <w:right w:val="single" w:sz="8" w:color="auto"/>
            </w:tcBorders>
          </w:tcPr>
          <w:p>
            <w:pPr>
              <w:spacing w:after="0"/>
              <w:rPr>
                <w:sz w:val="15"/>
                <w:szCs w:val="15"/>
                <w:color w:val="auto"/>
              </w:rPr>
            </w:pPr>
          </w:p>
        </w:tc>
        <w:tc>
          <w:tcPr>
            <w:tcW w:w="9620" w:type="dxa"/>
            <w:vAlign w:val="bottom"/>
            <w:gridSpan w:val="4"/>
            <w:vMerge w:val="continue"/>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2</w:t>
            </w:r>
          </w:p>
        </w:tc>
        <w:tc>
          <w:tcPr>
            <w:tcW w:w="380" w:type="dxa"/>
            <w:vAlign w:val="bottom"/>
            <w:tcBorders>
              <w:right w:val="single" w:sz="8" w:color="auto"/>
            </w:tcBorders>
          </w:tcPr>
          <w:p>
            <w:pPr>
              <w:spacing w:after="0"/>
              <w:rPr>
                <w:sz w:val="20"/>
                <w:szCs w:val="20"/>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THE APPROPRIATE BOX IF A MEMBER OF A GROUP</w:t>
            </w: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(a)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3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jc w:val="right"/>
              <w:spacing w:after="0" w:line="184" w:lineRule="exact"/>
              <w:rPr>
                <w:sz w:val="20"/>
                <w:szCs w:val="20"/>
                <w:color w:val="auto"/>
              </w:rPr>
            </w:pPr>
            <w:r>
              <w:rPr>
                <w:rFonts w:ascii="Arial" w:cs="Arial" w:eastAsia="Arial" w:hAnsi="Arial"/>
                <w:sz w:val="16"/>
                <w:szCs w:val="16"/>
                <w:color w:val="auto"/>
              </w:rPr>
              <w:t xml:space="preserve">(b)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88"/>
        </w:trPr>
        <w:tc>
          <w:tcPr>
            <w:tcW w:w="90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3</w:t>
            </w:r>
          </w:p>
        </w:tc>
        <w:tc>
          <w:tcPr>
            <w:tcW w:w="380" w:type="dxa"/>
            <w:vAlign w:val="bottom"/>
            <w:tcBorders>
              <w:right w:val="single" w:sz="8" w:color="auto"/>
            </w:tcBorders>
          </w:tcPr>
          <w:p>
            <w:pPr>
              <w:spacing w:after="0"/>
              <w:rPr>
                <w:sz w:val="18"/>
                <w:szCs w:val="18"/>
                <w:color w:val="auto"/>
              </w:rPr>
            </w:pPr>
          </w:p>
        </w:tc>
        <w:tc>
          <w:tcPr>
            <w:tcW w:w="136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6"/>
                <w:szCs w:val="16"/>
                <w:b w:val="1"/>
                <w:bCs w:val="1"/>
                <w:color w:val="auto"/>
              </w:rPr>
              <w:t>SEC USE ONLY</w:t>
            </w:r>
          </w:p>
        </w:tc>
        <w:tc>
          <w:tcPr>
            <w:tcW w:w="8260" w:type="dxa"/>
            <w:vAlign w:val="bottom"/>
            <w:shd w:val="clear" w:color="auto" w:fill="BFBFBF"/>
          </w:tcPr>
          <w:p>
            <w:pPr>
              <w:spacing w:after="0"/>
              <w:rPr>
                <w:sz w:val="18"/>
                <w:szCs w:val="18"/>
                <w:color w:val="auto"/>
              </w:rPr>
            </w:pPr>
          </w:p>
        </w:tc>
        <w:tc>
          <w:tcPr>
            <w:tcW w:w="5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120" w:type="dxa"/>
            <w:vAlign w:val="bottom"/>
            <w:shd w:val="clear" w:color="auto" w:fill="BFBFBF"/>
          </w:tcPr>
          <w:p>
            <w:pPr>
              <w:spacing w:after="0"/>
              <w:rPr>
                <w:sz w:val="24"/>
                <w:szCs w:val="24"/>
                <w:color w:val="auto"/>
              </w:rPr>
            </w:pPr>
          </w:p>
        </w:tc>
        <w:tc>
          <w:tcPr>
            <w:tcW w:w="580" w:type="dxa"/>
            <w:vAlign w:val="bottom"/>
            <w:tcBorders>
              <w:right w:val="single" w:sz="8" w:color="BFBFBF"/>
            </w:tcBorders>
            <w:shd w:val="clear" w:color="auto" w:fill="BFBFBF"/>
          </w:tcPr>
          <w:p>
            <w:pPr>
              <w:spacing w:after="0"/>
              <w:rPr>
                <w:sz w:val="24"/>
                <w:szCs w:val="24"/>
                <w:color w:val="auto"/>
              </w:rPr>
            </w:pPr>
          </w:p>
        </w:tc>
        <w:tc>
          <w:tcPr>
            <w:tcW w:w="8260" w:type="dxa"/>
            <w:vAlign w:val="bottom"/>
            <w:shd w:val="clear" w:color="auto" w:fill="BFBFBF"/>
          </w:tcPr>
          <w:p>
            <w:pPr>
              <w:spacing w:after="0"/>
              <w:rPr>
                <w:sz w:val="24"/>
                <w:szCs w:val="24"/>
                <w:color w:val="auto"/>
              </w:rPr>
            </w:pPr>
          </w:p>
        </w:tc>
        <w:tc>
          <w:tcPr>
            <w:tcW w:w="5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tcBorders>
              <w:left w:val="single" w:sz="8" w:color="auto"/>
              <w:bottom w:val="single" w:sz="8" w:color="auto"/>
            </w:tcBorders>
          </w:tcPr>
          <w:p>
            <w:pPr>
              <w:spacing w:after="0"/>
              <w:rPr>
                <w:sz w:val="22"/>
                <w:szCs w:val="22"/>
                <w:color w:val="auto"/>
              </w:rPr>
            </w:pPr>
          </w:p>
        </w:tc>
        <w:tc>
          <w:tcPr>
            <w:tcW w:w="38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BFBFBF"/>
            </w:tcBorders>
            <w:shd w:val="clear" w:color="auto" w:fill="BFBFBF"/>
          </w:tcPr>
          <w:p>
            <w:pPr>
              <w:spacing w:after="0"/>
              <w:rPr>
                <w:sz w:val="22"/>
                <w:szCs w:val="22"/>
                <w:color w:val="auto"/>
              </w:rPr>
            </w:pPr>
          </w:p>
        </w:tc>
        <w:tc>
          <w:tcPr>
            <w:tcW w:w="7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8260" w:type="dxa"/>
            <w:vAlign w:val="bottom"/>
            <w:tcBorders>
              <w:bottom w:val="single" w:sz="8" w:color="auto"/>
            </w:tcBorders>
            <w:shd w:val="clear" w:color="auto" w:fill="BFBFBF"/>
          </w:tcPr>
          <w:p>
            <w:pPr>
              <w:spacing w:after="0"/>
              <w:rPr>
                <w:sz w:val="22"/>
                <w:szCs w:val="22"/>
                <w:color w:val="auto"/>
              </w:rPr>
            </w:pPr>
          </w:p>
        </w:tc>
        <w:tc>
          <w:tcPr>
            <w:tcW w:w="520" w:type="dxa"/>
            <w:vAlign w:val="bottom"/>
            <w:tcBorders>
              <w:bottom w:val="single" w:sz="8" w:color="auto"/>
              <w:right w:val="single" w:sz="8" w:color="auto"/>
            </w:tcBorders>
            <w:shd w:val="clear" w:color="auto" w:fill="BFBFB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4</w:t>
            </w:r>
          </w:p>
        </w:tc>
        <w:tc>
          <w:tcPr>
            <w:tcW w:w="380" w:type="dxa"/>
            <w:vAlign w:val="bottom"/>
            <w:tcBorders>
              <w:right w:val="single" w:sz="8" w:color="auto"/>
            </w:tcBorders>
          </w:tcPr>
          <w:p>
            <w:pPr>
              <w:spacing w:after="0"/>
              <w:rPr>
                <w:sz w:val="18"/>
                <w:szCs w:val="18"/>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SOURCE OF FUNDS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9620" w:type="dxa"/>
            <w:vAlign w:val="bottom"/>
            <w:gridSpan w:val="4"/>
          </w:tcPr>
          <w:p>
            <w:pPr>
              <w:ind w:left="20"/>
              <w:spacing w:after="0"/>
              <w:rPr>
                <w:sz w:val="20"/>
                <w:szCs w:val="20"/>
                <w:color w:val="auto"/>
              </w:rPr>
            </w:pPr>
            <w:r>
              <w:rPr>
                <w:rFonts w:ascii="Arial" w:cs="Arial" w:eastAsia="Arial" w:hAnsi="Arial"/>
                <w:sz w:val="18"/>
                <w:szCs w:val="18"/>
                <w:color w:val="auto"/>
              </w:rPr>
              <w:t>PF (please see Item 3)</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9620" w:type="dxa"/>
            <w:vAlign w:val="bottom"/>
            <w:tcBorders>
              <w:bottom w:val="single" w:sz="8" w:color="auto"/>
            </w:tcBorders>
            <w:gridSpan w:val="4"/>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5</w:t>
            </w:r>
          </w:p>
        </w:tc>
        <w:tc>
          <w:tcPr>
            <w:tcW w:w="380" w:type="dxa"/>
            <w:vAlign w:val="bottom"/>
            <w:tcBorders>
              <w:right w:val="single" w:sz="8" w:color="auto"/>
            </w:tcBorders>
          </w:tcPr>
          <w:p>
            <w:pPr>
              <w:spacing w:after="0"/>
              <w:rPr>
                <w:sz w:val="21"/>
                <w:szCs w:val="21"/>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DISCLOSURE OF LEGAL PROCEEDINGS IS REQUIRED PURSUANT TO ITEM 2(D) OR 2(E)</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0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9620" w:type="dxa"/>
            <w:vAlign w:val="bottom"/>
            <w:tcBorders>
              <w:bottom w:val="single" w:sz="8" w:color="auto"/>
            </w:tcBorders>
            <w:gridSpan w:val="4"/>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6</w:t>
            </w:r>
          </w:p>
        </w:tc>
        <w:tc>
          <w:tcPr>
            <w:tcW w:w="380" w:type="dxa"/>
            <w:vAlign w:val="bottom"/>
            <w:tcBorders>
              <w:right w:val="single" w:sz="8" w:color="auto"/>
            </w:tcBorders>
          </w:tcPr>
          <w:p>
            <w:pPr>
              <w:spacing w:after="0"/>
              <w:rPr>
                <w:sz w:val="18"/>
                <w:szCs w:val="18"/>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CITIZENSHIP OR PLACE OF ORGANIZATION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color w:val="auto"/>
              </w:rPr>
              <w:t>United States</w:t>
            </w: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7</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SOLE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3,080,000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8</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VOTING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9"/>
              </w:rPr>
              <w:t>NUMBER OF SHARES</w:t>
            </w:r>
          </w:p>
        </w:tc>
        <w:tc>
          <w:tcPr>
            <w:tcW w:w="120" w:type="dxa"/>
            <w:vAlign w:val="bottom"/>
          </w:tcPr>
          <w:p>
            <w:pPr>
              <w:spacing w:after="0"/>
              <w:rPr>
                <w:sz w:val="20"/>
                <w:szCs w:val="20"/>
                <w:color w:val="auto"/>
              </w:rPr>
            </w:pPr>
          </w:p>
        </w:tc>
        <w:tc>
          <w:tcPr>
            <w:tcW w:w="580" w:type="dxa"/>
            <w:vAlign w:val="bottom"/>
            <w:tcBorders>
              <w:right w:val="single" w:sz="8" w:color="auto"/>
            </w:tcBorders>
            <w:vMerge w:val="continue"/>
          </w:tcPr>
          <w:p>
            <w:pPr>
              <w:spacing w:after="0"/>
              <w:rPr>
                <w:sz w:val="20"/>
                <w:szCs w:val="20"/>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BENEFICIALLY</w:t>
            </w:r>
          </w:p>
        </w:tc>
        <w:tc>
          <w:tcPr>
            <w:tcW w:w="120" w:type="dxa"/>
            <w:vAlign w:val="bottom"/>
          </w:tcPr>
          <w:p>
            <w:pPr>
              <w:spacing w:after="0"/>
              <w:rPr>
                <w:sz w:val="17"/>
                <w:szCs w:val="17"/>
                <w:color w:val="auto"/>
              </w:rPr>
            </w:pPr>
          </w:p>
        </w:tc>
        <w:tc>
          <w:tcPr>
            <w:tcW w:w="580" w:type="dxa"/>
            <w:vAlign w:val="bottom"/>
            <w:tcBorders>
              <w:right w:val="single" w:sz="8" w:color="auto"/>
            </w:tcBorders>
            <w:vMerge w:val="continue"/>
          </w:tcPr>
          <w:p>
            <w:pPr>
              <w:spacing w:after="0"/>
              <w:rPr>
                <w:sz w:val="17"/>
                <w:szCs w:val="17"/>
                <w:color w:val="auto"/>
              </w:rPr>
            </w:pPr>
          </w:p>
        </w:tc>
        <w:tc>
          <w:tcPr>
            <w:tcW w:w="8260" w:type="dxa"/>
            <w:vAlign w:val="bottom"/>
            <w:vMerge w:val="continue"/>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rPr>
              <w:t>OWNED BY EACH</w:t>
            </w: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right w:val="single" w:sz="8" w:color="auto"/>
            </w:tcBorders>
          </w:tcPr>
          <w:p>
            <w:pPr>
              <w:spacing w:after="0"/>
              <w:rPr>
                <w:sz w:val="9"/>
                <w:szCs w:val="9"/>
                <w:color w:val="auto"/>
              </w:rPr>
            </w:pPr>
          </w:p>
        </w:tc>
        <w:tc>
          <w:tcPr>
            <w:tcW w:w="826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940" w:type="dxa"/>
            <w:vAlign w:val="bottom"/>
            <w:tcBorders>
              <w:left w:val="single" w:sz="8" w:color="auto"/>
              <w:right w:val="single" w:sz="8" w:color="auto"/>
            </w:tcBorders>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SOLE DISPOSITIVE POWER</w:t>
            </w:r>
          </w:p>
        </w:tc>
        <w:tc>
          <w:tcPr>
            <w:tcW w:w="5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19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6"/>
                <w:szCs w:val="16"/>
                <w:b w:val="1"/>
                <w:bCs w:val="1"/>
                <w:color w:val="auto"/>
                <w:w w:val="99"/>
              </w:rPr>
              <w:t>REPORTING PERSON</w:t>
            </w:r>
          </w:p>
        </w:tc>
        <w:tc>
          <w:tcPr>
            <w:tcW w:w="120" w:type="dxa"/>
            <w:vAlign w:val="bottom"/>
          </w:tcPr>
          <w:p>
            <w:pPr>
              <w:spacing w:after="0"/>
              <w:rPr>
                <w:sz w:val="12"/>
                <w:szCs w:val="12"/>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rPr>
              <w:t>9</w:t>
            </w:r>
          </w:p>
        </w:tc>
        <w:tc>
          <w:tcPr>
            <w:tcW w:w="8260" w:type="dxa"/>
            <w:vAlign w:val="bottom"/>
            <w:vMerge w:val="continue"/>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940" w:type="dxa"/>
            <w:vAlign w:val="bottom"/>
            <w:tcBorders>
              <w:left w:val="single" w:sz="8" w:color="auto"/>
              <w:right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Borders>
              <w:right w:val="single" w:sz="8" w:color="auto"/>
            </w:tcBorders>
            <w:vMerge w:val="continue"/>
          </w:tcPr>
          <w:p>
            <w:pPr>
              <w:spacing w:after="0"/>
              <w:rPr>
                <w:sz w:val="5"/>
                <w:szCs w:val="5"/>
                <w:color w:val="auto"/>
              </w:rPr>
            </w:pPr>
          </w:p>
        </w:tc>
        <w:tc>
          <w:tcPr>
            <w:tcW w:w="8260" w:type="dxa"/>
            <w:vAlign w:val="bottom"/>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9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WITH</w:t>
            </w:r>
          </w:p>
        </w:tc>
        <w:tc>
          <w:tcPr>
            <w:tcW w:w="120" w:type="dxa"/>
            <w:vAlign w:val="bottom"/>
          </w:tcPr>
          <w:p>
            <w:pPr>
              <w:spacing w:after="0"/>
              <w:rPr>
                <w:sz w:val="18"/>
                <w:szCs w:val="18"/>
                <w:color w:val="auto"/>
              </w:rPr>
            </w:pPr>
          </w:p>
        </w:tc>
        <w:tc>
          <w:tcPr>
            <w:tcW w:w="580" w:type="dxa"/>
            <w:vAlign w:val="bottom"/>
            <w:tcBorders>
              <w:right w:val="single" w:sz="8" w:color="auto"/>
            </w:tcBorders>
            <w:vMerge w:val="continue"/>
          </w:tcPr>
          <w:p>
            <w:pPr>
              <w:spacing w:after="0"/>
              <w:rPr>
                <w:sz w:val="18"/>
                <w:szCs w:val="18"/>
                <w:color w:val="auto"/>
              </w:rPr>
            </w:pPr>
          </w:p>
        </w:tc>
        <w:tc>
          <w:tcPr>
            <w:tcW w:w="8260" w:type="dxa"/>
            <w:vAlign w:val="bottom"/>
            <w:vMerge w:val="restart"/>
          </w:tcPr>
          <w:p>
            <w:pPr>
              <w:ind w:left="20"/>
              <w:spacing w:after="0"/>
              <w:rPr>
                <w:sz w:val="20"/>
                <w:szCs w:val="20"/>
                <w:color w:val="auto"/>
              </w:rPr>
            </w:pPr>
            <w:r>
              <w:rPr>
                <w:rFonts w:ascii="Arial" w:cs="Arial" w:eastAsia="Arial" w:hAnsi="Arial"/>
                <w:sz w:val="18"/>
                <w:szCs w:val="18"/>
                <w:color w:val="auto"/>
              </w:rPr>
              <w:t>3,080,000</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00" w:type="dxa"/>
            <w:vAlign w:val="bottom"/>
            <w:tcBorders>
              <w:lef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right w:val="single" w:sz="8" w:color="auto"/>
            </w:tcBorders>
            <w:vMerge w:val="continue"/>
          </w:tcPr>
          <w:p>
            <w:pPr>
              <w:spacing w:after="0"/>
              <w:rPr>
                <w:sz w:val="11"/>
                <w:szCs w:val="11"/>
                <w:color w:val="auto"/>
              </w:rPr>
            </w:pPr>
          </w:p>
        </w:tc>
        <w:tc>
          <w:tcPr>
            <w:tcW w:w="8260" w:type="dxa"/>
            <w:vAlign w:val="bottom"/>
            <w:vMerge w:val="continue"/>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95"/>
              </w:rPr>
              <w:t>10</w:t>
            </w:r>
          </w:p>
        </w:tc>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SHARED DISPOSITIVE POWER</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00" w:type="dxa"/>
            <w:vAlign w:val="bottom"/>
            <w:tcBorders>
              <w:lef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Borders>
              <w:right w:val="single" w:sz="8" w:color="auto"/>
            </w:tcBorders>
            <w:vMerge w:val="continue"/>
          </w:tcPr>
          <w:p>
            <w:pPr>
              <w:spacing w:after="0"/>
              <w:rPr>
                <w:sz w:val="24"/>
                <w:szCs w:val="24"/>
                <w:color w:val="auto"/>
              </w:rPr>
            </w:pPr>
          </w:p>
        </w:tc>
        <w:tc>
          <w:tcPr>
            <w:tcW w:w="8260" w:type="dxa"/>
            <w:vAlign w:val="bottom"/>
          </w:tcPr>
          <w:p>
            <w:pPr>
              <w:ind w:left="20"/>
              <w:spacing w:after="0"/>
              <w:rPr>
                <w:sz w:val="20"/>
                <w:szCs w:val="20"/>
                <w:color w:val="auto"/>
              </w:rPr>
            </w:pPr>
            <w:r>
              <w:rPr>
                <w:rFonts w:ascii="Arial" w:cs="Arial" w:eastAsia="Arial" w:hAnsi="Arial"/>
                <w:sz w:val="18"/>
                <w:szCs w:val="18"/>
                <w:color w:val="auto"/>
              </w:rPr>
              <w:t>0</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right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vMerge w:val="restart"/>
          </w:tcPr>
          <w:p>
            <w:pPr>
              <w:jc w:val="center"/>
              <w:ind w:left="228"/>
              <w:spacing w:after="0"/>
              <w:rPr>
                <w:sz w:val="20"/>
                <w:szCs w:val="20"/>
                <w:color w:val="auto"/>
              </w:rPr>
            </w:pPr>
            <w:r>
              <w:rPr>
                <w:rFonts w:ascii="Arial" w:cs="Arial" w:eastAsia="Arial" w:hAnsi="Arial"/>
                <w:sz w:val="32"/>
                <w:szCs w:val="32"/>
                <w:b w:val="1"/>
                <w:bCs w:val="1"/>
                <w:color w:val="auto"/>
                <w:w w:val="84"/>
              </w:rPr>
              <w:t>11</w:t>
            </w:r>
          </w:p>
        </w:tc>
        <w:tc>
          <w:tcPr>
            <w:tcW w:w="380" w:type="dxa"/>
            <w:vAlign w:val="bottom"/>
            <w:tcBorders>
              <w:right w:val="single" w:sz="8" w:color="auto"/>
            </w:tcBorders>
          </w:tcPr>
          <w:p>
            <w:pPr>
              <w:spacing w:after="0"/>
              <w:rPr>
                <w:sz w:val="18"/>
                <w:szCs w:val="18"/>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AGGREGATE AMOUNT BENEFICIALLY OWNED BY EACH REPORTING PERSON</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w w:val="92"/>
              </w:rPr>
              <w:t>3,080,000</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12</w:t>
            </w:r>
          </w:p>
        </w:tc>
        <w:tc>
          <w:tcPr>
            <w:tcW w:w="380" w:type="dxa"/>
            <w:vAlign w:val="bottom"/>
            <w:tcBorders>
              <w:right w:val="single" w:sz="8" w:color="auto"/>
            </w:tcBorders>
          </w:tcPr>
          <w:p>
            <w:pPr>
              <w:spacing w:after="0"/>
              <w:rPr>
                <w:sz w:val="21"/>
                <w:szCs w:val="21"/>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CHECK BOX IF THE AGGREGATE AMOUNT IN ROW (11) EXCLUDES CERTAIN SHARES (SEE INSTRUCTIONS)</w:t>
            </w:r>
          </w:p>
        </w:tc>
        <w:tc>
          <w:tcPr>
            <w:tcW w:w="520" w:type="dxa"/>
            <w:vAlign w:val="bottom"/>
            <w:tcBorders>
              <w:right w:val="single" w:sz="8" w:color="auto"/>
            </w:tcBorders>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2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00" w:type="dxa"/>
            <w:vAlign w:val="bottom"/>
            <w:tcBorders>
              <w:left w:val="single" w:sz="8" w:color="auto"/>
              <w:bottom w:val="single" w:sz="8" w:color="auto"/>
            </w:tcBorders>
          </w:tcPr>
          <w:p>
            <w:pPr>
              <w:spacing w:after="0"/>
              <w:rPr>
                <w:sz w:val="16"/>
                <w:szCs w:val="16"/>
                <w:color w:val="auto"/>
              </w:rPr>
            </w:pPr>
          </w:p>
        </w:tc>
        <w:tc>
          <w:tcPr>
            <w:tcW w:w="380" w:type="dxa"/>
            <w:vAlign w:val="bottom"/>
            <w:tcBorders>
              <w:bottom w:val="single" w:sz="8" w:color="auto"/>
              <w:right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spacing w:after="0"/>
              <w:rPr>
                <w:sz w:val="16"/>
                <w:szCs w:val="16"/>
                <w:color w:val="auto"/>
              </w:rPr>
            </w:pPr>
          </w:p>
        </w:tc>
        <w:tc>
          <w:tcPr>
            <w:tcW w:w="826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13</w:t>
            </w:r>
          </w:p>
        </w:tc>
        <w:tc>
          <w:tcPr>
            <w:tcW w:w="380" w:type="dxa"/>
            <w:vAlign w:val="bottom"/>
            <w:tcBorders>
              <w:right w:val="single" w:sz="8" w:color="auto"/>
            </w:tcBorders>
          </w:tcPr>
          <w:p>
            <w:pPr>
              <w:spacing w:after="0"/>
              <w:rPr>
                <w:sz w:val="18"/>
                <w:szCs w:val="18"/>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PERCENT OF CLASS REPRESENTED BY AMOUNT IN ROW (11)</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14.8%(1)</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900" w:type="dxa"/>
            <w:vAlign w:val="bottom"/>
            <w:tcBorders>
              <w:left w:val="single" w:sz="8" w:color="auto"/>
            </w:tcBorders>
            <w:vMerge w:val="restart"/>
          </w:tcPr>
          <w:p>
            <w:pPr>
              <w:jc w:val="center"/>
              <w:ind w:left="248"/>
              <w:spacing w:after="0"/>
              <w:rPr>
                <w:sz w:val="20"/>
                <w:szCs w:val="20"/>
                <w:color w:val="auto"/>
              </w:rPr>
            </w:pPr>
            <w:r>
              <w:rPr>
                <w:rFonts w:ascii="Arial" w:cs="Arial" w:eastAsia="Arial" w:hAnsi="Arial"/>
                <w:sz w:val="32"/>
                <w:szCs w:val="32"/>
                <w:b w:val="1"/>
                <w:bCs w:val="1"/>
                <w:color w:val="auto"/>
                <w:w w:val="89"/>
              </w:rPr>
              <w:t>14</w:t>
            </w:r>
          </w:p>
        </w:tc>
        <w:tc>
          <w:tcPr>
            <w:tcW w:w="380" w:type="dxa"/>
            <w:vAlign w:val="bottom"/>
            <w:tcBorders>
              <w:right w:val="single" w:sz="8" w:color="auto"/>
            </w:tcBorders>
          </w:tcPr>
          <w:p>
            <w:pPr>
              <w:spacing w:after="0"/>
              <w:rPr>
                <w:sz w:val="18"/>
                <w:szCs w:val="18"/>
                <w:color w:val="auto"/>
              </w:rPr>
            </w:pPr>
          </w:p>
        </w:tc>
        <w:tc>
          <w:tcPr>
            <w:tcW w:w="9620" w:type="dxa"/>
            <w:vAlign w:val="bottom"/>
            <w:gridSpan w:val="4"/>
          </w:tcPr>
          <w:p>
            <w:pPr>
              <w:ind w:left="20"/>
              <w:spacing w:after="0"/>
              <w:rPr>
                <w:sz w:val="20"/>
                <w:szCs w:val="20"/>
                <w:color w:val="auto"/>
              </w:rPr>
            </w:pPr>
            <w:r>
              <w:rPr>
                <w:rFonts w:ascii="Arial" w:cs="Arial" w:eastAsia="Arial" w:hAnsi="Arial"/>
                <w:sz w:val="16"/>
                <w:szCs w:val="16"/>
                <w:b w:val="1"/>
                <w:bCs w:val="1"/>
                <w:color w:val="auto"/>
              </w:rPr>
              <w:t>TYPE OF REPORTING PERSON (SEE INSTRUCTIONS)</w:t>
            </w:r>
          </w:p>
        </w:tc>
        <w:tc>
          <w:tcPr>
            <w:tcW w:w="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900" w:type="dxa"/>
            <w:vAlign w:val="bottom"/>
            <w:tcBorders>
              <w:left w:val="single" w:sz="8" w:color="auto"/>
            </w:tcBorders>
            <w:vMerge w:val="continue"/>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IN</w:t>
            </w:r>
          </w:p>
        </w:tc>
        <w:tc>
          <w:tcPr>
            <w:tcW w:w="58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0" w:type="dxa"/>
            <w:vAlign w:val="bottom"/>
            <w:tcBorders>
              <w:left w:val="single" w:sz="8" w:color="auto"/>
              <w:bottom w:val="single" w:sz="8" w:color="auto"/>
            </w:tcBorders>
          </w:tcPr>
          <w:p>
            <w:pPr>
              <w:spacing w:after="0"/>
              <w:rPr>
                <w:sz w:val="12"/>
                <w:szCs w:val="12"/>
                <w:color w:val="auto"/>
              </w:rPr>
            </w:pPr>
          </w:p>
        </w:tc>
        <w:tc>
          <w:tcPr>
            <w:tcW w:w="38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260" w:type="dxa"/>
            <w:vAlign w:val="bottom"/>
            <w:tcBorders>
              <w:bottom w:val="single" w:sz="8" w:color="auto"/>
            </w:tcBorders>
          </w:tcPr>
          <w:p>
            <w:pPr>
              <w:spacing w:after="0"/>
              <w:rPr>
                <w:sz w:val="12"/>
                <w:szCs w:val="12"/>
                <w:color w:val="auto"/>
              </w:rPr>
            </w:pPr>
          </w:p>
        </w:tc>
        <w:tc>
          <w:tcPr>
            <w:tcW w:w="5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Calculations are based upon a total of 20,837,272 Class A Shares outstanding as of March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This Amendment No. 1 to Schedule 13D (this “</w:t>
      </w:r>
      <w:r>
        <w:rPr>
          <w:rFonts w:ascii="Arial" w:cs="Arial" w:eastAsia="Arial" w:hAnsi="Arial"/>
          <w:sz w:val="18"/>
          <w:szCs w:val="18"/>
          <w:i w:val="1"/>
          <w:iCs w:val="1"/>
          <w:color w:val="auto"/>
        </w:rPr>
        <w:t>Amendment</w:t>
      </w:r>
      <w:r>
        <w:rPr>
          <w:rFonts w:ascii="Arial" w:cs="Arial" w:eastAsia="Arial" w:hAnsi="Arial"/>
          <w:sz w:val="18"/>
          <w:szCs w:val="18"/>
          <w:color w:val="auto"/>
        </w:rPr>
        <w:t>”) amends and supplements the Schedule 13D filed with the Securities and Exchange Commission on February 4, 2019 (the “</w:t>
      </w:r>
      <w:r>
        <w:rPr>
          <w:rFonts w:ascii="Arial" w:cs="Arial" w:eastAsia="Arial" w:hAnsi="Arial"/>
          <w:sz w:val="18"/>
          <w:szCs w:val="18"/>
          <w:i w:val="1"/>
          <w:iCs w:val="1"/>
          <w:color w:val="auto"/>
        </w:rPr>
        <w:t>Original Schedule 13D</w:t>
      </w:r>
      <w:r>
        <w:rPr>
          <w:rFonts w:ascii="Arial" w:cs="Arial" w:eastAsia="Arial" w:hAnsi="Arial"/>
          <w:sz w:val="18"/>
          <w:szCs w:val="18"/>
          <w:color w:val="auto"/>
        </w:rPr>
        <w:t>” and, as further amended and supplemented by this Amendment, the “</w:t>
      </w:r>
      <w:r>
        <w:rPr>
          <w:rFonts w:ascii="Arial" w:cs="Arial" w:eastAsia="Arial" w:hAnsi="Arial"/>
          <w:sz w:val="18"/>
          <w:szCs w:val="18"/>
          <w:i w:val="1"/>
          <w:iCs w:val="1"/>
          <w:color w:val="auto"/>
        </w:rPr>
        <w:t>Schedule 13D</w:t>
      </w:r>
      <w:r>
        <w:rPr>
          <w:rFonts w:ascii="Arial" w:cs="Arial" w:eastAsia="Arial" w:hAnsi="Arial"/>
          <w:sz w:val="18"/>
          <w:szCs w:val="18"/>
          <w:color w:val="auto"/>
        </w:rPr>
        <w:t>”) by Randal A. Nardone (the “</w:t>
      </w:r>
      <w:r>
        <w:rPr>
          <w:rFonts w:ascii="Arial" w:cs="Arial" w:eastAsia="Arial" w:hAnsi="Arial"/>
          <w:sz w:val="18"/>
          <w:szCs w:val="18"/>
          <w:i w:val="1"/>
          <w:iCs w:val="1"/>
          <w:color w:val="auto"/>
        </w:rPr>
        <w:t>Reporting Person</w:t>
      </w:r>
      <w:r>
        <w:rPr>
          <w:rFonts w:ascii="Arial" w:cs="Arial" w:eastAsia="Arial" w:hAnsi="Arial"/>
          <w:sz w:val="18"/>
          <w:szCs w:val="18"/>
          <w:color w:val="auto"/>
        </w:rPr>
        <w:t>”) with respect to the Class A shares representing limited liability company interests (“</w:t>
      </w:r>
      <w:r>
        <w:rPr>
          <w:rFonts w:ascii="Arial" w:cs="Arial" w:eastAsia="Arial" w:hAnsi="Arial"/>
          <w:sz w:val="18"/>
          <w:szCs w:val="18"/>
          <w:i w:val="1"/>
          <w:iCs w:val="1"/>
          <w:color w:val="auto"/>
        </w:rPr>
        <w:t>Class A Shares</w:t>
      </w:r>
      <w:r>
        <w:rPr>
          <w:rFonts w:ascii="Arial" w:cs="Arial" w:eastAsia="Arial" w:hAnsi="Arial"/>
          <w:sz w:val="18"/>
          <w:szCs w:val="18"/>
          <w:color w:val="auto"/>
        </w:rPr>
        <w:t>”) of New Fortress Energy LLC, a Delaware limited liability company (the “</w:t>
      </w:r>
      <w:r>
        <w:rPr>
          <w:rFonts w:ascii="Arial" w:cs="Arial" w:eastAsia="Arial" w:hAnsi="Arial"/>
          <w:sz w:val="18"/>
          <w:szCs w:val="18"/>
          <w:i w:val="1"/>
          <w:iCs w:val="1"/>
          <w:color w:val="auto"/>
        </w:rPr>
        <w:t>Issuer</w:t>
      </w:r>
      <w:r>
        <w:rPr>
          <w:rFonts w:ascii="Arial" w:cs="Arial" w:eastAsia="Arial" w:hAnsi="Arial"/>
          <w:sz w:val="18"/>
          <w:szCs w:val="18"/>
          <w:color w:val="auto"/>
        </w:rPr>
        <w:t>”). Unless set forth below, all previous Items of the Original Schedule 13D are unchanged. Capitalized terms used in this Amendment and not otherwise defined shall have the same meanings ascribed to them in the Original Schedule 13D.</w:t>
      </w:r>
    </w:p>
    <w:p>
      <w:pPr>
        <w:spacing w:after="0" w:line="18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Reporting Person used personal funds to purchase 580,000 Class A Shares reported herein in an open-market transaction on March 28, 2019. The total purchase price for such shares was approximately $5,713,000.</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contained in Item 3 above is incorporated herein by reference.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Reporting Person acquired the Class A Shares for investment purposes. The Reporting Person intends to participate in and influence the affairs of the Issuer through his ownership interest in the Issuer and through his position as a member of the Board of Directors of the Issuer, as well as through the voting of his Class A Shares.</w:t>
      </w:r>
    </w:p>
    <w:p>
      <w:pPr>
        <w:spacing w:after="0" w:line="208" w:lineRule="exact"/>
        <w:rPr>
          <w:sz w:val="20"/>
          <w:szCs w:val="20"/>
          <w:color w:val="auto"/>
        </w:rPr>
      </w:pPr>
    </w:p>
    <w:p>
      <w:pPr>
        <w:ind w:right="20" w:firstLine="332"/>
        <w:spacing w:after="0" w:line="264" w:lineRule="auto"/>
        <w:tabs>
          <w:tab w:leader="none" w:pos="68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Reporting Person at any time and from time to time may acquire additional Class A Shares or dispose of any or all of the Class A Shares that he owns depending upon an ongoing evaluation of the investment in the Class A Shares, prevailing market conditions, other investment opportunities, other investment considerations and/or other factors.</w:t>
      </w:r>
    </w:p>
    <w:p>
      <w:pPr>
        <w:spacing w:after="0" w:line="208" w:lineRule="exact"/>
        <w:rPr>
          <w:rFonts w:ascii="Arial" w:cs="Arial" w:eastAsia="Arial" w:hAnsi="Arial"/>
          <w:sz w:val="18"/>
          <w:szCs w:val="18"/>
          <w:color w:val="auto"/>
        </w:rPr>
      </w:pPr>
    </w:p>
    <w:p>
      <w:pPr>
        <w:ind w:right="20" w:firstLine="332"/>
        <w:spacing w:after="0" w:line="264" w:lineRule="auto"/>
        <w:tabs>
          <w:tab w:leader="none" w:pos="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 (j) Except as disclosed herein, the Reporting Person has no plans or proposals which relate to, or could result in, any of the matters referred to in paragraphs (b) through (j) inclusive of the instructions to Item 4 of Schedule 13D. The Reporting Person may, at any time and from time to time, review or reconsider his position and/or change his purpose and/or formulate plans or proposals with respect thereto.</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83" w:lineRule="exact"/>
        <w:rPr>
          <w:sz w:val="20"/>
          <w:szCs w:val="20"/>
          <w:color w:val="auto"/>
        </w:rPr>
      </w:pPr>
    </w:p>
    <w:p>
      <w:pPr>
        <w:ind w:right="140" w:firstLine="332"/>
        <w:spacing w:after="0" w:line="277" w:lineRule="auto"/>
        <w:tabs>
          <w:tab w:leader="none" w:pos="569" w:val="left"/>
        </w:tabs>
        <w:numPr>
          <w:ilvl w:val="0"/>
          <w:numId w:val="4"/>
        </w:numPr>
        <w:rPr>
          <w:rFonts w:ascii="Arial" w:cs="Arial" w:eastAsia="Arial" w:hAnsi="Arial"/>
          <w:sz w:val="18"/>
          <w:szCs w:val="18"/>
          <w:color w:val="auto"/>
        </w:rPr>
      </w:pPr>
      <w:r>
        <w:rPr>
          <w:rFonts w:ascii="Arial" w:cs="Arial" w:eastAsia="Arial" w:hAnsi="Arial"/>
          <w:sz w:val="18"/>
          <w:szCs w:val="18"/>
          <w:color w:val="auto"/>
        </w:rPr>
        <w:t>— (b) The aggregate number and percentage of Class A Shares beneficially owned by the Reporting Person (on the basis of a total of 20,837,272 Class A Shares issued and outstanding as of March 20, 2019)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Amount beneficially owned: 3,080,000</w:t>
            </w:r>
          </w:p>
        </w:tc>
        <w:tc>
          <w:tcPr>
            <w:tcW w:w="2100" w:type="dxa"/>
            <w:vAlign w:val="bottom"/>
          </w:tcPr>
          <w:p>
            <w:pPr>
              <w:spacing w:after="0"/>
              <w:rPr>
                <w:sz w:val="20"/>
                <w:szCs w:val="20"/>
                <w:color w:val="auto"/>
              </w:rPr>
            </w:pPr>
          </w:p>
        </w:tc>
      </w:tr>
      <w:tr>
        <w:trPr>
          <w:trHeight w:val="418"/>
        </w:trPr>
        <w:tc>
          <w:tcPr>
            <w:tcW w:w="5880" w:type="dxa"/>
            <w:vAlign w:val="bottom"/>
          </w:tcPr>
          <w:p>
            <w:pPr>
              <w:spacing w:after="0"/>
              <w:rPr>
                <w:sz w:val="20"/>
                <w:szCs w:val="20"/>
                <w:color w:val="auto"/>
              </w:rPr>
            </w:pPr>
            <w:r>
              <w:rPr>
                <w:rFonts w:ascii="Arial" w:cs="Arial" w:eastAsia="Arial" w:hAnsi="Arial"/>
                <w:sz w:val="18"/>
                <w:szCs w:val="18"/>
                <w:color w:val="auto"/>
              </w:rPr>
              <w:t>Percentage:</w:t>
            </w:r>
          </w:p>
        </w:tc>
        <w:tc>
          <w:tcPr>
            <w:tcW w:w="21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Number of shares to which the Reporting Person has:</w:t>
            </w:r>
          </w:p>
        </w:tc>
        <w:tc>
          <w:tcPr>
            <w:tcW w:w="2100" w:type="dxa"/>
            <w:vAlign w:val="bottom"/>
          </w:tcPr>
          <w:p>
            <w:pPr>
              <w:spacing w:after="0"/>
              <w:rPr>
                <w:sz w:val="18"/>
                <w:szCs w:val="18"/>
                <w:color w:val="auto"/>
              </w:rPr>
            </w:pPr>
          </w:p>
        </w:tc>
      </w:tr>
      <w:tr>
        <w:trPr>
          <w:trHeight w:val="216"/>
        </w:trPr>
        <w:tc>
          <w:tcPr>
            <w:tcW w:w="5880" w:type="dxa"/>
            <w:vAlign w:val="bottom"/>
          </w:tcPr>
          <w:p>
            <w:pPr>
              <w:ind w:left="340"/>
              <w:spacing w:after="0"/>
              <w:rPr>
                <w:sz w:val="20"/>
                <w:szCs w:val="20"/>
                <w:color w:val="auto"/>
              </w:rPr>
            </w:pPr>
            <w:r>
              <w:rPr>
                <w:rFonts w:ascii="Arial" w:cs="Arial" w:eastAsia="Arial" w:hAnsi="Arial"/>
                <w:sz w:val="18"/>
                <w:szCs w:val="18"/>
                <w:color w:val="auto"/>
              </w:rPr>
              <w:t>i. Sole power to vote or to direct the vote:</w:t>
            </w:r>
          </w:p>
        </w:tc>
        <w:tc>
          <w:tcPr>
            <w:tcW w:w="2100" w:type="dxa"/>
            <w:vAlign w:val="bottom"/>
          </w:tcPr>
          <w:p>
            <w:pPr>
              <w:jc w:val="right"/>
              <w:spacing w:after="0"/>
              <w:rPr>
                <w:sz w:val="20"/>
                <w:szCs w:val="20"/>
                <w:color w:val="auto"/>
              </w:rPr>
            </w:pPr>
            <w:r>
              <w:rPr>
                <w:rFonts w:ascii="Arial" w:cs="Arial" w:eastAsia="Arial" w:hAnsi="Arial"/>
                <w:sz w:val="18"/>
                <w:szCs w:val="18"/>
                <w:color w:val="auto"/>
              </w:rPr>
              <w:t>3,080,000</w:t>
            </w:r>
          </w:p>
        </w:tc>
      </w:tr>
      <w:tr>
        <w:trPr>
          <w:trHeight w:val="216"/>
        </w:trPr>
        <w:tc>
          <w:tcPr>
            <w:tcW w:w="5880" w:type="dxa"/>
            <w:vAlign w:val="bottom"/>
          </w:tcPr>
          <w:p>
            <w:pPr>
              <w:ind w:left="340"/>
              <w:spacing w:after="0"/>
              <w:rPr>
                <w:sz w:val="20"/>
                <w:szCs w:val="20"/>
                <w:color w:val="auto"/>
              </w:rPr>
            </w:pPr>
            <w:r>
              <w:rPr>
                <w:rFonts w:ascii="Arial" w:cs="Arial" w:eastAsia="Arial" w:hAnsi="Arial"/>
                <w:sz w:val="18"/>
                <w:szCs w:val="18"/>
                <w:color w:val="auto"/>
              </w:rPr>
              <w:t>ii. Shared power to vote or to direct the vote:</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880" w:type="dxa"/>
            <w:vAlign w:val="bottom"/>
          </w:tcPr>
          <w:p>
            <w:pPr>
              <w:ind w:left="340"/>
              <w:spacing w:after="0"/>
              <w:rPr>
                <w:sz w:val="20"/>
                <w:szCs w:val="20"/>
                <w:color w:val="auto"/>
              </w:rPr>
            </w:pPr>
            <w:r>
              <w:rPr>
                <w:rFonts w:ascii="Arial" w:cs="Arial" w:eastAsia="Arial" w:hAnsi="Arial"/>
                <w:sz w:val="18"/>
                <w:szCs w:val="18"/>
                <w:color w:val="auto"/>
              </w:rPr>
              <w:t>iii. Sole power to dispose or to direct the disposition of:</w:t>
            </w:r>
          </w:p>
        </w:tc>
        <w:tc>
          <w:tcPr>
            <w:tcW w:w="2100" w:type="dxa"/>
            <w:vAlign w:val="bottom"/>
          </w:tcPr>
          <w:p>
            <w:pPr>
              <w:jc w:val="right"/>
              <w:spacing w:after="0"/>
              <w:rPr>
                <w:sz w:val="20"/>
                <w:szCs w:val="20"/>
                <w:color w:val="auto"/>
              </w:rPr>
            </w:pPr>
            <w:r>
              <w:rPr>
                <w:rFonts w:ascii="Arial" w:cs="Arial" w:eastAsia="Arial" w:hAnsi="Arial"/>
                <w:sz w:val="18"/>
                <w:szCs w:val="18"/>
                <w:color w:val="auto"/>
              </w:rPr>
              <w:t>3,080,000</w:t>
            </w:r>
          </w:p>
        </w:tc>
      </w:tr>
      <w:tr>
        <w:trPr>
          <w:trHeight w:val="230"/>
        </w:trPr>
        <w:tc>
          <w:tcPr>
            <w:tcW w:w="5880" w:type="dxa"/>
            <w:vAlign w:val="bottom"/>
          </w:tcPr>
          <w:p>
            <w:pPr>
              <w:ind w:left="340"/>
              <w:spacing w:after="0"/>
              <w:rPr>
                <w:sz w:val="20"/>
                <w:szCs w:val="20"/>
                <w:color w:val="auto"/>
              </w:rPr>
            </w:pPr>
            <w:r>
              <w:rPr>
                <w:rFonts w:ascii="Arial" w:cs="Arial" w:eastAsia="Arial" w:hAnsi="Arial"/>
                <w:sz w:val="18"/>
                <w:szCs w:val="18"/>
                <w:color w:val="auto"/>
              </w:rPr>
              <w:t>iv. Shared power to dispose or to direct the disposition of:</w:t>
            </w:r>
          </w:p>
        </w:tc>
        <w:tc>
          <w:tcPr>
            <w:tcW w:w="21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56" w:lineRule="exact"/>
        <w:rPr>
          <w:sz w:val="20"/>
          <w:szCs w:val="20"/>
          <w:color w:val="auto"/>
        </w:rPr>
      </w:pPr>
    </w:p>
    <w:p>
      <w:pPr>
        <w:ind w:right="200" w:firstLine="332"/>
        <w:spacing w:after="0" w:line="277" w:lineRule="auto"/>
        <w:tabs>
          <w:tab w:leader="none" w:pos="68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Item 3 above is incorporated herein by reference. Except as described therein, the Reporting Person has not effected any transactions in the Class A Shares during the past 60 days.</w:t>
      </w:r>
    </w:p>
    <w:p>
      <w:pPr>
        <w:spacing w:after="0" w:line="197" w:lineRule="exact"/>
        <w:rPr>
          <w:rFonts w:ascii="Arial" w:cs="Arial" w:eastAsia="Arial" w:hAnsi="Arial"/>
          <w:sz w:val="18"/>
          <w:szCs w:val="18"/>
          <w:color w:val="auto"/>
        </w:rPr>
      </w:pPr>
    </w:p>
    <w:p>
      <w:pPr>
        <w:jc w:val="both"/>
        <w:ind w:right="60" w:firstLine="332"/>
        <w:spacing w:after="0" w:line="264" w:lineRule="auto"/>
        <w:tabs>
          <w:tab w:leader="none" w:pos="69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Person has the right to receive the proceeds from the sale of the Class A Shares reported on the cover page of this Schedule 13D and in this Item 5. Except for the foregoing, no other person is known by the Reporting Person to have the right to receive or the power to direct the receipt of the proceeds from the sale of the Class A Shares beneficially owned by the Reporting Person.</w:t>
      </w:r>
    </w:p>
    <w:p>
      <w:pPr>
        <w:spacing w:after="0" w:line="208" w:lineRule="exact"/>
        <w:rPr>
          <w:rFonts w:ascii="Arial" w:cs="Arial" w:eastAsia="Arial" w:hAnsi="Arial"/>
          <w:sz w:val="18"/>
          <w:szCs w:val="18"/>
          <w:color w:val="auto"/>
        </w:rPr>
      </w:pPr>
    </w:p>
    <w:p>
      <w:pPr>
        <w:ind w:left="700" w:hanging="368"/>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April 4, 2019.</w:t>
      </w:r>
    </w:p>
    <w:p>
      <w:pPr>
        <w:spacing w:after="0" w:line="252"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Randal A. Nardone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Randal A. Nardone</w:t>
      </w:r>
    </w:p>
    <w:p>
      <w:pPr>
        <w:spacing w:after="0" w:line="200" w:lineRule="exact"/>
        <w:rPr>
          <w:sz w:val="20"/>
          <w:szCs w:val="20"/>
          <w:color w:val="auto"/>
        </w:rPr>
      </w:pPr>
    </w:p>
    <w:p>
      <w:pPr>
        <w:spacing w:after="0" w:line="291" w:lineRule="exact"/>
        <w:rPr>
          <w:sz w:val="20"/>
          <w:szCs w:val="20"/>
          <w:color w:val="auto"/>
        </w:rPr>
      </w:pPr>
    </w:p>
    <w:p>
      <w:pPr>
        <w:jc w:val="center"/>
        <w:ind w:right="-4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0980"/>
      </w:cols>
      <w:pgMar w:left="240" w:top="121"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2019-12-03T16:41:09Z</dcterms:created>
  <dcterms:modified xsi:type="dcterms:W3CDTF">2019-12-03T16:41:09Z</dcterms:modified>
</cp:coreProperties>
</file>