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Strategic Value Partners,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 WEST PUTNAM AVENUE</w:t>
                  </w:r>
                </w:p>
              </w:tc>
            </w:tr>
            <w:tr>
              <w:trPr/>
              <w:tc>
                <w:tcPr>
                  <w:tcW w:w="345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GREENWICH</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06830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New Fortress Energy Inc.</w:t>
              </w:r>
            </w:hyperlink>
            <w:r>
              <w:rPr/>
              <w:t xml:space="preserve"> [ </w:t>
            </w:r>
            <w:r>
              <w:rPr>
                <w:rFonts w:ascii="Times;serif" w:hAnsi="Times;serif"/>
                <w:color w:val="0000FF"/>
                <w:sz w:val="24"/>
                <w:shd w:fill="FFFFFF" w:val="clear"/>
              </w:rPr>
              <w:t>NFE</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09/18/2026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584" w:type="dxa"/>
        <w:jc w:val="left"/>
        <w:tblInd w:w="-7" w:type="dxa"/>
        <w:tblLayout w:type="fixed"/>
        <w:tblCellMar>
          <w:top w:w="60" w:type="dxa"/>
          <w:left w:w="60" w:type="dxa"/>
          <w:bottom w:w="60" w:type="dxa"/>
          <w:right w:w="60" w:type="dxa"/>
        </w:tblCellMar>
      </w:tblPr>
      <w:tblGrid>
        <w:gridCol w:w="1175"/>
        <w:gridCol w:w="861"/>
        <w:gridCol w:w="891"/>
        <w:gridCol w:w="771"/>
        <w:gridCol w:w="591"/>
        <w:gridCol w:w="300"/>
        <w:gridCol w:w="606"/>
        <w:gridCol w:w="276"/>
        <w:gridCol w:w="906"/>
        <w:gridCol w:w="801"/>
        <w:gridCol w:w="891"/>
        <w:gridCol w:w="921"/>
        <w:gridCol w:w="801"/>
        <w:gridCol w:w="936"/>
        <w:gridCol w:w="831"/>
        <w:gridCol w:w="1026"/>
      </w:tblGrid>
      <w:tr>
        <w:trPr>
          <w:tblHeader w:val="true"/>
        </w:trPr>
        <w:tc>
          <w:tcPr>
            <w:tcW w:w="1258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1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10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7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Series A Mandatorily Convertible Preferred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983</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45,651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502.5</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37,155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Footnotes</w:t>
            </w:r>
            <w:r>
              <w:rPr>
                <w:rFonts w:ascii="Times;serif" w:hAnsi="Times;serif"/>
                <w:color w:val="008000"/>
                <w:position w:val="7"/>
                <w:sz w:val="16"/>
                <w:sz w:val="20"/>
                <w:shd w:fill="FFFFFF" w:val="clear"/>
              </w:rPr>
              <w:t>(2)(6)</w:t>
            </w:r>
          </w:p>
        </w:tc>
      </w:tr>
      <w:tr>
        <w:trPr/>
        <w:tc>
          <w:tcPr>
            <w:tcW w:w="117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Series A Mandatorily Convertible Preferred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342</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15,882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502.5</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13,164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Footnotes</w:t>
            </w:r>
            <w:r>
              <w:rPr>
                <w:rFonts w:ascii="Times;serif" w:hAnsi="Times;serif"/>
                <w:color w:val="008000"/>
                <w:position w:val="7"/>
                <w:sz w:val="16"/>
                <w:sz w:val="20"/>
                <w:shd w:fill="FFFFFF" w:val="clear"/>
              </w:rPr>
              <w:t>(3)(6)</w:t>
            </w:r>
          </w:p>
        </w:tc>
      </w:tr>
      <w:tr>
        <w:trPr/>
        <w:tc>
          <w:tcPr>
            <w:tcW w:w="117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Series A Mandatorily Convertible Preferred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5,140</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238,708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502.5</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192,492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Footnotes</w:t>
            </w:r>
            <w:r>
              <w:rPr>
                <w:rFonts w:ascii="Times;serif" w:hAnsi="Times;serif"/>
                <w:color w:val="008000"/>
                <w:position w:val="7"/>
                <w:sz w:val="16"/>
                <w:sz w:val="20"/>
                <w:shd w:fill="FFFFFF" w:val="clear"/>
              </w:rPr>
              <w:t>(4)(6)</w:t>
            </w:r>
          </w:p>
        </w:tc>
      </w:tr>
      <w:tr>
        <w:trPr/>
        <w:tc>
          <w:tcPr>
            <w:tcW w:w="11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Series A Mandatorily Convertible Preferred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3,535</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164,169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502.5</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142,414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0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Footnotes</w:t>
            </w:r>
            <w:r>
              <w:rPr>
                <w:rFonts w:ascii="Times;serif" w:hAnsi="Times;serif"/>
                <w:color w:val="008000"/>
                <w:position w:val="7"/>
                <w:sz w:val="16"/>
                <w:sz w:val="20"/>
                <w:shd w:fill="FFFFFF" w:val="clear"/>
              </w:rPr>
              <w:t>(5)(6)</w:t>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Strategic Value Partners,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 WEST PUTNAM AVENUE</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GREENWICH</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06830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Strategic Value Excelsior Fund,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 WEST PUTNAM AVENUE</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GREENWICH</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06830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Khosla Victor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STRATEGIC VALUE PARTNERS, LLC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 WEST PUTNAM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GREENWICH</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06830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Strategic Value Special Situations Master Fund V,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 WEST PUTNAM AVENUE</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GREENWICH</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06830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Strategic Value Capital Solutions II MF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 WEST PUTNAM AVENUE</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GREENWICH</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06830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3">
                    <w:r>
                      <w:rPr>
                        <w:rStyle w:val="InternetLink"/>
                      </w:rPr>
                      <w:t>Strategic Value Special Situations VI MF,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 WEST PUTNAM AVENUE</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GREENWICH</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06830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share of Preferred Stock will automatically convert on the third anniversary of the issue date into a number of shares of Class A Common Stock equal to 46.441271 shares of Class A Common Stock per share of Preferred Stock, subject to adjustment.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Held directly by Strategic Value Capital Solutions II MF L.P. ("SVCS II MF"). SVP Capital Solutions II LLC ("SVP Capital Solutions II") is the investment manager of SVCS II MF. SVP Capital Solutions GP II Ltd. is the general partner of SVCS II MF.</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Held directly by Strategic Value Excelsior Fund, L.P. ("Excelsior"). SVP Excelsior Management LLC ("Excelsior Management") is the investment manager of Excelsior. SVP Excelsior Fund GP Ltd. and SVP Excelsior Fund GP (Series VI) Ltd. are the general partners of Excelsior.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Held directly by Strategic Value Special Situations Master Fund V, L.P. ("SVSS V"). SVP Special Situations V LLC ("SVPSS V LLC") is the investment manager of SVSS V. SVP Special Situations GP V Ltd. is the general partner of SVSS V.</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Held directly by Strategic Value Special Situations VI MF, L.P. ("SVSS VI MF"). SVP Special Situations VI LLC ("SVPSS VI LLC") is the investment manager of SVSS VI MF. SVP Special Situations GP VI Ltd. is the general partner of SVSS VI MF.</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Strategic Value Partners, LLC, which is indirectly controlled by Victor Khosla, is the managing member of SVPSS VI LLC, Excelsior Management, SVPSS V LLC and SVP Capital Solutions II. The filing of this Form 4 shall not be construed as an admission that the Reporting Persons are or were for the purposes of Section 16(a) of the Securities Exchange Act of 1934, as amended, or otherwise, the beneficial owners of any of the securities reported herein. The Reporting Persons disclaim such beneficial ownership, except to the extent of their pecuniary interest.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Lewis Schwartz - for Strategic Value Partners, LLC, By: Lewis Schwartz, Chief Financial Officer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Lewis Schwartz - for Strategic Value Excelsior Fund, L.P., By: SVP Excelsior Management LLC, its investment manager, By: Lewis Schwartz, Chief Financial Officer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Victor Khosla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Lewis Schwartz - for Strategic Value Special Situations Master Fund V, L.P., By: SVP Special Situations V LLC, its investment manager, By: Lewis Schwartz, Chief Financial Officer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Lewis Schwartz - for Strategic Value Capital Solutions II MF L.P., By: SVP Capital Solutions II LLC, its investment manager, By: Lewis Schwartz, Chief Financial Officer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Lewis Schwartz - for Strategic Value Special Situations VI MF, L.P., By: SVP Special Situations VI LLC, its investment manager, By: Lewis Schwartz, Chief Financial Officer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01912" TargetMode="External"/><Relationship Id="rId5" Type="http://schemas.openxmlformats.org/officeDocument/2006/relationships/hyperlink" Target="http://www.sec.gov/cgi-bin/browse-edgar?action=getcompany&amp;CIK=000174972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1301912" TargetMode="External"/><Relationship Id="rId9" Type="http://schemas.openxmlformats.org/officeDocument/2006/relationships/hyperlink" Target="http://www.sec.gov/cgi-bin/browse-edgar?action=getcompany&amp;CIK=0001883195" TargetMode="External"/><Relationship Id="rId10" Type="http://schemas.openxmlformats.org/officeDocument/2006/relationships/hyperlink" Target="http://www.sec.gov/cgi-bin/browse-edgar?action=getcompany&amp;CIK=0001473996" TargetMode="External"/><Relationship Id="rId11" Type="http://schemas.openxmlformats.org/officeDocument/2006/relationships/hyperlink" Target="http://www.sec.gov/cgi-bin/browse-edgar?action=getcompany&amp;CIK=0001919716" TargetMode="External"/><Relationship Id="rId12" Type="http://schemas.openxmlformats.org/officeDocument/2006/relationships/hyperlink" Target="http://www.sec.gov/cgi-bin/browse-edgar?action=getcompany&amp;CIK=0002149775" TargetMode="External"/><Relationship Id="rId13" Type="http://schemas.openxmlformats.org/officeDocument/2006/relationships/hyperlink" Target="http://www.sec.gov/cgi-bin/browse-edgar?action=getcompany&amp;CIK=0002149763" TargetMode="External"/><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1238</Words>
  <Characters>6655</Characters>
  <CharactersWithSpaces>7689</CharactersWithSpaces>
  <Paragraphs>232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