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Date of Report (Date of earliest event reported): October 30, 2023</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035" w:right="499" w:bottom="1440" w:gutter="0" w:footer="0" w:header="0"/>
        </w:sectPr>
      </w:pPr>
    </w:p>
    <w:p>
      <w:pPr>
        <w:spacing w:after="0" w:line="273"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72" w:lineRule="exact"/>
        <w:rPr>
          <w:sz w:val="24"/>
          <w:szCs w:val="24"/>
          <w:color w:val="auto"/>
        </w:rPr>
      </w:pPr>
    </w:p>
    <w:p>
      <w:pPr>
        <w:sectPr>
          <w:pgSz w:w="11900" w:h="16838" w:orient="portrait"/>
          <w:cols w:equalWidth="0" w:num="3">
            <w:col w:w="4620" w:space="720"/>
            <w:col w:w="2780" w:space="720"/>
            <w:col w:w="2240"/>
          </w:cols>
          <w:pgMar w:left="320" w:top="1035" w:right="499" w:bottom="1440" w:gutter="0" w:footer="0" w:header="0"/>
          <w:type w:val="continuous"/>
        </w:sectPr>
      </w:pPr>
    </w:p>
    <w:p>
      <w:pPr>
        <w:ind w:left="7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35" w:right="499" w:bottom="1440" w:gutter="0" w:footer="0" w:header="0"/>
          <w:type w:val="continuous"/>
        </w:sect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111 W. 19th Street, 8th Floor</w:t>
      </w:r>
    </w:p>
    <w:p>
      <w:pPr>
        <w:spacing w:after="0" w:line="3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10011</w:t>
      </w:r>
    </w:p>
    <w:p>
      <w:pPr>
        <w:spacing w:after="0" w:line="87" w:lineRule="exact"/>
        <w:rPr>
          <w:sz w:val="24"/>
          <w:szCs w:val="24"/>
          <w:color w:val="auto"/>
        </w:rPr>
      </w:pPr>
    </w:p>
    <w:p>
      <w:pPr>
        <w:sectPr>
          <w:pgSz w:w="11900" w:h="16838" w:orient="portrait"/>
          <w:cols w:equalWidth="0" w:num="2">
            <w:col w:w="8300" w:space="720"/>
            <w:col w:w="2060"/>
          </w:cols>
          <w:pgMar w:left="320" w:top="1035"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6" w:lineRule="exact"/>
        <w:rPr>
          <w:sz w:val="24"/>
          <w:szCs w:val="24"/>
          <w:color w:val="auto"/>
        </w:rPr>
      </w:pPr>
    </w:p>
    <w:p>
      <w:pPr>
        <w:sectPr>
          <w:pgSz w:w="11900" w:h="16838" w:orient="portrait"/>
          <w:cols w:equalWidth="0" w:num="2">
            <w:col w:w="8120" w:space="720"/>
            <w:col w:w="2240"/>
          </w:cols>
          <w:pgMar w:left="320" w:top="1035"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 268-7400</w:t>
      </w:r>
    </w:p>
    <w:p>
      <w:pPr>
        <w:sectPr>
          <w:pgSz w:w="11900" w:h="16838" w:orient="portrait"/>
          <w:cols w:equalWidth="0" w:num="1">
            <w:col w:w="11080"/>
          </w:cols>
          <w:pgMar w:left="320" w:top="1035" w:right="49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6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336"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color w:val="auto"/>
                <w:w w:val="91"/>
              </w:rPr>
              <w:t>Trading Symbol(s)</w:t>
            </w:r>
          </w:p>
        </w:tc>
        <w:tc>
          <w:tcPr>
            <w:tcW w:w="398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Arial" w:cs="Arial" w:eastAsia="Arial" w:hAnsi="Arial"/>
                <w:sz w:val="18"/>
                <w:szCs w:val="18"/>
                <w:b w:val="1"/>
                <w:bCs w:val="1"/>
                <w:color w:val="auto"/>
                <w:w w:val="87"/>
              </w:rPr>
              <w:t>Class A common stock</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66"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3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 B Credit Agreement and Prepayment of August Term Loan Agreement</w:t>
      </w:r>
    </w:p>
    <w:p>
      <w:pPr>
        <w:spacing w:after="0" w:line="239"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On October 30, 2023, New Fortress Energy Inc. (the “Company”) entered into a credit agreement (the “Term Loan B Agreement”) pursuant to which the lenders funded a term loan to the Company in an aggregate principal amount of $856 million (the "Term Loan B"). The proceeds from the Term Loan B were or will be used (i) to repay the $400 million aggregate principal amount of indebtedness outstanding under the Credit Agreement, dated as of August 3, 2023, among the Company, as borrower, certain subsidiaries of the Company from time to time party thereto as guarantors, the lenders from time to time party thereto and Morgan Stanley Senior Funding, Inc., as administrative agent and as collateral agent (the “August Term Loan Agreement"), (ii) for working capital and other general corporate purposes and (iii) to pay fees and expenses incurred in connection with the foregoing. On October 30, 2023, the August Term Loan Agreement was repaid in full and terminated.</w:t>
      </w:r>
    </w:p>
    <w:p>
      <w:pPr>
        <w:spacing w:after="0" w:line="207"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The Term Loan B will mature on October 30, 2028 and is payable in full on the maturity date. In the event that the Company’s existing 6.750% Senior Secured Notes due 2025 (the “2025 Notes”) and 6.50% Senior Secured Notes due 2026 (the “2026 Notes”), are not refinanced or repaid at least 60 days prior to their respective maturities, the Term Loan B will become due and payable on such date. Quarterly principal payments of approximately $2.1 million begin to be due starting March 2024.</w:t>
      </w:r>
    </w:p>
    <w:p>
      <w:pPr>
        <w:spacing w:after="0" w:line="21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The obligations under the Term Loan B Agreement are guaranteed, jointly and severally, on a senior secured basis by each domestic subsidiary that is a guarantor under the 2025 Notes, 2026 Notes, the Company’s $866,666,666 senior secured revolving credit facility (the "Revolving Facility"), and the Company’s letter of credit facility (the “Letter of Credit Facility”) and will be guaranteed, jointly and severally, on a senior secured basis by each foreign guarantor that is a guarantor under the 2025 Notes, 2026 Notes, Revolving Facility and Letter of Credit Facility on a post-closing basis. The Term Loan B is and will be secured by substantially the same collateral as the first lien obligations under the 2025 Notes, 2026 Notes, Revolving Facility and Letter of Credit Facility. Additionally, the Term Loan B is and will be guaranteed by the entities and secured by the assets comprising the Company's first Fast LNG project in Altamira, Mexico, on the same post-closing basis as the foreign guarantors as described above. An equal priority intercreditor agreement governs the treatment of the collateral.</w:t>
      </w:r>
    </w:p>
    <w:p>
      <w:pPr>
        <w:spacing w:after="0" w:line="20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6"/>
          <w:szCs w:val="16"/>
          <w:color w:val="auto"/>
        </w:rPr>
        <w:t>The Term Loan B bears interest at a per annum rate equal to Term SOFR (as defined in the Term Loan B Agreement) plus 5.00% or at a base rate plus 4.00%. The Company may prepay the Term Loan B at its option subject to pre-payment premiums (2.00% of the amount prepaid at any time prior to October 30, 2024, and 1.00% of the amount prepaid at any time from and after October 30, 2024, and prior to October 30, 2025) and customary break funding costs. The Company is required to prepay the Term Loan B with the net proceeds of certain asset sales, condemnations, and debt and convertible securities issuances, in each case subject to certain exceptions and thresholds. Additionally, commencing with the fiscal year ending December 31, 2024, the Company will be required to prepay the Term Loan B with the Company’s Excess Cash Flow (as defined in the Term Loan B Agreement).</w:t>
      </w:r>
    </w:p>
    <w:p>
      <w:pPr>
        <w:spacing w:after="0" w:line="193" w:lineRule="exact"/>
        <w:rPr>
          <w:sz w:val="20"/>
          <w:szCs w:val="20"/>
          <w:color w:val="auto"/>
        </w:rPr>
      </w:pPr>
    </w:p>
    <w:p>
      <w:pPr>
        <w:ind w:right="100" w:firstLine="648"/>
        <w:spacing w:after="0" w:line="275" w:lineRule="auto"/>
        <w:rPr>
          <w:sz w:val="20"/>
          <w:szCs w:val="20"/>
          <w:color w:val="auto"/>
        </w:rPr>
      </w:pPr>
      <w:r>
        <w:rPr>
          <w:rFonts w:ascii="Arial" w:cs="Arial" w:eastAsia="Arial" w:hAnsi="Arial"/>
          <w:sz w:val="16"/>
          <w:szCs w:val="16"/>
          <w:color w:val="auto"/>
        </w:rPr>
        <w:t xml:space="preserve">The Term Loan B Agreement contains usual and customary representations and warranties, and usual and customary affirmative and negative covenants, including, but not limited to: limitations on liens, indebtedness and dispositions, loans, advances and investments, sale and leaseback transactions, restricted payments;; covenants regarding transactions with affiliates, limitations on dividends and other payment restrictions affecting subsidiaries, limitations on modifications of indebtedness, , violations of the Employee Retirement Income Security Act of 1974, as amended, (“ERISA”). The Term Loan B Agreement also contains usual and customary events of default (subject to grace periods), including: non-payment of principal, interest, fees and other amounts; material breach of a representation or warranty; </w:t>
      </w:r>
      <w:r>
        <w:rPr>
          <w:rFonts w:ascii="Arial" w:cs="Arial" w:eastAsia="Arial" w:hAnsi="Arial"/>
          <w:sz w:val="19"/>
          <w:szCs w:val="19"/>
          <w:color w:val="auto"/>
        </w:rPr>
        <w:t>acceleration on other material debt</w:t>
      </w:r>
      <w:r>
        <w:rPr>
          <w:rFonts w:ascii="Arial" w:cs="Arial" w:eastAsia="Arial" w:hAnsi="Arial"/>
          <w:sz w:val="16"/>
          <w:szCs w:val="16"/>
          <w:color w:val="auto"/>
        </w:rPr>
        <w:t>; bankruptcy or insolvency; defaults related to ERISA ; material judgments; and change of control. No financial covenant compliance is required under the Term Loan B Agreement.</w:t>
      </w:r>
    </w:p>
    <w:p>
      <w:pPr>
        <w:spacing w:after="0" w:line="19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information set forth in Item 1.01 is incorporated by reference into this Item 1.02 insofar as it relates to the termination of a material definitive agreement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1330960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Arrangement of a Registrant.</w:t>
      </w:r>
    </w:p>
    <w:p>
      <w:pPr>
        <w:spacing w:after="0" w:line="2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information set forth in Item 1.01 is incorporated by reference into this Item 2.03 insofar as it relates to the creation of a direct financial obligation of the Company.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486"/>
        <w:spacing w:after="0" w:line="255" w:lineRule="auto"/>
        <w:rPr>
          <w:sz w:val="20"/>
          <w:szCs w:val="20"/>
          <w:color w:val="auto"/>
        </w:rPr>
      </w:pPr>
      <w:r>
        <w:rPr>
          <w:rFonts w:ascii="Arial" w:cs="Arial" w:eastAsia="Arial" w:hAnsi="Arial"/>
          <w:sz w:val="16"/>
          <w:szCs w:val="16"/>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41"/>
        </w:trPr>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0260" w:type="dxa"/>
            <w:vAlign w:val="bottom"/>
            <w:vMerge w:val="restart"/>
          </w:tcPr>
          <w:p>
            <w:pPr>
              <w:ind w:left="46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41"/>
        </w:trPr>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No.</w:t>
            </w:r>
          </w:p>
        </w:tc>
        <w:tc>
          <w:tcPr>
            <w:tcW w:w="10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1"/>
                <w:szCs w:val="21"/>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276"/>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3, 2023</w:t>
            </w:r>
          </w:p>
        </w:tc>
        <w:tc>
          <w:tcPr>
            <w:tcW w:w="740" w:type="dxa"/>
            <w:vAlign w:val="bottom"/>
          </w:tcPr>
          <w:p>
            <w:pPr>
              <w:ind w:left="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2023-11-03T15:30:22Z</dcterms:created>
  <dcterms:modified xsi:type="dcterms:W3CDTF">2023-11-03T15:30:22Z</dcterms:modified>
</cp:coreProperties>
</file>