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before="12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w:t>
      </w:r>
    </w:p>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SECURITIES AND EXCHANGE COMMISSION</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88" w:before="0" w:after="0"/>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10-K/A</w:t>
      </w:r>
    </w:p>
    <w:p>
      <w:pPr>
        <w:pStyle w:val="TextBody"/>
        <w:bidi w:val="0"/>
        <w:spacing w:lineRule="auto" w:line="288" w:before="0" w:after="0"/>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(Amendment No. 1)</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120" w:after="283"/>
        <w:jc w:val="center"/>
        <w:rPr/>
      </w:pPr>
      <w:r>
        <w:rPr>
          <w:rFonts w:ascii="Times New Roman;sans-serif" w:hAnsi="Times New Roman;sans-serif"/>
          <w:b/>
          <w:color w:val="000000"/>
          <w:sz w:val="20"/>
          <w:shd w:fill="FFFFFF" w:val="clear"/>
        </w:rPr>
        <w:t xml:space="preserve">For the year ended </w:t>
      </w:r>
      <w:r>
        <w:rPr>
          <w:rFonts w:ascii="Times New Roman;sans-serif" w:hAnsi="Times New Roman;sans-serif"/>
          <w:b/>
          <w:color w:val="000000"/>
          <w:sz w:val="20"/>
        </w:rPr>
        <w:t>December 31, 2024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transition period from _______ to_______</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Commission File Number: 001-38790</w:t>
      </w:r>
    </w:p>
    <w:p>
      <w:pPr>
        <w:pStyle w:val="TextBody"/>
        <w:bidi w:val="0"/>
        <w:spacing w:lineRule="auto" w:line="288" w:before="0" w:after="0"/>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New Fortress Energy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83-1482060</w:t>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4335" w:type="dxa"/>
        <w:jc w:val="left"/>
        <w:tblInd w:w="0" w:type="dxa"/>
        <w:tblLayout w:type="fixed"/>
        <w:tblCellMar>
          <w:top w:w="28" w:type="dxa"/>
          <w:left w:w="28" w:type="dxa"/>
          <w:bottom w:w="28" w:type="dxa"/>
          <w:right w:w="28" w:type="dxa"/>
        </w:tblCellMar>
      </w:tblPr>
      <w:tblGrid>
        <w:gridCol w:w="1193"/>
        <w:gridCol w:w="1049"/>
        <w:gridCol w:w="1058"/>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111 W. 19th Street, 8th Floor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10011</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Registrant’s telephone number, including area code: (516) 268-7400</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registered pursuant to Section 12(b) of the Act:</w:t>
      </w:r>
    </w:p>
    <w:tbl>
      <w:tblPr>
        <w:tblW w:w="7334" w:type="dxa"/>
        <w:jc w:val="left"/>
        <w:tblInd w:w="0" w:type="dxa"/>
        <w:tblLayout w:type="fixed"/>
        <w:tblCellMar>
          <w:top w:w="28" w:type="dxa"/>
          <w:left w:w="28" w:type="dxa"/>
          <w:bottom w:w="28" w:type="dxa"/>
          <w:right w:w="28" w:type="dxa"/>
        </w:tblCellMar>
      </w:tblPr>
      <w:tblGrid>
        <w:gridCol w:w="728"/>
        <w:gridCol w:w="637"/>
        <w:gridCol w:w="645"/>
        <w:gridCol w:w="539"/>
        <w:gridCol w:w="539"/>
        <w:gridCol w:w="541"/>
        <w:gridCol w:w="1085"/>
        <w:gridCol w:w="1085"/>
        <w:gridCol w:w="1535"/>
      </w:tblGrid>
      <w:tr>
        <w:trPr/>
        <w:tc>
          <w:tcPr>
            <w:tcW w:w="72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NFE</w:t>
            </w:r>
          </w:p>
        </w:tc>
        <w:tc>
          <w:tcPr>
            <w:tcW w:w="3705"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ans-serif" w:hAnsi="Times New Roman;sans-serif"/>
                <w:b/>
                <w:color w:val="000000"/>
                <w:sz w:val="20"/>
              </w:rPr>
              <w:t>Nasdaq Global Select Market</w:t>
            </w:r>
          </w:p>
        </w:tc>
      </w:tr>
    </w:tbl>
    <w:p>
      <w:pPr>
        <w:pStyle w:val="TextBody"/>
        <w:bidi w:val="0"/>
        <w:spacing w:lineRule="auto" w:line="288" w:before="120" w:after="283"/>
        <w:jc w:val="center"/>
        <w:rPr/>
      </w:pPr>
      <w:r>
        <w:rPr>
          <w:rFonts w:ascii="Times New Roman;sans-serif" w:hAnsi="Times New Roman;sans-serif"/>
          <w:b/>
          <w:color w:val="000000"/>
          <w:sz w:val="20"/>
          <w:shd w:fill="FFFFFF" w:val="clear"/>
        </w:rPr>
        <w:t>Securities registered pursuant to Section 12(g) of the Act:</w:t>
      </w:r>
      <w:r>
        <w:rPr>
          <w:color w:val="000000"/>
          <w:shd w:fill="FFFFFF" w:val="clear"/>
        </w:rPr>
        <w:t xml:space="preserve"> </w:t>
      </w:r>
      <w:r>
        <w:rPr>
          <w:rFonts w:ascii="Times New Roman;sans-serif" w:hAnsi="Times New Roman;sans-serif"/>
          <w:b w:val="false"/>
          <w:color w:val="000000"/>
          <w:sz w:val="20"/>
          <w:shd w:fill="FFFFFF" w:val="clear"/>
        </w:rPr>
        <w:t>None</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Indicate by check mark if the registrant is a well-known seasoned issuer, as defined in Rule 405 of the Securities Act.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Indicate by check mark if the registrant is not required to file reports pursuant to Section 13 or Section 15(d) of the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val="false"/>
          <w:color w:val="000000"/>
          <w:sz w:val="20"/>
          <w:shd w:fill="FFFFFF" w:val="clear"/>
        </w:rPr>
        <w:t>No  </w:t>
      </w:r>
      <w:r>
        <w:rPr>
          <w:rFonts w:ascii="Wingdings;sans-serif" w:hAnsi="Wingdings;sans-serif"/>
          <w:b w:val="false"/>
          <w:color w:val="000000"/>
          <w:sz w:val="20"/>
          <w:shd w:fill="FFFFFF" w:val="clear"/>
        </w:rPr>
        <w:t>o</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64" w:type="dxa"/>
        <w:jc w:val="left"/>
        <w:tblInd w:w="0" w:type="dxa"/>
        <w:tblLayout w:type="fixed"/>
        <w:tblCellMar>
          <w:top w:w="28" w:type="dxa"/>
          <w:left w:w="28" w:type="dxa"/>
          <w:bottom w:w="28" w:type="dxa"/>
          <w:right w:w="28" w:type="dxa"/>
        </w:tblCellMar>
      </w:tblPr>
      <w:tblGrid>
        <w:gridCol w:w="836"/>
        <w:gridCol w:w="736"/>
        <w:gridCol w:w="738"/>
        <w:gridCol w:w="776"/>
        <w:gridCol w:w="776"/>
        <w:gridCol w:w="1102"/>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Large accelerated filer    </w:t>
            </w:r>
            <w:r>
              <w:rPr>
                <w:rFonts w:ascii="Wingdings;sans-serif" w:hAnsi="Wingdings;sans-serif"/>
                <w:b w:val="false"/>
                <w:color w:val="000000"/>
                <w:sz w:val="20"/>
              </w:rPr>
              <w:t>x</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Accelerated filer  </w:t>
            </w:r>
            <w:r>
              <w:rPr>
                <w:rFonts w:ascii="Wingdings;sans-serif" w:hAnsi="Wingdings;sans-serif"/>
                <w:b w:val="false"/>
                <w:color w:val="000000"/>
                <w:sz w:val="20"/>
              </w:rPr>
              <w:t>o</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Non-accelerated filer </w:t>
            </w:r>
            <w:r>
              <w:rPr>
                <w:rFonts w:ascii="Wingdings;sans-serif" w:hAnsi="Wingdings;sans-serif"/>
                <w:b w:val="false"/>
                <w:color w:val="000000"/>
                <w:sz w:val="20"/>
              </w:rPr>
              <w:t>o</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Smaller reporting company  </w:t>
            </w:r>
            <w:r>
              <w:rPr>
                <w:color w:val="000000"/>
              </w:rPr>
              <w:t>☐</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 xml:space="preserve">Emerging growth company </w:t>
            </w:r>
            <w:r>
              <w:rPr>
                <w:color w:val="000000"/>
              </w:rPr>
              <w:t>☐</w:t>
            </w:r>
          </w:p>
        </w:tc>
      </w:tr>
    </w:tbl>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shd w:fill="FFFFFF" w:val="clear"/>
        </w:rPr>
        <w:t>x</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shd w:fill="FFFFFF" w:val="clear"/>
        </w:rPr>
        <w:t>o</w:t>
      </w:r>
    </w:p>
    <w:p>
      <w:pPr>
        <w:pStyle w:val="TextBody"/>
        <w:bidi w:val="0"/>
        <w:spacing w:lineRule="auto" w:line="256" w:before="0" w:after="0"/>
        <w:ind w:left="0" w:right="0" w:firstLine="720"/>
        <w:jc w:val="left"/>
        <w:rPr/>
      </w:pPr>
      <w:r>
        <w:rPr>
          <w:rFonts w:ascii="Times New Roman;sans-serif" w:hAnsi="Times New Roman;sans-serif"/>
          <w:b w:val="false"/>
          <w:color w:val="000000"/>
          <w:sz w:val="20"/>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sans-serif" w:hAnsi="Times New Roman;sans-serif"/>
          <w:b w:val="false"/>
          <w:color w:val="333333"/>
          <w:sz w:val="20"/>
          <w:shd w:fill="FFFFFF" w:val="clear"/>
        </w:rPr>
        <w:t>§240.10D-1(b)</w:t>
      </w:r>
      <w:r>
        <w:rPr>
          <w:rFonts w:ascii="Times New Roman;sans-serif" w:hAnsi="Times New Roman;sans-serif"/>
          <w:b w:val="false"/>
          <w:color w:val="000000"/>
          <w:sz w:val="20"/>
          <w:shd w:fill="FFFFFF" w:val="clear"/>
        </w:rPr>
        <w:t>. </w:t>
      </w:r>
      <w:r>
        <w:rPr>
          <w:rFonts w:ascii="Wingdings;sans-serif" w:hAnsi="Wingdings;sans-serif"/>
          <w:b w:val="false"/>
          <w:color w:val="000000"/>
          <w:sz w:val="20"/>
          <w:shd w:fill="FFFFFF" w:val="clear"/>
        </w:rPr>
        <w:t>o</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Indicate by check mark whether the registrant is a shell company (as defined in Rule 12b-2 of the Exchange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aggregate market value of the voting and non-voting common equity held by non-affiliates of the registrant computed as of June 28, 2024 (the last business day of the registrant’s most recently completed second fiscal quarter), based on the closing price of the Class A common stock on the Nasdaq Global Select Market, was $2,274.6 million.</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February 28, 2025, the registrant had 273,771,811 shares of Class A common stock outstanding.</w:t>
      </w:r>
    </w:p>
    <w:p>
      <w:pPr>
        <w:pStyle w:val="TextBody"/>
        <w:bidi w:val="0"/>
        <w:spacing w:lineRule="auto" w:line="288" w:before="240" w:after="283"/>
        <w:jc w:val="center"/>
        <w:rPr/>
      </w:pPr>
      <w:r>
        <w:rPr>
          <w:rFonts w:ascii="Times New Roman;sans-serif" w:hAnsi="Times New Roman;sans-serif"/>
          <w:b w:val="false"/>
          <w:color w:val="000000"/>
          <w:sz w:val="20"/>
          <w:u w:val="single"/>
          <w:shd w:fill="FFFFFF" w:val="clear"/>
        </w:rPr>
        <w:t>Documents Incorporated by Reference</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firstLine="90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Portions of the registrant’s definitive proxy statement for the registrant’s 2025 annual meeting are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Explanatory Note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New Fortress Energy Inc. (“NFE,” together with its subsidiaries, the “Company”) is filing this Amendment No. 1 on Form 10-K/A (this "Amendment") to its Annual Report on Form 10-K for the year ended December 31, 2024, originally filed with the Securities and Exchange Commission ("SEC") on March 10, 2025 (the "Original Form 10-K) to make certain changes as described below.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Subsequent to the filing of the Original Form 10-K, management identified a material weakness in internal control over financial reporting in connection with the preparation of the Company's interim unaudited financial statements for the interim period ended March 31, 2025. As a result, management reevaluated the effectiveness of the Company's disclosure controls and procedures and internal control over financial reporting, as further described in this Amendment. Notwithstanding the identified material weakness, management believes the consolidated financial statements contained in the Original Form 10-K</w:t>
      </w:r>
      <w:r>
        <w:rPr>
          <w:color w:val="000000"/>
        </w:rPr>
        <w:t xml:space="preserve"> </w:t>
      </w:r>
      <w:r>
        <w:rPr>
          <w:rFonts w:ascii="Times New Roman;sans-serif" w:hAnsi="Times New Roman;sans-serif"/>
          <w:b w:val="false"/>
          <w:color w:val="000000"/>
          <w:sz w:val="20"/>
          <w:shd w:fill="FFFFFF" w:val="clear"/>
        </w:rPr>
        <w:t>fairly present, in all material respects, the financial condition, results of operations and cash flows of the Company for all periods presented in accordance with accounting principles generally accepted in the United States of America, and that such</w:t>
      </w:r>
      <w:r>
        <w:rPr>
          <w:color w:val="000000"/>
        </w:rPr>
        <w:t xml:space="preserve"> </w:t>
      </w:r>
      <w:r>
        <w:rPr>
          <w:rFonts w:ascii="Times New Roman;sans-serif" w:hAnsi="Times New Roman;sans-serif"/>
          <w:b w:val="false"/>
          <w:color w:val="000000"/>
          <w:sz w:val="20"/>
          <w:shd w:fill="FFFFFF" w:val="clear"/>
        </w:rPr>
        <w:t xml:space="preserve">material weakness did not result in any change to the Company’s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statements as set forth in the Original Form 10-K. Accordingly, this Amendment is limited in scope and is being filed solely to amend:</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Cautionary Statement on Forward-Looking Statements.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Part I - Item 1A. Risk Factors to add an additional risk factor regarding the potential adverse impact that the failure to remediate the material weakness could have on our timely and accurate reporting of financial results. </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Part II - Item 8. Financial Statements and Supplementary Data to restate the Report of Independent Registered Public Accounting Firm, on the Company's internal control over financial reporting as of December 31, 2024 and to restate the Report of Independent Registered Public Accounting Firm on the Company’s consolidated financial statements updated to include a reference to their updated report on internal control over financial reporting, and the last three paragraphs of Note 30, Subsequent Events, to the consolidated financial statements.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Part II - Item 9A. Controls and Procedures related to the effectiveness of our disclosure controls and procedures.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Part IV - Item 15 Exhibits, Financial Statement Schedules to include currently dated (i) auditor consent, which is filed herewith as Exhibit 23.1 and (ii) certifications from the Company's Principal Executive Officer and Principal Financial Officer as required by Sections 302 and 906 of the Sarbanes Oxley Act of 2002, which certifications are filed herewith as Exhibits 31.1, 31.2, 32.1 and 32.2.</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Except (i) as described above and (ii) the additional subsequent events in Note 30, this Amendment does not update or amend the Original Form 10-K to give effect to any subsequent events beyond those that existed as of the Original Form 10-K filing date. This Amendment should thus be read in conjunction with the Original Form 10-K and any of the Company's other filings with the SEC subsequent to the Original Form 10-K, together with any amendments to those filings. Other than as identified above, this Amendment does not modify or update the disclosure in the Original Form 10-K in any way.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8356" w:type="dxa"/>
        <w:jc w:val="left"/>
        <w:tblInd w:w="0" w:type="dxa"/>
        <w:tblLayout w:type="fixed"/>
        <w:tblCellMar>
          <w:top w:w="28" w:type="dxa"/>
          <w:left w:w="28" w:type="dxa"/>
          <w:bottom w:w="28" w:type="dxa"/>
          <w:right w:w="28" w:type="dxa"/>
        </w:tblCellMar>
      </w:tblPr>
      <w:tblGrid>
        <w:gridCol w:w="760"/>
        <w:gridCol w:w="668"/>
        <w:gridCol w:w="668"/>
        <w:gridCol w:w="668"/>
        <w:gridCol w:w="668"/>
        <w:gridCol w:w="668"/>
        <w:gridCol w:w="1287"/>
        <w:gridCol w:w="1287"/>
        <w:gridCol w:w="1310"/>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4256" w:type="dxa"/>
            <w:gridSpan w:val="6"/>
            <w:tcBorders/>
          </w:tcPr>
          <w:p>
            <w:pPr>
              <w:pStyle w:val="TableContents"/>
              <w:bidi w:val="0"/>
              <w:spacing w:before="0" w:after="283"/>
              <w:jc w:val="left"/>
              <w:rPr>
                <w:sz w:val="4"/>
                <w:szCs w:val="4"/>
              </w:rPr>
            </w:pPr>
            <w:r>
              <w:rPr>
                <w:sz w:val="4"/>
                <w:szCs w:val="4"/>
              </w:rPr>
            </w:r>
          </w:p>
        </w:tc>
      </w:tr>
      <w:tr>
        <w:trPr/>
        <w:tc>
          <w:tcPr>
            <w:tcW w:w="798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13">
              <w:r>
                <w:rPr>
                  <w:rStyle w:val="InternetLink"/>
                  <w:rFonts w:ascii="Times New Roman;sans-serif" w:hAnsi="Times New Roman;sans-serif"/>
                  <w:b w:val="false"/>
                  <w:color w:val="0000FF"/>
                  <w:sz w:val="20"/>
                  <w:u w:val="single"/>
                </w:rPr>
                <w:t>CAUTIONARY STATEMENT ON FORWARD-LOOKING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3e915422741eeb6b98091c044781d_13">
              <w:r>
                <w:rPr>
                  <w:rStyle w:val="InternetLink"/>
                  <w:rFonts w:ascii="Times New Roman;sans-serif" w:hAnsi="Times New Roman;sans-serif"/>
                  <w:b w:val="false"/>
                  <w:strike w:val="false"/>
                  <w:dstrike w:val="false"/>
                  <w:color w:val="000000"/>
                  <w:sz w:val="20"/>
                  <w:u w:val="none"/>
                  <w:effect w:val="none"/>
                </w:rPr>
                <w:t>1</w:t>
              </w:r>
            </w:hyperlink>
          </w:p>
        </w:tc>
      </w:tr>
      <w:tr>
        <w:trPr/>
        <w:tc>
          <w:tcPr>
            <w:tcW w:w="798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16">
              <w:r>
                <w:rPr>
                  <w:rStyle w:val="InternetLink"/>
                  <w:rFonts w:ascii="Times New Roman;sans-serif" w:hAnsi="Times New Roman;sans-serif"/>
                  <w:b w:val="false"/>
                  <w:color w:val="0000FF"/>
                  <w:sz w:val="20"/>
                  <w:u w:val="single"/>
                </w:rPr>
                <w:t>PART I</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3e915422741eeb6b98091c044781d_16">
              <w:r>
                <w:rPr>
                  <w:rStyle w:val="InternetLink"/>
                  <w:rFonts w:ascii="Times New Roman;sans-serif" w:hAnsi="Times New Roman;sans-serif"/>
                  <w:b w:val="false"/>
                  <w:strike w:val="false"/>
                  <w:dstrike w:val="false"/>
                  <w:color w:val="000000"/>
                  <w:sz w:val="20"/>
                  <w:u w:val="none"/>
                  <w:effect w:val="none"/>
                </w:rPr>
                <w:t>3</w:t>
              </w:r>
            </w:hyperlink>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22">
              <w:r>
                <w:rPr>
                  <w:rStyle w:val="InternetLink"/>
                  <w:rFonts w:ascii="Times New Roman;sans-serif" w:hAnsi="Times New Roman;sans-serif"/>
                  <w:b w:val="false"/>
                  <w:strike w:val="false"/>
                  <w:dstrike w:val="false"/>
                  <w:color w:val="000000"/>
                  <w:sz w:val="20"/>
                  <w:u w:val="none"/>
                  <w:effect w:val="none"/>
                </w:rPr>
                <w:t>Item 1A.</w:t>
              </w:r>
            </w:hyperlink>
          </w:p>
        </w:tc>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22">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3e915422741eeb6b98091c044781d_22">
              <w:r>
                <w:rPr>
                  <w:rStyle w:val="InternetLink"/>
                  <w:rFonts w:ascii="Times New Roman;sans-serif" w:hAnsi="Times New Roman;sans-serif"/>
                  <w:b w:val="false"/>
                  <w:strike w:val="false"/>
                  <w:dstrike w:val="false"/>
                  <w:color w:val="000000"/>
                  <w:sz w:val="20"/>
                  <w:u w:val="none"/>
                  <w:effect w:val="none"/>
                </w:rPr>
                <w:t>3</w:t>
              </w:r>
            </w:hyperlink>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8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37">
              <w:r>
                <w:rPr>
                  <w:rStyle w:val="InternetLink"/>
                  <w:rFonts w:ascii="Times New Roman;sans-serif" w:hAnsi="Times New Roman;sans-serif"/>
                  <w:b w:val="false"/>
                  <w:color w:val="0000FF"/>
                  <w:sz w:val="20"/>
                  <w:u w:val="single"/>
                </w:rPr>
                <w:t>PART II</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3e915422741eeb6b98091c044781d_37">
              <w:r>
                <w:rPr>
                  <w:rStyle w:val="InternetLink"/>
                  <w:rFonts w:ascii="Times New Roman;sans-serif" w:hAnsi="Times New Roman;sans-serif"/>
                  <w:b w:val="false"/>
                  <w:strike w:val="false"/>
                  <w:dstrike w:val="false"/>
                  <w:color w:val="000000"/>
                  <w:sz w:val="20"/>
                  <w:u w:val="none"/>
                  <w:effect w:val="none"/>
                </w:rPr>
                <w:t>41</w:t>
              </w:r>
            </w:hyperlink>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88">
              <w:r>
                <w:rPr>
                  <w:rStyle w:val="InternetLink"/>
                  <w:rFonts w:ascii="Times New Roman;sans-serif" w:hAnsi="Times New Roman;sans-serif"/>
                  <w:b w:val="false"/>
                  <w:strike w:val="false"/>
                  <w:dstrike w:val="false"/>
                  <w:color w:val="000000"/>
                  <w:sz w:val="20"/>
                  <w:u w:val="none"/>
                  <w:effect w:val="none"/>
                </w:rPr>
                <w:t>Item 8.</w:t>
              </w:r>
            </w:hyperlink>
          </w:p>
        </w:tc>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88">
              <w:r>
                <w:rPr>
                  <w:rStyle w:val="InternetLink"/>
                  <w:rFonts w:ascii="Times New Roman;sans-serif" w:hAnsi="Times New Roman;sans-serif"/>
                  <w:b w:val="false"/>
                  <w:color w:val="0000FF"/>
                  <w:sz w:val="20"/>
                  <w:u w:val="single"/>
                </w:rPr>
                <w:t>Financial Statements and Supplementary Data.</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3e915422741eeb6b98091c044781d_88">
              <w:r>
                <w:rPr>
                  <w:rStyle w:val="InternetLink"/>
                  <w:rFonts w:ascii="Times New Roman;sans-serif" w:hAnsi="Times New Roman;sans-serif"/>
                  <w:b w:val="false"/>
                  <w:strike w:val="false"/>
                  <w:dstrike w:val="false"/>
                  <w:color w:val="000000"/>
                  <w:sz w:val="20"/>
                  <w:u w:val="none"/>
                  <w:effect w:val="none"/>
                </w:rPr>
                <w:t>41</w:t>
              </w:r>
            </w:hyperlink>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94">
              <w:r>
                <w:rPr>
                  <w:rStyle w:val="InternetLink"/>
                  <w:rFonts w:ascii="Times New Roman;sans-serif" w:hAnsi="Times New Roman;sans-serif"/>
                  <w:b w:val="false"/>
                  <w:strike w:val="false"/>
                  <w:dstrike w:val="false"/>
                  <w:color w:val="000000"/>
                  <w:sz w:val="20"/>
                  <w:u w:val="none"/>
                  <w:effect w:val="none"/>
                </w:rPr>
                <w:t>Item 9A.</w:t>
              </w:r>
            </w:hyperlink>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94">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3e915422741eeb6b98091c044781d_94">
              <w:r>
                <w:rPr>
                  <w:rStyle w:val="InternetLink"/>
                  <w:rFonts w:ascii="Times New Roman;sans-serif" w:hAnsi="Times New Roman;sans-serif"/>
                  <w:b w:val="false"/>
                  <w:strike w:val="false"/>
                  <w:dstrike w:val="false"/>
                  <w:color w:val="000000"/>
                  <w:sz w:val="20"/>
                  <w:u w:val="none"/>
                  <w:effect w:val="none"/>
                </w:rPr>
                <w:t>41</w:t>
              </w:r>
            </w:hyperlink>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4256" w:type="dxa"/>
            <w:gridSpan w:val="6"/>
            <w:tcBorders/>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8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121">
              <w:r>
                <w:rPr>
                  <w:rStyle w:val="InternetLink"/>
                  <w:rFonts w:ascii="Times New Roman;sans-serif" w:hAnsi="Times New Roman;sans-serif"/>
                  <w:b w:val="false"/>
                  <w:color w:val="0000FF"/>
                  <w:sz w:val="20"/>
                  <w:u w:val="single"/>
                </w:rPr>
                <w:t>PART IV</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3e915422741eeb6b98091c044781d_121">
              <w:r>
                <w:rPr>
                  <w:rStyle w:val="InternetLink"/>
                  <w:rFonts w:ascii="Times New Roman;sans-serif" w:hAnsi="Times New Roman;sans-serif"/>
                  <w:b w:val="false"/>
                  <w:strike w:val="false"/>
                  <w:dstrike w:val="false"/>
                  <w:color w:val="000000"/>
                  <w:sz w:val="20"/>
                  <w:u w:val="none"/>
                  <w:effect w:val="none"/>
                </w:rPr>
                <w:t>43</w:t>
              </w:r>
            </w:hyperlink>
          </w:p>
        </w:tc>
      </w:tr>
      <w:tr>
        <w:trPr/>
        <w:tc>
          <w:tcPr>
            <w:tcW w:w="2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124">
              <w:r>
                <w:rPr>
                  <w:rStyle w:val="InternetLink"/>
                  <w:rFonts w:ascii="Times New Roman;sans-serif" w:hAnsi="Times New Roman;sans-serif"/>
                  <w:b w:val="false"/>
                  <w:strike w:val="false"/>
                  <w:dstrike w:val="false"/>
                  <w:color w:val="000000"/>
                  <w:sz w:val="20"/>
                  <w:u w:val="none"/>
                  <w:effect w:val="none"/>
                </w:rPr>
                <w:t>Item 15.</w:t>
              </w:r>
            </w:hyperlink>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124">
              <w:r>
                <w:rPr>
                  <w:rStyle w:val="InternetLink"/>
                  <w:rFonts w:ascii="Times New Roman;sans-serif" w:hAnsi="Times New Roman;sans-serif"/>
                  <w:b w:val="false"/>
                  <w:color w:val="0000FF"/>
                  <w:sz w:val="20"/>
                  <w:u w:val="single"/>
                </w:rPr>
                <w:t>Exhibits, Financial Statement Schedules.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03e915422741eeb6b98091c044781d_124">
              <w:r>
                <w:rPr>
                  <w:rStyle w:val="InternetLink"/>
                  <w:rFonts w:ascii="Times New Roman;sans-serif" w:hAnsi="Times New Roman;sans-serif"/>
                  <w:b w:val="false"/>
                  <w:strike w:val="false"/>
                  <w:dstrike w:val="false"/>
                  <w:color w:val="000000"/>
                  <w:sz w:val="20"/>
                  <w:u w:val="none"/>
                  <w:effect w:val="none"/>
                </w:rPr>
                <w:t>43</w:t>
              </w:r>
            </w:hyperlink>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2004" w:type="dxa"/>
            <w:gridSpan w:val="3"/>
            <w:tcBorders/>
            <w:vAlign w:val="center"/>
          </w:tcPr>
          <w:p>
            <w:pPr>
              <w:pStyle w:val="TableContents"/>
              <w:bidi w:val="0"/>
              <w:spacing w:before="0" w:after="283"/>
              <w:jc w:val="left"/>
              <w:rPr>
                <w:sz w:val="4"/>
                <w:szCs w:val="4"/>
              </w:rPr>
            </w:pPr>
            <w:r>
              <w:rPr>
                <w:sz w:val="4"/>
                <w:szCs w:val="4"/>
              </w:rPr>
            </w:r>
          </w:p>
        </w:tc>
        <w:tc>
          <w:tcPr>
            <w:tcW w:w="38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8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130">
              <w:r>
                <w:rPr>
                  <w:rStyle w:val="InternetLink"/>
                  <w:rFonts w:ascii="Times New Roman;sans-serif" w:hAnsi="Times New Roman;sans-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03e915422741eeb6b98091c044781d_130">
              <w:r>
                <w:rPr>
                  <w:rStyle w:val="InternetLink"/>
                  <w:rFonts w:ascii="Times New Roman;sans-serif" w:hAnsi="Times New Roman;sans-serif"/>
                  <w:b w:val="false"/>
                  <w:strike w:val="false"/>
                  <w:dstrike w:val="false"/>
                  <w:color w:val="000000"/>
                  <w:sz w:val="20"/>
                  <w:u w:val="none"/>
                  <w:effect w:val="none"/>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STATEMENT ON FORWARD-LOOKING STATEMENTS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Annual Report on Form 10-K/A for the year ended December 31, 2024 (this “Annual Report”) contains forward-looking statements regarding, among other things, our plans, strategies, prospects and projections, both business and financial. All statements contained in this Annual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adequately addressing the substantial doubt as to our ability to continue as a going concern and satisfy our liquidity needs, including the consummation of our refinancing transactions intended to extend our debt maturities and enhance our liquidity;</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maintain effective internal control over financial reporting and disclosure controls and procedures, including our ability to remediate our material weakness in our internal control over financial reporting;</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results of our subsidiaries, affiliates, joint ventures and special purpose entities in which we invest and their ability to make dividends or distributions to us;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construction and operational risks related to our facilities and assets, including cost overruns and delays;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failure of LNG or natural gas to be a competitive source of energy in the markets in which we operate, and seek to operate;</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delays or failure to obtain and maintain approvals and permits from governmental and regulatory agencies;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failure to obtain a return on our investments for the development of our projects and assets and the implementation of our business strategy;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failure to maintain sufficient working capital for the development and operation of our business and assets;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failure to convert our customer pipeline into actual sales;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lack of asset, geographic or customer diversification, including loss of one or more of our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competition from third parties in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cyclical or other changes in the demand for and price of LNG and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procure LNG at necessary quantities or at favorable prices to meet customer demand, or otherwise to manage LNG supply and price risks, including hedging arrangements;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successfully develop and implement our technological solutions;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service our debt and comply with our covenant restrictions;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obtain additional financing to effect our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successfully complete mergers, sales, divestments or similar transactions related to our businesses or assets or to integrate such businesses or assets and realize the anticipated benefits;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economic, political, social and other risks related to the jurisdictions in which we do, or seek to do,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weather events or other natural or manmade disasters or phenomena;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any future pandemic or any other major health and safety incident;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increased labor costs, disputes or strikes, and the unavailability of skilled workers or our failure to attract and retain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the tax treatment of, or changes in tax laws applicable to, us or our business or of an investment in our Class A common stock; and</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other risks described in the “Risk Factors” section of this Annual Report.</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forward-looking statements speak only as of the date of this Annual Report. When considering forward-looking statements, you should keep in mind the risks set forth under “Item 1A. Risk Factors” and other cautionary statements included in this Annual Report.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Summary Risk Factors </w:t>
      </w:r>
    </w:p>
    <w:p>
      <w:pPr>
        <w:pStyle w:val="TextBody"/>
        <w:bidi w:val="0"/>
        <w:spacing w:lineRule="auto" w:line="256" w:before="0" w:after="0"/>
        <w:ind w:left="0" w:right="0" w:firstLine="360"/>
        <w:jc w:val="left"/>
        <w:rPr/>
      </w:pPr>
      <w:r>
        <w:rPr>
          <w:rFonts w:ascii="Times New Roman;sans-serif" w:hAnsi="Times New Roman;sans-serif"/>
          <w:b w:val="false"/>
          <w:color w:val="000000"/>
          <w:sz w:val="20"/>
        </w:rPr>
        <w:t>Some of the factors that could materially and adversely affect our business, financial condition, results of operations or prospects include the following</w:t>
      </w:r>
      <w:r>
        <w:rPr>
          <w:rFonts w:ascii="Times New Roman;sans-serif" w:hAnsi="Times New Roman;sans-serif"/>
          <w:b w:val="false"/>
          <w:color w:val="000000"/>
          <w:sz w:val="24"/>
          <w:shd w:fill="FFFFFF" w:val="clear"/>
        </w:rPr>
        <w: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Risks Related to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Our ability to implement our business strategy may be materially and adversely affected by many known and unknown factors;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have identified a material weakness in our internal control over financial reporting, and our management has concluded that our disclosure controls and procedures were not effective as of December 31, 2024;</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are subject to various construction risks;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Operation of our infrastructure, facilities and vessels involves significant risks;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depend on third-party contractors, operators and suppliers;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Failure of LNG to be a competitive source of energy in the markets in which we operate, and seek to operate, could adversely affect our expansion strategy;</w:t>
      </w:r>
    </w:p>
    <w:p>
      <w:pPr>
        <w:pStyle w:val="TextBody"/>
        <w:bidi w:val="0"/>
        <w:spacing w:lineRule="auto" w:line="288" w:before="20" w:after="283"/>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We operate in a highly regulated environment and our operations could be adversely affected by actions by governmental entities or changes to regulations and legislation;</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Failure to obtain and maintain permits, approvals and authorizations from governmental and regulatory agencies and third parties on favorable terms could impede operations and construction;</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When we invest significant capital to develop a project, we are subject to the risk that the project is not successfully developed and that our customers do not fulfill their payment obligations to us following our capital investment in a project;</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Our ability to generate revenues is substantially dependent on our current and future long-term agreements and the performance by customers under such agreements;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Our current lack of asset and geographic diversification could have an adverse effect on our business, contracts, financial condition, operating results, cash flow, liquidity and prospects;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Because we are currently dependent upon a limited number of customers, the loss of a significant customer could adversely affect our operating results;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We may not be able to convert our anticipated customer pipeline into binding long-term contracts, and if we fail to convert potential sales into actual sales, we will not generate the revenues and profits we anticipate;</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Cyclical or other changes in the demand for and price of LNG and natural gas may adversely affect our business and the performance of our customers;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Our risk management strategies cannot eliminate all LNG price and supply risks. In addition, any non-compliance with our risk management strategies could result in significant financial losses;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We are dependent on third-party LNG suppliers and the development of our own portfolio is subject to various risks and assumptions;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LNG that is processed, transported and/or stored on FSRUs and transported via pipeline is subject to risk of loss or damage;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rely on tankers and other vessels outside of our fleet for our LNG transportation and transfer;</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Hire rates for FSRUs and LNG carriers may fluctuate substantially. If rates are lower when we are seeking a new charter, our earnings may decline;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operation of our vessels is dependent on our ability to deploy our vessels to an NFE terminal or to long-term charters;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We seek to develop innovative and new technologies as part of our strategy that are not yet proven and may not realize the time and cost savings we expect to achieve;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Technological innovation may impair the economic attractiveness of our projects;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Our Fast LNG technology is not yet proven and we may not be able to implement it as planned or at all;</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Our data center infrastructure business has no operating history, and it may not be profitable;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have incurred, and may in the future incur, a significant amount of debt;</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Our business is dependent upon obtaining substantial additional funding from various sources, which may not be available or may only be available on unfavorable terms;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are subject to numerous governmental export laws, and trade and economic sanctions laws and regulations, and anti-corruption laws and regulation;</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may incur impairments to long-lived assets;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Increasing transportation regulations may increase our costs and negatively impact our results of operations;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chartered vessels operating in certain jurisdictions, including the United States, now or in the future, may be subject to cabotage laws, including the Merchant Marine Act of 1920, as amended (the “Jones Act”);</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Information technology failures and cyberattacks could affect us significantly;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insurance may be insufficient to cover losses that may occur to our property or result from our operations.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success depends on key members of our management;</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may experience increased labor costs and regulation, and the unavailability of skilled workers or our failure                 to attract and retain qualified personnel, as well as our ability to comply with such labor laws, could adversely affect us;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business could be affected adversely by labor disputes, strikes or work stoppages;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Risks Related to the Jurisdictions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are subject to the economic, political, social and other conditions in the jurisdictions in which we operate;</w:t>
      </w:r>
    </w:p>
    <w:p>
      <w:pPr>
        <w:pStyle w:val="TextBody"/>
        <w:bidi w:val="0"/>
        <w:spacing w:lineRule="auto" w:line="288" w:before="0" w:after="0"/>
        <w:ind w:left="0" w:right="0" w:hanging="360"/>
        <w:jc w:val="left"/>
        <w:rPr/>
      </w:pPr>
      <w:r>
        <w:rPr>
          <w:color w:val="000000"/>
          <w:shd w:fill="FFFFFF" w:val="clear"/>
        </w:rPr>
        <w:t>•     </w:t>
      </w:r>
      <w:r>
        <w:rPr>
          <w:rFonts w:ascii="Times New Roman;sans-serif" w:hAnsi="Times New Roman;sans-serif"/>
          <w:b w:val="false"/>
          <w:color w:val="000000"/>
          <w:sz w:val="20"/>
          <w:shd w:fill="FFFFFF" w:val="clear"/>
        </w:rPr>
        <w:t>Our financial condition and operating results may be adversely affected by foreign exchange fluctuations;</w:t>
      </w:r>
      <w:r>
        <w:rPr>
          <w:color w:val="000000"/>
        </w:rPr>
        <w:t xml:space="preserve"> </w:t>
      </w:r>
    </w:p>
    <w:p>
      <w:pPr>
        <w:pStyle w:val="TextBody"/>
        <w:bidi w:val="0"/>
        <w:spacing w:lineRule="auto" w:line="288" w:before="0" w:after="0"/>
        <w:ind w:left="0" w:right="0" w:firstLine="36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Risks Related to Ownership of Our Class A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market price and trading volume of our Class A common stock may be volatile, which could result in rapid and substantial losses for our stockholders;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 xml:space="preserve">A small number of our original investors have the ability to direct a significant amount of our common stock, and their interests may conflict with those of our other stockholders;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declaration and payment of dividends to holders of our Class A common stock is at the discretion of our board of directors and we do not expect to pay dividends for the foreseeable future;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Sales or issuances of our Class A common stock could adversely affect the market price of our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General Risks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a holding company and our operational and consolidated financial results are dependent on the results of our subsidiaries, affiliates, joint ventures and special purpose entities in which we invest</w:t>
      </w:r>
      <w:r>
        <w:rPr>
          <w:rFonts w:ascii="Times New Roman;sans-serif" w:hAnsi="Times New Roman;sans-serif"/>
          <w:b w:val="false"/>
          <w:color w:val="000000"/>
          <w:sz w:val="24"/>
          <w:shd w:fill="FFFFFF" w:val="clear"/>
        </w:rPr>
        <w: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 xml:space="preserve">We may engage in mergers, sales and acquisitions, reorganizations or similar transactions related to our businesses or assets in the future and we may fail to successfully complete such transaction or to realize the expected value;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A change in tax laws in any country in which we operate could adversely affect us;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We have been and may be involved in legal proceedings and may experience unfavorable outcomes.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We have identified a material weakness in our internal control over financial reporting, and our management has concluded that our disclosure controls and procedures were not effective as of December 31, 2024. Failure to remediate the material weakness or any other material weaknesses that we identify in the future, or if we otherwise fail to maintain an effective system of internal controls, could result in material misstatements in our financial statements and impact our ability to accurately or timely report our financial condition or results of operations. In addition, investors may lose confidence in the accuracy and completeness of our financial reports and the trading price of our common stock may decline.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404 of the Sarbanes-Oxley Act of 2002, as amended,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to the filing of the Original Form 10-K, management identified a material weakness in internal control over financial reporting in connection with the preparation of the Company’s interim unaudited financial statements for the interim period ended March 31, 2025. As a result, management reevaluated the effectiveness of the Company’s disclosure controls and procedures and internal control over financial reporting and concluded that our disclosure controls and procedures were not effective as of December 31, 2024, as further described in this Amendment.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For further discussion of the material weaknesses, see Item 9A, Controls and Procedures.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in the process of implementing remediation plans intended to address this material weakness. However, we may not be successful in remediating the material weakness identified by management, or be able to identify and remediate additional control deficiencies, including material weaknesses, in the future. If not remediated, our failure to establish and maintain effective disclosure controls and procedures and internal control over financial reporting could result in material misstatements in our financial statements and a failure to meet our reporting and financial obligations, including stock exchange listing requirements and debt instruments' covenants regarding the timely filing of periodic reports, and adversely impact our liquidity, access to capital markets and perceptions of our creditworthiness, each of which could have a material adverse effect on our financial condition and the trading price of our common stock or cause investors or customers to lose confidence in our reported financial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continue as a going concern is dependent upon our ability to complete certain transactions and delay capital expenditures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discussed in note 2 to the financial statements, under ASC 205-40, when first assessing whether substantial doubt is raised about the entity’s ability to continue as a going concern, management cannot consider the potential mitigating effects of its plans that have not been fully implemented at the assessment date. Management has concluded that the Company’s current liquidity and forecasted cash flows (which exclude the effect of the Transactions as defined below), from operations are not sufficient to support, in full, obligations as they become due. Management has approved a plan to support its liquidity position by: (i) delaying certain discretionary payments, including planned capital expenditures and dividends, that are within management’s control, and (ii) continuously renewing the LNG cargo financing facility over the succeeding twelve months. Management’s plan also includes the availability of a backstop agreement that was executed in March 2025 and provides up to $100 million of availability. Management concluded that such plans are probable of being implemented and the Company will have sufficient liquidity to meet its obligations as they become due over the next twelve months from the date that the consolidated financial statements were issued. In addition to management’s plan outlined above, the Company continues to explore asset sales, settlement of claims and other strategic transactions (collectively, the “Transactions”) that seek to optimize the value of the Company’s portfolio while providing additional liquidity and cash flow to the Company. However, there are inherent uncertainties, as the execution of the Transactions are outside of management’s control and therefore there are no assurances that these transactions will be executed. Furthermore, there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inherent risks with the Company’s ability to continue to implement plans in future periods that will support its liquidity position, such as its ability to further extend the terms of vendor payments and other obligations.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implement our business strategy may be materially and adversely affected by many known and unknown factors.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strategy relies on a variety of factors, including our ability to successfully market LNG, natural gas, steam, and power to our customers, develop and maintain cost-effective logistics in our supply chain and construct, develop and operate energy-related infrastructure in the countries where we operate, and expand our projects and operations to other countries where we do not currently operate, among others. These assumptions are subject to significant economic, competitive, regulatory and operational uncertainties, contingencies and risks, many of which are beyond our control, including, among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inability to achieve our target costs for the purchase, liquefaction and export of natural gas and/or LNG and our target pricing for long-term contracts;</w:t>
      </w:r>
    </w:p>
    <w:p>
      <w:pPr>
        <w:pStyle w:val="TextBody"/>
        <w:bidi w:val="0"/>
        <w:spacing w:lineRule="auto" w:line="288" w:before="240" w:after="283"/>
        <w:ind w:left="0" w:right="0" w:hanging="360"/>
        <w:jc w:val="left"/>
        <w:rPr>
          <w:color w:val="000000"/>
        </w:rPr>
      </w:pPr>
      <w:r>
        <w:rPr>
          <w:color w:val="000000"/>
        </w:rPr>
        <w:t>•     </w:t>
      </w:r>
      <w:r>
        <w:rPr>
          <w:rFonts w:ascii="Times New Roman;sans-serif" w:hAnsi="Times New Roman;sans-serif"/>
          <w:b w:val="false"/>
          <w:color w:val="000000"/>
          <w:sz w:val="20"/>
        </w:rPr>
        <w:t>failure to develop strategic relationships;</w:t>
      </w:r>
    </w:p>
    <w:p>
      <w:pPr>
        <w:pStyle w:val="TextBody"/>
        <w:bidi w:val="0"/>
        <w:spacing w:lineRule="auto" w:line="288" w:before="240" w:after="283"/>
        <w:ind w:left="0" w:right="0" w:hanging="360"/>
        <w:jc w:val="left"/>
        <w:rPr>
          <w:color w:val="000000"/>
        </w:rPr>
      </w:pPr>
      <w:r>
        <w:rPr>
          <w:color w:val="000000"/>
        </w:rPr>
        <w:t>•     </w:t>
      </w:r>
      <w:r>
        <w:rPr>
          <w:rFonts w:ascii="Times New Roman;sans-serif" w:hAnsi="Times New Roman;sans-serif"/>
          <w:b w:val="false"/>
          <w:color w:val="000000"/>
          <w:sz w:val="20"/>
        </w:rPr>
        <w:t>failure to obtain required governmental and regulatory approvals for the construction and operation of these projects and other relevant approvals;</w:t>
      </w:r>
    </w:p>
    <w:p>
      <w:pPr>
        <w:pStyle w:val="TextBody"/>
        <w:bidi w:val="0"/>
        <w:spacing w:lineRule="auto" w:line="288" w:before="240" w:after="283"/>
        <w:ind w:left="0" w:right="0" w:hanging="360"/>
        <w:jc w:val="left"/>
        <w:rPr>
          <w:color w:val="000000"/>
        </w:rPr>
      </w:pPr>
      <w:r>
        <w:rPr>
          <w:color w:val="000000"/>
        </w:rPr>
        <w:t>•     </w:t>
      </w:r>
      <w:r>
        <w:rPr>
          <w:rFonts w:ascii="Times New Roman;sans-serif" w:hAnsi="Times New Roman;sans-serif"/>
          <w:b w:val="false"/>
          <w:color w:val="000000"/>
          <w:sz w:val="20"/>
        </w:rPr>
        <w:t>unfavorable laws and regulations, changes in laws or unfavorable interpretation or application of laws and regulations; and</w:t>
      </w:r>
    </w:p>
    <w:p>
      <w:pPr>
        <w:pStyle w:val="TextBody"/>
        <w:bidi w:val="0"/>
        <w:spacing w:lineRule="auto" w:line="288" w:before="240" w:after="283"/>
        <w:ind w:left="0" w:right="0" w:hanging="360"/>
        <w:jc w:val="left"/>
        <w:rPr>
          <w:color w:val="000000"/>
        </w:rPr>
      </w:pPr>
      <w:r>
        <w:rPr>
          <w:color w:val="000000"/>
        </w:rPr>
        <w:t>•     </w:t>
      </w:r>
      <w:r>
        <w:rPr>
          <w:rFonts w:ascii="Times New Roman;sans-serif" w:hAnsi="Times New Roman;sans-serif"/>
          <w:b w:val="false"/>
          <w:color w:val="000000"/>
          <w:sz w:val="20"/>
        </w:rPr>
        <w:t>uncertainty regarding the timing, pace and extent of economic growth in the United States, the other jurisdictions in which we operate and elsewhere, which in turn will likely affect demand for crude oil and natural gas.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various construction risks.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engineering, environmental or geological problems;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shortages or delays in the delivery of equipment and supplies;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 or regulatory approvals, permits or other authorizations;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to meet technical specifications or adjustments being required based on testing or commissioning;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construction, commissioning or operating accidents that could result in personal injury or loss of life;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lack of adequate and qualified personnel to execute the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weather interference;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labor shortages, work stoppages or labor union disputes.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and additional operational monitoring and balancing requirements that may impact the design of facilities to be constructed.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Jurisdictions in Which We Operate—We are subject to the economic, political, social and other conditions in the jurisdictions in which we operate.”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including most recently with our First LNG project in Altamira, Mexico, and no assurance can be given that we will not continue to experience in the future similar events, any of which could have a material adverse effect on our business, operating results, cash flows and liquidity.</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Operation of our infrastructure, facilities and vessels involves significant risks.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existing infrastructure, facilities and vessels and expected future operations and businesses face operational risks, including, but not limited to,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performing below expected levels of efficiency or capacity or required changes to specifications for continued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breakdowns or failures of equipment or shortages or delays in the delivery of supplies;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operational errors by trucks, including trucking accidents while transporting natural gas, LNG or any other chemical or hazardous substance;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risks related to operators and service providers of tankers or tugs used in our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operational errors by us or any contracted facility, port or other operator of related third-party infrastructure;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to maintain the required government or regulatory approvals, permits or other authorizations;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accidents, fires, explosions or other events or catastrophes;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lack of adequate and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labor shortages, work stoppages or labor union disputes;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weather-related or natural disaster interruptions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pollution, release of or exposure to toxic substances or environmental contamination affecting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inability, or failure, of any counterparty to any facility-related agreements to perform their contractual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decreased demand by our customers;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planned and unplanned power outages or failures to supply due to scheduled or unscheduled maintenance.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particular, we are subject to risks related to the operation of power plants, liquefaction facilities, marine and other LNG operations with respect to our facilities, FSRU and LNG carriers, which operations are complex and technically 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our control.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depend on third-party contractors, operators and suppliers.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indemnification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their respective agreements. Furthermore, we may have disagreements with our contractors about different elements of the construction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performance expectations, or if we experience delays or cost overruns in design, construction, commissioning or operation, our business, operating results, cash flows and liquidity could be materially and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Failure of LNG to be a competitive source of energy in the markets in which we operate, and seek to operate, could adversely affect our expansion strategy.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LNG prices have increased materially in the past, including in August 2021 through the end of 2022, and global events, such as Russia’s invasion of Ukraine and global inflationary pressures, have generated further energy pricing volatility, which have had and may in the future have an adverse effect on market pricing of LNG and global demand for our products, as well as our ability to remain competitive in the markets in which we operate. Potential expansion in the Caribbean, Latin America and other parts of the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 nuclear, hydrogen,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operate in a highly regulated environment and our operations could be adversely affected by actions by governmental entities or changes to regulations and legislation.</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these rules and regulations are assessed, managed, administered and enforced by various governmental agencies and bodies, whose actions and decisions could adversely affect our business or operations.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Puerto Rico,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On July 1, 2024, the Western District of Louisiana stayed the pause in its entirety, The Biden Administration appealed the ruling in August 2024 and litigation remains ongoing. On December 17, 2024, the DOE publicly released a multi-volume study of its view of the potential effects of U.S. LNG exports on the domestic economy; U.S. households and consumers; communities that live near locations where natural gas is produced or exported; domestic and international energy security, including effects of U.S. trading partners; and the environment and climate. The DOE stated that it intends to use this study to inform its public interest review of and future decisions regarding exports to non-FTA nations. The study is subject to a sixty-day public comment period and the finalization of the study and any application of it in future decision-making will be determined by the new presidential administration. Although President Trump oppose the DOE pause on export authorizations and advocated prompt of new authorizations during his presidential campaign, we expect that most DOE long-term, non-FTA authorizations will continue to experience delays. While the Trump Administration is widely expected to support LNG exports, there can be no assurance as to its views of the recently released DOE study or its future policies, or the impact of those policies on our existing and future projects.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but also found that allowing operation of the San Juan Facility to continue during the pendency of an application is in the public interest. In order to comply with the FERC’s directive, on September 15, 2021, we filed an application for authorization to operate the San Juan Facility, which remains pending.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obtain and maintain permits, approvals and authorizations from governmental and regulatory agencies and third parties on favorable terms could impede operations and construction.</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w:t>
      </w:r>
      <w:r>
        <w:rPr>
          <w:rFonts w:ascii="Times New Roman;sans-serif" w:hAnsi="Times New Roman;sans-serif"/>
          <w:b w:val="false"/>
          <w:color w:val="000000"/>
          <w:sz w:val="20"/>
          <w:shd w:fill="FFFFFF" w:val="clear"/>
        </w:rPr>
        <w:t xml:space="preserve">Jurisdiction-specific employment, labor, and subcontracting laws may also affect contracting strategies and impact construction and operations. </w:t>
      </w:r>
      <w:r>
        <w:rPr>
          <w:rFonts w:ascii="Times New Roman;sans-serif" w:hAnsi="Times New Roman;sans-serif"/>
          <w:b w:val="false"/>
          <w:color w:val="000000"/>
          <w:sz w:val="20"/>
        </w:rPr>
        <w:t xml:space="preserve">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such as Mexico and Brazil. For example, in Mexico, we have obtained substantially all permits but are awaiting final approvals for our power plant and permits necessary to operate our terminal. In connection with our application to the U.S. Maritime Administration ("MARAD") related to our FLNG project off the coast of Louisiana (as discussed further below), MARAD announced it had initially paused the statutory 356-day application review timeline on August 16, 2022 pending receipt of additional information, and restarted the timeline on October 28, 2022. MARAD issued a second stop notice on November 23, 2022 and on December 22, 2022, MARAD issued a third data request for supplemental information. Following review of NFE's response to the December 2022 data requests, MARAD extended the stop-clock on February 21, 2023 pending clarification of responses and receipt of additional information. In addition, j</w:t>
      </w:r>
      <w:r>
        <w:rPr>
          <w:rFonts w:ascii="Times New Roman;sans-serif" w:hAnsi="Times New Roman;sans-serif"/>
          <w:b w:val="false"/>
          <w:color w:val="000000"/>
          <w:sz w:val="20"/>
          <w:shd w:fill="FFFFFF" w:val="clear"/>
        </w:rPr>
        <w:t xml:space="preserve">urisdiction-specific employment, labor, and subcontracting laws may also affect contracting strategies and impact construction and operations. </w:t>
      </w:r>
      <w:r>
        <w:rPr>
          <w:rFonts w:ascii="Times New Roman;sans-serif" w:hAnsi="Times New Roman;sans-serif"/>
          <w:b w:val="false"/>
          <w:color w:val="000000"/>
          <w:sz w:val="20"/>
        </w:rPr>
        <w:t>No assurance can be given that we will be able to obtain approval of all applications or receive the required permits, approvals and authorizations from governmental and regulatory agencies related to our projects with favorable terms on a timely basis or at all. We intend to apply for updated permits for the Pennsylvania Facility with the aim of obtaining these permits to coincide with the commencement of construction activities. We cannot make any assurance as to if or when we will receive these permits, which are needed prior to commencing certain construction activities related to the facility. Any administrative and judicial challenges to our permits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In addition, our LNG transportation activities are subject to broad array of regulations, and our operations are dependent upon obtaining and maintaining required permits and authorizations,. For example, the United States Coast Guard ("USCG") regulates the navigable waterways through which vessels we own, lease or direct must traverse to supply LNG in Puerto Rico. Our business in Puerto Rico must comply with all applicable Coast Guard regulations. If we are incorrect in our interpretation of applicable requirements, of if there is a change in the interpretation or application of those requirements, the Coast Guard could determine that we have not compiled with applicable requirements, which could lead to fines or restrictions on our operations. For example, on September 26, 2024, we received a letter from the Coast Guard alleging that some aspects of our vessel operations may not comply with all applicable requirements. On October 21, 2024, we filed an appeal with USCG under 33 CFR 160.7. However, in December 2024 and February 2025, we submitted an updated Letter of Intent and Waterway Suitability Assessments detailing our alternative operational plans to the USCG and are working collaboratively with the USCG to obtain a new Letter of Recommendation to FERC in support of our operations, which we expect to be imminently forthcoming. In concert with our collaboration with the USCG regarding our new operational plans, we withdrew our appeal on February 14, 2025.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When we invest significant capital to develop a project, we are subject to the risk that the project is not successfully developed and that our customers do not fulfill their payment obligations to us following our capital investment in a project.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key part of our business strategy is to attract new customers by agreeing to finance and develop new facilities, power plants, liquefaction facilities and related infrastructure in order to win new customer contracts for the supply of natural gas, LNG, steam or power. We intend to employ a similar strategy for our Klondike business.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liquidity, results of operations and financial condition could be materially and adversely affected, and we could face the inability to comply with the terms of our existing debt or other agreements, which would exacerbate these adverse effects.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maintain sufficient working capital could limit our growth and harm our business, financial condition and results of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significant working capital requirements, primarily driven by the time difference between the time when we incur costs to build and/or purchase our Facilities and other projects and the time in which we receive revenues from customers after such Facilities and other projects are complete. We also experience timing date differences between the date we pay for natural gas and the payment dates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generate revenues is substantially dependent on our current and future long-term agreements and the performance by customers under such agreements.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our cash flow in periods when the market price for shipping LNG is depressed or insufficient funds are available to cover our financing costs for related vessels.</w:t>
      </w:r>
      <w:r>
        <w:rPr>
          <w:color w:val="000000"/>
        </w:rPr>
        <w:t xml:space="preserve"> </w:t>
      </w:r>
      <w:r>
        <w:rPr>
          <w:rFonts w:ascii="Times New Roman;sans-serif" w:hAnsi="Times New Roman;sans-serif"/>
          <w:b w:val="false"/>
          <w:color w:val="000000"/>
          <w:sz w:val="20"/>
        </w:rPr>
        <w:t>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increase the risk of nonpayment and nonperformance by customers, particularly customers that have sub-investment grade credit ratings. For example,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current lack of asset and geographic diversification could have an adverse effect on our business, contracts, financial condition, operating results, cash flow, liquidity and prospects.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results of operations for the year ended December 31, 2024, include our Montego Bay Facility, Old Harbour Facility, San Juan Facility and certain industrial end-users. In addition, we placed a portion of our La Paz Facility into service in the fourth quarter of 2021, and our revenue and results of operations have begun to be impacted by operations in Mexico, including agreements with certain power generation facilities in Baja California Sur. Our results in 2024 exclude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other developments, including our Puerto Sandino Facility, the Barcarena Facility, Santa Catarina Facility and Ireland Facility. Jamaica, Mexico and Puerto Rico have historically experienced economic volatility and the general condition and performance of their economies, over which we have no control, may affect our business, financial condition and results of operations. Jamaica, Mexico and Puerto Rico are subject to acts of terrorism or sabotage and natural disasters, in particular hurricanes, extreme weather conditions, crime and similar other risks which may negatively impact our operations in the region. See “—</w:t>
      </w:r>
      <w:r>
        <w:rPr>
          <w:rFonts w:ascii="Times New Roman;sans-serif" w:hAnsi="Times New Roman;sans-serif"/>
          <w:b w:val="false"/>
          <w:i/>
          <w:color w:val="000000"/>
          <w:sz w:val="20"/>
          <w:shd w:fill="FFFFFF" w:val="clear"/>
        </w:rPr>
        <w:t>Risks Related to the Jurisdictions in Which We Operate—We are subject to the economic, political, social and other conditions in the jurisdictions in which we operate.</w:t>
      </w:r>
      <w:r>
        <w:rPr>
          <w:color w:val="000000"/>
          <w:shd w:fill="FFFFFF" w:val="clear"/>
        </w:rPr>
        <w:t xml:space="preserve">” </w:t>
      </w:r>
      <w:r>
        <w:rPr>
          <w:rFonts w:ascii="Times New Roman;sans-serif" w:hAnsi="Times New Roman;sans-serif"/>
          <w:b w:val="false"/>
          <w:color w:val="000000"/>
          <w:sz w:val="20"/>
          <w:shd w:fill="FFFFFF" w:val="clear"/>
        </w:rPr>
        <w:t>We may also be affected by trade restrictions, such as tariffs or other trade controls. Additionally, tourism is a significant driver of economic activity in these geographies and directly and indirectly affects local demand for our LNG and therefore 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Because we are currently dependent upon a limited number of customers, the loss of a significant customer could adversely affect our operating results.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results of operations and liquidity are, and will continue to be in the near future, substantially dependent upon a limited number of customers, including JPS, SJPC, CFE and PREPA, which have each entered into long-term GSAs and, in the case of JPS, a PPA in relation to the power produced at the CHP Plant, with us, and Jamalco, which has entered into a long-term SSA with us, and which represent a substantial majority of our income.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or the early termination of any of these contracts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convert our anticipated customer pipeline into binding long-term contracts, and if we fail to convert potential sales into actual sales, we will not generate the revenues and profits we anticipate.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responses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to the counterparty, or we may sell much less volume than we estimate, which could result in our inability to generate the revenues and profits we anticipate, having a material adverse effect on our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contracts with our customers are subject to termination under certain circumstances.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upon the occurrence of certain events of force majeure;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fail to make available specified scheduled cargo quantities;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occurrence of certain uncured payment defaults;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occurrence of an insolvency event;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occurrence of certain uncured, material breaches; and</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have short-term customer contracts with renewal rights which the customer may choose not to renew. 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Competition in the LNG industry is intense, and some of our competitors have greater financial, technological and other resources than we currently possess.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majority of our revenue is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among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worldwide LNG production capacity and availability of LNG for market supply;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demand for natural gas but at levels below those required to maintain current price equilibrium with respect to supply;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the cost to supply natural gas feedstock to our liquefaction projects;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the cost to supply LNG feedstock to our facilities;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decreases in the cost of competing sources of natural gas, LNG or alternate fuels such as coal, HFO and ADO;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decreases in the price of LNG;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displacement of LNG or fossil fuels more broadly by alternate fuels or energy sources or technologies (including but not limited to nuclear, wind, hydrogen,solar, biofuels and batteries) in locations where access to these energy sources is not currently available or prevalent.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Cyclical or other changes in the demand for and price of LNG and natural gas may adversely affect our business and the performance of our customers.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additions to competitive regasification capacity in North America, Brazil, Europe, Asia and other markets, which could divert LNG or natural gas from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imposition of tariffs by China or any other jurisdiction on imports of LNG from the United States;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insufficient or oversupply of natural gas liquefaction or export capacity worldwide;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insufficient LNG tanker capacity;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weather conditions and natural disasters;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reduced demand and lower prices for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increased natural gas production deliverable by pipelines, which could suppress demand for LNG;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decreased oil and natural gas exploration activities, including shut-ins and possible proration, which may decrease the production of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 improvements that allow competitors to offer LNG regasification services at reduced prices;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supplies of, and prices for, alternative energy sources, such as coal, oil, nuclear, hydroelectric, wind and solar energy, which may reduce the demand for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regulatory, tax or other governmental policies regarding imported or exported LNG, natural gas or alternative energy sources, which may reduce the demand for imported or exported LNG and/or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political conditions in natural gas producing regions;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relative demand for LNG compared to other markets, which may decrease LNG imports into or exports from North America;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cyclical trends in general business and economic conditions that cause changes in the demand for natural gas.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Certain actions by the Organization of Petroleum Exporting Countries ("OPEC") related to the supply of oil in the market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as in recent years, market conditions may increase LNG values to historically high levels. These elevated market values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 economic indemnification upon an LNG seller’s failure to deliver an LNG cargo to us.</w:t>
      </w:r>
      <w:r>
        <w:rPr>
          <w:color w:val="000000"/>
        </w:rPr>
        <w:t xml:space="preserve"> </w:t>
      </w:r>
      <w:r>
        <w:rPr>
          <w:rFonts w:ascii="Times New Roman;sans-serif" w:hAnsi="Times New Roman;sans-serif"/>
          <w:b w:val="false"/>
          <w:color w:val="000000"/>
          <w:sz w:val="20"/>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risk management strategies cannot eliminate all LNG price and supply risks. In addition, any non-compliance with our risk management strategies could result in significant financial losses.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Any use of hedging arrangements may adversely affect our future operating results or liquidity.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dependent on third-party LNG suppliers and the development of our own portfolio is subject to various risks and assumptions.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GSAs, PPAs, capacity reservation agreements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be able to purchase or receive physical delivery of sufficient quantities of LNG to satisfy those delivery obligations, which may provide a counterparty with the right to terminate its GSA, PPA, capacity reservation agreement or SSA, as applicable, or subject us to remedial obligations under those agreements. While we have entered into supply agreements for the purchase of LNG between 2024 and 2047,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of our own portfolio of LNG is subject to various risks and assumptions. In particular, the estimation of proved gas reserves involves subjective judgements and determinations based on available geological, technical, contractual, and economic information. Estimates can change over time because of new information from production or drilling activities, changes in economic factors, such as oil and gas prices, alterations in the regulatory policies of host governments, or other events. Estimates also change to reflect acquisitions, divestments, new discoveries, extensions of existing fields and mines, and improved recovery techniques. Published proved gas reserves estimates could also be subject to correction because of errors in the application of rules and changes in guidance. Downward adjustments could indicate lower future production volumes and could also lead to impairment of assets. This could have a material adverse effect on our business, operating results, cash flows and liquidity.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capacity reservation agreements and SSAs or at favorable terms. Under tanker charters, we are obligated to make payments for our chartered tankers regardless of use. We may not be able to enter into contracts with purchasers of LNG in quantities equivalent to or greater than the amount of tanker capacity we have purchased, as our vessels may be too 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“—General Risks—We are and may be involved in legal proceedings and may experience unfavorable outcomes.” These actions could also expose us to adverse publicity, which might adversely affect our reputation and therefore, our results of operations. Further, it could have an adverse effect on our business, operating results, cash flows and liquidity, which could in turn materially and adversely affect our liquidity to make payments on our debt or comply with our financial ratios and other covenants. See “—We have incurred, and may in the future incur, a significant amount of debt.”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LNG that is processed, transported and/or stored on FSRUs and transported via pipeline is subject to risk of loss or damage.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LNG processed, transported and stored on FSRUs may be subject to loss or damage resulting from equipment malfunction, faulty handling, cargo ageing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tankers and other vessels outside of our fleet for our LNG transportation and transfer.</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own fleet of vessels, we rely on third-party ocean-going tankers and freight carriers (for ISO containers) for the transportation of LNG and use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charter rates result from changes in the supply of LNG tankers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sanctions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Hire rates for FSRUs and LNG carriers may fluctuate substantially. If rates are lower when we are seeking a new charter, our earnings may decline.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Hire rates for FSRUs and LNG carriers fluctuate over time as a result of changes in the supply-demand balance relating to the market requirements for FSRUs and LNG carries and future FSRU and LNG carrier capacity. This supply-demand relationship largely depends on a 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and LNG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fully utilize the capacity of our FSRUs and other facilities.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FSRU facilities have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timing of start-up of new third party projects and factors outside of our control such as the price of and demand for LNG for a particular project. Failure to secure commitments for less than full capacity could impact our future revenues and materially adversely affect our business, financial condition and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operation of our vessels is dependent on our ability to deploy our vessels to an NFE terminal or to long-term charters.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strategy for our FSRU and LNG carriers is to provide steady and reliable shipping, regasification and offshore operations to NFE terminals and, to the extent favorable to our business, replace or enter into new long-term carrier time charters for our vessels. For new LNG projects, LNG ships continue to be provided on a long-term basis, though the level of spot voyages and short-term time charters of less than 12 months in duration together with medium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charters of up to five years has increased in recent years. This trend is expected to continue as the spot market for LNG expands and becomes more liquid. More frequent changes to vessel sizes, propulsion technology and emissions profile, retirements of older vessels,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the deliveries from that vessel, but we will be required to pay expenses necessary to maintain the vessel in seaworthy operating condition.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Vessel values may fluctuate substantially and, if these values are lower at a time when we are attempting to dispose of vessels, we may incur a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values can fluctuate substantially over time due to a number of different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prevailing economic conditions in the natural gas and energy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substantial or extended decline in demand for LNG;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the supply of vessel capacity without a commensurate increase in demand;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size, tank type and age of a vessel;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of retrofitting, steel prices or modifying existing vessels, as a result of technological advances in vessel design or equipment, changes in applicable environmental or other regulations or standards, customer requirements or otherwise.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our owned or chartered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could be significant and subject to market pricing.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 a vessel is subject to a charter, we will not be permitted to sell it to take advantage of increases in vessel values without the charterers’ consent. If a charter terminates, we may be unable to re-deploy the affected vessels at market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our vessels may not represent their fair market value at any point in time because the market prices of secondhand vessels tend to fluctuate with changes in charter rates, vessel availability and the cost of new build vessels, steel prices and foreign exchange rates. Our vessels are reviewed for impairment whenever events or changes in circumstances indicate that the carrying amount may not be recoverable. We recognized an impairment charge on one of our vessels for the year ended December 31, 2023 and we cannot assure you that we will not recognize impairment losses on our vessels in future years. Any impairment charges incurred as a result of declines in charter rates could negatively affect our business, financial condition, or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Maritime claimants could arrest our vessels, which could interrupt our cash flow.</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detained (for as few as 14 days in the case of one of our charters) as a result of a claim against us, we may be in default of our charter and the charterer may terminate the charter. This would negatively impact our revenues and cash flows.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seek to develop innovative and new technologies as part of our strategy that are not yet proven and may not realize the time and cost savings we expect to achieve.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 project.</w:t>
      </w:r>
      <w:r>
        <w:rPr>
          <w:color w:val="000000"/>
        </w:rPr>
        <w:t xml:space="preserve"> </w:t>
      </w:r>
      <w:r>
        <w:rPr>
          <w:rFonts w:ascii="Times New Roman;sans-serif" w:hAnsi="Times New Roman;sans-serif"/>
          <w:b w:val="false"/>
          <w:color w:val="000000"/>
          <w:sz w:val="20"/>
        </w:rPr>
        <w:t>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is not yet proven and we may not be able to implement it as planned or at all.” We are also making investments to develop green hydrogen energy technologies as part of our long-term goal to become one of the world’s leading providers of carbon-free energy.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Technological innovation may impair the economic attractiveness of our projects.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Fast LNG technology is not yet proven and we may not be able to implement it as planned or at all.</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our inability to effectively implement our Fast LNG technology. We have commenced operations at our first Fast LNG solution, but we have not yet supplied any LNG from that facility to customers, and are therefore subject to risks related to full commercial development of the facility. We are also developing our first onshore LNG facility and are therefore subject to construction risks, risks associated with third-party contracting (including the risk that we will not be able to execute contracts with third parties that are necessary to develop the project) and service providers, permitting and regulatory risks. See “—We are subject to various construction risks” and “—We depend on third-party contractors, operators and suppliers.” Because our Fast LNG technology has not been previously implemented, tested or proven,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For example, in April 2024, we experienced an incident involving equipment failure during the commissioning of our Fast LNG project in Altamira, Mexico, which delayed our commencement of operations and resulted in increased costs and delay of commencement of revenue generating activity.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or more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floating offshore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data center infrastructure business has no operating history, and we may not recognize revenue or operating income in the future.</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On July 2, 2024, we announced the launch of Klondike Digital Infrastructure, </w:t>
      </w:r>
      <w:r>
        <w:rPr>
          <w:rFonts w:ascii="Times New Roman;sans-serif" w:hAnsi="Times New Roman;sans-serif"/>
          <w:b w:val="false"/>
          <w:color w:val="000000"/>
          <w:sz w:val="20"/>
          <w:shd w:fill="FFFFFF" w:val="clear"/>
        </w:rPr>
        <w:t>a power and data center infrastructure business. W</w:t>
      </w:r>
      <w:r>
        <w:rPr>
          <w:rFonts w:ascii="Times New Roman;sans-serif" w:hAnsi="Times New Roman;sans-serif"/>
          <w:b w:val="false"/>
          <w:color w:val="000000"/>
          <w:sz w:val="20"/>
        </w:rPr>
        <w:t xml:space="preserve">e are subject to a multitude of risks inherent in a recently established business venture in a rapidly developing and changing industry. We have no operating history in the data center </w:t>
      </w:r>
      <w:r>
        <w:rPr>
          <w:rFonts w:ascii="Times New Roman;sans-serif" w:hAnsi="Times New Roman;sans-serif"/>
          <w:b w:val="false"/>
          <w:color w:val="000000"/>
          <w:sz w:val="20"/>
          <w:shd w:fill="FFFFFF" w:val="clear"/>
        </w:rPr>
        <w:t xml:space="preserve">infrastructure </w:t>
      </w:r>
      <w:r>
        <w:rPr>
          <w:rFonts w:ascii="Times New Roman;sans-serif" w:hAnsi="Times New Roman;sans-serif"/>
          <w:b w:val="false"/>
          <w:color w:val="000000"/>
          <w:sz w:val="20"/>
        </w:rPr>
        <w:t xml:space="preserve">business and may not be able to achieve our business objectives. We cannot assure you that our past experience will be sufficient to allow us to successfully achieve our business objectives, and our past performance should not be used as an indicator of our likely performance. Our lack of operating history in the data center </w:t>
      </w:r>
      <w:r>
        <w:rPr>
          <w:rFonts w:ascii="Times New Roman;sans-serif" w:hAnsi="Times New Roman;sans-serif"/>
          <w:b w:val="false"/>
          <w:color w:val="000000"/>
          <w:sz w:val="20"/>
          <w:shd w:fill="FFFFFF" w:val="clear"/>
        </w:rPr>
        <w:t xml:space="preserve">infrastructure </w:t>
      </w:r>
      <w:r>
        <w:rPr>
          <w:rFonts w:ascii="Times New Roman;sans-serif" w:hAnsi="Times New Roman;sans-serif"/>
          <w:b w:val="false"/>
          <w:color w:val="000000"/>
          <w:sz w:val="20"/>
        </w:rPr>
        <w:t>business, particularly in the development and operation of data center infrastructure, also makes it difficult to evaluate the prospects of this business. We have not yet been able to confirm that our business model can or will be successful, and we may not ever recognize revenue or operating income from this business. Our expectations regarding the data center business may not prove to be accurate. Our operating results will likely fluctuate moving forward as we develop this business. In addition, we expect additional growth in this business, which could place significant demands on our management team and other resources and require us to continue developing and improving our operational, financial and other internal controls. We may not be able to address these challenges in a cost-effective manner or at all. If we do not effectively manage our growth, we may not be able to execute on our business plan, respond to competitive pressures or take advantage of market opportunities, and our business, financial condition and results of operations could be materially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currently generate cash from operations from this new business line, so we will need additional funding from other sources to develop this business. There can be no assurance that we will be able to obtain financing on favorable terms or at all, or that we will have sufficient capital to fully implement our business plan, which could have a material adverse effect on this business, results of operations, financial condition and prospects. You should consider our data center business and prospects in light of these risks and the risks and difficulties that we will encounter as we continue to develop our business model. We may not be able to address these risks and difficulties successfully, which would materially harm our business and operating results.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data center business strategy depends on the successful development of our projects and any delays or unexpected costs associated with such projects may harm our growth prospects, future operating results and financial condition.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develop a geographically diverse portfolio of power and data center infrastructure and we have more than 1,000 acres of developable land across sites in Brazil, Ireland, and the United States that we are analyzing for potential use in the business. Our business strategy depends upon the successful acquisition, permitting, gas supply, transmission work and completion of the development of these sites and similar projects in the future. Current and future development projects and expansion into new markets will involve substantial planning, allocation of significant company resources and certain risks, including risks related to the acquisition of real property, financing, zoning, permits and other regulatory approvals, construction costs and delays.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development projects will also require us to carefully select and rely on the experience of one or more general contractors and associated subcontractors during the construction process. Should a general contractor or significant subcontractor experience financial or other problems during the construction process, we could experience significant delays, increased costs to complete the project and other negative impacts to our expected financial returns. Site selection in current and expansion markets is also a critical factor in our expansion plans, and there may not be suitable properties available in our markets at a location that is attractive to our customers and has the necessary combination of other characteristics. Furthermore, while we may prefer to locate new data centers adjacent to or in close proximity to our existing data centers, we may be limited by the size and location of suitable properties. If we are unable to successfully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 and operate data center properties, our business, financial condition and results of operations will be significantly impaired.</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data center business model depends upon the demand for data centers.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be in the business of developing infrastructure to serve data centers. A reduction in the demand for data center power or connectivity would have an adverse effect on our ability to develop our data center infrastructure business. We are susceptible to general economic slowdowns as well as adverse developments in the data center, internet and data communications and broader technology industries. Any such slowdown or adverse development could lead to reduced corporate information technology (“IT”) spending or reduced demand for data center space. Reduced demand could also result from business relocations, including to markets that we do not currently serve. Changes in industry practice or in technology could also reduce demand for the physical data center space we will provide. Our results of operations and financial condition could be materially adversely affected as a result of any or all of these factors.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incurred, and may in the future incur, a significant amount of debt. The agreements governing our significant indebtedness place restrictions on us and our subsidiaries, reducing operational and financing flexibility and creating default risks.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an ongoing basis, we engage with lenders and other financial institutions in an effort to improve our liquidity and capital resources. As of December 31, 2024, we had approximately $9,027.1 million aggregate principal amount of indebtedness outstanding on a consolidated basis (which does not include any unconsolidated debt). The terms and conditions of our indebtedness, including the2026 Notes Indenture, the 2029 Notes Indenture, the Intercompany Credit Agreements and the Existing Credit Agreements (each as defined in "Management's Discussion and Analysis of Financial Condition and Results of Operations-Recent Developments."), include restrictive covenants that may limit our ability to operate our business, to incur or refinance our debt, pay dividends or make distributions or make certain other restricted payments, create liens on our or our subsidiaries' assets, sell or otherwise dispose of assets,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 If we fail to comply with any of these restrictions or are unable to pay our debt service when due, our debt could be accelerated or cross-accelerated, and we cannot assure you that we will have the ability to repay such accelerated debt. Any such default could also have adverse consequences to our status and reporting requirements, reducing our ability to quickly access the capital markets. Additionally, our Existing Credit Agreements and the intercompany loan agreements securing, directly or indirectly, the New 2029 Notes require proceeds of certain asset sales be used to pay down existing indebtedness, which may further limit our ability to operate our business and finance future operations and capital needs.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service our existing and any future debt will depend on our performance and operations, which is subject to factors that are beyond our control and compliance with covenants in the agreements governing such debt. We may be unable to maintain a level of cash flows from operating activities sufficient to permit us to fund our day-to-day operations or to pay the principal, premium, if any, and interest on our indebtedness. 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operations or indebtedness. If we cannot make scheduled payments on our debt, we will be in default and, as a result, lenders under and holder of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 We may also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Despite our substantial level of indebtedness, we and our subsidiaries will be permitted to incur additional indebtedness in the future. This could further exacerbate the risks associated with our substantial indebtedness.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In addition, as our existing indebtedness matures, we may need to refinance that indebtedness with new indebtedness that may have a higher interest rate, which will increase our fixed costs. Although the instruments governing our indebtedness contain restrictions on the incurrence of additional indebtedness, these restrictions are subject to a number of qualifications and exceptions and the indebtedness incurred in compliance with these restrictions could be substantial.</w:t>
      </w:r>
      <w:r>
        <w:rPr>
          <w:color w:val="000000"/>
        </w:rPr>
        <w:t xml:space="preserve"> </w:t>
      </w:r>
      <w:r>
        <w:rPr>
          <w:rFonts w:ascii="Times New Roman;sans-serif" w:hAnsi="Times New Roman;sans-serif"/>
          <w:b w:val="false"/>
          <w:color w:val="000000"/>
          <w:sz w:val="20"/>
        </w:rPr>
        <w:t xml:space="preserve">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incur additional debt and other obligations, the risks associated with our substantial leverage and the ability to service such debt would increase, which could have a material adverse effect on our business, results of operation and financial condition. For example, the New 2029 Notes issued pursuant to the New 2029 Indenture, issued in part to refinance our 2025 Notes, 2026 Notes and 2029 Notes in part to provide additional liquidity to the business, bear interest at a rate of 12.000% per annum, representing a significant increase in our annual interest expense, while also increasing our total aggregate principal amount of indebtedness outstanding. For additional detail, see “Management’s Discussion and Analysis of Financial Condition and Results of Operations—Recent Developments”- and "Liquidity and Capital Resources-Long Term Debt and Preferred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is dependent upon obtaining substantial additional funding from various sources, which may not be available or may only be available on unfavorable terms.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We believe we will have sufficient liquidity, cash flow from operations and access to additional capital sources to fund our capital expenditures and working capital needs for the next 12 months and the reasonably foreseeable future. In the future, we expect to incur additional indebtedness to assist us in developing our operations and we are considering alternative financing options, including in Brazil and other specific markets or the opportunistic sale of one of our non-core assets such as the sale of our assets in Jamaica.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w:t>
      </w:r>
      <w:r>
        <w:rPr>
          <w:color w:val="000000"/>
        </w:rPr>
        <w:t xml:space="preserve"> </w:t>
      </w:r>
      <w:r>
        <w:rPr>
          <w:rFonts w:ascii="Times New Roman;sans-serif" w:hAnsi="Times New Roman;sans-serif"/>
          <w:b w:val="false"/>
          <w:color w:val="000000"/>
          <w:sz w:val="20"/>
        </w:rPr>
        <w:t xml:space="preserve">We cannot assure you that such additional funding will be available on acceptable terms, or at all. Our ability to raise additional capital on acceptable terms will depend on financial, economic and market conditions, which have increased in volatility and at times have been negatively impacted due to our progress in executing our business strategy and other factors, many of which are beyond our control,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The terms of the Notes financing subjected us to, and </w:t>
      </w:r>
      <w:r>
        <w:rPr>
          <w:rFonts w:ascii="Times New Roman;sans-serif" w:hAnsi="Times New Roman;sans-serif"/>
          <w:b w:val="false"/>
          <w:color w:val="000000"/>
          <w:sz w:val="24"/>
        </w:rPr>
        <w:t>a</w:t>
      </w:r>
      <w:r>
        <w:rPr>
          <w:rFonts w:ascii="Times New Roman;sans-serif" w:hAnsi="Times New Roman;sans-serif"/>
          <w:b w:val="false"/>
          <w:color w:val="000000"/>
          <w:sz w:val="20"/>
        </w:rPr>
        <w:t>dditional debt financing, if available, may subject us to increased restrictive covenants that could limit, and in the case of the former, significantly limit, our flexibility to incur additional indebtedness and conduct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indebtedness or to fund our other liquidity needs, and our financial condition or results of operations may be materially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entered into, and may in the future enter into or modify existing, joint ventures that might restrict our operational and corporate flexibility or require credit support.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and may in the future enter, into joint venture arrangements with third parties in respect of our projects and assets. For example, in August 2022, we established Energos, as a joint venture platform with certain funds or investment vehicles managed by Apollo, for the development of a global marine infrastructure platform, of which we owned 20% prior to our sale of approximately all of our 20% stake in February 2024.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 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Failure by any of our joint ventures, equity method investees and/or affiliates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incur impairments to long-lived assets.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have in the past and could in the future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 damage or loss, contamination to the areas, and suspension of our operations.</w:t>
      </w:r>
      <w:r>
        <w:rPr>
          <w:color w:val="000000"/>
        </w:rPr>
        <w:t xml:space="preserve"> </w:t>
      </w:r>
      <w:r>
        <w:rPr>
          <w:rFonts w:ascii="Times New Roman;sans-serif" w:hAnsi="Times New Roman;sans-serif"/>
          <w:b w:val="false"/>
          <w:color w:val="000000"/>
          <w:sz w:val="20"/>
        </w:rPr>
        <w:t>For example, our operations in coastal regions in southern Florida, the Caribbean, the Gulf of Mexico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 relevant regulatory requirements or litigation.</w:t>
      </w:r>
      <w:r>
        <w:rPr>
          <w:color w:val="000000"/>
        </w:rPr>
        <w:t xml:space="preserve"> </w:t>
      </w:r>
      <w:r>
        <w:rPr>
          <w:rFonts w:ascii="Times New Roman;sans-serif" w:hAnsi="Times New Roman;sans-serif"/>
          <w:b w:val="false"/>
          <w:color w:val="000000"/>
          <w:sz w:val="20"/>
        </w:rPr>
        <w:t xml:space="preserve">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permits and approvals, and otherwise jeopardize our reputation or the reputation of our industry as well as our relationships with relevant regulatory agencies and local communities. As the owner and operator of our facilities and owner or charterer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could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Greenhouse Gases/Climate Change</w:t>
      </w:r>
      <w:r>
        <w:rPr>
          <w:rFonts w:ascii="Times New Roman;sans-serif" w:hAnsi="Times New Roman;sans-serif"/>
          <w:b w:val="false"/>
          <w:color w:val="000000"/>
          <w:sz w:val="20"/>
        </w:rPr>
        <w:t xml:space="preserve">. The threat of climate change continues to attract considerable attention in the United States and around the world.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On January 20, 2025, President Trump signed an executive order announcing the withdrawal of the United States from the Paris Agreement. Though most other countries (including those where we operate or plan to operate) have signed or acceded to this agreement. The scope of future climate and GHG emissions-focused regulatory requirements, if any, remains uncertain. Governmental, scientific, and public concern over the threat of climate change arising from GHG emissions has resulted in increasing political uncertainty in the United States and worldwide. For example, based in part on the publicized climate plan and pledges by the U.S. government, there may be significant legislation, rulemaking, or executive orders that seek to address climate change, incentivize low-carbon infrastructure or initiatives, or ban or restrict the exploration and production of fossil fuels. Executive orders may be issued or federal legislation or regulatory initiatives may be adopted to achieve U.S. goals under the Paris Agreement. President Trump, however, has generally expressed opposition to regulatory initiatives aimed at restricting oil and gas operations and the impact his administration will have on any of these initiatives cannot be predicted.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Fossil Fuels.</w:t>
      </w:r>
      <w:r>
        <w:rPr>
          <w:color w:val="000000"/>
        </w:rPr>
        <w:t xml:space="preserve"> </w:t>
      </w:r>
      <w:r>
        <w:rPr>
          <w:rFonts w:ascii="Times New Roman;sans-serif" w:hAnsi="Times New Roman;sans-serif"/>
          <w:b w:val="false"/>
          <w:color w:val="000000"/>
          <w:sz w:val="20"/>
        </w:rPr>
        <w:t xml:space="preserve">Our business activities depend upon a sufficient and reliable supply of natural gas feedstock, and are therefore subject to concerns in certain sectors of the public about the exploration, production 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security.None of our LNG facilities currently under development are subject to PHMSA’s jurisdiction, but regulators and governmental agencies in the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Hydraulic Fracturing.</w:t>
      </w:r>
      <w:r>
        <w:rPr>
          <w:color w:val="000000"/>
        </w:rPr>
        <w:t xml:space="preserve"> </w:t>
      </w:r>
      <w:r>
        <w:rPr>
          <w:rFonts w:ascii="Times New Roman;sans-serif" w:hAnsi="Times New Roman;sans-serif"/>
          <w:b w:val="false"/>
          <w:color w:val="000000"/>
          <w:sz w:val="20"/>
        </w:rPr>
        <w:t>Certain of our suppliers of natural gas and LNG employ hydraulic fracturing techniques to stimulate natural gas 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Indigenous Communities</w:t>
      </w:r>
      <w:r>
        <w:rPr>
          <w:rFonts w:ascii="Times New Roman;sans-serif" w:hAnsi="Times New Roman;sans-serif"/>
          <w:b w:val="false"/>
          <w:color w:val="000000"/>
          <w:sz w:val="20"/>
        </w:rPr>
        <w:t>. Indigenous communities—including, in Brazil, Afro-indigenous (“Quilombola”) communities—are subject to certain protections under international and national laws. Brazil has ratified the 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The Brazilian Institute of Enviornment and Renewable Resources, local environmental authorities in the localities in which we operate, the Federal Public Prosecutor’s Office and the National Indian Foundation (</w:t>
      </w:r>
      <w:r>
        <w:rPr>
          <w:rFonts w:ascii="Times New Roman;sans-serif" w:hAnsi="Times New Roman;sans-serif"/>
          <w:b w:val="false"/>
          <w:i/>
          <w:color w:val="000000"/>
          <w:sz w:val="20"/>
        </w:rPr>
        <w:t>Fundação Nacional do Índio</w:t>
      </w:r>
      <w:r>
        <w:rPr>
          <w:color w:val="000000"/>
        </w:rPr>
        <w:t xml:space="preserve"> </w:t>
      </w:r>
      <w:r>
        <w:rPr>
          <w:rFonts w:ascii="Times New Roman;sans-serif" w:hAnsi="Times New Roman;sans-serif"/>
          <w:b w:val="false"/>
          <w:color w:val="000000"/>
          <w:sz w:val="20"/>
        </w:rPr>
        <w:t>or “FUNAI”) (for indigenous people) or Palmares Cultural Foundation (</w:t>
      </w:r>
      <w:r>
        <w:rPr>
          <w:rFonts w:ascii="Times New Roman;sans-serif" w:hAnsi="Times New Roman;sans-serif"/>
          <w:b w:val="false"/>
          <w:i/>
          <w:color w:val="000000"/>
          <w:sz w:val="20"/>
        </w:rPr>
        <w:t>Fundação Cultural Palmares</w:t>
      </w:r>
      <w:r>
        <w:rPr>
          <w:rFonts w:ascii="Times New Roman;sans-serif" w:hAnsi="Times New Roman;sans-serif"/>
          <w:b w:val="false"/>
          <w:color w:val="000000"/>
          <w:sz w:val="20"/>
        </w:rPr>
        <w:t>) (for Quilombola communities).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our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are several indigenous communities that surround our operations in Brazil. Certain of our subsidiaries have entered into agreements with some of these communities that mainly provide for the use of their land for our operations, 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Offshore operations.</w:t>
      </w:r>
      <w:r>
        <w:rPr>
          <w:color w:val="000000"/>
        </w:rPr>
        <w:t xml:space="preserve"> </w:t>
      </w:r>
      <w:r>
        <w:rPr>
          <w:rFonts w:ascii="Times New Roman;sans-serif" w:hAnsi="Times New Roman;sans-serif"/>
          <w:b w:val="false"/>
          <w:color w:val="000000"/>
          <w:sz w:val="20"/>
        </w:rPr>
        <w:t>Our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In particular, development of offshore operations of natural gas and LNG are subject to extensive environmental, industry, maritime and social regulations. For example, the development and operation of our new FLNG facility off the coast of Altamira, State of Tamaulipas, is subject to regulation by Mexico’s Ministry of Energy (</w:t>
      </w:r>
      <w:r>
        <w:rPr>
          <w:rFonts w:ascii="Times New Roman;sans-serif" w:hAnsi="Times New Roman;sans-serif"/>
          <w:b w:val="false"/>
          <w:i/>
          <w:color w:val="000000"/>
          <w:sz w:val="20"/>
        </w:rPr>
        <w:t>Secretaría de Energía</w:t>
      </w:r>
      <w:r>
        <w:rPr>
          <w:rFonts w:ascii="Times New Roman;sans-serif" w:hAnsi="Times New Roman;sans-serif"/>
          <w:b w:val="false"/>
          <w:color w:val="000000"/>
          <w:sz w:val="20"/>
        </w:rPr>
        <w:t xml:space="preserve">) (“SENER”), Mexico's National Hydrocarbon Commission (“CNH”), the National Agency of Industrial Safety and Environmental Protection of the Hydrocarbons Sector (“ASEA”), among other relevant Mexican regulatory bodies. The laws and regulations governing activities in the Mexican energy sector have undergone significant reformation over the past decade, and the legal regulatory framework continues to evolve as SENER, the CNH and other Mexican regulatory bodies issue new regulations and guidelines as the industry develops. Such regulations are subject to change, so it is possible that SENER, the CNH or other Mexican regulatory bodies may impose new or revised requirements that could increase our operating costs and/or capital expenditures for operations in Mexican offshore waters. In addition, our operations in waters off the coast of Mexico are subject to regulation by ASEA. The laws and regulations governing the protection of health, safety and the environment from activities in the Mexican energy sector are also relatively new, having been significantly reformed in 2013 and 2014, and the legal regulatory framework continues to evolve as ASEA and other Mexican regulatory bodies issue new regulations and guidelines as the industry modernizes and adapts to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Such regulations are subject to change, and it is possible that ASEA or other Mexican regulatory bodies may impose new or revised requirements that could increase our operating costs and/or capital expenditures for operations in Mexican offshore waters.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Moreover, the overall trends are towards more regulations and more stringent requirements which are likely to add to our costs of doing business. For example, IMO regulations limit the sulfur content of fuel oil for ships to 0.5 weight percent starting thus increasing the cost of fuel and increasing expenses for us. Similarly, the European Union extended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numerous governmental export laws, and trade and economic sanctions laws and regulations, and anti-corruption laws and regulation.</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We are also subject to anti-corruption laws and regulations, including the FCPA, the U.K. Bribery Act and local anti-bribery laws, which generally prohibit companies and their intermediaries from making improper payments to foreign officials for the purpose of obtaining or keeping business and/or other benefits. Some of the jurisdictions in which we currently operate present heightened risks for FCPA issues, such as Nicaragua, Jamaica,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 intermediaries in complying with the FCPA</w:t>
      </w:r>
      <w:r>
        <w:rPr>
          <w:color w:val="000000"/>
        </w:rPr>
        <w:t xml:space="preserve"> </w:t>
      </w:r>
      <w:r>
        <w:rPr>
          <w:rFonts w:ascii="Times New Roman;sans-serif" w:hAnsi="Times New Roman;sans-serif"/>
          <w:b w:val="false"/>
          <w:color w:val="000000"/>
          <w:sz w:val="20"/>
        </w:rPr>
        <w:t>and other anti-corruption laws and regulations, developing, implementing and maintaining policies and procedures is a complex endeavor, particularly given the high level of complexity of these laws and regulations. There is no assurance that these 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 risk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Failure to comply with trade and economic sanctions laws and anti-corruption laws and regulations, including the FCPA, the U.K. Bribery Act and local anti-bribery laws, may subject us to costly and intrusive criminal and civil investigations as well as significant potential criminal and civil penalties and other remedial measures, including changes or enhancements to our procedures, policies and controls, the imposition of an independent compliance monitor, as well as potential personnel changes and disciplinary actions. In addition, non-compliance with such laws could constitute a breach of certain representations, warranties and covenants in our commercial or debt agreements, and cross-default provisions in certain of our agreements could mean that an event of default under certain of our commercial or debt agreements could trigger an event of default under our other agreements, including our debt agreements. Any adverse finding against us could also negatively affect our relationship and reputation with current and potential customers and regulators. In addition, in certain countries we serve or expect to serve our customers through third-party agents and other intermediaries. On occasion, we also use third-party agents and other intermediaries to assist us in exploring and entering new markets and to retain business. Violations of applicable import, export, trade and economic sanctions, and anti-corruption laws and regulations by these third-party agents or intermediaries may also result in adverse consequences and repercussions to us. The occurrence of any of these events could have a material adverse impact on our business, results of operations, financial condition, reputation, liquidity and future business prospects.</w:t>
      </w:r>
      <w:r>
        <w:rPr>
          <w:color w:val="000000"/>
        </w:rPr>
        <w:t xml:space="preserve"> </w:t>
      </w:r>
      <w:r>
        <w:rPr>
          <w:rFonts w:ascii="Times New Roman;sans-serif" w:hAnsi="Times New Roman;sans-serif"/>
          <w:b w:val="false"/>
          <w:color w:val="000000"/>
          <w:sz w:val="20"/>
        </w:rPr>
        <w:t>The U.S. sanctions and embargo laws and regulations vary in their application, as they do not all apply to the same covered persons or proscribe the same activities, and such sanctions and embargo laws and regulations may change and be amended or strengthened over time.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such violation of applicable sanctions, embargo and anti-corruption laws and regulations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charterers may inadvertently violate applicable sanctions and/or call on ports located in, or engage in transactions with, countries that are subject to restrictions imposed by the U.S. or other governments, which could adversely affect their business.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None of our vessels have called on ports located in countries subject to comprehensive sanctions and embargoes imposed by the U.S. government or countries identified by the U.S. government as state sponsors of terrorism.</w:t>
      </w:r>
      <w:r>
        <w:rPr>
          <w:color w:val="000000"/>
        </w:rPr>
        <w:t xml:space="preserve"> </w:t>
      </w:r>
      <w:r>
        <w:rPr>
          <w:rFonts w:ascii="Times New Roman;sans-serif" w:hAnsi="Times New Roman;sans-serif"/>
          <w:b w:val="false"/>
          <w:color w:val="000000"/>
          <w:sz w:val="20"/>
        </w:rPr>
        <w:t>When we charter our vessels to third parties we conduct comprehensive due diligence of the charterer and include contractual prohibitions on the charterer calling on ports in countries subject to comprehensive U.S. sanctions or otherwise engaging in commerce with such countries. However, our vessels may be sub-chartered out to a sanctioned party or call on ports of a sanctioned nation on charterers’ instruction, and without our knowledge or consent.</w:t>
      </w:r>
      <w:r>
        <w:rPr>
          <w:color w:val="000000"/>
        </w:rPr>
        <w:t xml:space="preserve"> </w:t>
      </w:r>
      <w:r>
        <w:rPr>
          <w:rFonts w:ascii="Times New Roman;sans-serif" w:hAnsi="Times New Roman;sans-serif"/>
          <w:b w:val="false"/>
          <w:color w:val="000000"/>
          <w:sz w:val="20"/>
        </w:rPr>
        <w:t>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Increasing transportation regulations may increase our costs and negatively impact our results of operations.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 subject to state and/or local safety regulations that mirror federal regulations but also regulate the weight and size dimensions of loads.</w:t>
      </w:r>
      <w:r>
        <w:rPr>
          <w:color w:val="000000"/>
        </w:rPr>
        <w:t xml:space="preserve"> </w:t>
      </w:r>
      <w:r>
        <w:rPr>
          <w:rFonts w:ascii="Times New Roman;sans-serif" w:hAnsi="Times New Roman;sans-serif"/>
          <w:b w:val="false"/>
          <w:color w:val="000000"/>
          <w:sz w:val="20"/>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requirements to use electric vehicles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chartered vessels operating in certain jurisdictions, including the United States, now or in the future, may be subject to cabotage laws, including the Merchant Marine Act of 1920, as amended (the “Jones Act”).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crewing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own the land on which our projects are located and are subject to leases, rights-of-ways, easements and other property rights for our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obtained long-term leases and corresponding rights-of-way agreements and easements with respect to the land on which various of our projects are located, including the Jamaica Facilities, the pipeline connecting the Montego Bay Facility to the Bogue Power Plant (as defined herein), the San Juan Facility and the CHP Plant are situated, facilities in Brazil such as the Garuva-Itapoa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may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could be negatively impacted by environmental, social, and governance (“ESG”) and sustainability-related matters.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Governments, investors, customers, employees and other stakeholders are increasingly focusing on corporate ESG practices and disclosures, and expectations in this area are rapidly evolving.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Information technology failures and cyberattacks could affect us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w:t>
      </w:r>
      <w:r>
        <w:rPr>
          <w:rFonts w:ascii="Times New Roman;sans-serif" w:hAnsi="Times New Roman;sans-serif"/>
          <w:b w:val="false"/>
          <w:color w:val="000000"/>
          <w:sz w:val="20"/>
          <w:shd w:fill="FFFFFF" w:val="clear"/>
        </w:rPr>
        <w:t>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implementation of various technologies,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insurance may be insufficient to cover losses that may occur to our property or result from our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success depends on key members of our management, the loss of any of whom could disrupt our business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depend to a large extent on the services of our chief executive officer, Wesley R. Edens,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experience increased labor costs and regulation, and the unavailability of skilled workers or our failure to attract and retain qualified personnel, as well as our ability to comply with such labor laws, could adversely affect us.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jurisdictions in which we operate and hire our personnel, which can govern such matters as minimum wage, overtime, union relations, local content requirements and other working conditions. For example, Brazil, where some of our vessels operate, require we hire a certain portion of local personnel to crew our vessels. Any inability to attract and retain qualified local crew members could adversely affect our operations, business, results of operations and financial condition.</w:t>
      </w:r>
      <w:r>
        <w:rPr>
          <w:color w:val="000000"/>
        </w:rPr>
        <w:t xml:space="preserve"> </w:t>
      </w:r>
      <w:r>
        <w:rPr>
          <w:rFonts w:ascii="Times New Roman;sans-serif" w:hAnsi="Times New Roman;sans-serif"/>
          <w:b w:val="false"/>
          <w:color w:val="000000"/>
          <w:sz w:val="20"/>
        </w:rPr>
        <w:t>In addition, j</w:t>
      </w:r>
      <w:r>
        <w:rPr>
          <w:rFonts w:ascii="Times New Roman;sans-serif" w:hAnsi="Times New Roman;sans-serif"/>
          <w:b w:val="false"/>
          <w:color w:val="000000"/>
          <w:sz w:val="20"/>
          <w:shd w:fill="FFFFFF" w:val="clear"/>
        </w:rPr>
        <w:t xml:space="preserve">urisdiction-specific employment, labor, and subcontracting laws may affect contracting strategies and impact construction and operations. </w:t>
      </w:r>
      <w:r>
        <w:rPr>
          <w:rFonts w:ascii="Times New Roman;sans-serif" w:hAnsi="Times New Roman;sans-serif"/>
          <w:b w:val="false"/>
          <w:color w:val="000000"/>
          <w:sz w:val="20"/>
        </w:rPr>
        <w:t>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could be affected adversely by labor disputes, strikes or work stoppages.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 as attractive as our current agreements or comparable to agreements entered into by our competitors. Labor unions could also seek to organize some or all of our non-unionized workforce.</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the Jurisdictions in Which We Operate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the economic, political, social and other conditions in the jurisdictions in which we operate.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projects are located in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 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and/or Puerto Rico Public - Private Partnerships Authority (P3A) could have a material adverse effect on our financial condition, results of operations and cash flows. Furthermore, we cannot predict how our relationship that one of our subsidiaries, as agent of PREPA, could change their role as operator of PREPA's legacy generation assets. Additionally, PREPA may seek to find alternative power sources or purchase substantially less natural gas from us than what we currently expect to sell to PREPA. In addition, we cannot predict how local sentiment and support for our subsidiaries’ operations in Puerto Rico could change now that Puerto Rico’s power generation systems have been privatized. Should our operations face material local opposition, it could materially adversely affect our ability to perform our obligations under our contracts or could materially adversely impact PREPA or any applicable governmental 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 which we operate. In addition, these jurisdictions, particularly emerging countries, are subject to risk of contagion from the economic, political and social developments in other emerging countries and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 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their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financial condition and operating results may be adversely affected by foreign exchange fluctuations.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price and trading volume of our Class A common stock may be volatile, which could result in rapid and substantial losses for our stockholders.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 shift in our investor base;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quarterly or annual earnings, or those of other comparable companies;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actual or anticipated fluctuations in our operating results;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accounting standards, policies, guidance, interpretations or principles;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by us or our competitors of significant investments, acquisitions or dispositions;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failure of securities analysts to cover our Class A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earnings estimates by securities analysts or our ability to meet those estimates;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operating and share price performance of other comparable companies;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overall market fluctuations;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economic conditions;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in the markets and market sectors in which we participate.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past, securities class action litigation has often been brought against companies following periods of volatility in the market price of their securities. We are currently subject to a putative securities class action complaint relating to a drop in our share price and could become involved in additional litigation of this type in the future if our share price is volatile for any reason. This type of litigation could result in reputational damage, substantial costs and a diversion of management's attention and resources needed to successfully run our business. </w:t>
      </w:r>
    </w:p>
    <w:p>
      <w:pPr>
        <w:pStyle w:val="TextBody"/>
        <w:bidi w:val="0"/>
        <w:spacing w:before="0" w:after="0"/>
        <w:ind w:left="0" w:right="0" w:firstLine="360"/>
        <w:jc w:val="left"/>
        <w:rPr/>
      </w:pPr>
      <w:r>
        <w:rPr/>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A small number of our original investors have the ability to direct the voting of a significant amount of our common stock, and their interests may conflict with those of our other stockholders.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affiliates of certain entities controlled by Wesley R. Edens, Randal A. Nardone and affiliates of Fortress Investment Group LLC (“Founder Entities”) owned an aggregate of approximately 92,530,510 shares of Class A common stock, representing approximately 33.5% of our voting power, and affiliates of Energy Transition Holdings LLC, party to the Shareholders' Agreement, own an aggregate of approximately 25,559,846 shares of our Class A common stock, representing approximately 9.2% of the voting power of our Class A common stock. The beneficial ownership of almost 50% of our voting stock means affiliates of the Founder Entities and Energy Transition Holdings LLC are able to have significant influence over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Given this concentrated ownership, the affiliates of the Founder Entities and Energy Transition Holdings LLC would have significant influence over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Future sales and issuances of our Class A common stock, securities convertible or exchangeable into our Class A common stock or rights to purchase our Class A common stock could result in additional dilution of the percentage ownership of our shareholders and may cause our share price to fall.</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raise capital, we may sell substantial amounts of Class A common stock or securities convertible into our exchangeable for Class A common stock. These future issuances of Class A common stock or Class A common stock-related securities to purchase Class A common stock, together with the exercise of outstanding restricted stock units and any additional shares issued in connection with other transactions, if any, may result in material dilution to our investors. Such sales may also result in material dilution to our existing shareholders, and new investors could gain rights, preferences and privileges senior to those of holders of our Class A common stock. In particular, on October 1, 2024, we exchanged 96,746 shares of our Series A Convertible Preferred Stock for 96,746 shares of our Series B Convertible Preferred Stock. Such shares are convertible at the option of the holders thereof into shares of Class A common stock on the terms set forth in the certificate of designations governing the Series B Convertible Preferred Stock. Additionally, on December 6, 2024, we issued 15,700,998 shares of our Class A common stock in satisfaction of our commitment fee obligations under the Exchange and Subscription Agreement in connection with the issuance of the New 2029 Notes.</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authorize our board of directors to issue preferred stock (including the Series B Convertible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dividing our board of directors into three classes of directors, with each class serving staggered three-year terms;</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prohibiting cumulative voting in the election of directors;</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establishing advance notice provisions for stockholder proposals and nominations for elections to the board of directors to be acted upon at meetings of the stockholders; and</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providing that the board of directors is expressly authorized to adopt, or to alter or repeal certain provisions of our organizational documents to the extent permitted by law.</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The declaration and payment of dividends to holders of our Class A common stock is at the discretion of our board of directors and we do not expect to pay dividends for the foreseeable future.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to pay dividends for the foreseeable future. Any future declaration and payment of dividends to holders of our Class A common stock will be at the discretion of our board of directors in accordance with applicable law and significant restrictions imposed by our debt agreements, and after taking into account various factors, including actual results of operations, liquidity and financial condition, net cash provided by operating activities, restrictions imposed by applicable law, restrictions imposed by our debt agreements, our taxable income, our operating expenses and other factors our board of directors deem relevant. Because we are a holding company and have no direct operations, we will only be able to pay dividends in the future from our available cash on hand and any funds we receive from our subsidiaries and our ability to receive distributions from our subsidiaries may be limited by the financing agreements to which they are subject.</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and may in the future incur or issue debt or issue equity or equity-related securities to finance our operations, acquisitions or investments. Upon our liquidation, lenders and holders of our debt and holders of our preferred stock, such as the Series A Convertible Preferred Stock that was issued upon closing of the PortoCem acquisition,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whether directly, through convertible securities, such as the Series A Convertible Preferred Stock,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and the Series A Convertible Preferred Stock has a preference on distribution payments, periodically or upon liquidation, which could eliminate or otherwise limit our ability to make distributions to Class A common stockholders. Because our decision to incur or issue additional debt or equity or equity-related securities (other than the Series A Convertible Preferred Stock)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We may issue additional preferred stock, the terms of which could adversely affect the voting power or value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As part of the PortoCem Acquisition, we issued 96,746 shares of the Series A Convertible Preferred Stock, which were subsequently exchanged for an equal number of shares of our Series B Convertible Preferred Stock. The terms of the Series B Convertible Preferred Stock or one or more classes or series of other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 For example, each share of the Series A Convertible Preferred Stock has a liquidation preference of $1,000.</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Sales or issuances of our Class A common stock could adversely affect the market price of our Class A common stock.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An active, liquid and orderly trading market for our Class A common stock may not be maintained and the price of our Class A common stock may fluctuate significantly.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pStyle w:val="TextBody"/>
        <w:bidi w:val="0"/>
        <w:spacing w:lineRule="auto" w:line="268" w:before="240" w:after="283"/>
        <w:ind w:left="0" w:right="0" w:firstLine="2"/>
        <w:jc w:val="left"/>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We are a holding company and our operational and consolidated financial results are dependent on the results of our subsidiaries, affiliates, joint ventures and special purpose entities in which we invest.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We may engage in mergers, sales and acquisitions, divestments, reorganizations or similar transactions related to our businesses or assets in the future and we may fail to successfully complete such transaction or to realize the expected value.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In furtherance of our business strategy, we may engage in mergers, purchases or sales, divestments, reorganizations or other similar transactions related to our businesses or assets in the future. Any such transactions may be subject to significant risks and contingencies, including the risk of integration, valuation and successful implementation, and we may not be able to realize the benefits of any such transactions. We may also engage in sales of our assets or sale and leaseback transactions that seek to monetize our assets and there is no guarantee that such sales of assets will be executed at the prices we desire or higher than the values we currently carry these assets at on our balance sheet.</w:t>
      </w:r>
      <w:r>
        <w:rPr>
          <w:color w:val="000000"/>
        </w:rPr>
        <w:t xml:space="preserve"> </w:t>
      </w:r>
      <w:r>
        <w:rPr>
          <w:rFonts w:ascii="Times New Roman;sans-serif" w:hAnsi="Times New Roman;sans-serif"/>
          <w:b w:val="false"/>
          <w:color w:val="000000"/>
          <w:sz w:val="20"/>
        </w:rPr>
        <w:t xml:space="preserve">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A change in tax laws in any country in which we operate could adversely affect us.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 </w:t>
      </w:r>
      <w:r>
        <w:rPr>
          <w:rFonts w:ascii="Times New Roman;sans-serif" w:hAnsi="Times New Roman;sans-serif"/>
          <w:b w:val="false"/>
          <w:color w:val="000000"/>
          <w:sz w:val="20"/>
          <w:shd w:fill="FFFFFF" w:val="clear"/>
        </w:rPr>
        <w:t>For example, the Organization for Economic Cooperation and Development is coordinating negotiations among more than 140 countries with the goal of achieving consensus around substantial changes to international tax policies, including the implementation of a minimum global effective tax rate of 15%. Various countries have implemented the legislation and others may in the future, which could increase our effective tax rate.</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We have been and may be involved in legal proceedings and may experience unfavorable outcomes.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pStyle w:val="TextBody"/>
        <w:bidi w:val="0"/>
        <w:spacing w:lineRule="auto" w:line="288" w:before="240" w:after="283"/>
        <w:ind w:left="0" w:right="0" w:firstLine="27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 xml:space="preserve">We are unable to predict the extent to which global pandemics and health crises will negatively affect our operations, financial performance, nor our ability to achieve our strategic objectives. We are also unable to predict how a global pandemic may affect our customers and suppliers.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caused economic disruptions in various regions, disruptions in global supply chains, significant volatility and disruption of financial markets and in the price of oil and other commodities. Any future global health crisis or pandemic could make, travel and commercial activity significantly more cumbersome and less efficient compared to pre-pandemic conditions. Because the severity, magnitude and duration of any such crisis or pandemic and its economic consequences are uncertain, rapidly-changing and difficult to predict, its impact on our operations and financial performance, as well as its impact on our ability to successfully execute our business strategies and initiatives, could be uncertain and difficult to predict. Further, the ultimate impact of any such pandemic or crisis on our operations and financial performance depends on many factors that are not within our control, including, but not limited, to: governmental, business and individuals’ actions that may be taken in response to the pandemic (including restrictions on travel and transport and workforce pressures); the impact of such pandemic or crisis and actions taken in response on global and regional economies, travel, and economic activity; the availability of federal, state, local or non-U.S. funding programs, as well as other monetary and financial policies enacted by governments (including monetary policy, taxation, exchange controls, interest rates, regulation of banking and financial services and other industries, government budgeting and public sector financing); the duration and severity of resurgences of any variants; general economic uncertainty in key global markets and financial market volatility; global economic conditions and levels of economic growth; and the pace of recovery when the pandemic or crisis subsides. Our operations, financial performance and financial condition could be subjected to a number of operational financial risks in any such future pandemic or crisis.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operations and financial condition of our customers and potential customers, as well as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Consolidated Financial Statements, together with the report of our independent registered public accounting firm, begin on page F-1 of this Annual Report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Disclosure Controls and Procedures (as restated)</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As of the end of the period covered by this Amendment, management performed, with the participation of the Chief Executive Officer ("CEO") and the</w:t>
      </w:r>
      <w:r>
        <w:rPr>
          <w:color w:val="000000"/>
          <w:shd w:fill="FFFFFF" w:val="clear"/>
        </w:rPr>
        <w:t xml:space="preserve"> </w:t>
      </w:r>
      <w:r>
        <w:rPr>
          <w:rFonts w:ascii="Times New Roman;sans-serif" w:hAnsi="Times New Roman;sans-serif"/>
          <w:b w:val="false"/>
          <w:color w:val="000000"/>
          <w:sz w:val="20"/>
          <w:shd w:fill="FFFFFF" w:val="clear"/>
        </w:rPr>
        <w:t>Chief Financial Officer ("CFO"), an evaluation of the effectiveness of the Company’s disclosure controls and procedures as defined in Rules 13a-15(e) and 15d-15(e) of the Securities Exchange Act of 1934 (the "Exchange Act"). At the time the Company filed the Original Form 10-K, the CEO and the CFO concluded that the Company’s disclosure controls and procedures were effective as of December 31, 2024.</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Subsequent to the filing of the Original Form 10-K, management identified a material weakness in internal control over financial reporting in connection with the preparation of the Company’s interim unaudited financial statements for the interim period ended March 31, 2025. As a result, management reevaluated the effectiveness of the Company’s disclosure controls and procedures and internal control over financial reporting, as further described in this Amendment and concluded that our disclosure controls were not effective for December 31, 2024 as presented in the Original Form 10-K because of the material weakness described in "Management's Report on Internal Control over Financial Reporting" (as restated) below.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Notwithstanding the identified material weakness, management concluded that the consolidated financial statements included in the Original Form 10-K filed on March 10, 2025, and as included in this Amendment, present fairly, in all material respects, our financial position of December 31, 2024 and 2023, and the results of operations and cash flows for each of the three years in the period ended December 31, 2024.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Management’s Report on Internal Control Over Financial Reporting (as restated)</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is responsible for establishing and maintaining adequate internal control over financial reporting as such term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Management’s Report on Internal Control Over Financial Reporting included in the Original Form 10-K, management concluded that we maintained effective internal control over financial reporting as of December 31, 2024.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reevaluated the effectiveness of its internal control over financial reporting and identified a material weakness in the Company’s internal control over financial reporting and concluded that our disclosure controls were not effective for December 31, 2024 as presented in the Original Form 10-K because of the material weakness described below.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effectiveness of our internal control over financial reporting as of December 31, 2024 has been audited by EY, an independent registered public accounting firm, as stated in their report, which appears herein.</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Material Weakness Identified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Management identified a material weakness in the design of our internal controls related to the assessment and disclosure of events that have occurred that permit lenders to require repayment prior to the debt's stated maturity, including non-automatic events of early maturity. Specifically, we did not appropriately design controls to promptly and timely notify those responsible for accounting and financial reporting of the triggering of an event that permits a lender to require the repayment of a debt obligation before its maturity. Timely communication of the triggering of any early maturity provision, including non-automatic early maturity provisions, is necessary to ensure that the Company's debt is appropriately classified on its balance sheet, disclosures are complete and accurate, and the Company's going concern evaluation includes all relevant information. This control deficiency created a reasonable possibility of a material misstatement of the Company's consolidated financial statements and, accordingly, was determined to be a material weakness.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on additional procedures and post-closing review, which included obtaining a waiver of the non-automatic early maturity event, management concluded that the consolidated financial statements included in this report present fairly, in all material respects, our financial position, results of operations, and cash flows for the periods presented, in conformity with accounting principles generally accepted in the United States.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remediate the material weakness, we are implementing the following measures: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Enhancing the design of the relevant debt agreement monitoring controls and quarterly disclosure controls to ensure timely communication of all events, including events up through the issuance date of our financial statements, that could impact the disclosure and recognition of the events that impact the rights of lenders under debt agreements, including liquidity and going concern disclosures contained in our financial statements. </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Providing targeted training to accounting, legal, treasury, and commercial teams of the terms of debt agreements and events that would provide lenders an option to require the borrower to repay the debt prior to its stated maturity and therefore may require evaluation for potential accounting, disclosure and liquidity implications.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is committed to remediating this material weakness as soon as practicable. The material weakness will not be considered remediated until the applicable controls have been successfully tested for a sufficient period of time and management has concluded, through testing, that controls are operating effectively.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Except as described above, there has been no change in our internal control over financial reporting (as defined in Rule 13a-15(f) and Rule 15d-15(f) under the Exchange Act) that occurred during the quarter ended December 31,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15.    Exhibits, Financial Statement Schedules.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financial statements of New Fortress Energy Inc. and consolidated subsidiaries are included in Item 8 of this Form 10-K/A (Form 10-K/A). Refer to “Index to Financial Statements” set forth of page F-1.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report of New Fortress Energy’s independent registered public accounting firm (PCAOB ID:#42) with respect to the above-referenced financial statements and their report on internal control over financial reporting are included in Item 8 and Item 9A of this Form 10-K/A at the page numbers F-2 and F-4, respectively. Their consent appears as Exhibit 23.1 of this Form 10-K/A.</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 Financial Statement Schedule.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See Schedule II set forth on page F-</w:t>
      </w:r>
      <w:hyperlink w:anchor="i9903e915422741eeb6b98091c044781d_247">
        <w:r>
          <w:rPr>
            <w:rStyle w:val="InternetLink"/>
            <w:rFonts w:ascii="Times New Roman;sans-serif" w:hAnsi="Times New Roman;sans-serif"/>
            <w:b w:val="false"/>
            <w:color w:val="0000FF"/>
            <w:sz w:val="20"/>
            <w:u w:val="single"/>
            <w:shd w:fill="FFFFFF" w:val="clear"/>
          </w:rPr>
          <w:t>62</w:t>
        </w:r>
      </w:hyperlink>
      <w:r>
        <w:rPr>
          <w:rFonts w:ascii="Times New Roman;sans-serif" w:hAnsi="Times New Roman;sans-serif"/>
          <w:b w:val="false"/>
          <w:color w:val="000000"/>
          <w:sz w:val="20"/>
          <w:shd w:fill="FFFFFF" w:val="clear"/>
        </w:rPr>
        <w:t xml:space="preserve">.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 Exhibits.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exhibits required to be filed by this Item 15(b) are set forth in the Exhibit Index included below.</w:t>
      </w:r>
    </w:p>
    <w:tbl>
      <w:tblPr>
        <w:tblW w:w="10205" w:type="dxa"/>
        <w:jc w:val="left"/>
        <w:tblInd w:w="0" w:type="dxa"/>
        <w:tblLayout w:type="fixed"/>
        <w:tblCellMar>
          <w:top w:w="28" w:type="dxa"/>
          <w:left w:w="28" w:type="dxa"/>
          <w:bottom w:w="28" w:type="dxa"/>
          <w:right w:w="28" w:type="dxa"/>
        </w:tblCellMar>
      </w:tblPr>
      <w:tblGrid>
        <w:gridCol w:w="294"/>
        <w:gridCol w:w="258"/>
        <w:gridCol w:w="259"/>
        <w:gridCol w:w="3050"/>
        <w:gridCol w:w="2970"/>
        <w:gridCol w:w="3000"/>
        <w:gridCol w:w="109"/>
        <w:gridCol w:w="109"/>
        <w:gridCol w:w="1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Conversion of New Fortress Energy Inc. (incorporated by reference to Exhibit 99.2 to the Registrant’s Quarterly Report on Form 10-Q filed with the SEC on August 4, 2020).</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Incorporation of New Fortress Energy Inc. (incorporated by reference to Exhibit 99.3 to the Registrant’s Quarterly Report on Form 10-Q filed with the SEC on August 4, 2020).</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3.3</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Designations of New Fortress Energy Inc., designating the Company’s 4.8% Series A Convertible Preferred Stock, par value $0.01 per share (incorporated by reference to Exhibit 3.1 to the Registrant’s Current Report on Form 8-K, filed with the SEC on March 26,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3.4</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Certificate of Designations of New Fortress Energy Inc., designating the Company's 4.8% Series B Convertible Preferred Stock, par value $0.01 per share (incorporated by reference to Exhibit 3.1 to the Registrant's Current Report on Form 8-K, filed with the SEC on October 2, 2024).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3.5</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Bylaws of New Fortress Energy Inc. (incorporated by reference to Exhibit 99.4 to the Registrant’s Quarterly Report on Form 10-Q filed with the SEC on August 4, 2020).</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10.1†</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Director Restricted Share Unit Award Agreement (incorporated by reference to Exhibit 10.4 to the Registrant’s Registration Statement on Form S-1/A, filed with the SEC on December 24, 2018).</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10.2†</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 Unit Award Agreement under the Amended and Restated New Fortress Energy Inc. 2019 Omnibus Incentive Plan (incorporated by reference to Exhibit 10.5 to the Registrant’s Quarterly Report on Form 10-Q, filed with the Commission on November 8, 2022).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10.3</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Agreement, dated February 4, 2019, by and among New Fortress Energy LLC, New Fortress Energy Holdings LLC, Wesley R. Edens and Randal A. Nardone (incorporated by reference to Exhibit 4.1 to the Registrant’s Current Report on Form 8-K, filed with the SEC on February 5, 2019).</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10.4</w:t>
              </w:r>
            </w:hyperlink>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Services Agreement, dated February 4, 2019, by and between New Fortress Intermediate LLC and FIG LLC (incorporated by reference to Exhibit 10.3 to the Registrant’s Current Report on Form 8-K, filed with the SEC on February 5, 2019).</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43</w:t>
                      </w:r>
                    </w:p>
                  </w:txbxContent>
                </v:textbox>
                <w10:wrap type="none"/>
              </v:rect>
            </w:pict>
          </mc:Fallback>
        </mc:AlternateContent>
      </w:r>
    </w:p>
    <w:p>
      <w:pPr>
        <w:pStyle w:val="TextBody"/>
        <w:bidi w:val="0"/>
        <w:spacing w:lineRule="auto" w:line="276" w:before="0" w:after="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20"/>
        <w:gridCol w:w="194"/>
        <w:gridCol w:w="197"/>
        <w:gridCol w:w="3071"/>
        <w:gridCol w:w="3071"/>
        <w:gridCol w:w="3077"/>
        <w:gridCol w:w="109"/>
        <w:gridCol w:w="109"/>
        <w:gridCol w:w="157"/>
      </w:tblGrid>
      <w:tr>
        <w:trPr/>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10.5†</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(Edens) (incorporated by reference to Exhibit 10.4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10.6†</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(Guinta) (incorporated by reference to Exhibit 10.5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10.7†</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(Catterall) (incorporated by reference to Exhibit 10.7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10.8†</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(Grain) (incorporated by reference to Exhibit 10.8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10.9†</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(Griffin) (incorporated by reference to Exhibit 10.9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10.10†</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(Mack) (incorporated by reference to Exhibit 10.10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10.11†</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(Nardone) (incorporated by reference to Exhibit 10.11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10.12†</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(Wanner) (incorporated by reference to Exhibit 10.12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10.13†</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(Jay) (incorporated by reference to Exhibit 10.15 to the Registrant's Quarterly Report on Form 10-Q, filed with the SEC on May 4,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10.14†</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dated as of March 17, 2019, by and between New Fortress Energy LLC and Yunyoung Shin (incorporated by reference to Exhibit 10.29 to the Registrant’s Annual Report on Form 10-K, filed with the SEC on March 26,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10.15</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dated as of December 3, 2019, by and between NFE Management LLC and Yunyoung Shin (incorporated by reference to Exhibit 10.3 to the Registrant’s Quarterly Report on Form 10-Q, filed with the SEC on May 6, 2020).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10.16</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dated as of March 14, 2017, by and between NFE Management LLC and Christopher S. Guinta (incorporated by reference to Exhibit 10.17 to the Registrant’s Annual Report on Form 10-K, filed with the SEC on March 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10.17</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April 12, 2021, by and among the Company, an issuer, the subsidiary guarantors from time to time party thereto, and U.S. Bank National Association, as trustee and as notes collateral agent (incorporated by reference to Exhibit 4.1 to the Registrant’s Current Report on Form 8-K, filed with the SEC on April 12,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10.18</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 and Security Agreement, dated April 12, 2021, by and among the Company, the subsidiary guarantors, from time to time party thereto, and U.S. Bank National Association, as notes collateral agent (incorporated by reference to Exhibit 4.2 to the Registrant’s Current Report on Form 8-K, filed with the SEC on April 12,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10.19</w:t>
              </w:r>
            </w:hyperlink>
          </w:p>
        </w:tc>
        <w:tc>
          <w:tcPr>
            <w:tcW w:w="9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as of June 11, 2021, between Golar GP LLC (now known as NFE GP LLC), as Guaranteeing Subsidiary, and U.S. Bank Trust Company, National Association (as successor in interest to U.S. Bank National Association), as trustee (incorporated by reference to Exhibit 10.29 to the Registrant’s Annual Report on Form 10-K, filed with the SEC on March 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44</w:t>
                      </w:r>
                    </w:p>
                  </w:txbxContent>
                </v:textbox>
                <w10:wrap type="none"/>
              </v:rect>
            </w:pict>
          </mc:Fallback>
        </mc:AlternateContent>
      </w:r>
    </w:p>
    <w:p>
      <w:pPr>
        <w:pStyle w:val="TextBody"/>
        <w:bidi w:val="0"/>
        <w:spacing w:lineRule="auto" w:line="276" w:before="0" w:after="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19"/>
        <w:gridCol w:w="192"/>
        <w:gridCol w:w="194"/>
        <w:gridCol w:w="3104"/>
        <w:gridCol w:w="3056"/>
        <w:gridCol w:w="3064"/>
        <w:gridCol w:w="109"/>
        <w:gridCol w:w="109"/>
        <w:gridCol w:w="158"/>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104"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10.20</w:t>
              </w:r>
            </w:hyperlink>
          </w:p>
        </w:tc>
        <w:tc>
          <w:tcPr>
            <w:tcW w:w="9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as of September 13, 2021, between NFE Mexico Power Holdings Limited and NFE Mexico Terminal Holdings Limited, as Guaranteeing Subsidiaries, and U.S. Bank Trust Company, National Association (as successor in interest to U.S. Bank National Association), as trustee (incorporated by reference to Exhibit 10.30 to the Registrant’s Annual Report on Form 10-K, filed with the SEC on March 1, 2023).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10.21</w:t>
              </w:r>
            </w:hyperlink>
          </w:p>
        </w:tc>
        <w:tc>
          <w:tcPr>
            <w:tcW w:w="9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as of November 24, 2021, between NFE International Shipping LLC, NFE Global Shipping LLC, NFE Grand Shipping LLC and NFE International Holdings Limited, as Guaranteeing Subsidiaries, and U.S. Bank Trust Company, National Association (as successor in interest to U.S. Bank National Association), as trustee (incorporated by reference to Exhibit 10.31 to the Registrant’s Annual Report on Form 10-K, filed with the SEC on March 1, 2023).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10.22</w:t>
              </w:r>
            </w:hyperlink>
          </w:p>
        </w:tc>
        <w:tc>
          <w:tcPr>
            <w:tcW w:w="9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Supplemental Indenture, dated as of March 23, 2022, between NFE UK Holdings Limited, NFE Global Holdings Limited and NFE Bermuda Holdings Limited, as Guaranteeing Subsidiaries, and U.S. Bank Trust Company, National Association (as successor in interest to U.S. Bank National Association), as trustee (incorporated by reference to Exhibit 10.32 to the Registrant’s Annual Report on Form 10-K, filed with the SEC on March 1, 2023).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10.23</w:t>
              </w:r>
            </w:hyperlink>
          </w:p>
        </w:tc>
        <w:tc>
          <w:tcPr>
            <w:tcW w:w="9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Supplemental Indenture, dated as of December 22, 2022, between NFE Andromeda Chartering LLC, as Guaranteeing Subsidiary, and U.S. Bank Trust Company, National Association (as successor in interest to U.S. Bank National Association), as trustee (incorporated by reference to Exhibit 10.33 to the Registrant’s Annual Report on Form 10-K, filed with the SEC on March 1, 2023).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10.24*</w:t>
              </w:r>
            </w:hyperlink>
          </w:p>
        </w:tc>
        <w:tc>
          <w:tcPr>
            <w:tcW w:w="9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Sixth Supplemental Indenture, dated as of October 18, 2024, between NFE International Holdings 1 Limited and NFE International Holdings 1 Limited (each a “Guaranteeing Subsidiary”) as Guaranteeing Subsidiaries and U.S. Bank Trust Company, National Association (as successor in interest to U.S. Bank National Association).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10.25*</w:t>
              </w:r>
            </w:hyperlink>
          </w:p>
        </w:tc>
        <w:tc>
          <w:tcPr>
            <w:tcW w:w="9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Seventh Supplemental Indenture, dated as of December 5, 2024, between the various Guaranteeing Subsidiaries party thereto and U.S. Bank Trust Company, National Association (as successor in interest to U.S. Bank National Association), as trustee.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10.26</w:t>
              </w:r>
            </w:hyperlink>
          </w:p>
        </w:tc>
        <w:tc>
          <w:tcPr>
            <w:tcW w:w="9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10.2 to the Registrant’s Current Report on Form 8-K, filed with the SEC on April 21, 2021).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10.27</w:t>
              </w:r>
            </w:hyperlink>
          </w:p>
        </w:tc>
        <w:tc>
          <w:tcPr>
            <w:tcW w:w="922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Credit Agreement, dated as of July 16, 2021 to the Credit Agreement, dated as of April 15, 2021, by and among the Company, as the borrower, the guarantors from time to time partly thereto, the several lenders and issuing banks from time to time partly thereto, and Morgan Stanley Senior Funding, Inc., as administrative agent (incorporated by reference to Exhibit 10.30 to the Registrant’s Annual Report on Form 10-K, filed with the SEC on March 1, 2022).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10.28</w:t>
              </w:r>
            </w:hyperlink>
          </w:p>
        </w:tc>
        <w:tc>
          <w:tcPr>
            <w:tcW w:w="9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Credit Agreement, dated as of February 28, 2022 to the 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10.31 to the Registrant’s Annual Report on Form 10-K, filed with the SEC on March 1, 2022).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10.29</w:t>
              </w:r>
            </w:hyperlink>
          </w:p>
        </w:tc>
        <w:tc>
          <w:tcPr>
            <w:tcW w:w="9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Credit Agreement, dated as of May 4, 2022 to the 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10.32 to the Registrant’s Quarterly Report on Form 10-Q, filed with the SEC on May 6, 2022).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45</w:t>
                      </w:r>
                    </w:p>
                  </w:txbxContent>
                </v:textbox>
                <w10:wrap type="none"/>
              </v:rect>
            </w:pict>
          </mc:Fallback>
        </mc:AlternateContent>
      </w:r>
    </w:p>
    <w:p>
      <w:pPr>
        <w:pStyle w:val="TextBody"/>
        <w:bidi w:val="0"/>
        <w:spacing w:lineRule="auto" w:line="276" w:before="0" w:after="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18"/>
        <w:gridCol w:w="192"/>
        <w:gridCol w:w="194"/>
        <w:gridCol w:w="3130"/>
        <w:gridCol w:w="3045"/>
        <w:gridCol w:w="3052"/>
        <w:gridCol w:w="109"/>
        <w:gridCol w:w="109"/>
        <w:gridCol w:w="156"/>
      </w:tblGrid>
      <w:tr>
        <w:trPr/>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10.30</w:t>
              </w:r>
            </w:hyperlink>
          </w:p>
        </w:tc>
        <w:tc>
          <w:tcPr>
            <w:tcW w:w="9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Amendment to Credit Agreement, dated as of February 7, 2023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10.38 to the Registrant’s Annual Report on Form 10-K, filed with the SEC on March 1,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10.31</w:t>
              </w:r>
            </w:hyperlink>
          </w:p>
        </w:tc>
        <w:tc>
          <w:tcPr>
            <w:tcW w:w="9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Fifth Amendment to Credit Agreement, dated as of September 15, 2023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10.39 to the Registrant's Annual Report on Form 10-Q, filed with the SEC on November 9,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10.32</w:t>
              </w:r>
            </w:hyperlink>
          </w:p>
        </w:tc>
        <w:tc>
          <w:tcPr>
            <w:tcW w:w="9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Sixth Amendment to Credit Agreement, dated as of December 18, 2023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10.40 to the Registrant's Annual Report on Form 10-K, filed with the SEC on February 29,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10.33</w:t>
              </w:r>
            </w:hyperlink>
          </w:p>
        </w:tc>
        <w:tc>
          <w:tcPr>
            <w:tcW w:w="9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Seventh Amendment to Credit Agreement, dated as of May 3, 2024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10.41 to the Registrant's Quarterly Report on Form 10-Q, filed with the SEC on August 9,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10.34</w:t>
              </w:r>
            </w:hyperlink>
          </w:p>
        </w:tc>
        <w:tc>
          <w:tcPr>
            <w:tcW w:w="9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Eighth Amendment to Credit Agreement, dated as of September 30, 2024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10.42 to the Registrant's Quarterly Report on Form 10-Q, filed with the SEC on November 12,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10.35*</w:t>
              </w:r>
            </w:hyperlink>
          </w:p>
        </w:tc>
        <w:tc>
          <w:tcPr>
            <w:tcW w:w="9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Ninth Amendment to Credit Agreement, dated as of November 6, 2024 to the Credit Agreement, dated as of April 15, 2021, by and among the Company, as the borrower, the guarantors from time to time party thereto, the several lenders and issuing banks from time to time party thereto, and MUFG Bank Ltd., as administrative agent and collateral agent.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10.36*</w:t>
              </w:r>
            </w:hyperlink>
          </w:p>
        </w:tc>
        <w:tc>
          <w:tcPr>
            <w:tcW w:w="9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Tenth Amendment to Credit Agreement, dated as of November 22, 2024 to the Credit agreement, dated as of April 15, 2021, by and among the Company, as the borrower, the guarantors from time to time party thereto, the several lenders and issuing banks from time to time party thereto, and MUFG Bank Ltd., as administrative agent and collateral agent.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10.37</w:t>
              </w:r>
            </w:hyperlink>
          </w:p>
        </w:tc>
        <w:tc>
          <w:tcPr>
            <w:tcW w:w="9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Purchase and Contribution Agreement, dated as of July 2, 2022, by and among Golar LNG Partners LP and Hygo Energy Transition Ltd., as Sellers, AP Neptune Holdings Ltd, as Purchaser, Floating Infrastructure Holdings LLC, as the Company, and Floating Infrastructure Intermediate LLC, as Holdco Pledgor, and Floating Infrastructure Holdings finance LLC, as Borrower, and New Fortress Energy Inc.(incorporated by reference to Exhibit 10.39 to Registrant’s Quarterly Report on Form 10-Q, filed with the SEC on August 5, 2022).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10.38</w:t>
              </w:r>
            </w:hyperlink>
          </w:p>
        </w:tc>
        <w:tc>
          <w:tcPr>
            <w:tcW w:w="9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Uncommitted Letter of Credit and Reimbursement Agreement, dated as of July 16, 2021, by and among the Company, as borrower, each of the guarantors party thereto, the lenders and issuing banks party thereto and Natixis, New York Branch, as administrative agent and as collateral agent.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10.39</w:t>
              </w:r>
            </w:hyperlink>
          </w:p>
        </w:tc>
        <w:tc>
          <w:tcPr>
            <w:tcW w:w="9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Uncommitted Letter of Credit and Reimbursement Agreement, dated as of July 27, 2022 to the Uncommitted Letter of Credit and Reimbursement Agreement, dated as of July 16, 2021,, dated July 27, 2022, by and among the Company, as borrower, each of the guarantors party thereto, the lenders and issuing banks party thereto and Natixis, New York Branch, as administrative agent and as collateral agent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9"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46</w:t>
                      </w:r>
                    </w:p>
                  </w:txbxContent>
                </v:textbox>
                <w10:wrap type="none"/>
              </v:rect>
            </w:pict>
          </mc:Fallback>
        </mc:AlternateContent>
      </w:r>
    </w:p>
    <w:p>
      <w:pPr>
        <w:pStyle w:val="TextBody"/>
        <w:bidi w:val="0"/>
        <w:spacing w:lineRule="auto" w:line="276" w:before="0" w:after="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20"/>
        <w:gridCol w:w="193"/>
        <w:gridCol w:w="195"/>
        <w:gridCol w:w="3072"/>
        <w:gridCol w:w="3072"/>
        <w:gridCol w:w="3079"/>
        <w:gridCol w:w="109"/>
        <w:gridCol w:w="109"/>
        <w:gridCol w:w="156"/>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72" w:type="dxa"/>
            <w:tcBorders/>
            <w:vAlign w:val="center"/>
          </w:tcPr>
          <w:p>
            <w:pPr>
              <w:pStyle w:val="TableContents"/>
              <w:bidi w:val="0"/>
              <w:spacing w:before="0" w:after="283"/>
              <w:jc w:val="left"/>
              <w:rPr>
                <w:sz w:val="4"/>
                <w:szCs w:val="4"/>
              </w:rPr>
            </w:pPr>
            <w:r>
              <w:rPr>
                <w:sz w:val="4"/>
                <w:szCs w:val="4"/>
              </w:rPr>
            </w:r>
          </w:p>
        </w:tc>
        <w:tc>
          <w:tcPr>
            <w:tcW w:w="3072"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10.40</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Joinder Agreement Regarding to Uncommitted Letter of Credit and Reimbursement Agreement, dated February 6, 2023, by and among the Company, as the borrower each of the guarantors party thereto, the lenders and issuing banks party thereto and Natixis, New York Branch, as administrative agent (incorporated by reference to Exhibit 10.45 to the Registrant’s Annual Report on Form 10-K, filed with the SEC on March 1,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10.41</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Joinder Agreement Regarding to Uncommitted Letter of Credit and Reimbursement Agreement, dated November 2, 2023, by and among the Company, as borrower, each of the guarantors party thereto, the lenders and issuing bank party thereto and Natixis, New York Branch, as administrative agent (incorporated by reference to Exhibit 10.44 to the Registrant's Annual Report on Form 10-K, filed with the SEC on February 29,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10.42</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Uncommitted Letter of Credit and Reimbursement Agreement, dated May 17, 2024, by and among the Company, as borrower, each of the guarantors party thereto, the lenders and issuing banks party thereto and Natixis, New York Branch, as administrative agent and as collateral agent (incorporated by reference to Exhibit 10.46 to the Registrant’s Quarterly Report on Form 10-Q, filed with the SEC on August 9,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10.43</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Fourth Amendment to Uncommitted Letter of Credit and Reimbursement Agreement, dated September 30, 2024, by and among the Company, the guarantors party thereto, the lenders and issuing banks party thereto and Natixis, New York Branch, as administrative agent and as collateral agent (incorporated by reference to Exhibit 10.48 to the Registrant’s Quarterly Report on Form 10-Q, filed with the SEC on November 12,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10.44*</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Fifth Amendment to Uncommitted Letter of Credit and Reimbursement Agreement, dated November 6, 2024, by and among the Company, the guarantors party thereto, the lenders and issuing banks party thereto and Natixis, New York Branch, as administrative agent and as collateral agent.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10.45*</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Sixth Amendment to Uncommitted Letter of Credit and Reimbursement Agreement, dated November 22, 2024, by and among the Company, the guarantors party thereto, the lenders and issuing banks party thereto and Natixis, New York Branch, as administrative agent and as collateral agent.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10.46</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October 30, 2023, by and among the Company, as the borrower, the guarantors from time to time party thereto, the several lenders from time to time party thereto, and Morgan Stanley Senior Funding Inc., as administrative agent and collateral agent (incorporated by reference to Exhibit 10.45 to the Registrant's Annual Report on Form 10-K, filed with the SEC on February 29,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10.47</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March 8, 2024, by and among New Fortress Energy Inc., the subsidiary guarantors from time to time party thereto, and U.S. Bank Trust Company, National Association, as trustee and as notes collateral agent (incorporated by reference to Exhibit 4.1 to the Registrant’s Current Report on Form 8-K, filed with the SEC on March 8,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10.48*</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as of October 18, 2024, between NFE International Holdings 1 Limited and NFE International Holdings 2 Limited, as Guaranteeing Subsidiaries, and U.S. Bank Trust Company, National Association, as trustee.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10.49*</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as of December 5, 2024, by and among the Company, as issuer, by and among New Fortress Energy Inc., as issuer, the guarantors party thereto and U.S. Bank Trust Company, National Association, as trustee.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10.50</w:t>
              </w:r>
            </w:hyperlink>
          </w:p>
        </w:tc>
        <w:tc>
          <w:tcPr>
            <w:tcW w:w="9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Pledge and Security Agreement, dated March 8, 2024, by and among the Company, the subsidiary guarantors, from time to time party thereto, and U.S. Bank Trust Company, National Association, as notes collateral agent (incorporated by reference to Exhibit 4.2 to the Registrant’s Current Report on Form 8-K, filed with the SEC on March 8,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50"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47</w:t>
                      </w:r>
                    </w:p>
                  </w:txbxContent>
                </v:textbox>
                <w10:wrap type="none"/>
              </v:rect>
            </w:pict>
          </mc:Fallback>
        </mc:AlternateContent>
      </w:r>
    </w:p>
    <w:p>
      <w:pPr>
        <w:pStyle w:val="TextBody"/>
        <w:bidi w:val="0"/>
        <w:spacing w:lineRule="auto" w:line="276" w:before="0" w:after="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21"/>
        <w:gridCol w:w="194"/>
        <w:gridCol w:w="196"/>
        <w:gridCol w:w="3071"/>
        <w:gridCol w:w="3071"/>
        <w:gridCol w:w="3078"/>
        <w:gridCol w:w="109"/>
        <w:gridCol w:w="109"/>
        <w:gridCol w:w="156"/>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10.51</w:t>
              </w:r>
            </w:hyperlink>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July 19, 2024, by and among the Company, as the borrower, the guarantors from time to time party thereto, the several lenders from time to time party thereto, and Morgan Stanley Senior Funding Inc., as administrative agent and collateral agent. (incorporated by reference to Exhibit 10.50 to the Registrant’s Quarterly Report on Form 10-Q, filed with the SEC on August 9,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10.52*</w:t>
              </w:r>
            </w:hyperlink>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First Amendment to Credit Agreement, dated as of September 30, 2024, by and among the Company, as the borrower, the guarantors from time to time party thereto, the several lenders from time to time party thereto, and Morgan Stanley Senior Funding Inc., as administrative agent and collateral agent.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10.53*</w:t>
              </w:r>
            </w:hyperlink>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Credit Agreement, dated as of November 14, 2024, by and among the Company, as the borrower, the guarantors from time to time party thereto, the several lenders from time to time party thereto, and Morgan Stanley Senior Funding Inc., as administrative agent and collateral agent.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20"/>
                  <w:u w:val="single"/>
                </w:rPr>
                <w:t>10.54*</w:t>
              </w:r>
            </w:hyperlink>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Credit Agreement, dated as of November 22, 2024, by and among the Company, as the borrower, the guarantors from time to time party thereto, the several lenders from time to time party thereto, and Morgan Stanley Senior Funding Inc., as administrative agent and collateral agent.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10.55*</w:t>
              </w:r>
            </w:hyperlink>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I Credit Agreement, dated as of November 22, 2024, among the Company, as the borrower, the guarantors from time to time party thereto, the lenders from time to time party thereto and Wilmington Savings Fund Society, FSB, as administrative agent and collateral agent.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20"/>
                  <w:u w:val="single"/>
                </w:rPr>
                <w:t>10.56*</w:t>
              </w:r>
            </w:hyperlink>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November 22, 2024, among NFE Brazil Investments LLC, as the borrower, NFE Financing LLC, as lender, the lenders from time to time party thereto and Wilmington Savings Fund Society, FSB, as administrative agent and collateral agent.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10.57*</w:t>
              </w:r>
            </w:hyperlink>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II Credit Agreement, dated as of December 6, 2024, among the Company, as the borrower, the guarantors from time to time party thereto, the lenders from time to time party thereto and Wilmington Savings Fund Society, FSB, as administrative agent and collateral agent.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FF"/>
                  <w:sz w:val="20"/>
                  <w:u w:val="single"/>
                </w:rPr>
                <w:t>10.58*</w:t>
              </w:r>
            </w:hyperlink>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Support Agreement, dated as of September 30, 2024, by and among the Company and parties thereto.</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20"/>
                  <w:u w:val="single"/>
                </w:rPr>
                <w:t>10.59*</w:t>
              </w:r>
            </w:hyperlink>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Amendment to Transaction Support Agreement, dated as of November 4, 2024, by and among the Company and parties thereto.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FF"/>
                  <w:sz w:val="20"/>
                  <w:u w:val="single"/>
                </w:rPr>
                <w:t>10.60*</w:t>
              </w:r>
            </w:hyperlink>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Second Amendment to Transaction Support Agreement, dated as of November 21, 2024, by and among the Company and parties thereto.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FF"/>
                  <w:sz w:val="20"/>
                  <w:u w:val="single"/>
                </w:rPr>
                <w:t>10.61*</w:t>
              </w:r>
            </w:hyperlink>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Exchange and Subscription Agreement, dated November 6, 2024, by and among the Company and parties thereto.</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ans-serif" w:hAnsi="Times New Roman;sans-serif"/>
                  <w:b w:val="false"/>
                  <w:color w:val="0000FF"/>
                  <w:sz w:val="20"/>
                  <w:u w:val="single"/>
                </w:rPr>
                <w:t>10.62*</w:t>
              </w:r>
            </w:hyperlink>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First Amendment to Exchange and Subscription Agreement, dated November 22, 2024, by and among the Company and parties thereto.</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FF"/>
                  <w:sz w:val="20"/>
                  <w:u w:val="single"/>
                </w:rPr>
                <w:t>10.63</w:t>
              </w:r>
            </w:hyperlink>
            <w:r>
              <w:rPr>
                <w:rFonts w:ascii="Times New Roman;sans-serif" w:hAnsi="Times New Roman;sans-serif"/>
                <w:b w:val="false"/>
                <w:color w:val="000000"/>
                <w:sz w:val="20"/>
              </w:rPr>
              <w:t>*</w:t>
            </w:r>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Indenture, dated November 22, 2024, by and among NFE Financing LLC, as issuer, the guarantors from time to time party thereto, and Wilmington Savings Fund Society, FSB, as trustee.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ans-serif" w:hAnsi="Times New Roman;sans-serif"/>
                  <w:b w:val="false"/>
                  <w:color w:val="0000FF"/>
                  <w:sz w:val="20"/>
                  <w:u w:val="single"/>
                </w:rPr>
                <w:t>10.64*</w:t>
              </w:r>
            </w:hyperlink>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Registration Rights and Lock-up Agreement, dated as of December 6, 2024 by and among the Company and the undersigned investors.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ans-serif" w:hAnsi="Times New Roman;sans-serif"/>
                  <w:b w:val="false"/>
                  <w:color w:val="0000FF"/>
                  <w:sz w:val="20"/>
                  <w:u w:val="single"/>
                </w:rPr>
                <w:t>10.65*</w:t>
              </w:r>
            </w:hyperlink>
          </w:p>
        </w:tc>
        <w:tc>
          <w:tcPr>
            <w:tcW w:w="9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Amendment to Registration Rights and Lock-up Agreement, dated as of January 8, 2025, by and among the Company and the undersigned investors.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1"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48</w:t>
                      </w:r>
                    </w:p>
                  </w:txbxContent>
                </v:textbox>
                <w10:wrap type="none"/>
              </v:rect>
            </w:pict>
          </mc:Fallback>
        </mc:AlternateContent>
      </w:r>
    </w:p>
    <w:p>
      <w:pPr>
        <w:pStyle w:val="TextBody"/>
        <w:bidi w:val="0"/>
        <w:spacing w:lineRule="auto" w:line="276" w:before="0" w:after="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94"/>
        <w:gridCol w:w="258"/>
        <w:gridCol w:w="261"/>
        <w:gridCol w:w="3077"/>
        <w:gridCol w:w="2966"/>
        <w:gridCol w:w="2974"/>
        <w:gridCol w:w="109"/>
        <w:gridCol w:w="109"/>
        <w:gridCol w:w="15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FF"/>
                  <w:sz w:val="20"/>
                  <w:u w:val="single"/>
                </w:rPr>
                <w:t>10.66*</w:t>
              </w:r>
            </w:hyperlink>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Second Amendment to Registration Rights and Lock-up Agreement, dated as of February 4, 2025, by and among the Company and the undersigned investors.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FF"/>
                  <w:sz w:val="20"/>
                  <w:u w:val="single"/>
                </w:rPr>
                <w:t>19.1*</w:t>
              </w:r>
            </w:hyperlink>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Fortress Energy Inc. Firmwide Insider Trading Policy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ans-serif" w:hAnsi="Times New Roman;sans-serif"/>
                  <w:b w:val="false"/>
                  <w:color w:val="0000FF"/>
                  <w:sz w:val="20"/>
                  <w:u w:val="single"/>
                </w:rPr>
                <w:t>21.1*</w:t>
              </w:r>
            </w:hyperlink>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List of Subsidiaries of New Fortress Energy Inc.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0-kaconsentdraft002.htm">
              <w:r>
                <w:rPr>
                  <w:rStyle w:val="InternetLink"/>
                  <w:rFonts w:ascii="Times New Roman;sans-serif" w:hAnsi="Times New Roman;sans-serif"/>
                  <w:b w:val="false"/>
                  <w:color w:val="0000FF"/>
                  <w:sz w:val="20"/>
                  <w:u w:val="single"/>
                </w:rPr>
                <w:t>23.1*</w:t>
              </w:r>
            </w:hyperlink>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Consent of Ernst &amp; Young LLP, independent registered public accounting firm.</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20241231xex31110ka.htm">
              <w:r>
                <w:rPr>
                  <w:rStyle w:val="InternetLink"/>
                  <w:rFonts w:ascii="Times New Roman;sans-serif" w:hAnsi="Times New Roman;sans-serif"/>
                  <w:b w:val="false"/>
                  <w:color w:val="0000FF"/>
                  <w:sz w:val="20"/>
                  <w:u w:val="single"/>
                </w:rPr>
                <w:t>31.1*</w:t>
              </w:r>
            </w:hyperlink>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by Chief Executive Officer pursuant to Rules 13a-14(a) and 15d-14(a) of the Exchange Act, as adopted pursuant to Section 302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20241231xex31210ka.htm">
              <w:r>
                <w:rPr>
                  <w:rStyle w:val="InternetLink"/>
                  <w:rFonts w:ascii="Times New Roman;sans-serif" w:hAnsi="Times New Roman;sans-serif"/>
                  <w:b w:val="false"/>
                  <w:color w:val="0000FF"/>
                  <w:sz w:val="20"/>
                  <w:u w:val="single"/>
                </w:rPr>
                <w:t>31.2*</w:t>
              </w:r>
            </w:hyperlink>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by Chief Financial Officer pursuant to Rules 13a-14(a) and 15d-14(a) of the Exchange Act, as adopted pursuant to Section 302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20241231xex32110ka.htm">
              <w:r>
                <w:rPr>
                  <w:rStyle w:val="InternetLink"/>
                  <w:rFonts w:ascii="Times New Roman;sans-serif" w:hAnsi="Times New Roman;sans-serif"/>
                  <w:b w:val="false"/>
                  <w:color w:val="0000FF"/>
                  <w:sz w:val="20"/>
                  <w:u w:val="single"/>
                </w:rPr>
                <w:t>32.1**</w:t>
              </w:r>
            </w:hyperlink>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by Chief Executive Officer pursuant to Title 18 U.S.C. Section 1350, as adopted pursuant to Section 906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20241231xex32210ka.htm">
              <w:r>
                <w:rPr>
                  <w:rStyle w:val="InternetLink"/>
                  <w:rFonts w:ascii="Times New Roman;sans-serif" w:hAnsi="Times New Roman;sans-serif"/>
                  <w:b w:val="false"/>
                  <w:color w:val="0000FF"/>
                  <w:sz w:val="20"/>
                  <w:u w:val="single"/>
                </w:rPr>
                <w:t>32.2**</w:t>
              </w:r>
            </w:hyperlink>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by Chief Financial Officer pursuant to Title 18 U.S.C. Section 1350, as adopted pursuant to Section 906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FF"/>
                  <w:sz w:val="20"/>
                  <w:u w:val="single"/>
                </w:rPr>
                <w:t>97.1</w:t>
              </w:r>
            </w:hyperlink>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Clawback Policy of the Company, effective as of December 1, 2023 (incorporated by reference from exhibit 97.1 to the Form 10-K dated February 29, 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left"/>
        <w:rPr/>
      </w:pP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Filed as an exhibit to this Annual Report</w:t>
      </w:r>
    </w:p>
    <w:p>
      <w:pPr>
        <w:pStyle w:val="TextBody"/>
        <w:bidi w:val="0"/>
        <w:spacing w:lineRule="auto" w:line="288" w:before="0" w:after="0"/>
        <w:ind w:left="0" w:right="0" w:hanging="270"/>
        <w:jc w:val="left"/>
        <w:rPr/>
      </w:pP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Furnished as an exhibit to this Annual Report</w:t>
      </w:r>
    </w:p>
    <w:p>
      <w:pPr>
        <w:pStyle w:val="TextBody"/>
        <w:bidi w:val="0"/>
        <w:spacing w:lineRule="auto" w:line="288" w:before="0" w:after="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Compensatory plan or arrangement</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Portions of the exhibit (indicated by asterisks) have been omitted in pursuant to Item 601 (b)(10)(iv)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52"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13 or 15(d) of the Securities Exchange Act of 1934, the registrant has duly caused this report to be signed on its behalf by the undersigned, thereunto duly authorized.</w:t>
      </w:r>
    </w:p>
    <w:tbl>
      <w:tblPr>
        <w:tblW w:w="5141" w:type="dxa"/>
        <w:jc w:val="left"/>
        <w:tblInd w:w="0" w:type="dxa"/>
        <w:tblLayout w:type="fixed"/>
        <w:tblCellMar>
          <w:top w:w="28" w:type="dxa"/>
          <w:left w:w="28" w:type="dxa"/>
          <w:bottom w:w="28" w:type="dxa"/>
          <w:right w:w="28" w:type="dxa"/>
        </w:tblCellMar>
      </w:tblPr>
      <w:tblGrid>
        <w:gridCol w:w="629"/>
        <w:gridCol w:w="554"/>
        <w:gridCol w:w="557"/>
        <w:gridCol w:w="464"/>
        <w:gridCol w:w="464"/>
        <w:gridCol w:w="464"/>
        <w:gridCol w:w="585"/>
        <w:gridCol w:w="585"/>
        <w:gridCol w:w="83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NEW FORTRESS ENERGY INC.</w:t>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June 27, 2025</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Guinta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24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3"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Index to Consolidated Financial Statements</w:t>
      </w:r>
    </w:p>
    <w:tbl>
      <w:tblPr>
        <w:tblW w:w="6916" w:type="dxa"/>
        <w:jc w:val="left"/>
        <w:tblInd w:w="0" w:type="dxa"/>
        <w:tblLayout w:type="fixed"/>
        <w:tblCellMar>
          <w:top w:w="28" w:type="dxa"/>
          <w:left w:w="28" w:type="dxa"/>
          <w:bottom w:w="28" w:type="dxa"/>
          <w:right w:w="28" w:type="dxa"/>
        </w:tblCellMar>
      </w:tblPr>
      <w:tblGrid>
        <w:gridCol w:w="2297"/>
        <w:gridCol w:w="2018"/>
        <w:gridCol w:w="2030"/>
        <w:gridCol w:w="167"/>
        <w:gridCol w:w="167"/>
        <w:gridCol w:w="237"/>
      </w:tblGrid>
      <w:tr>
        <w:trPr/>
        <w:tc>
          <w:tcPr>
            <w:tcW w:w="229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136">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#42)</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272725"/>
                <w:sz w:val="20"/>
              </w:rPr>
              <w:t>F-</w:t>
            </w:r>
            <w:hyperlink w:anchor="i9903e915422741eeb6b98091c044781d_136">
              <w:r>
                <w:rPr>
                  <w:rStyle w:val="InternetLink"/>
                  <w:rFonts w:ascii="Times New Roman;sans-serif" w:hAnsi="Times New Roman;sans-serif"/>
                  <w:b w:val="false"/>
                  <w:strike w:val="false"/>
                  <w:dstrike w:val="false"/>
                  <w:color w:val="272725"/>
                  <w:sz w:val="20"/>
                  <w:u w:val="none"/>
                  <w:effect w:val="none"/>
                </w:rPr>
                <w:t>2</w:t>
              </w:r>
            </w:hyperlink>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139">
              <w:r>
                <w:rPr>
                  <w:rStyle w:val="InternetLink"/>
                  <w:rFonts w:ascii="Times New Roman;sans-serif" w:hAnsi="Times New Roman;sans-serif"/>
                  <w:b w:val="false"/>
                  <w:color w:val="0000FF"/>
                  <w:sz w:val="20"/>
                  <w:u w:val="single"/>
                </w:rPr>
                <w:t>Consolidated Balance Sheets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272725"/>
                <w:sz w:val="20"/>
              </w:rPr>
              <w:t>F-</w:t>
            </w:r>
            <w:hyperlink w:anchor="i9903e915422741eeb6b98091c044781d_139">
              <w:r>
                <w:rPr>
                  <w:rStyle w:val="InternetLink"/>
                  <w:rFonts w:ascii="Times New Roman;sans-serif" w:hAnsi="Times New Roman;sans-serif"/>
                  <w:b w:val="false"/>
                  <w:strike w:val="false"/>
                  <w:dstrike w:val="false"/>
                  <w:color w:val="272725"/>
                  <w:sz w:val="20"/>
                  <w:u w:val="none"/>
                  <w:effect w:val="none"/>
                </w:rPr>
                <w:t>7</w:t>
              </w:r>
            </w:hyperlink>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142">
              <w:r>
                <w:rPr>
                  <w:rStyle w:val="InternetLink"/>
                  <w:rFonts w:ascii="Times New Roman;sans-serif" w:hAnsi="Times New Roman;sans-serif"/>
                  <w:b w:val="false"/>
                  <w:color w:val="0000FF"/>
                  <w:sz w:val="20"/>
                  <w:u w:val="single"/>
                </w:rPr>
                <w:t>Consolidated Statements of Operations and Comprehensive (Loss) Income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272725"/>
                <w:sz w:val="20"/>
              </w:rPr>
              <w:t>F-</w:t>
            </w:r>
            <w:hyperlink w:anchor="i9903e915422741eeb6b98091c044781d_142">
              <w:r>
                <w:rPr>
                  <w:rStyle w:val="InternetLink"/>
                  <w:rFonts w:ascii="Times New Roman;sans-serif" w:hAnsi="Times New Roman;sans-serif"/>
                  <w:b w:val="false"/>
                  <w:strike w:val="false"/>
                  <w:dstrike w:val="false"/>
                  <w:color w:val="272725"/>
                  <w:sz w:val="20"/>
                  <w:u w:val="none"/>
                  <w:effect w:val="none"/>
                </w:rPr>
                <w:t>8</w:t>
              </w:r>
            </w:hyperlink>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145">
              <w:r>
                <w:rPr>
                  <w:rStyle w:val="InternetLink"/>
                  <w:rFonts w:ascii="Times New Roman;sans-serif" w:hAnsi="Times New Roman;sans-serif"/>
                  <w:b w:val="false"/>
                  <w:color w:val="0000FF"/>
                  <w:sz w:val="20"/>
                  <w:u w:val="single"/>
                </w:rPr>
                <w:t>Consolidated Statements of Changes in Stockholders’ Equity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272725"/>
                <w:sz w:val="20"/>
              </w:rPr>
              <w:t>F-</w:t>
            </w:r>
            <w:hyperlink w:anchor="i9903e915422741eeb6b98091c044781d_145">
              <w:r>
                <w:rPr>
                  <w:rStyle w:val="InternetLink"/>
                  <w:rFonts w:ascii="Times New Roman;sans-serif" w:hAnsi="Times New Roman;sans-serif"/>
                  <w:b w:val="false"/>
                  <w:strike w:val="false"/>
                  <w:dstrike w:val="false"/>
                  <w:color w:val="272725"/>
                  <w:sz w:val="20"/>
                  <w:u w:val="none"/>
                  <w:effect w:val="none"/>
                </w:rPr>
                <w:t>9</w:t>
              </w:r>
            </w:hyperlink>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148">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272725"/>
                <w:sz w:val="20"/>
              </w:rPr>
              <w:t>F-</w:t>
            </w:r>
            <w:hyperlink w:anchor="i9903e915422741eeb6b98091c044781d_148">
              <w:r>
                <w:rPr>
                  <w:rStyle w:val="InternetLink"/>
                  <w:rFonts w:ascii="Times New Roman;sans-serif" w:hAnsi="Times New Roman;sans-serif"/>
                  <w:b w:val="false"/>
                  <w:strike w:val="false"/>
                  <w:dstrike w:val="false"/>
                  <w:color w:val="272725"/>
                  <w:sz w:val="20"/>
                  <w:u w:val="none"/>
                  <w:effect w:val="none"/>
                </w:rPr>
                <w:t>10</w:t>
              </w:r>
            </w:hyperlink>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03e915422741eeb6b98091c044781d_151">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272725"/>
                <w:sz w:val="20"/>
              </w:rPr>
              <w:t>F-</w:t>
            </w:r>
            <w:hyperlink w:anchor="i9903e915422741eeb6b98091c044781d_151">
              <w:r>
                <w:rPr>
                  <w:rStyle w:val="InternetLink"/>
                  <w:rFonts w:ascii="Times New Roman;sans-serif" w:hAnsi="Times New Roman;sans-serif"/>
                  <w:b w:val="false"/>
                  <w:strike w:val="false"/>
                  <w:dstrike w:val="false"/>
                  <w:color w:val="272725"/>
                  <w:sz w:val="20"/>
                  <w:u w:val="none"/>
                  <w:effect w:val="none"/>
                </w:rPr>
                <w:t>12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4"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Stockholders and the Board of Directors of New Fortress Energy Inc.</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Opinion on the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New Fortress Energy Inc. (the Company) as of December 31, 2024 and 2023, the related consolidated statements of operations and comprehensive (loss) income, changes in stockholders’ equity and cash flows for each of the three years in the period ended December 31, 2024,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10, 2025, except for the effect of the material weakness described in the second and third paragraphs of that report, as to which the date is June 27, 2025, expressed an adverse opinion thereon.</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Basis for Opinion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Audit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55"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462"/>
        <w:gridCol w:w="406"/>
        <w:gridCol w:w="409"/>
        <w:gridCol w:w="109"/>
        <w:gridCol w:w="109"/>
        <w:gridCol w:w="109"/>
        <w:gridCol w:w="2602"/>
        <w:gridCol w:w="2477"/>
        <w:gridCol w:w="3522"/>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522"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Impairment Assessment of Construction in Progress</w:t>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ans-serif" w:hAnsi="Times New Roman;sans-serif"/>
                <w:b w:val="false"/>
                <w:color w:val="000000"/>
                <w:sz w:val="20"/>
              </w:rPr>
              <w:t xml:space="preserve">As of December 31, 2024, the balance of construction in progress totaled $3,574 million. As described in Note 2(j) to the consolidated financial statements, the Company performs a recoverability assessment of all long-lived assets, including construction in progress, whenever events or changes in circumstances indicate that the carrying value of those assets may not be recoverable. Impairment indicators affecting construction in progress asset groups may include, but are not limited to, factors such as adverse changes in the regulatory environment in a jurisdiction where the Company operates or has development activities, early termination of a significant customer contract, the introduction of newer technology, or a decision to discontinue an in-process development project. When such indicators are identified, management determines if asset groups are impaired by comparing the related undiscounted expected future cash flows to its carrying value. When the undiscounted cash flow analysis indicates an asset group is not recoverable, the amount of the impairment loss is determined by measuring the excess of the carrying amount of the asset group over its fair value. </w:t>
              <w:br/>
            </w:r>
            <w:r>
              <w:rPr>
                <w:rFonts w:ascii="Times New Roman;sans-serif" w:hAnsi="Times New Roman;sans-serif"/>
                <w:b w:val="false"/>
                <w:sz w:val="20"/>
              </w:rPr>
              <w:br/>
            </w:r>
            <w:r>
              <w:rPr>
                <w:rFonts w:ascii="Times New Roman;sans-serif" w:hAnsi="Times New Roman;sans-serif"/>
                <w:b w:val="false"/>
                <w:color w:val="000000"/>
                <w:sz w:val="20"/>
              </w:rPr>
              <w:t>Auditing management’s determination of whether impairment indicators exist such that a recoverability test for a construction in progress asset group is required, was highly subjective and involved significant judgment. For instance, auditing management’s assessment of events or changes in circumstances that may be an indicator that an asset group is not recoverable was challenging due to the judgment applied in both the identification of such factors, and the evaluation of whether the factors have an impact on the recovery of the carrying value of the asset group.</w:t>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ans-serif" w:hAnsi="Times New Roman;sans-serif"/>
                <w:b w:val="false"/>
                <w:color w:val="000000"/>
                <w:sz w:val="20"/>
              </w:rPr>
              <w:t>We obtained an understanding, evaluated the design and tested the operating effectiveness of controls over the Company’s impairment assessment process. This included management’s controls to review for asset groups, including construction in progress, that may have been impacted by the impairment indicators described above.</w:t>
              <w:br/>
            </w:r>
            <w:r>
              <w:rPr>
                <w:rFonts w:ascii="Times New Roman;sans-serif" w:hAnsi="Times New Roman;sans-serif"/>
                <w:b w:val="false"/>
                <w:sz w:val="20"/>
              </w:rPr>
              <w:br/>
            </w:r>
            <w:r>
              <w:rPr>
                <w:rFonts w:ascii="Times New Roman;sans-serif" w:hAnsi="Times New Roman;sans-serif"/>
                <w:b w:val="false"/>
                <w:color w:val="000000"/>
                <w:sz w:val="20"/>
              </w:rPr>
              <w:t>To test the Company’s evaluation of potential indicators of impairment of its construction in progress, our audit procedures included, among others, assessing the methodologies and testing the completeness and accuracy of the Company’s analysis of events or changes in circumstances. For example, we inquired of management (including project development personnel) to understand their evaluation of changes in the regulatory environments of the jurisdictions in which the Company has development projects and their impact on the completion of the construction in progress and recoverability of the related asset groups. We also obtained permits, contracts and project status reports, among other evidence, to understand management’s plans with respect to development activities. We considered information about the Company’s development projects from external sources that support or provide contrary evidence to management’s evaluation of potential impairment indicators.</w:t>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56"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448"/>
        <w:gridCol w:w="394"/>
        <w:gridCol w:w="396"/>
        <w:gridCol w:w="109"/>
        <w:gridCol w:w="109"/>
        <w:gridCol w:w="109"/>
        <w:gridCol w:w="2588"/>
        <w:gridCol w:w="2531"/>
        <w:gridCol w:w="3521"/>
      </w:tblGrid>
      <w:tr>
        <w:trPr/>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3521" w:type="dxa"/>
            <w:tcBorders/>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Going Concern</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2(a) to the consolidated financial statements, management has concluded that the Company’s current liquidity and forecasted cash flows from operations are not sufficient to support, in full, its obligations as they become due. In response, management has developed a plan that it believes is probable of being implemented to enable the Company to meet its obligations as they become due during the period one year from the date the financial statements were issued. </w:t>
            </w:r>
          </w:p>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Auditing the Company’s assessment of its ability to continue as a going concern was especially challenging due to the significant judgment used by management in the development of the prospective financial information underlying its liquidity analysis including the estimation of forecasted cash flow that is not derived under long-term contractual arrangements, as well as in the assessment of whether management’s plans are probable of alleviating the Company’s liquidity risks.</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test the Company's assessment of its ability to continue as a going concern for the period of one year from the date the financial statements were issued, our audit procedures included, among others, evaluating the Company’s current liquidity and cash flows, and testing the completeness and accuracy of the data used in management’s assessment. We compared the assumptions underlying the contractual and noncontractual cash flow projections included in the prospective financial information used in management’s liquidity analysis to underlying agreements and historical operating results. Furthermore, we performed sensitivity analyses to assess the impact of changes in key assumptions included in management's prospective financial information and in its plans to support the Company’s liquidity position. We also assessed the sources of liquidity that the Company has available through inspection of executed financing arrangements, availability of financing for LNG cargo transactions through inspection of similar financing arrangements of marketplace participants and analysis of the Company’s history of successfully renewing such arrangements. In addition, we evaluated the adequacy of the Company’s financial statement disclosures. In response to the material weakness described above, we also reviewed the completeness and accuracy of management’s assessment of non-financial covenants of the Company’s financing arrangements.</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Ernst &amp; Young LLP</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served as the Company’s auditor since 2016.</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Philadelphia, Pennsylvania</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March 10, 2025, except for the effect of the material weakness described in the second paragraph of the Opinion on the Consolidated Financial Statements above, the Critical Audit Matter for Going Concern described above, and the last three paragraphs of Note 30, as to which the date is June 27,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57"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Stockholders and the Board of Directors of New Fortress Energy Inc.</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Opinion on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New Fortress Energy Inc.’s internal control over financial reporting as of December 31, 2024,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New Fortress Energy Inc. (the Company) has not maintained effective internal control over financial reporting as of December 31, 2024, based on the COSO criteria.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our report dated March 10, 2025, we expressed an unqualified opinion that the Company maintained, in all material respects, effective internal control over financial reporting as of December 31, 2024, based on the COSO criteria. Management has subsequently identified a deficiency in the design of controls associated with the communication of non-compliance with the non-financial covenants of its debt instruments, and has further concluded that such deficiency represented a material weakness as of December 31, 2024. As a result, management has revised its assessment, as presented in the accompanying Management’s Report on Internal Control Over Financial Reporting, to conclude that the Company’s internal control over financial reporting was not effective as of December 31, 2024. Accordingly, our present opinion on the effectiveness of internal control over financial reporting as of December 31, 2024, as expressed herein, is different from that expressed in our previous report.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the design of the controls associated with the Company's communication of non-compliance with the non-financial covenants of its debt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New Fortress Energy Inc. (the Company) as of December 31, 2024 and 2023, the related consolidated statements of operations and comprehensive (loss) income, changes in stockholders’ equity and cash flows for each of the three years in the period ended December 31, 2024, and the related notes and financial statement schedule listed in the Index at Item 15(2) (collectively referred to as the “consolidated financial statements”). This material weakness was considered in determining the nature, timing and extent of audit tests applied in our audit of the 2024 consolidated financial statements, and this report does not affect our report dated March 10, 2025, except for the effect of the material weakness described above, the Critical Audit Matter for Going Concern described in our Opinion on the Consolidated Financial Statements, and the last three paragraphs of Note 30, as to which the date is June 27, 2025, which expressed an unqualified opinion on those financial statements.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Basis for Opinion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58"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Definition and Limitations of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Ernst &amp; Young LLP</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Philadelphia, Pennsylvania</w:t>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March 10, 2025, </w:t>
      </w:r>
      <w:r>
        <w:rPr>
          <w:rFonts w:ascii="Times New Roman;sans-serif" w:hAnsi="Times New Roman;sans-serif"/>
          <w:b w:val="false"/>
          <w:color w:val="000000"/>
          <w:sz w:val="20"/>
        </w:rPr>
        <w:t>except for the effect of the material weakness described in the second and third paragraphs above, as to which the date is June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59"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F-6</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FINANCIAL INFORMATION</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8.    Financial Statements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Fortress Energy Inc.</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Balance Sheets</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of December 31, 2024 and 2023</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of U.S. dollars, except share and per share amounts)</w:t>
      </w:r>
    </w:p>
    <w:tbl>
      <w:tblPr>
        <w:tblW w:w="10205" w:type="dxa"/>
        <w:jc w:val="left"/>
        <w:tblInd w:w="0" w:type="dxa"/>
        <w:tblLayout w:type="fixed"/>
        <w:tblCellMar>
          <w:top w:w="28" w:type="dxa"/>
          <w:left w:w="28" w:type="dxa"/>
          <w:bottom w:w="28" w:type="dxa"/>
          <w:right w:w="28" w:type="dxa"/>
        </w:tblCellMar>
      </w:tblPr>
      <w:tblGrid>
        <w:gridCol w:w="2839"/>
        <w:gridCol w:w="2226"/>
        <w:gridCol w:w="2234"/>
        <w:gridCol w:w="196"/>
        <w:gridCol w:w="961"/>
        <w:gridCol w:w="109"/>
        <w:gridCol w:w="109"/>
        <w:gridCol w:w="109"/>
        <w:gridCol w:w="109"/>
        <w:gridCol w:w="196"/>
        <w:gridCol w:w="961"/>
        <w:gridCol w:w="156"/>
      </w:tblGrid>
      <w:tr>
        <w:trPr/>
        <w:tc>
          <w:tcPr>
            <w:tcW w:w="283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assets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net of allowances of $13,629 and $1,158,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342,371 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979,973 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9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 in progress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5,348,294 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2,481,415 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method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588,385 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Goodwill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776,760 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12,867,496 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10,501,245 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 and short-term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471,675 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1,706,288 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8,355,703 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6,510,523 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lease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10,777,838 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8,723,376 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23)</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Series B convertible preferred stock, $0.01 par value, 96,746 shares authorized, issued and outstanding as of December 31, 2024 (0 as of December 31, 2023); aggregate liquidation preference of $96,746 and $0 at December 31, 2024 and December 31, 2023</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750.0 million shares authorized, 266.5 million issued and outstanding as of December 31, 2024; 205.0 million issued and outstanding as of December 31, 2023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527,986 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 attributable to NFE</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1,640,094 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1,777,869 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12,867,496 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10,501,245 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60"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F-7</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Fortress Energy Inc.</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Operations and Comprehensive (Loss) Income</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years ended December 31, 2024, 2023 and 2022</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of U.S. dollars, except share and per share amounts)</w:t>
      </w:r>
    </w:p>
    <w:tbl>
      <w:tblPr>
        <w:tblW w:w="10205" w:type="dxa"/>
        <w:jc w:val="left"/>
        <w:tblInd w:w="0" w:type="dxa"/>
        <w:tblLayout w:type="fixed"/>
        <w:tblCellMar>
          <w:top w:w="28" w:type="dxa"/>
          <w:left w:w="28" w:type="dxa"/>
          <w:bottom w:w="28" w:type="dxa"/>
          <w:right w:w="28" w:type="dxa"/>
        </w:tblCellMar>
      </w:tblPr>
      <w:tblGrid>
        <w:gridCol w:w="2164"/>
        <w:gridCol w:w="1713"/>
        <w:gridCol w:w="1739"/>
        <w:gridCol w:w="211"/>
        <w:gridCol w:w="976"/>
        <w:gridCol w:w="109"/>
        <w:gridCol w:w="109"/>
        <w:gridCol w:w="109"/>
        <w:gridCol w:w="109"/>
        <w:gridCol w:w="211"/>
        <w:gridCol w:w="976"/>
        <w:gridCol w:w="109"/>
        <w:gridCol w:w="109"/>
        <w:gridCol w:w="109"/>
        <w:gridCol w:w="109"/>
        <w:gridCol w:w="211"/>
        <w:gridCol w:w="976"/>
        <w:gridCol w:w="156"/>
      </w:tblGrid>
      <w:tr>
        <w:trPr/>
        <w:tc>
          <w:tcPr>
            <w:tcW w:w="2164"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1,978,645 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Vessel charter revenue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novation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2,368,272 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(exclusive of depreciation and amortization shown separately below)</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Vessel operating expenses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and integration costs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1,630,892 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income before income from equity method investments and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method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(benefit)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income per share – diluted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 – 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217,578,487 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209,501,298 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 – diluted</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218,622,419 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206,481,977 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209,854,413 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(loss) income:</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net foreign currency translation adjustment realized upon sale of foreign subsidiary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non-controlling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income attributable to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(317,478)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564,012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263,984</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61"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F-8</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Fortress Energy Inc.</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Changes in Stockholders’ Equity</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years ended December 31, 2024, 2023 and 2022</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of U.S. dollars, except share amounts)</w:t>
      </w:r>
    </w:p>
    <w:tbl>
      <w:tblPr>
        <w:tblW w:w="12575" w:type="dxa"/>
        <w:jc w:val="left"/>
        <w:tblInd w:w="0" w:type="dxa"/>
        <w:tblLayout w:type="fixed"/>
        <w:tblCellMar>
          <w:top w:w="28" w:type="dxa"/>
          <w:left w:w="28" w:type="dxa"/>
          <w:bottom w:w="28" w:type="dxa"/>
          <w:right w:w="28" w:type="dxa"/>
        </w:tblCellMar>
      </w:tblPr>
      <w:tblGrid>
        <w:gridCol w:w="776"/>
        <w:gridCol w:w="234"/>
        <w:gridCol w:w="236"/>
        <w:gridCol w:w="109"/>
        <w:gridCol w:w="109"/>
        <w:gridCol w:w="109"/>
        <w:gridCol w:w="270"/>
        <w:gridCol w:w="271"/>
        <w:gridCol w:w="171"/>
        <w:gridCol w:w="109"/>
        <w:gridCol w:w="109"/>
        <w:gridCol w:w="109"/>
        <w:gridCol w:w="181"/>
        <w:gridCol w:w="541"/>
        <w:gridCol w:w="109"/>
        <w:gridCol w:w="109"/>
        <w:gridCol w:w="109"/>
        <w:gridCol w:w="109"/>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181"/>
        <w:gridCol w:w="631"/>
        <w:gridCol w:w="109"/>
        <w:gridCol w:w="109"/>
        <w:gridCol w:w="109"/>
        <w:gridCol w:w="109"/>
        <w:gridCol w:w="215"/>
        <w:gridCol w:w="645"/>
        <w:gridCol w:w="131"/>
        <w:gridCol w:w="109"/>
        <w:gridCol w:w="109"/>
        <w:gridCol w:w="109"/>
        <w:gridCol w:w="212"/>
        <w:gridCol w:w="724"/>
        <w:gridCol w:w="130"/>
        <w:gridCol w:w="109"/>
        <w:gridCol w:w="109"/>
        <w:gridCol w:w="109"/>
        <w:gridCol w:w="181"/>
        <w:gridCol w:w="72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Series B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 (Accumulated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 xml:space="preserve">(loss)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 xml:space="preserve">Interest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 xml:space="preserve">equity </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206,863,242 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1,923,990 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(132,399)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202,479 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1,994,054 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(9,693)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69,505 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 released upon Sergipe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(12,022)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for vested RSU/PSUs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3,426,213 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from employees related to share-based compensation,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(1,519,367)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Deconsolidation of Nanook, Celsius and Penguin SPVs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(23,569)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(23,569)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(709,284)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(16,076)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(725,360)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208,770,088 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1,170,254 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55,398 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152,039 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1,441,859 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547,882 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994 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548,876 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and cancellation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(4,100,000)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(123,819)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for vested share-based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689,401 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from employees related to share-based compensation,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(328,083)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(15,676)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(97,652)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205,031,406 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1,038,530 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527,986 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71,528 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137,775 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1,777,869 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(249,039)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6,652 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(242,387)</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(68,439)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stock issued,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61,389,733 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562,815 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for vested share-based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from employees related to share-based compensation,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(16,081)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preferred stock and deemed dividend (Note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96,746 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Series B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(20,738)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96,746 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266,459,093 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1,674,312 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122,660 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1,999,088 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62"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F-9</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Fortress Energy Inc.</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years ended December 31, 2024, 2023 and 2022</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of U.S. dollars)</w:t>
      </w:r>
    </w:p>
    <w:tbl>
      <w:tblPr>
        <w:tblW w:w="8246" w:type="dxa"/>
        <w:jc w:val="left"/>
        <w:tblInd w:w="0" w:type="dxa"/>
        <w:tblLayout w:type="fixed"/>
        <w:tblCellMar>
          <w:top w:w="28" w:type="dxa"/>
          <w:left w:w="28" w:type="dxa"/>
          <w:bottom w:w="28" w:type="dxa"/>
          <w:right w:w="28" w:type="dxa"/>
        </w:tblCellMar>
      </w:tblPr>
      <w:tblGrid>
        <w:gridCol w:w="1722"/>
        <w:gridCol w:w="1520"/>
        <w:gridCol w:w="1527"/>
        <w:gridCol w:w="181"/>
        <w:gridCol w:w="676"/>
        <w:gridCol w:w="109"/>
        <w:gridCol w:w="109"/>
        <w:gridCol w:w="109"/>
        <w:gridCol w:w="109"/>
        <w:gridCol w:w="181"/>
        <w:gridCol w:w="616"/>
        <w:gridCol w:w="109"/>
        <w:gridCol w:w="109"/>
        <w:gridCol w:w="109"/>
        <w:gridCol w:w="109"/>
        <w:gridCol w:w="181"/>
        <w:gridCol w:w="616"/>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operating activities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income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548,876 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for:</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deferred financing costs and debt guarantee,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(Earnings) losses of equity method investees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472,219 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expected credit losses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(279,536)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Earnings recognized from vessels chartered to third parties transferred to Energos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(49,686)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the disposal of equity method investment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(gain) on sale of assets,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extinguishment of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operating assets and liabilities, net of acquisitions: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Decrease (increase) in receivables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(139,938)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(Increase) in inventories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(Increase) decrease in other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Decrease in right-of-use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Increase in accounts payable/accrued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(Decrease) in lease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(Decrease) increase in other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Net cash provided by operating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586,742 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824,756 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355,111 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investing activities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 expenditures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(2,621,234)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(3,029,834)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(1,174,008)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sale of net investment in lease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Sale of equity method investment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Asset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Sale of Miami Facility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Net cash used in investing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(2,074,647)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(2,904,143)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(82,726)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financing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borrowings of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5,865,299 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2,032,020 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deferred financing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Repayment of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(3,801,034)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(686,508)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(1,520,813)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386,583 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dividends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(723,962)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(99,050)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financing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Net cash provided by financing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2,224,568 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1,528,950 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321,957 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Impact of changes in foreign exchange rates on cash and cash equivalents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Net increase (decrease) in cash, cash equivalents and restricted cash</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(544,269)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cash equivalents and restricted cash – beginning of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855,083 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cash equivalents and restricted cash – end of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965,577 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855,083 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63"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F-10</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Fortress Energy Inc.</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years ended December 31, 2024, 2023 and 2022</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of U.S. dollars)</w:t>
      </w:r>
    </w:p>
    <w:tbl>
      <w:tblPr>
        <w:tblW w:w="10205" w:type="dxa"/>
        <w:jc w:val="left"/>
        <w:tblInd w:w="0" w:type="dxa"/>
        <w:tblLayout w:type="fixed"/>
        <w:tblCellMar>
          <w:top w:w="28" w:type="dxa"/>
          <w:left w:w="28" w:type="dxa"/>
          <w:bottom w:w="28" w:type="dxa"/>
          <w:right w:w="28" w:type="dxa"/>
        </w:tblCellMar>
      </w:tblPr>
      <w:tblGrid>
        <w:gridCol w:w="2463"/>
        <w:gridCol w:w="2132"/>
        <w:gridCol w:w="2140"/>
        <w:gridCol w:w="181"/>
        <w:gridCol w:w="667"/>
        <w:gridCol w:w="109"/>
        <w:gridCol w:w="109"/>
        <w:gridCol w:w="109"/>
        <w:gridCol w:w="109"/>
        <w:gridCol w:w="181"/>
        <w:gridCol w:w="616"/>
        <w:gridCol w:w="109"/>
        <w:gridCol w:w="109"/>
        <w:gridCol w:w="109"/>
        <w:gridCol w:w="109"/>
        <w:gridCol w:w="181"/>
        <w:gridCol w:w="616"/>
        <w:gridCol w:w="156"/>
      </w:tblGrid>
      <w:tr>
        <w:trPr/>
        <w:tc>
          <w:tcPr>
            <w:tcW w:w="2463"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interest, net of capitalized interest</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160,618 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taxes</w:t>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151,210 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 of non-cash investing and financing activities:</w:t>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accounts payable and accrued liabilities associated with construction in progress and property, plant and equipment additions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284,390 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 and accrued liabilities associated with construction in progress and property, plant and equipment additions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738,163 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422,391 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Consideration received on asset sale</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on financing obligation paid to Energos by third party charters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received in Hilli Exchange</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 Energos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dividend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626,310 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Preferred shares issued and debt assumed in PortoCem acquisition</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Fair value of contingent payments in the Lins acquisition</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Deemed dividend related to Series B preferred stock</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financing costs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46,371 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The following table identifies the balance sheet line-items included in Cash and cash equivalents, Current restricted cash, and Non-current restricted cash presented in Other non-current assets, net on the </w:t>
      </w:r>
      <w:r>
        <w:rPr>
          <w:rFonts w:ascii="Times New Roman;sans-serif" w:hAnsi="Times New Roman;sans-serif"/>
          <w:b w:val="false"/>
          <w:color w:val="000000"/>
          <w:sz w:val="20"/>
          <w:shd w:fill="FFFFFF" w:val="clear"/>
        </w:rPr>
        <w:t>Consolidated Balance Sheets</w:t>
      </w:r>
      <w:r>
        <w:rPr>
          <w:color w:val="000000"/>
        </w:rPr>
        <w:t xml:space="preserve"> </w:t>
      </w:r>
      <w:r>
        <w:rPr>
          <w:rFonts w:ascii="Times New Roman;sans-serif" w:hAnsi="Times New Roman;sans-serif"/>
          <w:b w:val="false"/>
          <w:color w:val="000000"/>
          <w:sz w:val="20"/>
        </w:rPr>
        <w:t>(Note 17) presented in the Consolidated Statement of Cash Flows:</w:t>
      </w:r>
    </w:p>
    <w:p>
      <w:pPr>
        <w:pStyle w:val="TextBody"/>
        <w:bidi w:val="0"/>
        <w:spacing w:before="120" w:after="283"/>
        <w:jc w:val="left"/>
        <w:rPr/>
      </w:pPr>
      <w:r>
        <w:rPr/>
      </w:r>
    </w:p>
    <w:tbl>
      <w:tblPr>
        <w:tblW w:w="5604" w:type="dxa"/>
        <w:jc w:val="left"/>
        <w:tblInd w:w="0" w:type="dxa"/>
        <w:tblLayout w:type="fixed"/>
        <w:tblCellMar>
          <w:top w:w="28" w:type="dxa"/>
          <w:left w:w="28" w:type="dxa"/>
          <w:bottom w:w="28" w:type="dxa"/>
          <w:right w:w="28" w:type="dxa"/>
        </w:tblCellMar>
      </w:tblPr>
      <w:tblGrid>
        <w:gridCol w:w="1237"/>
        <w:gridCol w:w="1086"/>
        <w:gridCol w:w="1097"/>
        <w:gridCol w:w="181"/>
        <w:gridCol w:w="616"/>
        <w:gridCol w:w="109"/>
        <w:gridCol w:w="109"/>
        <w:gridCol w:w="109"/>
        <w:gridCol w:w="109"/>
        <w:gridCol w:w="181"/>
        <w:gridCol w:w="61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492,881 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restricted cash</w:t>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472,696 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155,400 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cash equivalents and restricted cash – end of period</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965,577 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310,814 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64"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F-11</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("LNG") infrastructure, ships and logistics assets to rapidly deliver turnkey energy solutions to global markets. The Company has liquefaction, regasification and power generation operations in the United States, Jamaica, Brazil and Mexico. The Company has marine operations with vessels operating under time charters and in the spot market globally.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currently conducts its business through two operating segments, Terminals and Infrastructure and Ships. The business and reportable segment information reflect how the Chief Operating Decision Maker (“CODM”) regularly reviews and manages the business. The Company's CODM is its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principal accounting policies adopted are set out below.</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Basis of presentation and principles of consolidation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accompanying consolidated financial statements contained herein were prepared in accordance with accounting principles generally accepted in the United States of America (“GAAP”). The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 Certain prior year amounts have been reclassified to conform to current year presentation.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Non-controlling interests are classified as a separate component of equity on the Consolidated Balance Sheets and Consolidated Statements of Changes in Stockholders’ Equity. Additionally, net income and comprehensive income (loss) attributable to non-controlling interests are reflected separately from consolidated net income and comprehensive income in the Consolidated Statements of Operations and Comprehensive (Loss) Income and Consolidated Statements of Changes in Stockholders’ Equity. Any change in ownership of a subsidiary while the controlling financial interest is retained is accounted for as an equity transaction between the controlling and non-controlling interests. Losses continue to be attributed to the non-controlling interests, even when the non-controlling interests’ basis has been reduced to zero.</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accompanying financial statements have been prepared on the basis that the Company will continue as a going concern over the next twelve months from the date of original issuance of these financial statements, which assumes the realization of assets and the satisfaction of liabilities in the normal course of business. Under ASC 205-40, when first assessing whether substantial doubt is raised about the entity’s ability to continue as a going concern, management cannot consider the potential mitigating effects of its plans that have not been fully implemented at the assessment date. Management has concluded that the Company’s current liquidity and forecasted cash flows (which exclude the effect of the Transactions as defined below), from operations are not sufficient to support, in full, obligations as they become due through the twelve months from the date of the original issuance of these financial statements. Management has approved a plan to support its liquidity position by: (i) delaying certain discretionary payments, including planned capital expenditures and dividends, that are within management’s control, and (ii) continuously renewing the LNG cargo financing facility over the succeeding twelve months. Management’s plan also includes the availability of a backstop agreement that was executed in March 2025 (Note 30) and provides up to $100,000 of availability. Management concluded that such plans are probable of being implemented and the Company will have sufficient liquidity to meet its obligations as they become due over the next twelve months from the original date that the consolidated financial statements were issued. In addition to management’s plan outlined above, the Company continues to explore asset sales, settlement of claims and other strategic transactions (collectively, the “Transactions”) that seek to optimize the value of the Company’s portfolio while providing additional liquidity and cash flow to the Company. However, there are inherent uncertainties, as the execution of the Transactions are outside of management’s control and therefore there are no assurances that these transactions will be executed. Furthermore, there are inherent risks with the Company’s ability to continue to implement plans in future periods that will support its liquidity position, such as its ability to further extend the terms of vendor payments and other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65"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F-12</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(b)</w:t>
      </w:r>
      <w:r>
        <w:rPr>
          <w:rFonts w:ascii="Times New Roman;sans-serif" w:hAnsi="Times New Roman;sans-serif"/>
          <w:b w:val="false"/>
          <w:color w:val="000000"/>
          <w:sz w:val="20"/>
          <w:shd w:fill="FFFFFF" w:val="clear"/>
        </w:rPr>
        <w:t>Use of estimates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Management evaluates its estimates and related assumptions regularly. Changes in facts and circumstances or additional information may result in revised estimates, and actual results may differ from these estimates.</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(c)</w:t>
      </w:r>
      <w:r>
        <w:rPr>
          <w:rFonts w:ascii="Times New Roman;sans-serif" w:hAnsi="Times New Roman;sans-serif"/>
          <w:b w:val="false"/>
          <w:color w:val="000000"/>
          <w:sz w:val="20"/>
        </w:rPr>
        <w:t>Foreign currencies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certain foreign subsidiaries in which the functional currency is the local currency. All of the assets and liabilities of these subsidiaries are translated to U.S. dollars at the exchange rate in effect at the balance sheet date; income and expense accounts are translated at average rates for the period. The effects of translating financial statements of foreign operations into our reporting currency are recognized as a cumulative translation adjustment in accumulated other comprehensive income.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also has foreign subsidiaries that conduct business in currencies other than their respective functional currencies. Transactions are remeasured to the subsidiaries’ functional currency at the exchange rate in effect on the dates of such transactions. Net realized foreign currency gains or losses relating to the differences between these recorded amounts and the functional currency equivalent actually received or paid are included within Other expense (income), net in the Consolidated Statements of Operations and Comprehensive (Loss) Income. Gains and losses on intercompany foreign currency transactions that are long-term in nature and which the Company does not intend to settle in the foreseeable future, are also recognized in Accumulated other comprehensive income. Accumulated foreign currency translation adjustments are reclassified from Accumulated other comprehensive income to net income only when realized upon sale or upon complete or substantially complete liquidation of the investment in a foreign entity. If the Company commits to a plan to sell or liquidate a foreign entity, accumulated foreign currency translation adjustments would be included in carrying amounts in impairment assessments.</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(d)</w:t>
      </w:r>
      <w:r>
        <w:rPr>
          <w:rFonts w:ascii="Times New Roman;sans-serif" w:hAnsi="Times New Roman;sans-serif"/>
          <w:b w:val="false"/>
          <w:color w:val="000000"/>
          <w:sz w:val="20"/>
        </w:rPr>
        <w:t>Cash and cash equivalents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considers all highly liquid investments with an original maturity of three months or less at the time of purchase to be cash equivalents.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(e)Restricted cash</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Restricted cash consists of funds that are contractually restricted as to usage or withdrawal and have been presented separately from cash and cash equivalents on the Consolidated Balance Sheets.</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(f)</w:t>
      </w:r>
      <w:r>
        <w:rPr>
          <w:rFonts w:ascii="Times New Roman;sans-serif" w:hAnsi="Times New Roman;sans-serif"/>
          <w:b w:val="false"/>
          <w:color w:val="000000"/>
          <w:sz w:val="20"/>
        </w:rPr>
        <w:t>Receivables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Receivables are contractual rights to receive cash on a fixed or determinable date and are recognized on the balance sheet as the amount invoiced to the customer, net of an allowance for current expected credit losses. </w:t>
      </w:r>
      <w:r>
        <w:rPr>
          <w:rFonts w:ascii="Times New Roman;sans-serif" w:hAnsi="Times New Roman;sans-serif"/>
          <w:b w:val="false"/>
          <w:color w:val="000000"/>
          <w:sz w:val="20"/>
        </w:rPr>
        <w:t>Accounts receivable are carried at amortized cost. A</w:t>
      </w:r>
      <w:r>
        <w:rPr>
          <w:rFonts w:ascii="Times New Roman;sans-serif" w:hAnsi="Times New Roman;sans-serif"/>
          <w:b w:val="false"/>
          <w:color w:val="000000"/>
          <w:sz w:val="20"/>
          <w:shd w:fill="FFFFFF" w:val="clear"/>
        </w:rPr>
        <w:t>mounts are written off against the allowance when management is certain that outstanding amounts will not be collected. The Company estimates expected credit losses based on relevant information about the current credit quality of customers, past events, including historical experience, and reasonable and supportable forecasts that affect the collectability of the reported amount. Credit loss expense, inclusive of credit loss expense on all categories of financial assets, is recorded within Selling, general and administrative in the Consolidated Statements of Operations and Comprehensive (Loss) Income.</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(g)</w:t>
      </w:r>
      <w:r>
        <w:rPr>
          <w:rFonts w:ascii="Times New Roman;sans-serif" w:hAnsi="Times New Roman;sans-serif"/>
          <w:b w:val="false"/>
          <w:color w:val="000000"/>
          <w:sz w:val="20"/>
        </w:rPr>
        <w:t>Inventories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LNG and natural gas inventories, bunker fuel inventories and automotive diesel oil inventories are recorded at weighted average cost, and materials and other inventory are recorded at cost. The Company’s cost to convert natural gas to LNG, which primarily consists of labor, depreciation and other direct costs to operate liquefaction facilities, is reflected in Inventory on the Consolidated Balance Sheets.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Inventory is adjusted to the lower of cost or net realizable value each quarter. Changes in the value of inventory are recorded within Cost of sales in the Consolidated Statements of Operations and Comprehensive (Loss)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66"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F-13</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LNG is subject to “boil-off,” a natural loss of gas volume over time when LNG is exposed to environments with temperatures above its optimum storage state. Boil-off losses are expensed through Cost of sales in the Consolidated Statements of Operations and Comprehensive (Loss) Income in instances where gas cannot be contained and recycled back into the production process.</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(h)</w:t>
      </w:r>
      <w:r>
        <w:rPr>
          <w:rFonts w:ascii="Times New Roman;sans-serif" w:hAnsi="Times New Roman;sans-serif"/>
          <w:b w:val="false"/>
          <w:color w:val="000000"/>
          <w:sz w:val="20"/>
        </w:rPr>
        <w:t>Construction in progress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Construction in progress is recorded at cost, and at the point at which the constructed asset is put into use, the full cost of the asset is reclassified from Construction in progress to Property, plant and equipment, net or Finance leases, net on the Consolidated Balance Sheets. Construction progress payments, engineering costs, certain direct payroll costs and other costs directly relating to the asset under construction are capitalized during the construction period, provided the completion of the construction project is deemed probable or if the costs are associated with activities that could be utilized in future projects. Prior to putting projects into service the Company may utilize gas to test and commission the assets, and the Company may be able to invoice our customers for gas used in commissioning. Amounts received as a result of the sale of test gas reduce the Construction in progress balance. Depreciation is not recognized during the construction period and commences when the assets are ready for their intended use, which may require management to make subjective judgments and assumptions about the conditions necessary for the assets to be capable of operating in the intended manner.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interest cost associated with major development and construction projects is capitalized during the construction period and included in the cost of the project in Construction in progress.</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(i)</w:t>
      </w:r>
      <w:r>
        <w:rPr>
          <w:rFonts w:ascii="Times New Roman;sans-serif" w:hAnsi="Times New Roman;sans-serif"/>
          <w:b w:val="false"/>
          <w:color w:val="000000"/>
          <w:sz w:val="20"/>
        </w:rPr>
        <w:t>Property, plant and equipment, net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Property, plant and equipment is initially recorded at cost. Expenditures for construction activities and betterments that extend the useful life of the asset are capitalized. Vessel refurbishment costs are capitalized and depreciated over the vessels’ remaining useful economic lives. Refurbishment costs increase the capacity or improve the efficiency or safety of vessels and equipment. Expenditures for routine maintenance and repairs for assets in the Terminals and Infrastructure segment are charged to expense as incurred within Operations and maintenance in the Consolidated Statements of Operations and Comprehensive (Loss) Income; such expenditures for assets in the Ships segment that do not improve the operating efficiency or extend the useful lives of the vessels are expensed as incurred within Vessel operating expenses.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Major maintenance and overhauls of the Company’s power plant and terminals are capitalized and depreciated over the expected period until the next anticipated major maintenance or overhaul.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Drydocking expenditures, including drydocking expenditures related to vessels that were included in the Energos Formation Transaction (defined below), are capitalized when incurred and amortized over the period until the next anticipated drydocking, which is generally five years. For vessels, the Company utilizes the “built-in overhaul” method of accounting and segregates vessel costs into those that should be depreciated over the useful life of the vessel and those that require drydocking at periodic intervals. If drydocking occurs prior to the expected timing, a cumulative adjustment to recognize the change in expected timing of drydocking is recognized within Depreciation and amortization in the Consolidated Statements of Operations and Comprehensive (Loss) Income.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depreciates property, plant and equipment less the estimate residual value using the straight-line depreciation method over the estimated economic life of the asset or lease term, whichever is shorter using the following useful lives:</w:t>
      </w:r>
    </w:p>
    <w:tbl>
      <w:tblPr>
        <w:tblW w:w="4574" w:type="dxa"/>
        <w:jc w:val="left"/>
        <w:tblInd w:w="0" w:type="dxa"/>
        <w:tblLayout w:type="fixed"/>
        <w:tblCellMar>
          <w:top w:w="28" w:type="dxa"/>
          <w:left w:w="28" w:type="dxa"/>
          <w:bottom w:w="28" w:type="dxa"/>
          <w:right w:w="28" w:type="dxa"/>
        </w:tblCellMar>
      </w:tblPr>
      <w:tblGrid>
        <w:gridCol w:w="1127"/>
        <w:gridCol w:w="988"/>
        <w:gridCol w:w="1004"/>
        <w:gridCol w:w="426"/>
        <w:gridCol w:w="426"/>
        <w:gridCol w:w="603"/>
      </w:tblGrid>
      <w:tr>
        <w:trPr/>
        <w:tc>
          <w:tcPr>
            <w:tcW w:w="112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life (Yrs)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Vessels</w:t>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 and power plant equipment</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facilities</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 containers and other equipment</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 liquefaction facilities</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20-40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pipelines</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7"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F-14</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reviews the remaining useful life of its assets on a regular basis to determine whether changes have taken place that would suggest that a change to depreciation policies is warranted.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Upon retirement or disposal of property, plant and equipment, the cost and related accumulated depreciation are removed from the account, and the resulting gains or losses, if any, are recorded in Loss (gain) on sale of assets, net in the Consolidated Statements of Operations and Comprehensive (Loss) Income. When a vessel is disposed, any unamortized drydocking expenditure is recognized as part of the gain or loss on disposal in the period of disposal.</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(j)Impairment of long-lived assets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performs a recoverability assessment of long-lived assets whenever events or changes in circumstances indicate that the carrying amount of an asset may not be recoverable. Indicators may include, but are not limited to, adverse changes in the regulatory environment in a jurisdiction where the Company operates, unfavorable events impacting the supply chain for LNG to the Company’s operations, a decision to discontinue the development of a long-lived asset, early termination of a significant customer contract or the introduction of newer technology.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Management develops the assumptions used in the recoverability assessment based on active contracts, current and future expectations of the global demand for LNG and natural gas, as well as information received from third party industry sources. </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(k)Investments in equity securities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Investments in equity securities are carried at fair value and included in Other non-current assets on the Consolidated Balance Sheets, with gains or losses recorded in earnings in Other expense (income), net in the Consolidated Statements of Operations and Comprehensive (Loss) Income.</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(l)</w:t>
      </w:r>
      <w:r>
        <w:rPr>
          <w:rFonts w:ascii="Times New Roman;sans-serif" w:hAnsi="Times New Roman;sans-serif"/>
          <w:b w:val="false"/>
          <w:color w:val="000000"/>
          <w:sz w:val="20"/>
        </w:rPr>
        <w:t>Cloud computing costs</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capitalizes the costs incurred during the implementation stage for cloud computing or hosting arrangements. Costs incurred in the preliminary project stage and post-implementation stage, which includes maintenance and training costs, are expensed as incurred. Such costs are recorded in Transaction and integration costs in the </w:t>
      </w:r>
      <w:r>
        <w:rPr>
          <w:rFonts w:ascii="Times New Roman;sans-serif" w:hAnsi="Times New Roman;sans-serif"/>
          <w:b w:val="false"/>
          <w:color w:val="000000"/>
          <w:sz w:val="20"/>
          <w:shd w:fill="FFFFFF" w:val="clear"/>
        </w:rPr>
        <w:t>Consolidated Statements of Operations and Comprehensive (Loss) Income</w:t>
      </w:r>
      <w:r>
        <w:rPr>
          <w:rFonts w:ascii="Times New Roman;sans-serif" w:hAnsi="Times New Roman;sans-serif"/>
          <w:b w:val="false"/>
          <w:color w:val="000000"/>
          <w:sz w:val="20"/>
        </w:rPr>
        <w:t xml:space="preserve">. Capitalized software costs are amortized over the straight-line method over three to five years and are recorded in Other assets on the </w:t>
      </w:r>
      <w:r>
        <w:rPr>
          <w:rFonts w:ascii="Times New Roman;sans-serif" w:hAnsi="Times New Roman;sans-serif"/>
          <w:b w:val="false"/>
          <w:color w:val="000000"/>
          <w:sz w:val="20"/>
          <w:shd w:fill="FFFFFF" w:val="clear"/>
        </w:rPr>
        <w:t>Consolidated Balance Sheets</w:t>
      </w:r>
      <w:r>
        <w:rPr>
          <w:rFonts w:ascii="Times New Roman;sans-serif" w:hAnsi="Times New Roman;sans-serif"/>
          <w:b w:val="false"/>
          <w:color w:val="000000"/>
          <w:sz w:val="20"/>
        </w:rPr>
        <w:t xml:space="preserve">. Amortization expense is recorded in Selling, general and administrative in the </w:t>
      </w:r>
      <w:r>
        <w:rPr>
          <w:rFonts w:ascii="Times New Roman;sans-serif" w:hAnsi="Times New Roman;sans-serif"/>
          <w:b w:val="false"/>
          <w:color w:val="000000"/>
          <w:sz w:val="20"/>
          <w:shd w:fill="FFFFFF" w:val="clear"/>
        </w:rPr>
        <w:t>Consolidated Statements of Operations and Comprehensive (Loss) Income.</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(m)</w:t>
      </w:r>
      <w:r>
        <w:rPr>
          <w:rFonts w:ascii="Times New Roman;sans-serif" w:hAnsi="Times New Roman;sans-serif"/>
          <w:b w:val="false"/>
          <w:color w:val="000000"/>
          <w:sz w:val="20"/>
        </w:rPr>
        <w:t>Intangible assets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Upon a business combination or asset acquisition, the Company may obtain identifiable intangible assets. Intangible assets with a finite life are amortized over the estimated useful life of the asset under the straight-line method.</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Indefinite lived intangible assets are not amortized. Intangible assets with an indefinite useful life are tested for impairment on an annual basis, on October 1</w:t>
      </w:r>
      <w:r>
        <w:rPr>
          <w:rFonts w:ascii="Times New Roman;sans-serif" w:hAnsi="Times New Roman;sans-serif"/>
          <w:b w:val="false"/>
          <w:color w:val="000000"/>
          <w:sz w:val="13"/>
          <w:shd w:fill="FFFFFF" w:val="clear"/>
        </w:rPr>
        <w:t>st</w:t>
      </w:r>
      <w:r>
        <w:rPr>
          <w:color w:val="000000"/>
          <w:shd w:fill="FFFFFF" w:val="clear"/>
        </w:rPr>
        <w:t xml:space="preserve"> </w:t>
      </w:r>
      <w:r>
        <w:rPr>
          <w:rFonts w:ascii="Times New Roman;sans-serif" w:hAnsi="Times New Roman;sans-serif"/>
          <w:b w:val="false"/>
          <w:color w:val="000000"/>
          <w:sz w:val="20"/>
          <w:shd w:fill="FFFFFF" w:val="clear"/>
        </w:rPr>
        <w:t>of each year, or more frequently if changes in circumstances indicate that it is more likely than not that the asset is impaired. Indefinite lived intangible assets are evaluated for impairment either under the qualitative assessment option or the two-step quantitative test. If the carrying amount of an intangible asset being tested for impairment exceeds its fair value, the excess is recognized as impairment expense in the Consolidated Statements of Operations and Comprehensive (Loss) Income.</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(n)</w:t>
      </w:r>
      <w:r>
        <w:rPr>
          <w:rFonts w:ascii="Times New Roman;sans-serif" w:hAnsi="Times New Roman;sans-serif"/>
          <w:b w:val="false"/>
          <w:color w:val="000000"/>
          <w:sz w:val="20"/>
        </w:rPr>
        <w:t>Goodwill</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Goodwill includes the excess of the purchase price over the fair value of the net tangible and intangible assets acquired in a business combination.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8"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F-15</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reviews the carrying values of goodwill at least annually to assess impairment since these assets are not amortized. An annual impairment assessment is conducted as of October 1</w:t>
      </w:r>
      <w:r>
        <w:rPr>
          <w:rFonts w:ascii="Times New Roman;sans-serif" w:hAnsi="Times New Roman;sans-serif"/>
          <w:b w:val="false"/>
          <w:color w:val="000000"/>
          <w:sz w:val="13"/>
          <w:shd w:fill="FFFFFF" w:val="clear"/>
        </w:rPr>
        <w:t>st</w:t>
      </w:r>
      <w:r>
        <w:rPr>
          <w:color w:val="000000"/>
          <w:shd w:fill="FFFFFF" w:val="clear"/>
        </w:rPr>
        <w:t xml:space="preserve"> </w:t>
      </w:r>
      <w:r>
        <w:rPr>
          <w:rFonts w:ascii="Times New Roman;sans-serif" w:hAnsi="Times New Roman;sans-serif"/>
          <w:b w:val="false"/>
          <w:color w:val="000000"/>
          <w:sz w:val="20"/>
          <w:shd w:fill="FFFFFF" w:val="clear"/>
        </w:rPr>
        <w:t>of each year. Additionally, the Company reviews the carrying value of goodwill whenever events or changes in circumstances indicate that its carrying amount may not be recoverable.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to measure an impairment loss.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assumptions about operating results, business plans, income projections, anticipated future cash flows and market data. If goodwill is determined to be impaired, an impairment loss, measured at the amount by which the reporting unit’s carrying amount exceeds its fair value, not to exceed the carrying amount of goodwill, is recorded.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was no impairment of goodwill for the years ended December 31, 2024 and 2023.</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Long-term debt and debt issuance costs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evaluate the terms of our debt arrangements to determine whether they contain an embedded derivative that is required to be bifurcated. Any embedded derivatives that are required to be bifurcated are recorded at fair value on the Consolidated Balance Sheets.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Costs directly related to the issuance of debt are reported on the Consolidated Balance Sheets as a reduction from the carrying amount of the recognized debt liability and amortized over the term of the debt using the effective interest method. Unamortized debt issuance costs associated with the revolving credit agreement, facilities for the issuance of letters of credit and other similar arrangements are presented as an asset within Other non-current assets on the Consolidated Balance Sheets (regardless of whether there are any amounts outstanding under the credit facility) and amortized over the life of the particular arrangement. Interest and related amortization of debt issuance costs recognized during major development and construction projects are capitalized and included in the cost of the project.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evaluates changes to debt arrangements to determine whether the changes represent a modification or extinguishment to the old debt arrangement. If a debt instrument is deemed to be modified, all new lender fees are capitalized, and third-party fees associated with the previous lenders are recognized as expense within Transaction and integration costs in the Consolidated Statements of Operations and Comprehensive (Loss) Income. If an extinguishment of debt instruments has occurred, the unamortized financing fees associated with the extinguished instrument and lender fees are expensed to Loss on extinguishment of debt, net in the Consolidated Statements of Operations and Comprehensive (Loss) Income. In the event an amendment to the Revolving Facility (defined below) reduces the committed capacity of any lenders, the portion of any unamortized fees associated with such lender is expensed on a pro-rata basis in proportion to the decrease in the committed capacity.</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(p)</w:t>
      </w:r>
      <w:r>
        <w:rPr>
          <w:rFonts w:ascii="Times New Roman;sans-serif" w:hAnsi="Times New Roman;sans-serif"/>
          <w:b w:val="false"/>
          <w:color w:val="000000"/>
          <w:sz w:val="20"/>
        </w:rPr>
        <w:t>Contingencies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may be involved in legal actions in the ordinary course of business, including governmental and administrative investigations, inquiries and proceedings concerning employment, labor, environmental and other claims. The Company recognizes a loss contingency in the consolidated financial statements when it is probable a liability has been incurred and the amount of the loss can be reasonably estimated. The Company discloses any loss contingencies that do not meet both conditions if there is a reasonable possibility that a loss may have been incurred. Gain contingencies are not recorded until realized.</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(q)</w:t>
      </w:r>
      <w:r>
        <w:rPr>
          <w:rFonts w:ascii="Times New Roman;sans-serif" w:hAnsi="Times New Roman;sans-serif"/>
          <w:b w:val="false"/>
          <w:color w:val="000000"/>
          <w:sz w:val="20"/>
        </w:rPr>
        <w:t>Revenue recognition</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Terminals and Infrastructure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Within the Terminals and Infrastructure segment, the Company’s contracts with customers may contain one or several performance obligations usually consisting of the sale of LNG, natural gas, power and steam, which are outputs from the Company’s natural gas-fueled infrastructure and the sale of LNG cargos. The transaction price for each of these contracts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9"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F-16</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delivered in containers transported by truck to customer sites but may also be delivered via vessel to an unloading point specified in a contract. Revenue from sales of LNG is recognized at the point in time at which of the LNG transfers to the customer, depending on the terms of the contract. Because the nature, timing and uncertainty of revenue and cash flows are substantially the same for LNG, natural gas, power and steam, the Company has presented Operating revenue on an aggregated basis.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concluded that the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contracts with industrial end-user customers to supply natural gas or LNG may contain a lease of equipment or vessels, which may be accounted for as a finance or operating lease. For operating leases, the Company has elected the practical expedient to combine revenue for the sale of natural gas or LNG and operating lease income as the timing and pattern of transfer of the components are the same. The Company has concluded that the predominant component of the transaction is the sale of natural gas or LNG and therefore has not separated the lease component. The lease component of such operating leases is recognized as Operating revenue in the Consolidated Statements of Operations and Comprehensive (Loss) Income. The Company allocates consideration in agreements containing finance leases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current and non-current portion of finance leases are recorded within Prepaid expenses and other current assets and Other non-current assets, net on the Consolidated Balance Sheets, respectively. For finance leases accounted for as sales-type leases, the profit from the sale of equipment is recognized upon lease commencement in Other revenue in the Consolidated Statements of Operations and Comprehensive (Loss) Income.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(Loss) Income. The principal component of the lease payment is reflected as a reduction to the net investment in the lease.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revenue includes revenue recognized by the Company's subsidiary, Genera PR LLC ("Genera"), under its contract for the operation and maintenance of Puerto Rico Electric Power Authority's ("PREPA") thermal generation assets. Under this agreement, Genera is reimbursed for pass-through expenses, including payroll expenses of Genera employees. Genera is the principal for operation and maintenance services, and the Company recognizes revenue for amounts to be reimbursed by PREPA in the period such expenses are incurred. Genera is also eligible for performance-based incentive fees, which are considered variable consideration. The Company estimates the amount of variable consideration as the most likely amount, which is included in the transaction price to the extent that it is probable that a significant reversal of cumulative revenue recognized will not occur.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the Company's agreements may include a significant financing component, and the Company recognizes revenue for the interest income component over the term of the financing as Other revenue.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timing of revenue recognition, billings and cash collections results in receivables, contract assets and contract liabilities. Receivables represent unconditional rights to consideration. Contract assets include unbilled amounts resulting from contracts with variable considerations, in which the performance obligation is satisfied and revenue is recognized. Contract assets are recognized within Prepaid expenses and other current assets, net and Other non-current assets, net on the Consolidated Balance Sheets. Contract liabilities consist of deferred revenue and are recognized within Other current liabilities and Other long-term liabilities on the Consolidated Balance Sheets.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Shipping and handling costs are not considered to be separate performance obligations. All such shipping and handling activities are performed prior to the customer obtaining control of the LNG or natural 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70"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F-17</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collects sales taxes from its customers based on sales of taxable products and remits such collections to the appropriate taxing authority. The Company has elected to present sales tax collections in the Consolidated Statements of Operations and Comprehensive (Loss) Income on a net basis and, accordingly, such taxes are excluded from reported revenues.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Ships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Charter contracts, that have a lease term greater than one year, for the use of the FSRUs and LNG carriers are leases as the contracts convey the right to obtain substantially all of the economic benefits from the use of the asset and allow the customer to direct the use of that asset.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inception, the Company makes an assessment on whether the charter contract is an operating lease or a finance lease. Renewal periods and termination options are included in the lease term if the Company believes such options are reasonably certain to be exercised by the lessee. Generally, lease accounting commences when the asset is made available to the customer, however, where the contract contains specific customer acceptance testing conditions, the lease will not commence until the asset has successfully passed the acceptance test. The Company assesses leases for modifications when there is a change to the terms and conditions of the contract that results in a change in the scope or the consideration of the lease.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charter contracts that are determined to be finance leases accounted for as sales-type leases, the profit from the sale of the vessel is recognized upon lease commencement in Other revenue in the Consolidated Statements of Operations and Comprehensive (Loss) Income.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(Loss) Income. The principal component of the lease payment is reflected as a reduction to the net investment in the lease. Revenue related to operating and service agreements in connection with charter contracts accounted for as sales-type leases are recognized over the term of the charter as the service is provided within Vessel charter revenue in the Consolidated Statements of Operations and Comprehensive (Loss) Income.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Revenue includes lease payments under charters accounted for as operating leases and fees for repositioning vessels. Revenue generated from charters contracts is recorded over the term of the charter on a straight-line basis as service is provided and is included in Vessel charter revenue in the Consolidated Statements of Operations and Comprehensive (Loss) Income. Lease payments include fixed payments (including in-substance fixed payments that are unavoidable) and variable payments based on a rate or index. For operating leases, the Company has elected the practical expedient to combine service revenue and operating lease income as the timing and pattern of transfer of the components are the same. Variable lease payments are recognized in the period in which the circumstances on which the variable lease payments are based become probable or occur.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Repositioning fees are included in Vessel charter revenue and are recognized at the end of the charter when the fee becomes fixed. However, where there is a fixed amount specified in the charter, which is not dependent upon redelivery location, the fee is recognized evenly over the term of the charter.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Costs directly associated with the execution of the lease or costs incurred after lease inception but prior to the commencement of the lease that directly relate to preparing the asset for the contract are capitalized and amortized in Vessel operating expenses in the Consolidated Statements of Operations and Comprehensive (Loss) Income over the lease term.</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continues to be the accounting owner of vessels included in the Energos Formation Transaction (</w:t>
      </w:r>
      <w:r>
        <w:rPr>
          <w:rFonts w:ascii="Times New Roman;sans-serif" w:hAnsi="Times New Roman;sans-serif"/>
          <w:b w:val="false"/>
          <w:color w:val="000000"/>
          <w:sz w:val="20"/>
        </w:rPr>
        <w:t>Note 13</w:t>
      </w:r>
      <w:r>
        <w:rPr>
          <w:rFonts w:ascii="Times New Roman;sans-serif" w:hAnsi="Times New Roman;sans-serif"/>
          <w:b w:val="false"/>
          <w:color w:val="000000"/>
          <w:sz w:val="20"/>
          <w:shd w:fill="FFFFFF" w:val="clear"/>
        </w:rPr>
        <w:t xml:space="preserve">), and the Company accounts for third party charters of these vessels under the accounting policies for vessel leases described above. The third-party charters of these vessels are operating leases, and revenue is recognized from these charters within Vessel charter revenue in the Consolidated Statements of Operations and Comprehensive (Loss)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71"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F-18</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(r)Leases, as lessee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entered into lease agreements primarily for the use of LNG vessels, marine port space, office space, land and equipment. Right-of-use (“ROU”) assets recognized for these leases represent the Company’s right to use an underlying asset for the lease term, and the lease liabilities represent the Company’s obligation to make lease payments arising from the lease. ROU assets and lease liabilities are recognized at the lease commencement date based on the estimated present value of fixed lease payments over the lease term.</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Leases with terms of 12 months or less are excluded from ROU assets and lease liabilities on the balance sheet, and short-term lease payments are recognized on a straight-line basis over the lease term. Variable payments under short-term leases are recognized in the period in which the obligation that triggers the variable payment becomes probable.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as lessee, has also elected the practical expedient not to separate lease and non-lease components for marine port space, office space, land and equipment leases. The Company separates the lease and non-lease components for vessel leases. The allocation of lease payments between lease and non-lease components has been determined based on the relative fair value of each component. The fair value of the lease component is estimated based on the estimated standalone price to lease a bareboat vessel. The fair value of the non-lease component is estimated based on the estimated standalone price of operating the respective vessel, inclusive of the costs of the crew and other operating costs.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has elected the land easement practical expedient, which allows the Company to continue to account for pre-existing land easements as intangible assets under the accounting policy that existed before adoption of ASC 842 </w:t>
      </w:r>
      <w:r>
        <w:rPr>
          <w:rFonts w:ascii="Times New Roman;sans-serif" w:hAnsi="Times New Roman;sans-serif"/>
          <w:b w:val="false"/>
          <w:i/>
          <w:color w:val="000000"/>
          <w:sz w:val="20"/>
          <w:shd w:fill="FFFFFF" w:val="clear"/>
        </w:rPr>
        <w:t>Leases</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(s)</w:t>
      </w:r>
      <w:r>
        <w:rPr>
          <w:rFonts w:ascii="Times New Roman;sans-serif" w:hAnsi="Times New Roman;sans-serif"/>
          <w:b w:val="false"/>
          <w:color w:val="000000"/>
          <w:sz w:val="20"/>
        </w:rPr>
        <w:t>Share-based compensation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adopted the New Fortress Energy Inc. 2019 Omnibus Incentive Plan (the “Incentive Plan”), effective as of February 4, 2019. Under the Incentive Plan, the Company may issue options, share appreciation rights, restricted shares, restricted share units (“RSUs”), performance share units (“PSUs”) or other share-based awards to selected officers, employees, non-employee directors and select non-employees of NFE or its affiliates. The Company accounts for share-based compensation in accordance with ASC 718, </w:t>
      </w:r>
      <w:r>
        <w:rPr>
          <w:rFonts w:ascii="Times New Roman;sans-serif" w:hAnsi="Times New Roman;sans-serif"/>
          <w:b w:val="false"/>
          <w:i/>
          <w:color w:val="000000"/>
          <w:sz w:val="20"/>
          <w:shd w:fill="FFFFFF" w:val="clear"/>
        </w:rPr>
        <w:t>Compensation</w:t>
      </w:r>
      <w:r>
        <w:rPr>
          <w:color w:val="000000"/>
          <w:shd w:fill="FFFFFF" w:val="clear"/>
        </w:rPr>
        <w:t xml:space="preserve"> </w:t>
      </w:r>
      <w:r>
        <w:rPr>
          <w:rFonts w:ascii="Times New Roman;sans-serif" w:hAnsi="Times New Roman;sans-serif"/>
          <w:b w:val="false"/>
          <w:color w:val="000000"/>
          <w:sz w:val="20"/>
          <w:shd w:fill="FFFFFF" w:val="clear"/>
        </w:rPr>
        <w:t xml:space="preserve">and ASC 505, </w:t>
      </w:r>
      <w:r>
        <w:rPr>
          <w:rFonts w:ascii="Times New Roman;sans-serif" w:hAnsi="Times New Roman;sans-serif"/>
          <w:b w:val="false"/>
          <w:i/>
          <w:color w:val="000000"/>
          <w:sz w:val="20"/>
          <w:shd w:fill="FFFFFF" w:val="clear"/>
        </w:rPr>
        <w:t>Equity</w:t>
      </w:r>
      <w:r>
        <w:rPr>
          <w:rFonts w:ascii="Times New Roman;sans-serif" w:hAnsi="Times New Roman;sans-serif"/>
          <w:b w:val="false"/>
          <w:color w:val="000000"/>
          <w:sz w:val="20"/>
          <w:shd w:fill="FFFFFF" w:val="clear"/>
        </w:rPr>
        <w:t>, which require all share-based payments to employees and members of the board of directors to be recognized as expense in the consolidated financial statements based on their grant date fair values. The fair value is adjusted for material non-public information that the Company may be aware of as of the grant date. The Company has elected not to estimate forfeitures of its share-based compensation awards but recognizes the reversal in compensation expense in the period in which the forfeiture occurs.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granted PSUs to certain employees and non-employees. The PSUs contain a performance condition, and vesting is determined based on achievement of a performance metric in the year subsequent to the grant. Compensation expense is recognized on a straight-line basis over the service period based on the expected attainment of a performance metric. At each reporting period, the Company reassesses the probability of the achievement of the performance metric, and any increase or decrease in share-based compensation expense resulting from an adjustment in the number of shares expected to vest is treated as a cumulative catch-up in the period of adjustment. </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(t)Lessor expense recognition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Vessel operating expenses are recognized when incurred. Vessel operating expenses include crewing, repairs and maintenance, insurance, stores, lube oils, communication expenses and third-party management fees. Initial direct costs include costs directly related to the negotiation and consummation of the lease and are deferred and recognized in Vessel operating expenses over the lease term.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Certain vessels included in the Energos Formation Transaction (defined below) are chartered to third parties under operating leases. As the accounting owner of these vessels, the Company recognizes the cost of operating these vessels in Vessel operating expenses. </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(u)</w:t>
      </w:r>
      <w:r>
        <w:rPr>
          <w:rFonts w:ascii="Times New Roman;sans-serif" w:hAnsi="Times New Roman;sans-serif"/>
          <w:b w:val="false"/>
          <w:color w:val="000000"/>
          <w:sz w:val="20"/>
        </w:rPr>
        <w:t>Transaction and integration costs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Transaction and integration costs is comprised of costs related to business combinations and dispositions and include advisory, legal, accounting, valuation and other professional or consulting fees. This caption also includes gains or losses recognized in connection with business combinations, including the settlement of preexisting relationships between the Company and an acquired entity. Financing costs which are not deferred as part of the cost of the financing on the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72"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F-19</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sheet including fees associated with debt modifications are recognized within this caption. The Company records cloud computing costs incurred in the preliminary project stage and post-implementation stage within this caption.</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(v)</w:t>
      </w:r>
      <w:r>
        <w:rPr>
          <w:rFonts w:ascii="Times New Roman;sans-serif" w:hAnsi="Times New Roman;sans-serif"/>
          <w:b w:val="false"/>
          <w:color w:val="000000"/>
          <w:sz w:val="20"/>
        </w:rPr>
        <w:t>Taxation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accounts for income taxes in accordance with ASC 740, </w:t>
      </w:r>
      <w:r>
        <w:rPr>
          <w:rFonts w:ascii="Times New Roman;sans-serif" w:hAnsi="Times New Roman;sans-serif"/>
          <w:b w:val="false"/>
          <w:i/>
          <w:color w:val="000000"/>
          <w:sz w:val="20"/>
          <w:shd w:fill="FFFFFF" w:val="clear"/>
        </w:rPr>
        <w:t>Accounting for Income Taxes</w:t>
      </w:r>
      <w:r>
        <w:rPr>
          <w:color w:val="000000"/>
          <w:shd w:fill="FFFFFF" w:val="clear"/>
        </w:rPr>
        <w:t xml:space="preserve"> </w:t>
      </w:r>
      <w:r>
        <w:rPr>
          <w:rFonts w:ascii="Times New Roman;sans-serif" w:hAnsi="Times New Roman;sans-serif"/>
          <w:b w:val="false"/>
          <w:color w:val="000000"/>
          <w:sz w:val="20"/>
          <w:shd w:fill="FFFFFF" w:val="clear"/>
        </w:rPr>
        <w:t>(“ASC 740”), under which deferred tax assets and liabilities are recognized for the future tax consequences attributable to differences between the financial statement carrying amounts and the tax bases of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recognizes the effect of tax positions only if those positions are more likely than not of being sustained. Recognized tax positions are measured at the largest amount that is greater than 50 percent likely of being realized upon ultimate settlement with the relevant tax authority. Conclusions reached regarding tax positions are continually reviewed based on ongoing analyses of tax laws, regulations and interpretations thereof. To the extent that the Company’s assessment of the conclusions reached regarding tax positions changes as a result of the evaluation of new information, such change in estimate will be recorded in the period in which such determination is made. The Company reports interest and penalties relating to an underpayment of income taxes, if applicable, as a component of income tax expense.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elected to treat amounts incurred under the global intangible low-taxed income (“GILTI”) rules as an expense in the period in which the tax is accrued. Accordingly, no deferred tax assets or liabilities are recorded related to GILTI.</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taxes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subsidiaries may be subject to payroll taxes, excise taxes, property taxes, sales and use taxes, in addition to income taxes in foreign countries in which they conduct business. In addition, certain subsidiaries are exposed to local state taxes, such as franchise taxes. Local state taxes that are not income taxes are recorded within Selling, general and administrative in the Consolidated Statements of Operations and Comprehensive (Loss) Income.</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(w)</w:t>
      </w:r>
      <w:r>
        <w:rPr>
          <w:rFonts w:ascii="Times New Roman;sans-serif" w:hAnsi="Times New Roman;sans-serif"/>
          <w:b w:val="false"/>
          <w:color w:val="000000"/>
          <w:sz w:val="20"/>
        </w:rPr>
        <w:t>Net income per share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Basic net income per share (“EPS”) is computed by dividing net income attributable to Class A common stock by the weighted average number of shares of Class A common stock outstanding. The dilutive effect of outstanding awards, if any, is reflected in diluted earnings per share by application of the treasury stock method or if-converted method, as applicable.</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(x)</w:t>
      </w:r>
      <w:r>
        <w:rPr>
          <w:rFonts w:ascii="Times New Roman;sans-serif" w:hAnsi="Times New Roman;sans-serif"/>
          <w:b w:val="false"/>
          <w:color w:val="000000"/>
          <w:sz w:val="20"/>
        </w:rPr>
        <w:t>Acquisitions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Business combinations are accounted for under the acquisition method. On acquisition, the identifiable assets acquired and liabilities assumed are measured at their fair values at the date of acquisition. Any excess of the purchase price over the fair values of the identifiable net assets acquired is recognized as goodwill. Acquisition-related costs are expensed as incurred as Transaction and integration costs in the Consolidated Statements of Operations and Comprehensive (Loss) Income. The results of operations of acquired businesses are included in the Company’s Consolidated Statements of Operations and Comprehensive (Loss) Income from the date of acquisition.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assets acquired do not meet the definition of a business, the transaction is accounted for as an asset acquisition and no goodwill is recognized. Costs incurred in conjunction with asset acquisitions are included in the purchase price, and any excess consideration transferred over the fair value of the net assets acquired is reallocated to the identifiable assets based on their relative fair values.</w:t>
      </w:r>
    </w:p>
    <w:p>
      <w:pPr>
        <w:pStyle w:val="TextBody"/>
        <w:bidi w:val="0"/>
        <w:spacing w:lineRule="auto" w:line="288" w:before="240" w:after="283"/>
        <w:ind w:left="0" w:right="0" w:hanging="720"/>
        <w:jc w:val="left"/>
        <w:rPr/>
      </w:pPr>
      <w:r>
        <w:rPr>
          <w:rFonts w:ascii="Times New Roman;sans-serif" w:hAnsi="Times New Roman;sans-serif"/>
          <w:b w:val="false"/>
          <w:color w:val="000000"/>
          <w:sz w:val="20"/>
        </w:rPr>
        <w:t>(y)Equity method investments</w:t>
      </w:r>
      <w:r>
        <w:rPr>
          <w:color w:val="000000"/>
          <w:shd w:fill="FFFFFF" w:val="clear"/>
        </w:rPr>
        <w:t xml:space="preserv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accounts for investments in entities over which the Company has significant influence, but do not meet the criteria for consolidation, under the equity method of accounting. Under the equity method of accounting, the Company’s investment is recorded at cost. In the case of equity method investments acquired as part of a business combination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3"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F-20</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acquired in exchange for the contribution of assets or entities to the investee, the investment is initially recorded at the acquisition date fair value of the investment. The carrying amount is adjusted for the Company’s share of the earnings or losses, and dividends received from the investee reduce the carrying amount of the investment. The Company allocates the difference between the fair value of investments acquired in a business combination and the Company’s proportionate share of the carrying value of the underlying assets, or basis difference, across the assets and liabilities of the investee. The basis difference assigned to amortizable net assets is included in Income (loss) from equity method investments in the Consolidated Statements of Operations and Comprehensive (Loss) Income. When the Company’s share of losses in an investee equals or exceeds the carrying value of the investment, no further losses are recognized unless the Company has incurred obligations or made payments on behalf of the investee.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periodically assesses if impairment indicators exist at equity method investments. When an impairment is observed, any excess of the carrying amount over its estimated fair value is recognized as impairment expense when the loss in value is deemed other-than-temporary and included in Income (loss) from equity method investments in the Consolidated Statements of Operations and Comprehensive (Loss) Income.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relation to the Company's 20% equity interest in Energos, the Company elected to recognize its proportional share of the income or loss from the equity method investment on a financial reporting lag of one fiscal quarter. The Company did not elect to recognize the results of other equity method investments on a financial reporting lag. </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(z)</w:t>
      </w:r>
      <w:r>
        <w:rPr>
          <w:rFonts w:ascii="Times New Roman;sans-serif" w:hAnsi="Times New Roman;sans-serif"/>
          <w:b w:val="false"/>
          <w:color w:val="000000"/>
          <w:sz w:val="20"/>
        </w:rPr>
        <w:t>Loss of control of subsidiary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 there is a loss of control over a subsidiary, the Company de-consolidates the entity as of the date the Company ceases to have a controlling financial interest. The Company accounts for the deconsolidation of a subsidiary by recognizing a gain or loss in the Consolidated Statements of Operations and Comprehensive (Loss) Income, measured by the difference between the aggregate of the fair value of the consideration received, fair value of any retained non-controlling interest in the former subsidiary and the carrying amount of any non-controlling interest in the former subsidiary with the carrying amount of the former subsidiary’s assets and liabilities. If a change of ownership interest causes a loss of control of a foreign entity, in addition to de-recognizing the assets and liabilities, the Company will also de-recognize any amounts previously recorded in other comprehensive income.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(aa)Guarantees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Guarantees issued by the Company, excluding those that are guaranteeing the Company’s own performance, are recognized at fair value at the time that the guarantees are issued and recognized in Other non-current liabilities on the Consolidated Balance Sheets. Guarantee liabilities are amortized using a systematic and rational method as the risk to the Company is reduced. If it becomes probable that the Company will have to perform under a guarantee, the Company will recognize an additional liability if the amount of the loss can be reasonably estimated.</w:t>
      </w:r>
    </w:p>
    <w:p>
      <w:pPr>
        <w:pStyle w:val="TextBody"/>
        <w:bidi w:val="0"/>
        <w:spacing w:lineRule="auto" w:line="288" w:before="240" w:after="283"/>
        <w:ind w:left="0" w:right="0" w:hanging="720"/>
        <w:jc w:val="left"/>
        <w:rPr/>
      </w:pPr>
      <w:r>
        <w:rPr>
          <w:rFonts w:ascii="Times New Roman;sans-serif" w:hAnsi="Times New Roman;sans-serif"/>
          <w:b w:val="false"/>
          <w:color w:val="000000"/>
          <w:sz w:val="20"/>
          <w:shd w:fill="FFFFFF" w:val="clear"/>
        </w:rPr>
        <w:t>(ab)</w:t>
      </w:r>
      <w:r>
        <w:rPr>
          <w:rFonts w:ascii="Times New Roman;sans-serif" w:hAnsi="Times New Roman;sans-serif"/>
          <w:b w:val="false"/>
          <w:color w:val="000000"/>
          <w:sz w:val="20"/>
        </w:rPr>
        <w:t>Derivatives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entered into derivative positions that were used to reduce market risks associated with interest rates, foreign exchange rates and commodity prices. The Company also accounts for arrangements that require the Company to pay sellers contingent payments in asset acquisitions as derivatives. All derivative instruments are initially recorded at fair value as either assets or liabilities on the Consolidated Balance Sheets and subsequently remeasured to fair value, regardless of the purpose or intent for holding the derivative, unless they qualify for a Normal Purchases and Normal Sales (“NPNS”) exception. The Company has not designated any derivatives as cash flow or fair value hedges; however, certain instruments may be considered economic hedges. Cash inflows and outflows related to commodity derivatives, foreign currency and interest rate swap are classified in the Consolidated Statements of Cash Flows based on the risk that the instrument is intended to mitigate, which may be operating, investing or financing.</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Revenues and expenses on contracts that qualify for the NPNS exception are recognized when the underlying physical transaction is delivered under other applicable GAAP (e.g., ASC 606 or ASC 705). While these contracts are considered derivative financial instruments under ASC 815, </w:t>
      </w:r>
      <w:r>
        <w:rPr>
          <w:rFonts w:ascii="Times New Roman;sans-serif" w:hAnsi="Times New Roman;sans-serif"/>
          <w:b w:val="false"/>
          <w:i/>
          <w:color w:val="000000"/>
          <w:sz w:val="20"/>
          <w:shd w:fill="FFFFFF" w:val="clear"/>
        </w:rPr>
        <w:t>Derivatives and Hedging</w:t>
      </w:r>
      <w:r>
        <w:rPr>
          <w:rFonts w:ascii="Times New Roman;sans-serif" w:hAnsi="Times New Roman;sans-serif"/>
          <w:b w:val="false"/>
          <w:color w:val="000000"/>
          <w:sz w:val="20"/>
          <w:shd w:fill="FFFFFF" w:val="clear"/>
        </w:rPr>
        <w:t>,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4"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F-21</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Adoption of new and revised standards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standards, amendments and interpretations issued but not effective for the year beginning January 1, 2024: </w:t>
      </w:r>
    </w:p>
    <w:p>
      <w:pPr>
        <w:pStyle w:val="TextBody"/>
        <w:bidi w:val="0"/>
        <w:spacing w:lineRule="auto" w:line="288" w:before="240" w:after="283"/>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xml:space="preserve">, requiring companies to annually disclose specific categories in the effective tax rate reconciliation and provide additional information for reconciling items that meet a quantitative threshold. Further, the ASU requires disclosure of income taxes paid (net of refunds received) disaggregated by federal (national), state and foreign taxes and to disaggregate the information by jurisdiction based on a quantitative threshold. The amendments in this ASU are effective for annual periods beginning after December 15, 2024, and early adoption is permitted. The amendments should be applied on a prospective basis, but retrospective application is permitted. The Company is currently reviewing the impact that the adoption of ASU 2023-09 may have on the Company's financial statements and disclosures. </w:t>
      </w:r>
    </w:p>
    <w:p>
      <w:pPr>
        <w:pStyle w:val="TextBody"/>
        <w:bidi w:val="0"/>
        <w:spacing w:lineRule="auto" w:line="288" w:before="240" w:after="283"/>
        <w:jc w:val="left"/>
        <w:rPr/>
      </w:pPr>
      <w:r>
        <w:rPr>
          <w:rFonts w:ascii="Times New Roman;sans-serif" w:hAnsi="Times New Roman;sans-serif"/>
          <w:b w:val="false"/>
          <w:color w:val="000000"/>
          <w:sz w:val="20"/>
        </w:rPr>
        <w:t xml:space="preserve">In March 2024, the FASB issued ASU 2024-01, </w:t>
      </w:r>
      <w:r>
        <w:rPr>
          <w:rFonts w:ascii="Times New Roman;sans-serif" w:hAnsi="Times New Roman;sans-serif"/>
          <w:b w:val="false"/>
          <w:i/>
          <w:color w:val="000000"/>
          <w:sz w:val="20"/>
        </w:rPr>
        <w:t>Compensation—Stock Compensation (Topic 718): Scope Application of Profits Interest and Similar Awards</w:t>
      </w:r>
      <w:r>
        <w:rPr>
          <w:rFonts w:ascii="Times New Roman;sans-serif" w:hAnsi="Times New Roman;sans-serif"/>
          <w:b w:val="false"/>
          <w:color w:val="000000"/>
          <w:sz w:val="20"/>
        </w:rPr>
        <w:t xml:space="preserve">, providing illustrative guidance to help entities determine whether profits interest and similar awards should be accounted for as share-based payment arrangements within the scope of Topic 718. The amendments in this ASU are effective for annual periods beginning after December 15, 2024, and interim periods within those annual periods. Early adoption is allowed, and the amendments can be applied on a prospective or retrospective basis. The Company will adopt ASU 2024-01 on January 1, 2025 and apply the amendments on a prospective basis. </w:t>
      </w:r>
    </w:p>
    <w:p>
      <w:pPr>
        <w:pStyle w:val="TextBody"/>
        <w:bidi w:val="0"/>
        <w:spacing w:lineRule="auto" w:line="288" w:before="240" w:after="283"/>
        <w:jc w:val="left"/>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Statement—Reporting Comprehensive Income—Expense Disaggregation Disclosures (Subtopic 220-40): Disaggregation of Income Statement Expenses</w:t>
      </w:r>
      <w:r>
        <w:rPr>
          <w:rFonts w:ascii="Times New Roman;sans-serif" w:hAnsi="Times New Roman;sans-serif"/>
          <w:b w:val="false"/>
          <w:color w:val="000000"/>
          <w:sz w:val="20"/>
        </w:rPr>
        <w:t xml:space="preserve">. These amendments require public business entities to disclose additional information about specific expense categories in the notes to financial statements at each interim and annual reporting period. ASU 2024-03 will be effective for annual reporting periods beginning after December 15, 2026, and interim reporting periods beginning after December 15, 2027. Early adoption is permitted. The amendments can be applied prospectively or retrospectively. The Company is currently reviewing the impact that the adoption of ASU 2024-03 may have on the Company's financial statements and disclosures.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and amended standards adopted by the Company: </w:t>
      </w:r>
    </w:p>
    <w:p>
      <w:pPr>
        <w:pStyle w:val="TextBody"/>
        <w:bidi w:val="0"/>
        <w:spacing w:lineRule="auto" w:line="288" w:before="240" w:after="283"/>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ASU 2023-07 requires disclosure of significant segment expenses and other segment items that are regularly provided to the CODM and included within each reported measure of segment profit or loss, and the title and position of the entity’s CODM. The amendments in this update also require entities to provide in interim periods all disclosures about a reportable segment’s profit or loss and assets that are currently required annually. ASU 2023-07 was effective for fiscal years beginning after December 15, 2023, and interim periods within fiscal years beginning after December 15, 2024. Amendments in this update are required to be applied retrospectively to all periods presented in the financial statements, unless it is impracticable. The adoption of ASU 2023-07 did not have a material impact on the Company's financial statements and disclosures.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reviewed all other recently issued accounting pronouncements and concluded that such pronouncements are either not applicable to the Company or no material impact is expected in the consolidated financial statements as a result of future adoption.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4. Asset acquisition and redeemable preferred stock</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Lins Acquisition</w:t>
      </w:r>
    </w:p>
    <w:p>
      <w:pPr>
        <w:pStyle w:val="TextBody"/>
        <w:bidi w:val="0"/>
        <w:spacing w:lineRule="auto" w:line="288" w:before="240" w:after="283"/>
        <w:jc w:val="left"/>
        <w:rPr/>
      </w:pPr>
      <w:r>
        <w:rPr>
          <w:rFonts w:ascii="Times New Roman;sans-serif" w:hAnsi="Times New Roman;sans-serif"/>
          <w:b w:val="false"/>
          <w:color w:val="000000"/>
          <w:sz w:val="20"/>
        </w:rPr>
        <w:t>On August 2, 2024, the Company a</w:t>
      </w:r>
      <w:r>
        <w:rPr>
          <w:rFonts w:ascii="Times New Roman;sans-serif" w:hAnsi="Times New Roman;sans-serif"/>
          <w:b w:val="false"/>
          <w:color w:val="000000"/>
          <w:sz w:val="20"/>
          <w:shd w:fill="FFFFFF" w:val="clear"/>
        </w:rPr>
        <w:t xml:space="preserve">cquired 100% of the outstanding equity interest of Usina Termeletrica de Lins S.A. ("Lins"), which owns key rights and permits to develop a combined cycle gas-fired power plant for up to 2.05GW located in the State of Sao Paulo, within the city limits of Lins, Brazil. The purchase consideration consisted of a $2,000 cash payment made at closing in addition to potential future payments contingent on achieving certain milestones of up to $18,500. As the contingent payments meet the definition of a derivative, the fair value of the contingent payments of $8,080 was included as part of the purchase consideration and was recognized in Other non-current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5"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F-22</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the Consolidated Balance Sheets upon acquisition. The fair value of the derivative liability was $8,401 as of December 31, 2024.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purchase of Lins has been accounted for as an asset acquisition. As a result, no goodwill was recorded. The total purchase consideration of $10,080 was allocated to permits and authorizations acquired and is recorded within Intangible assets, net on the Consolidated Balance Sheets. In addition, the Company recognized a deferred tax liability of $4,163 that resulted from the acquisition.</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PortoCem Acquisition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On March 20, 2024, the Company completed transactions pursuant to an agreement among the Company, Ceiba Energy Fundo de Investimento em Participações Multiestratégia - Investimento no Exterior (“Ceiba Energy”) and PortoCem Geração de Energia S.A., a wholly-owned subsidiary of Ceiba Energy (“PortoCem”), pursuant to which the Company issued to Ceiba Energy </w:t>
      </w:r>
      <w:r>
        <w:rPr>
          <w:rFonts w:ascii="Times New Roman;sans-serif" w:hAnsi="Times New Roman;sans-serif"/>
          <w:b w:val="false"/>
          <w:color w:val="000000"/>
          <w:sz w:val="20"/>
        </w:rPr>
        <w:t>96,746</w:t>
      </w:r>
      <w:r>
        <w:rPr>
          <w:color w:val="000000"/>
          <w:shd w:fill="FFFFFF" w:val="clear"/>
        </w:rPr>
        <w:t xml:space="preserve"> </w:t>
      </w:r>
      <w:r>
        <w:rPr>
          <w:rFonts w:ascii="Times New Roman;sans-serif" w:hAnsi="Times New Roman;sans-serif"/>
          <w:b w:val="false"/>
          <w:color w:val="000000"/>
          <w:sz w:val="20"/>
          <w:shd w:fill="FFFFFF" w:val="clear"/>
        </w:rPr>
        <w:t xml:space="preserve">shares of 4.8% Series A Convertible Preferred Stock of the Company (the “Series A Convertible Preferred Stock”), and assumed certain of PortoCem’s existing indebtedness in exchange for all outstanding equity interests in PortoCem, the owner of a 15-year 1.6GW capacity reserve contract in Brazil (the “PortoCem Acquisition”).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PortoCem Acquisition was accounted for as an asset acquisition. As a result, no goodwill was recorded, and the Company’s acquisition-related costs of $592 were included in the purchase consideration. The total purchase consideration of $162,860, which was comprised of the value of the Series A Convertible Preferred Stock issued, PortoCem BTG Loan assumed (defined in </w:t>
      </w:r>
      <w:r>
        <w:rPr>
          <w:rFonts w:ascii="Times New Roman;sans-serif" w:hAnsi="Times New Roman;sans-serif"/>
          <w:b w:val="false"/>
          <w:color w:val="000000"/>
          <w:sz w:val="20"/>
        </w:rPr>
        <w:t>Note 20</w:t>
      </w:r>
      <w:r>
        <w:rPr>
          <w:rFonts w:ascii="Times New Roman;sans-serif" w:hAnsi="Times New Roman;sans-serif"/>
          <w:b w:val="false"/>
          <w:color w:val="000000"/>
          <w:sz w:val="20"/>
          <w:shd w:fill="FFFFFF" w:val="clear"/>
        </w:rPr>
        <w:t>) and deferred tax liability of $37,662 recognized as a result of the acquisition, was allocated to acquired capacity reserve contract within Intangible assets, net.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On October 1, 2024, the Company issued to Ceiba Energy </w:t>
      </w:r>
      <w:r>
        <w:rPr>
          <w:rFonts w:ascii="Times New Roman;sans-serif" w:hAnsi="Times New Roman;sans-serif"/>
          <w:b w:val="false"/>
          <w:color w:val="000000"/>
          <w:sz w:val="20"/>
        </w:rPr>
        <w:t>96,746</w:t>
      </w:r>
      <w:r>
        <w:rPr>
          <w:color w:val="000000"/>
          <w:shd w:fill="FFFFFF" w:val="clear"/>
        </w:rPr>
        <w:t xml:space="preserve"> </w:t>
      </w:r>
      <w:r>
        <w:rPr>
          <w:rFonts w:ascii="Times New Roman;sans-serif" w:hAnsi="Times New Roman;sans-serif"/>
          <w:b w:val="false"/>
          <w:color w:val="000000"/>
          <w:sz w:val="20"/>
          <w:shd w:fill="FFFFFF" w:val="clear"/>
        </w:rPr>
        <w:t xml:space="preserve">shares of the Company’s 4.8% Series B Convertible Preferred Stock, par value $0.01 per share and liquidation preference $1,000 per share (the “Series B Convertible Preferred Stock”), in exchange for all outstanding shares of the Company’s Series A Convertible Preferred Stock. The Company analyzed the exchange based on the change in fair value and determined that the exchange resulted in a substantial change and therefore should be accounted for as an extinguishment. Accordingly, the Company recognized a deemed dividend of $10,833 as the difference between the fair value of the Series B Convertible Preferred Stock issued of $107,388 and the carrying value of the Series A Convertible Preferred Stock prior to the exchange of $96,555. Subsequent to the exchange, the Company's Equity Offering (defined in Note 25) triggered an adjustment to the conversion price. The Company recognized the effect of the down round feature of $6,772 as a deemed dividend and increased Additional paid-in capitial based on the difference between the fair values of the Series B Convertible Preferred Stock using the initial conversion price and the reduced conversion price.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Series B Convertible Preferred Stock</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Series B Convertible Preferred Stock was issued with substantially consistent terms as the Series A Convertible Preferred Stock, with the exceptions of the conversion price and the dividend rate adjustment as described below.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Series B Convertible Preferred Stock has a liquidation preference of $1,000 per share and is not subject to any sinking fund. The Series B Convertible Preferred Stock has no stated maturity and will remain outstanding indefinitely unless redeemed or repurchased by the Company or converted into shares of Class A common stock.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Dividend rights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Series B Convertible Preferred Stock ranks senior to the shares of the Company’s common stock, in terms of dividend rights and rights upon any voluntary or involuntary liquidation, dissolution or winding up of the Company. Holders of Series B Convertible Preferred Stock are entitled to a cumulative dividend at the rate of 4.8% per annum, which is payable quarterly in arrears. If the Company does not declare and pay a dividend, the dividend rate will increase to 9.8% per annum until all accrued but unpaid dividends have been paid in full.</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Conversion features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Series B Convertible Preferred Stock may be converted by each holder, in whole or in minimum increments of 5,000 shares, at any time into a number of shares of Class A common stock per share of Series B Convertible Preferred Stock equal to the quotient of $1,000 per share plus any accumulated and unpaid dividends thereon and the then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6"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F-23</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conversion price. The initial conversion price is $9.96 per share of Class A common stock, subject to customary anti-dilution adjustments.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December 2024, holders of Series B Convertible Preferred Stock submitted a conversion notice to convert 15,000 shares of Series B Convertible Preferred Stock into 1,673,374 Class A common shares at a conversion price of $9.06 per share. These common shares were issued in January 2025. The Company recorded a reclassification of $16,619 from mezzanine equity to permanent equity as the conversion notice is irrevocable. These Class A common shares are included in the outstanding shares in the Company's EPS calculation.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Redemption rights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the occurrence of certain events, the holders constituting at least a majority of the outstanding voting power of the Series B Convertible Preferred Stock may require the Company to repurchase the Series B Convertible Preferred Stock, in whole but not in part, for cash or shares of Class A common stock (or any combination thereof) at a repurchase price of $1,000 per share plus any accumulated and unpaid dividends thereon. Contingent events that would allow the holders to require repurchase by the Company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change in control, downgrade in the credit rating of certain of the Company's debt or if certain financial leverage ratios aren't achieved ("Change Event").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as of the 30th trading day following March 20, 2027, if the arithmetic average of the daily volume-weighted average price of the Company's common stock for the thirty consecutive trading day period beginning on first trading day following March 20, 2027 is less than the then-applicable conversion price ("Share Price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Series B Convertible Preferred Stock is to be repurchased by the Company, the majority of the holders of the Series B Convertible Preferred Stock may require the Company to repurchase the Series B Convertible Preferred Stock for shares of Class A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B Convertible Preferred Stock may be redeemed by the Company, in whole but not in part, at its option upon 45 days’ written notice as follows: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on or before March 20, 2027 at a redemption price equal to the greater of (i) $1,000 per share plus any accumulated and unpaid dividends and (ii) the cash amount necessary per share for a holder to achieve a Return on Investment (as defined in the Certificate of Designations) as of the redemption date equal to 1.4;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after the 30th trading day following March 20, 2027 if the Share Price Condition is not met or (y) 30 calendar days after the delivery of the required notice if the Share Price Condition is met, in each case, at a redemption price equal to $1,000 per share plus any accumulated and unpaid dividends;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occurrence of a Change Event at a redemption price equal to $1,000 per share plus any accumulated and unpaid dividends.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Series B Convertible Preferred Stock for cash or shares of Class A common stock (or any combination thereof); provided that for a redemption prior to March 20, 2027 due to a Change Event, a majority of the holders of the Series B Convertible Preferred Stock may require the Company to redeem for cash or shares of Class A common stock.</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the redemption of the Series B Convertible Preferred Stock is contingently redeemable and therefore not certain to occur, the Series B Convertible Preferred Stock is not required to be classified as a liability. The Series B Convertible Preferred Stock is redeemable at the option of the holder in certain circumstances upon the occurrence of an event that is not solely within the Company's control, and as such, the Series B Convertible Preferred Stock is classified as mezzanine equity on the Consolidated Balance Sheets.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Voting rights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Holders of Series B Convertible Preferred Stock are generally entitled to vote with the holders of common stock on an as-converted basis. Holders of Series B Convertible Preferred Stock are entitled to a separate class vote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7"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F-24</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amendments to the Company’s organizational documents that adversely affect the rights, preferences or voting powers of the Series B 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Dispositions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Turbine sale</w:t>
      </w:r>
    </w:p>
    <w:p>
      <w:pPr>
        <w:pStyle w:val="TextBody"/>
        <w:bidi w:val="0"/>
        <w:spacing w:lineRule="auto" w:line="288" w:before="240" w:after="283"/>
        <w:jc w:val="left"/>
        <w:rPr/>
      </w:pPr>
      <w:r>
        <w:rPr>
          <w:rFonts w:ascii="Times New Roman;sans-serif" w:hAnsi="Times New Roman;sans-serif"/>
          <w:b w:val="false"/>
          <w:color w:val="000000"/>
          <w:sz w:val="20"/>
        </w:rPr>
        <w:t xml:space="preserve">In March 2024, the Company completed a series of transactions that included the sale of turbines and related equipment to the Puerto Rico Electric Power Authority ("PREPA") under an Asset Purchase Agreement ("APA"). The Company deployed this equipment in 2023 in response to a request to provide emergency power to stabilize the power grid in Puerto Rico. The purchase price was </w:t>
      </w:r>
      <w:r>
        <w:rPr>
          <w:rFonts w:ascii="Times New Roman;sans-serif" w:hAnsi="Times New Roman;sans-serif"/>
          <w:b w:val="false"/>
          <w:color w:val="000000"/>
          <w:sz w:val="20"/>
          <w:shd w:fill="FFFFFF" w:val="clear"/>
        </w:rPr>
        <w:t>$306,599</w:t>
      </w:r>
      <w:r>
        <w:rPr>
          <w:rFonts w:ascii="Times New Roman;sans-serif" w:hAnsi="Times New Roman;sans-serif"/>
          <w:b w:val="false"/>
          <w:color w:val="000000"/>
          <w:sz w:val="20"/>
        </w:rPr>
        <w:t xml:space="preserve">. Additionally, the APA includes a requirement that the Company provide major maintenance services on certain of the sold turbines within 12 months of the sale date; the standalone selling price of these maintenance services of </w:t>
      </w:r>
      <w:r>
        <w:rPr>
          <w:rFonts w:ascii="Times New Roman;sans-serif" w:hAnsi="Times New Roman;sans-serif"/>
          <w:b w:val="false"/>
          <w:color w:val="000000"/>
          <w:sz w:val="20"/>
          <w:shd w:fill="FFFFFF" w:val="clear"/>
        </w:rPr>
        <w:t>$15,330</w:t>
      </w:r>
      <w:r>
        <w:rPr>
          <w:color w:val="000000"/>
        </w:rPr>
        <w:t xml:space="preserve"> </w:t>
      </w:r>
      <w:r>
        <w:rPr>
          <w:rFonts w:ascii="Times New Roman;sans-serif" w:hAnsi="Times New Roman;sans-serif"/>
          <w:b w:val="false"/>
          <w:color w:val="000000"/>
          <w:sz w:val="20"/>
        </w:rPr>
        <w:t xml:space="preserve">will be recognized when these services are performed, and the transaction price allocated to the sale of turbines was reduced by this amount. The Company recognized $3,830 of the maintenance services revenue during the year ended December 31, 2024. The book value of the turbines and equipment at the time of sale was </w:t>
      </w:r>
      <w:r>
        <w:rPr>
          <w:rFonts w:ascii="Times New Roman;sans-serif" w:hAnsi="Times New Roman;sans-serif"/>
          <w:b w:val="false"/>
          <w:color w:val="000000"/>
          <w:sz w:val="20"/>
          <w:shd w:fill="FFFFFF" w:val="clear"/>
        </w:rPr>
        <w:t>$368,799</w:t>
      </w:r>
      <w:r>
        <w:rPr>
          <w:rFonts w:ascii="Times New Roman;sans-serif" w:hAnsi="Times New Roman;sans-serif"/>
          <w:b w:val="false"/>
          <w:color w:val="000000"/>
          <w:sz w:val="20"/>
        </w:rPr>
        <w:t xml:space="preserve">, and the Company recognized a loss of </w:t>
      </w:r>
      <w:r>
        <w:rPr>
          <w:rFonts w:ascii="Times New Roman;sans-serif" w:hAnsi="Times New Roman;sans-serif"/>
          <w:b w:val="false"/>
          <w:color w:val="000000"/>
          <w:sz w:val="20"/>
          <w:shd w:fill="FFFFFF" w:val="clear"/>
        </w:rPr>
        <w:t>$77,562</w:t>
      </w:r>
      <w:r>
        <w:rPr>
          <w:color w:val="000000"/>
        </w:rPr>
        <w:t xml:space="preserve"> </w:t>
      </w:r>
      <w:r>
        <w:rPr>
          <w:rFonts w:ascii="Times New Roman;sans-serif" w:hAnsi="Times New Roman;sans-serif"/>
          <w:b w:val="false"/>
          <w:color w:val="000000"/>
          <w:sz w:val="20"/>
        </w:rPr>
        <w:t xml:space="preserve">in Loss on sale of assets, net in the </w:t>
      </w:r>
      <w:r>
        <w:rPr>
          <w:rFonts w:ascii="Times New Roman;sans-serif" w:hAnsi="Times New Roman;sans-serif"/>
          <w:b w:val="false"/>
          <w:color w:val="000000"/>
          <w:sz w:val="20"/>
          <w:shd w:fill="FFFFFF" w:val="clear"/>
        </w:rPr>
        <w:t>Consolidated Statements of Operations and Comprehensive (Loss) Income</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assets sold to PREPA were previously leased by the Company. To facilitate the sale of these leased turbines, the Company terminated leases, acquiring turbines and equipment immediately prior to the sale of such turbines and equipment to PREPA. The cost to acquire the leased turbines, including the write-off of the right-of-use asset and lease liability were included in the book value of the turbines and the related loss upon sale.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these transactions, the Company repaid the Equipment Notes (See Note 20) that were collateralized by the sold turbines, recognizing a loss on extinguishment of debt of $7,879, which was comprised of fees due upon prepayment as well as the unamortized portion of financing costs incurred at the inception of the loan. </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Company's contract to provide emergency power services to support the grid stabilization project was also terminated. All unrecognized contract liabilities and cost to fulfil at the time of termination were recognized in the </w:t>
      </w:r>
      <w:r>
        <w:rPr>
          <w:rFonts w:ascii="Times New Roman;sans-serif" w:hAnsi="Times New Roman;sans-serif"/>
          <w:b w:val="false"/>
          <w:color w:val="000000"/>
          <w:sz w:val="20"/>
          <w:shd w:fill="FFFFFF" w:val="clear"/>
        </w:rPr>
        <w:t>Consolidated Statements of Operations and Comprehensive (Loss) Income</w:t>
      </w:r>
      <w:r>
        <w:rPr>
          <w:color w:val="000000"/>
        </w:rPr>
        <w:t xml:space="preserve"> </w:t>
      </w:r>
      <w:r>
        <w:rPr>
          <w:rFonts w:ascii="Times New Roman;sans-serif" w:hAnsi="Times New Roman;sans-serif"/>
          <w:b w:val="false"/>
          <w:color w:val="000000"/>
          <w:sz w:val="20"/>
        </w:rPr>
        <w:t>(See Note 7). The Company believes that there are remedies available under the customer contract, and is currently pursuing these remedies. As the outcome of this process is uncertain, any transaction price associated with closing this contract has been fully constrained. The Company has been awarded a new gas sale agreement with PREPA under which the Company is providing gas supply to the sold turbines.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Miami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2024, the Company entered into a definitive agreement to sell its LNG liquefaction facility located in Miami (the "Miami Facility") for $62,000, subject to certain purchase price adjustments at close. The assets related to the Miami Facility were classified as held for sale as of June 30, 2024. In conjunction with the classification to held for sale and completion of the sale in the fourth quarter, the Company recognized an impairment loss of $16,016 within Asset impairment expense in the Consolidated Statements of Operations and Comprehensive Income (Loss), which includes the allocation of goodwill to this business disposition of $10,410.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6. Energos Formation Transaction</w:t>
      </w:r>
    </w:p>
    <w:p>
      <w:pPr>
        <w:pStyle w:val="TextBody"/>
        <w:bidi w:val="0"/>
        <w:spacing w:lineRule="auto" w:line="288" w:before="240" w:after="283"/>
        <w:jc w:val="left"/>
        <w:rPr/>
      </w:pPr>
      <w:r>
        <w:rPr>
          <w:rFonts w:ascii="Times New Roman;sans-serif" w:hAnsi="Times New Roman;sans-serif"/>
          <w:b w:val="false"/>
          <w:color w:val="000000"/>
          <w:sz w:val="20"/>
        </w:rPr>
        <w:t>On August 15, 2022</w:t>
      </w:r>
      <w:r>
        <w:rPr>
          <w:rFonts w:ascii="Times New Roman;sans-serif" w:hAnsi="Times New Roman;sans-serif"/>
          <w:b w:val="false"/>
          <w:color w:val="000000"/>
          <w:sz w:val="20"/>
          <w:shd w:fill="FFFFFF" w:val="clear"/>
        </w:rPr>
        <w:t xml:space="preserve">, the Company completed a transaction (the “Energos Formation Transaction”) with an affiliate of Apollo Global Management, Inc., pursuant to which the Company transferred ownership of 11 vessels to Energos Infrastructure ("Energos") in exchange for approximately $1.85 billion in cash and a 20% equity interest in Energos. Ten of the vessels were subject to current or future charters with the Company and one vessel (the </w:t>
      </w:r>
      <w:r>
        <w:rPr>
          <w:rFonts w:ascii="Times New Roman;sans-serif" w:hAnsi="Times New Roman;sans-serif"/>
          <w:b w:val="false"/>
          <w:i/>
          <w:color w:val="000000"/>
          <w:sz w:val="20"/>
          <w:shd w:fill="FFFFFF" w:val="clear"/>
        </w:rPr>
        <w:t>Nanook</w:t>
      </w:r>
      <w:r>
        <w:rPr>
          <w:rFonts w:ascii="Times New Roman;sans-serif" w:hAnsi="Times New Roman;sans-serif"/>
          <w:b w:val="false"/>
          <w:color w:val="000000"/>
          <w:sz w:val="20"/>
          <w:shd w:fill="FFFFFF" w:val="clear"/>
        </w:rPr>
        <w:t>) was not subject to a future NFE charter. The in-place and future charters to the Company of ten vessels prevent the recognition of the sale of those vessels to Energos, and the proceeds associated with these vessels have been treated as a failed sale leaseback. As a result, these ten vessels continue to be recognized on the Consolidated Balance Sheets as Property, plant and equipment, and the proceeds are recognized as debt ("Vessel Financing Obligation"). Consistent with this treatment as a failed sale leaseback, (i) the third party charter revenues continue to be recognized by the Company as Vessel charter revenue; (ii) the costs of operating the vessels is included in Vessel operating expenses for the remaining terms of the third-party charters and (iii) such revenues are included as part of debt service for the sale leaseback financing debt and are included in additional financing costs within Interest expense, net. The Company had accounted for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8"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F-25</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investment in Energos as an equity method investment; see Note 13 for further discussion of this investment. In February 2024, the Company sold substantially all of its stake in Energos.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7. Revenue recognition</w:t>
      </w:r>
    </w:p>
    <w:p>
      <w:pPr>
        <w:pStyle w:val="TextBody"/>
        <w:bidi w:val="0"/>
        <w:spacing w:lineRule="auto" w:line="288" w:before="240" w:after="283"/>
        <w:jc w:val="left"/>
        <w:rPr/>
      </w:pPr>
      <w:r>
        <w:rPr>
          <w:rFonts w:ascii="Times New Roman;sans-serif" w:hAnsi="Times New Roman;sans-serif"/>
          <w:b w:val="false"/>
          <w:color w:val="000000"/>
          <w:sz w:val="20"/>
        </w:rPr>
        <w:t>Operating revenue in the</w:t>
      </w:r>
      <w:r>
        <w:rPr>
          <w:color w:val="000000"/>
          <w:shd w:fill="FFFFFF" w:val="clear"/>
        </w:rPr>
        <w:t xml:space="preserve"> </w:t>
      </w:r>
      <w:r>
        <w:rPr>
          <w:rFonts w:ascii="Times New Roman;sans-serif" w:hAnsi="Times New Roman;sans-serif"/>
          <w:b w:val="false"/>
          <w:color w:val="000000"/>
          <w:sz w:val="20"/>
          <w:shd w:fill="FFFFFF" w:val="clear"/>
        </w:rPr>
        <w:t>Consolidated Statements of Operations and Comprehensive (Loss) Income includes</w:t>
      </w:r>
      <w:r>
        <w:rPr>
          <w:color w:val="000000"/>
        </w:rPr>
        <w:t xml:space="preserve"> </w:t>
      </w:r>
      <w:r>
        <w:rPr>
          <w:rFonts w:ascii="Times New Roman;sans-serif" w:hAnsi="Times New Roman;sans-serif"/>
          <w:b w:val="false"/>
          <w:color w:val="000000"/>
          <w:sz w:val="20"/>
        </w:rPr>
        <w:t xml:space="preserve">revenue from sales of LNG and natural gas as well as outputs from the Company’s natural gas-fueled power generation facilities, including power and steam, and the sale of LNG cargos. Included in operating revenue are LNG cargo sales to customers of $291,000, $618,521, and $1,175,866 for the years ended December 31, 2024, </w:t>
      </w:r>
      <w:r>
        <w:rPr>
          <w:rFonts w:ascii="Times New Roman;sans-serif" w:hAnsi="Times New Roman;sans-serif"/>
          <w:b w:val="false"/>
          <w:color w:val="000000"/>
          <w:sz w:val="20"/>
          <w:shd w:fill="FFFFFF" w:val="clear"/>
        </w:rPr>
        <w:t>2023 and 2022, respectively, which included $34,832 from the cargo sales from the Company's first FLNG project in 2024.</w:t>
      </w:r>
      <w:r>
        <w:rPr>
          <w:color w:val="000000"/>
        </w:rPr>
        <w:t xml:space="preserve"> </w:t>
      </w:r>
      <w:r>
        <w:rPr>
          <w:rFonts w:ascii="Times New Roman;sans-serif" w:hAnsi="Times New Roman;sans-serif"/>
          <w:b w:val="false"/>
          <w:color w:val="000000"/>
          <w:sz w:val="20"/>
        </w:rPr>
        <w:t xml:space="preserve">LNG cargo sales included $332,000 of contract settlements for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There were no such contract settlements for the years ended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activity in Other revenue:</w:t>
      </w:r>
    </w:p>
    <w:tbl>
      <w:tblPr>
        <w:tblW w:w="6972" w:type="dxa"/>
        <w:jc w:val="left"/>
        <w:tblInd w:w="0" w:type="dxa"/>
        <w:tblLayout w:type="fixed"/>
        <w:tblCellMar>
          <w:top w:w="28" w:type="dxa"/>
          <w:left w:w="28" w:type="dxa"/>
          <w:bottom w:w="28" w:type="dxa"/>
          <w:right w:w="28" w:type="dxa"/>
        </w:tblCellMar>
      </w:tblPr>
      <w:tblGrid>
        <w:gridCol w:w="1104"/>
        <w:gridCol w:w="969"/>
        <w:gridCol w:w="972"/>
        <w:gridCol w:w="211"/>
        <w:gridCol w:w="826"/>
        <w:gridCol w:w="109"/>
        <w:gridCol w:w="109"/>
        <w:gridCol w:w="109"/>
        <w:gridCol w:w="109"/>
        <w:gridCol w:w="211"/>
        <w:gridCol w:w="721"/>
        <w:gridCol w:w="109"/>
        <w:gridCol w:w="109"/>
        <w:gridCol w:w="109"/>
        <w:gridCol w:w="109"/>
        <w:gridCol w:w="211"/>
        <w:gridCol w:w="721"/>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Operation and maintenance revenue is recognized by Genera, under its contract for the operation and maintenance of PREPA's thermal generation assets. Operation and maintenance revenue includes a fixed annual fee and reimbursement for pass-through expenses, including payroll expenses of Genera employees, beginning when the contract commenced on July 1, 2023. Amounts recognized in the year ended December 31, 2024 also include $15,707 of variable consideration for incentive fees earned for cost savings realized by PREPA. Variable consideration has been estimated based on the most likely amount method, and the Company includes estimated amounts in the transaction price to the extent it is probable that a significant reversal of cumulative revenue recognized will not occur when the uncertainty associated with the variable consideration is resolved. The determination of estimated amounts included in the transaction price is based largely upon an assessment of the uncertainties associated with the variable consideration, including the susceptibility of payment to factors outside of the Company’s control. The Company considers all information that is reasonably available, including historical, current and estimates of future performance.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most customer contracts, invoicing occurs once the Company’s performance obligations have been satisfied, at which point payment is unconditional. As of December 31, 2024 and 2023, receivables related to revenue from contracts with customers totaled $330,944 and $331,108, respectively, and were included in Receivables, net on the Consolidated Balance Sheets, net of current expected credit losses of $13,629 and $1,158, respectively. Other items included in Receivables, net not related to revenue from contracts with customers represent leases, which are accounted for outside the scope of ASC 606.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Contract assets include unbilled amounts resulting from contracts with variable considerations, in which the performance obligation is satisfied and revenue is recognized. The Company has recognized contract liabilities, comprised of unconditional payments due or paid under the contracts with customers prior to the Company’s satisfaction of the related performance obligations. The contract assets and contract liabilities balances as of December 31, 2024 and 2023 are detailed belo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9"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F-26</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w:t>
      </w:r>
    </w:p>
    <w:tbl>
      <w:tblPr>
        <w:tblW w:w="9460" w:type="dxa"/>
        <w:jc w:val="left"/>
        <w:tblInd w:w="0" w:type="dxa"/>
        <w:tblLayout w:type="fixed"/>
        <w:tblCellMar>
          <w:top w:w="28" w:type="dxa"/>
          <w:left w:w="28" w:type="dxa"/>
          <w:bottom w:w="28" w:type="dxa"/>
          <w:right w:w="28" w:type="dxa"/>
        </w:tblCellMar>
      </w:tblPr>
      <w:tblGrid>
        <w:gridCol w:w="2042"/>
        <w:gridCol w:w="1794"/>
        <w:gridCol w:w="1803"/>
        <w:gridCol w:w="349"/>
        <w:gridCol w:w="1195"/>
        <w:gridCol w:w="180"/>
        <w:gridCol w:w="109"/>
        <w:gridCol w:w="109"/>
        <w:gridCol w:w="109"/>
        <w:gridCol w:w="344"/>
        <w:gridCol w:w="1175"/>
        <w:gridCol w:w="251"/>
      </w:tblGrid>
      <w:tr>
        <w:trPr/>
        <w:tc>
          <w:tcPr>
            <w:tcW w:w="2042"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 - current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 - non-current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assets, net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 current</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 non-current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 net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year from:</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included in contract liabilities at the beginning of the year</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Contract assets are presented net of expected credit losses of $158 and $326 as of December 31, 2024 and 2023, respectively.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Contract liabilities decreased in 2024 due to the termination of the Company's contract to support the grid stabilization project in Puerto Rico (Refer to Note 5). Deferred revenue at the time of termination of $43,577 was recognized as Operating revenue in the Consolidated Statements of Operations and Comprehensive (Loss) Income</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recognized costs to fulfill contracts with customers, which primarily consist of expenses required to enhance resources to deliver under agreements with these customers. These costs can include set-up and mobilization costs incurred ahead of the service period, and such costs will be recognized on a straight-line basis over the expected term of the agreement. As of December 31, 2024, the Company has capitalized $22,797, of which $2,205 of these costs is presented within Prepaid expenses, net and other current assets, net and $20,592 is presented within Other non-current assets, net on the Consolidated Balance Sheets. As of December 31, 2023, the Company had capitalized $25,282, of which $2,864 of these costs was presented within Prepaid expenses and other current assets, net and $22,418 was presented within Other non-current assets, net on the Consolidated Balance Sheets.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addition to the revenue recognized under ASC 606 as discussed above, in the fourth quarter of 2024, the Company novated an LNG supply contract to a customer, and the Company received </w:t>
      </w:r>
      <w:r>
        <w:rPr>
          <w:rFonts w:ascii="Times New Roman;sans-serif" w:hAnsi="Times New Roman;sans-serif"/>
          <w:b w:val="false"/>
          <w:color w:val="000000"/>
          <w:sz w:val="20"/>
        </w:rPr>
        <w:t>$295,558</w:t>
      </w:r>
      <w:r>
        <w:rPr>
          <w:color w:val="000000"/>
          <w:shd w:fill="FFFFFF" w:val="clear"/>
        </w:rPr>
        <w:t xml:space="preserve"> </w:t>
      </w:r>
      <w:r>
        <w:rPr>
          <w:rFonts w:ascii="Times New Roman;sans-serif" w:hAnsi="Times New Roman;sans-serif"/>
          <w:b w:val="false"/>
          <w:color w:val="000000"/>
          <w:sz w:val="20"/>
          <w:shd w:fill="FFFFFF" w:val="clear"/>
        </w:rPr>
        <w:t xml:space="preserve">in 2024, including a prepayment of </w:t>
      </w:r>
      <w:r>
        <w:rPr>
          <w:rFonts w:ascii="Times New Roman;sans-serif" w:hAnsi="Times New Roman;sans-serif"/>
          <w:b w:val="false"/>
          <w:color w:val="000000"/>
          <w:sz w:val="20"/>
        </w:rPr>
        <w:t>$60,000</w:t>
      </w:r>
      <w:r>
        <w:rPr>
          <w:color w:val="000000"/>
          <w:shd w:fill="FFFFFF" w:val="clear"/>
        </w:rPr>
        <w:t xml:space="preserve"> </w:t>
      </w:r>
      <w:r>
        <w:rPr>
          <w:rFonts w:ascii="Times New Roman;sans-serif" w:hAnsi="Times New Roman;sans-serif"/>
          <w:b w:val="false"/>
          <w:color w:val="000000"/>
          <w:sz w:val="20"/>
          <w:shd w:fill="FFFFFF" w:val="clear"/>
        </w:rPr>
        <w:t>that was received in the third quarter of 2024. As this payment was non-refundable and relieved the Company of a portion of its guarantee obligation under this arrangement (Note 21), these payments were recognized as contract novation income with the revenue and income caption in the Consolidated Statements of Operations and Comprehensive (Loss) Income.</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Transaction price allocated to remaining performance obligations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of the Company’s contracts are short-term in nature with a contract term of less than a year. The Company applied the optional exemption not to report any unfulfilled performance obligations related to these contracts.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80"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F-27</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multiplied by the outstanding minimum guaranteed volumes. The Company expects to recognize this revenue over the following time periods. The pattern of recognition reflects the minimum guaranteed volumes in each period:</w:t>
      </w:r>
    </w:p>
    <w:tbl>
      <w:tblPr>
        <w:tblW w:w="2392" w:type="dxa"/>
        <w:jc w:val="left"/>
        <w:tblInd w:w="0" w:type="dxa"/>
        <w:tblLayout w:type="fixed"/>
        <w:tblCellMar>
          <w:top w:w="28" w:type="dxa"/>
          <w:left w:w="28" w:type="dxa"/>
          <w:bottom w:w="28" w:type="dxa"/>
          <w:right w:w="28" w:type="dxa"/>
        </w:tblCellMar>
      </w:tblPr>
      <w:tblGrid>
        <w:gridCol w:w="342"/>
        <w:gridCol w:w="301"/>
        <w:gridCol w:w="303"/>
        <w:gridCol w:w="211"/>
        <w:gridCol w:w="108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9,120,982 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12,268,954 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all other sales contracts that have a term exceeding one year, the Company has elected the practical expedient in ASC 606. Under this expedient,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Lessor arrangements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Vessels that are chartered to customers under operating leases are recognized within Vessels in Note 15. Vessels included in the Energos Formation Transaction, including those vessels chartered to third parties, continue to be recognized on the Consolidated Balance Sheets, and as such, the carrying amount of these vessels that are leased to third parties under operating leases is as follows:</w:t>
      </w:r>
    </w:p>
    <w:tbl>
      <w:tblPr>
        <w:tblW w:w="5815" w:type="dxa"/>
        <w:jc w:val="left"/>
        <w:tblInd w:w="0" w:type="dxa"/>
        <w:tblLayout w:type="fixed"/>
        <w:tblCellMar>
          <w:top w:w="28" w:type="dxa"/>
          <w:left w:w="28" w:type="dxa"/>
          <w:bottom w:w="28" w:type="dxa"/>
          <w:right w:w="28" w:type="dxa"/>
        </w:tblCellMar>
      </w:tblPr>
      <w:tblGrid>
        <w:gridCol w:w="1059"/>
        <w:gridCol w:w="930"/>
        <w:gridCol w:w="936"/>
        <w:gridCol w:w="232"/>
        <w:gridCol w:w="908"/>
        <w:gridCol w:w="119"/>
        <w:gridCol w:w="109"/>
        <w:gridCol w:w="109"/>
        <w:gridCol w:w="109"/>
        <w:gridCol w:w="231"/>
        <w:gridCol w:w="905"/>
        <w:gridCol w:w="168"/>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602,192 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686,683 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(83,135)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(69,977)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519,057 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616,706 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components of lease income from vessel operating leases for the years ended December 31, 2024, 2023 and 2022 are shown below. As the Company has not recognized the sale of all of the vessels included in the Energos Formation Transaction, the operating lease income shown below for the years ended December 31, 2024, 2023, and 2022 respectively, includes revenue from third-party charters of vessels included in the Energos Formation Transaction. </w:t>
      </w:r>
    </w:p>
    <w:tbl>
      <w:tblPr>
        <w:tblW w:w="6951" w:type="dxa"/>
        <w:jc w:val="left"/>
        <w:tblInd w:w="0" w:type="dxa"/>
        <w:tblLayout w:type="fixed"/>
        <w:tblCellMar>
          <w:top w:w="28" w:type="dxa"/>
          <w:left w:w="28" w:type="dxa"/>
          <w:bottom w:w="28" w:type="dxa"/>
          <w:right w:w="28" w:type="dxa"/>
        </w:tblCellMar>
      </w:tblPr>
      <w:tblGrid>
        <w:gridCol w:w="896"/>
        <w:gridCol w:w="787"/>
        <w:gridCol w:w="792"/>
        <w:gridCol w:w="232"/>
        <w:gridCol w:w="908"/>
        <w:gridCol w:w="119"/>
        <w:gridCol w:w="109"/>
        <w:gridCol w:w="109"/>
        <w:gridCol w:w="109"/>
        <w:gridCol w:w="232"/>
        <w:gridCol w:w="908"/>
        <w:gridCol w:w="119"/>
        <w:gridCol w:w="109"/>
        <w:gridCol w:w="109"/>
        <w:gridCol w:w="109"/>
        <w:gridCol w:w="231"/>
        <w:gridCol w:w="905"/>
        <w:gridCol w:w="168"/>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328,366 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income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income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212,609 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276,843 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351,306 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Prior to the completion of the Energos Formation Transaction, the Company's charter of the </w:t>
      </w:r>
      <w:r>
        <w:rPr>
          <w:rFonts w:ascii="Times New Roman;sans-serif" w:hAnsi="Times New Roman;sans-serif"/>
          <w:b w:val="false"/>
          <w:i/>
          <w:color w:val="000000"/>
          <w:sz w:val="20"/>
          <w:shd w:fill="FFFFFF" w:val="clear"/>
        </w:rPr>
        <w:t>Nanook</w:t>
      </w:r>
      <w:r>
        <w:rPr>
          <w:color w:val="000000"/>
          <w:shd w:fill="FFFFFF" w:val="clear"/>
        </w:rPr>
        <w:t xml:space="preserve"> </w:t>
      </w:r>
      <w:r>
        <w:rPr>
          <w:rFonts w:ascii="Times New Roman;sans-serif" w:hAnsi="Times New Roman;sans-serif"/>
          <w:b w:val="false"/>
          <w:color w:val="000000"/>
          <w:sz w:val="20"/>
          <w:shd w:fill="FFFFFF" w:val="clear"/>
        </w:rPr>
        <w:t>was accounted for as a finance lease, and the Company recognized interest income of $28,643 for the year ended December 31, 2022, related to the finance lease</w:t>
      </w:r>
      <w:r>
        <w:rPr>
          <w:rFonts w:ascii="Times New Roman;sans-serif" w:hAnsi="Times New Roman;sans-serif"/>
          <w:b w:val="false"/>
          <w:i/>
          <w:color w:val="000000"/>
          <w:sz w:val="20"/>
          <w:shd w:fill="FFFFFF" w:val="clear"/>
        </w:rPr>
        <w:t xml:space="preserve">, </w:t>
      </w:r>
      <w:r>
        <w:rPr>
          <w:rFonts w:ascii="Times New Roman;sans-serif" w:hAnsi="Times New Roman;sans-serif"/>
          <w:b w:val="false"/>
          <w:color w:val="000000"/>
          <w:sz w:val="20"/>
          <w:shd w:fill="FFFFFF" w:val="clear"/>
        </w:rPr>
        <w:t xml:space="preserve">which was presented within Other revenue in the Consolidated Statements of Operations and Comprehensive (Loss) Income. The Company also recognized revenue of $5,852 for the year ended December 31, 2022, related to the operation and services agreement and variable charter revenue within Vessel charter revenue in the Consolidated Statements of Operations and Comprehensive (Loss) Income.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recognized the sale of the net investment in the finance lease of the </w:t>
      </w:r>
      <w:r>
        <w:rPr>
          <w:rFonts w:ascii="Times New Roman;sans-serif" w:hAnsi="Times New Roman;sans-serif"/>
          <w:b w:val="false"/>
          <w:i/>
          <w:color w:val="000000"/>
          <w:sz w:val="20"/>
          <w:shd w:fill="FFFFFF" w:val="clear"/>
        </w:rPr>
        <w:t>Nanook</w:t>
      </w:r>
      <w:r>
        <w:rPr>
          <w:color w:val="000000"/>
          <w:shd w:fill="FFFFFF" w:val="clear"/>
        </w:rPr>
        <w:t xml:space="preserve"> </w:t>
      </w:r>
      <w:r>
        <w:rPr>
          <w:rFonts w:ascii="Times New Roman;sans-serif" w:hAnsi="Times New Roman;sans-serif"/>
          <w:b w:val="false"/>
          <w:color w:val="000000"/>
          <w:sz w:val="20"/>
          <w:shd w:fill="FFFFFF" w:val="clear"/>
        </w:rPr>
        <w:t xml:space="preserve">as part of the Energos Formation Transaction. Proceeds of $593,000 were allocated to the sale of this financial asset, and upon derecognition of the finance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81"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F-28</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lease, a loss of $14,598 was recognized as Other expense (income), net, in the Consolidated Statements of Operations and Comprehensive (Loss) Income for the year ended December 31, 2022.</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Subsequent to the Energos Formation Transaction, all cash receipts on long-term vessel charters will be received by Energos. As such, future cash receipts from both operating leases and finance leases were not significant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8. Leases, as lessee</w:t>
      </w:r>
    </w:p>
    <w:p>
      <w:pPr>
        <w:pStyle w:val="TextBody"/>
        <w:bidi w:val="0"/>
        <w:spacing w:lineRule="auto" w:line="288" w:before="240" w:after="283"/>
        <w:jc w:val="left"/>
        <w:rPr/>
      </w:pPr>
      <w:r>
        <w:rPr>
          <w:rFonts w:ascii="Times New Roman;sans-serif" w:hAnsi="Times New Roman;sans-serif"/>
          <w:b w:val="false"/>
          <w:color w:val="000000"/>
          <w:sz w:val="20"/>
        </w:rPr>
        <w:t>The Company has oper</w:t>
      </w:r>
      <w:r>
        <w:rPr>
          <w:rFonts w:ascii="Times New Roman;sans-serif" w:hAnsi="Times New Roman;sans-serif"/>
          <w:b w:val="false"/>
          <w:color w:val="000000"/>
          <w:sz w:val="20"/>
          <w:shd w:fill="FFFFFF" w:val="clear"/>
        </w:rPr>
        <w:t>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leases include fixed lease payments which may include escalation terms based on a fixed percentage or may vary based on an inflation index or other market adjustments. Escalations resulting from changes in inflation indices and market adjustments, as well as other lease costs that depend on the use of the underlying asset, are not considered lease payments when calculating the lease liability or ROU asset. Instead, such payments are accounted for as variable lease cost when the condition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and 2023, ROU assets, current lease liabilities and non-current lease liabilities consisted of the following:</w:t>
      </w:r>
    </w:p>
    <w:tbl>
      <w:tblPr>
        <w:tblW w:w="5709" w:type="dxa"/>
        <w:jc w:val="left"/>
        <w:tblInd w:w="0" w:type="dxa"/>
        <w:tblLayout w:type="fixed"/>
        <w:tblCellMar>
          <w:top w:w="28" w:type="dxa"/>
          <w:left w:w="28" w:type="dxa"/>
          <w:bottom w:w="28" w:type="dxa"/>
          <w:right w:w="28" w:type="dxa"/>
        </w:tblCellMar>
      </w:tblPr>
      <w:tblGrid>
        <w:gridCol w:w="1021"/>
        <w:gridCol w:w="897"/>
        <w:gridCol w:w="901"/>
        <w:gridCol w:w="232"/>
        <w:gridCol w:w="908"/>
        <w:gridCol w:w="119"/>
        <w:gridCol w:w="109"/>
        <w:gridCol w:w="109"/>
        <w:gridCol w:w="109"/>
        <w:gridCol w:w="231"/>
        <w:gridCol w:w="905"/>
        <w:gridCol w:w="168"/>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599,937 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538,055 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Finance right-of-use assets </w:t>
            </w:r>
            <w:r>
              <w:rPr>
                <w:rFonts w:ascii="Times New Roman;sans-serif" w:hAnsi="Times New Roman;sans-serif"/>
                <w:b w:val="false"/>
                <w:color w:val="000000"/>
                <w:sz w:val="13"/>
              </w:rPr>
              <w:t>(1)</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588,385 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lease liabilities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128,362 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125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lease liabilities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475,161 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406,494 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shd w:fill="FFFFFF" w:val="clear"/>
        </w:rPr>
        <w:t>Finance lease ROU assets are recorded net of accumulated amortization of $8,134 and $21,470 as of December 31, 2024 and 2023, respectively.</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During 2024, the Company terminated the finance lease of certain turbines and purchased the turbines. Immediately subsequent to the purchase of the turbines, the assets were sold as part of the sale of assets to PREPA (Refer to Note 5). </w:t>
      </w:r>
      <w:r>
        <w:rPr>
          <w:rFonts w:ascii="Times New Roman;sans-serif" w:hAnsi="Times New Roman;sans-serif"/>
          <w:b w:val="false"/>
          <w:color w:val="000000"/>
          <w:sz w:val="20"/>
        </w:rPr>
        <w:t xml:space="preserve">The termination of the lease resulted in the write-off of the right-of-use asset and lease liability of </w:t>
      </w:r>
      <w:r>
        <w:rPr>
          <w:rFonts w:ascii="Times New Roman;sans-serif" w:hAnsi="Times New Roman;sans-serif"/>
          <w:b w:val="false"/>
          <w:color w:val="000000"/>
          <w:sz w:val="20"/>
          <w:shd w:fill="FFFFFF" w:val="clear"/>
        </w:rPr>
        <w:t>$23,431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$29,443</w:t>
      </w:r>
      <w:r>
        <w:rPr>
          <w:rFonts w:ascii="Times New Roman;sans-serif" w:hAnsi="Times New Roman;sans-serif"/>
          <w:b w:val="false"/>
          <w:color w:val="000000"/>
          <w:sz w:val="20"/>
        </w:rPr>
        <w:t>, respectively, which was included in the book value of the turbines and the related loss upon sale.</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w:t>
      </w:r>
      <w:r>
        <w:rPr>
          <w:rFonts w:ascii="Times New Roman;sans-serif" w:hAnsi="Times New Roman;sans-serif"/>
          <w:b w:val="false"/>
          <w:color w:val="000000"/>
          <w:sz w:val="20"/>
          <w:shd w:fill="FFFFFF" w:val="clear"/>
        </w:rPr>
        <w:t xml:space="preserve">the Company terminated the operating lease of three turbines during 2024. The termination of the lease resulted in the write-off of the right-of-use asset and lease liability of $21,821 and $25,762 respectively, and a loss on lease termination of $4,789 recognized within </w:t>
      </w:r>
      <w:r>
        <w:rPr>
          <w:rFonts w:ascii="Times New Roman;sans-serif" w:hAnsi="Times New Roman;sans-serif"/>
          <w:b w:val="false"/>
          <w:color w:val="000000"/>
          <w:sz w:val="20"/>
        </w:rPr>
        <w:t xml:space="preserve">Other expense (income), net in the </w:t>
      </w:r>
      <w:r>
        <w:rPr>
          <w:rFonts w:ascii="Times New Roman;sans-serif" w:hAnsi="Times New Roman;sans-serif"/>
          <w:b w:val="false"/>
          <w:color w:val="000000"/>
          <w:sz w:val="20"/>
          <w:shd w:fill="FFFFFF" w:val="clear"/>
        </w:rPr>
        <w:t>Consolidated Statements of Operations and Comprehensive (Loss)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82"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F-29</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years ended December 31, 2024, 2023, and 2022, the Company’s operating lease cost recorded within the Consolidated Statements of Operations and Comprehensive (Loss) Income was as follows:</w:t>
      </w:r>
    </w:p>
    <w:tbl>
      <w:tblPr>
        <w:tblW w:w="7976" w:type="dxa"/>
        <w:jc w:val="left"/>
        <w:tblInd w:w="0" w:type="dxa"/>
        <w:tblLayout w:type="fixed"/>
        <w:tblCellMar>
          <w:top w:w="28" w:type="dxa"/>
          <w:left w:w="28" w:type="dxa"/>
          <w:bottom w:w="28" w:type="dxa"/>
          <w:right w:w="28" w:type="dxa"/>
        </w:tblCellMar>
      </w:tblPr>
      <w:tblGrid>
        <w:gridCol w:w="1428"/>
        <w:gridCol w:w="1252"/>
        <w:gridCol w:w="1264"/>
        <w:gridCol w:w="211"/>
        <w:gridCol w:w="826"/>
        <w:gridCol w:w="109"/>
        <w:gridCol w:w="109"/>
        <w:gridCol w:w="109"/>
        <w:gridCol w:w="109"/>
        <w:gridCol w:w="211"/>
        <w:gridCol w:w="826"/>
        <w:gridCol w:w="109"/>
        <w:gridCol w:w="109"/>
        <w:gridCol w:w="109"/>
        <w:gridCol w:w="109"/>
        <w:gridCol w:w="211"/>
        <w:gridCol w:w="721"/>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 Cost of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 Operations and maintenance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 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the years ended December 31, 2024, 2023 and 2022, the Company has capitalized $36,288, $61,320 and $20,403 of lease costs, respectively. Capitalized costs include vessels and port space used during the commissioning of development projects. Short-term lease costs for vessels chartered by the Company to transport inventory from a supplier’s facilities to the Company’s storage locations are capitalized to inventory.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leases of ISO tanks and a parcel of land that are recognized as finance leases. For the years ended December 31, 2024, 2023 and 2022, the Company’s finance interest expense and amortization recorded in Interest expense and Depreciation and amortization, respectively, within the Consolidated Statements of Operations and Comprehensive (Loss) Income were as follows:</w:t>
      </w:r>
    </w:p>
    <w:tbl>
      <w:tblPr>
        <w:tblW w:w="8021" w:type="dxa"/>
        <w:jc w:val="left"/>
        <w:tblInd w:w="0" w:type="dxa"/>
        <w:tblLayout w:type="fixed"/>
        <w:tblCellMar>
          <w:top w:w="28" w:type="dxa"/>
          <w:left w:w="28" w:type="dxa"/>
          <w:bottom w:w="28" w:type="dxa"/>
          <w:right w:w="28" w:type="dxa"/>
        </w:tblCellMar>
      </w:tblPr>
      <w:tblGrid>
        <w:gridCol w:w="1745"/>
        <w:gridCol w:w="1528"/>
        <w:gridCol w:w="1541"/>
        <w:gridCol w:w="211"/>
        <w:gridCol w:w="466"/>
        <w:gridCol w:w="109"/>
        <w:gridCol w:w="109"/>
        <w:gridCol w:w="109"/>
        <w:gridCol w:w="109"/>
        <w:gridCol w:w="211"/>
        <w:gridCol w:w="616"/>
        <w:gridCol w:w="109"/>
        <w:gridCol w:w="109"/>
        <w:gridCol w:w="109"/>
        <w:gridCol w:w="109"/>
        <w:gridCol w:w="211"/>
        <w:gridCol w:w="466"/>
        <w:gridCol w:w="154"/>
      </w:tblGrid>
      <w:tr>
        <w:trPr/>
        <w:tc>
          <w:tcPr>
            <w:tcW w:w="174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finance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 related to finance leases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Cash paid for operating leases is reported in operating activities in the Consolidated Statements of Cash Flows. Supplemental cash flow information related to leases was as follows for the years ended December 31, 2024, 2023 and 2022:</w:t>
      </w:r>
    </w:p>
    <w:tbl>
      <w:tblPr>
        <w:tblW w:w="10205" w:type="dxa"/>
        <w:jc w:val="left"/>
        <w:tblInd w:w="0" w:type="dxa"/>
        <w:tblLayout w:type="fixed"/>
        <w:tblCellMar>
          <w:top w:w="28" w:type="dxa"/>
          <w:left w:w="28" w:type="dxa"/>
          <w:bottom w:w="28" w:type="dxa"/>
          <w:right w:w="28" w:type="dxa"/>
        </w:tblCellMar>
      </w:tblPr>
      <w:tblGrid>
        <w:gridCol w:w="2234"/>
        <w:gridCol w:w="1962"/>
        <w:gridCol w:w="1975"/>
        <w:gridCol w:w="211"/>
        <w:gridCol w:w="826"/>
        <w:gridCol w:w="109"/>
        <w:gridCol w:w="109"/>
        <w:gridCol w:w="109"/>
        <w:gridCol w:w="109"/>
        <w:gridCol w:w="211"/>
        <w:gridCol w:w="826"/>
        <w:gridCol w:w="109"/>
        <w:gridCol w:w="109"/>
        <w:gridCol w:w="109"/>
        <w:gridCol w:w="109"/>
        <w:gridCol w:w="211"/>
        <w:gridCol w:w="721"/>
        <w:gridCol w:w="156"/>
      </w:tblGrid>
      <w:tr>
        <w:trPr/>
        <w:tc>
          <w:tcPr>
            <w:tcW w:w="2234"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for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outflows for finance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83"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F-30</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future payments due under operating and finance leases as of December 31, 2024 are as follows:</w:t>
      </w:r>
    </w:p>
    <w:tbl>
      <w:tblPr>
        <w:tblW w:w="6221" w:type="dxa"/>
        <w:jc w:val="left"/>
        <w:tblInd w:w="0" w:type="dxa"/>
        <w:tblLayout w:type="fixed"/>
        <w:tblCellMar>
          <w:top w:w="28" w:type="dxa"/>
          <w:left w:w="28" w:type="dxa"/>
          <w:bottom w:w="28" w:type="dxa"/>
          <w:right w:w="28" w:type="dxa"/>
        </w:tblCellMar>
      </w:tblPr>
      <w:tblGrid>
        <w:gridCol w:w="971"/>
        <w:gridCol w:w="851"/>
        <w:gridCol w:w="863"/>
        <w:gridCol w:w="292"/>
        <w:gridCol w:w="1146"/>
        <w:gridCol w:w="151"/>
        <w:gridCol w:w="109"/>
        <w:gridCol w:w="109"/>
        <w:gridCol w:w="109"/>
        <w:gridCol w:w="348"/>
        <w:gridCol w:w="1016"/>
        <w:gridCol w:w="256"/>
      </w:tblGrid>
      <w:tr>
        <w:trPr/>
        <w:tc>
          <w:tcPr>
            <w:tcW w:w="97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Financing Leases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110,468 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109,062 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830,639 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effects of discounting</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596,352 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liability</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liability</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471,961 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the weighted-average remaining lease term for operating leases was 6.8 years and finance leases was 3.0 years. Because the Company generally does not have access to the rate implicit in the lease, the incremental borrowing rate is utilized as the discount rate. The weighted average discount rate associated with operating leases as of December 31, 2024 and 2023 was 10.3% and 10.1%, respectively. The weighted average discount rate associated with finance leases as of December 31, 2024 and 2023 was 5.2% and 8.2%,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 Financial instruments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Commodity risk management</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has utilized commodity swap transactions to manage exposure to changes in market pricing of natural gas or LNG. Realized and unrealized gains and losses on these transactions have been recognized in Cost of sales in the </w:t>
      </w:r>
      <w:r>
        <w:rPr>
          <w:rFonts w:ascii="Times New Roman;sans-serif" w:hAnsi="Times New Roman;sans-serif"/>
          <w:b w:val="false"/>
          <w:color w:val="000000"/>
          <w:sz w:val="20"/>
          <w:shd w:fill="FFFFFF" w:val="clear"/>
        </w:rPr>
        <w:t>Consolidated Statements of Operations and Comprehensive (Loss) Income</w:t>
      </w:r>
      <w:r>
        <w:rPr>
          <w:rFonts w:ascii="Times New Roman;sans-serif" w:hAnsi="Times New Roman;sans-serif"/>
          <w:b w:val="false"/>
          <w:color w:val="000000"/>
          <w:sz w:val="20"/>
        </w:rPr>
        <w:t>.</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 xml:space="preserve">During the fourth quarter of 2022, the Company entered into a commodity swap transaction to swap market pricing exposure for approximately 6.8 TBtus for a fixed price of $40.55 per MMBtu. The swap settled during the first quarter of 2023 resulting in a gain of $41,315 recognized as a reduction to Cost of sales in the </w:t>
      </w:r>
      <w:r>
        <w:rPr>
          <w:rFonts w:ascii="Times New Roman;sans-serif" w:hAnsi="Times New Roman;sans-serif"/>
          <w:b w:val="false"/>
          <w:color w:val="000000"/>
          <w:sz w:val="20"/>
          <w:shd w:fill="FFFFFF" w:val="clear"/>
        </w:rPr>
        <w:t>Consolidated Statements of Operations and Comprehensive (Loss) Income</w:t>
      </w:r>
      <w:r>
        <w:rPr>
          <w:rFonts w:ascii="Times New Roman;sans-serif" w:hAnsi="Times New Roman;sans-serif"/>
          <w:b w:val="false"/>
          <w:color w:val="000000"/>
          <w:sz w:val="20"/>
        </w:rPr>
        <w:t xml:space="preserve">. The gain was comprised of a realized gain of $146,112 and the reversal of the unrealized gain of $104,797 recognized in the fourth quarter of 2022. </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 xml:space="preserve">In January 2023, the Company entered into a series of commodity swap transactions. Realized losses of $8,495 for the year ended December 31, 2023 on these instruments have been recognized in Cost of sales in the </w:t>
      </w:r>
      <w:r>
        <w:rPr>
          <w:rFonts w:ascii="Times New Roman;sans-serif" w:hAnsi="Times New Roman;sans-serif"/>
          <w:b w:val="false"/>
          <w:color w:val="000000"/>
          <w:sz w:val="20"/>
          <w:shd w:fill="FFFFFF" w:val="clear"/>
        </w:rPr>
        <w:t>Consolidated Statements of Operations and Comprehensive (Loss) Income</w:t>
      </w:r>
      <w:r>
        <w:rPr>
          <w:rFonts w:ascii="Times New Roman;sans-serif" w:hAnsi="Times New Roman;sans-serif"/>
          <w:b w:val="false"/>
          <w:color w:val="000000"/>
          <w:sz w:val="20"/>
        </w:rPr>
        <w:t>. All swaps were settled prior to December 31, 2023</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and currency risk management</w:t>
      </w:r>
    </w:p>
    <w:p>
      <w:pPr>
        <w:pStyle w:val="TextBody"/>
        <w:bidi w:val="0"/>
        <w:spacing w:lineRule="auto" w:line="268" w:before="240" w:after="283"/>
        <w:jc w:val="left"/>
        <w:rPr/>
      </w:pPr>
      <w:r>
        <w:rPr>
          <w:rFonts w:ascii="Times New Roman;sans-serif" w:hAnsi="Times New Roman;sans-serif"/>
          <w:b w:val="false"/>
          <w:color w:val="000000"/>
          <w:sz w:val="20"/>
          <w:shd w:fill="FFFFFF" w:val="clear"/>
        </w:rPr>
        <w:t>During 2023</w:t>
      </w:r>
      <w:r>
        <w:rPr>
          <w:rFonts w:ascii="Times New Roman;sans-serif" w:hAnsi="Times New Roman;sans-serif"/>
          <w:b w:val="false"/>
          <w:color w:val="000000"/>
          <w:sz w:val="20"/>
        </w:rPr>
        <w:t>, the Company entered into a non-deliverable forward to secure the currency position of the Barcarena Debentures (defined below) which is denominated in U.S. dollars. The forward was settled, and the Company recorded a realized gain of $5,864 for the year ended December 31, 2023.</w:t>
      </w:r>
    </w:p>
    <w:p>
      <w:pPr>
        <w:pStyle w:val="TextBody"/>
        <w:bidi w:val="0"/>
        <w:spacing w:lineRule="auto" w:line="288" w:before="240" w:after="283"/>
        <w:jc w:val="left"/>
        <w:rPr/>
      </w:pPr>
      <w:r>
        <w:rPr>
          <w:rFonts w:ascii="Times New Roman;sans-serif" w:hAnsi="Times New Roman;sans-serif"/>
          <w:b w:val="false"/>
          <w:color w:val="000000"/>
          <w:sz w:val="20"/>
        </w:rPr>
        <w:t xml:space="preserve">During 2024, the Company entered into a series of foreign exchange forward contracts and zero-cost collars to reduce exchange rate risk associated with U.S. dollar borrowings and expected capital expenditures. As of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xml:space="preserve">, the notional amount of outstanding foreign exchange contracts was approximately $211,547. These instruments are expected to settle through the third quarter of 2026. The Company recognized unrealized gains, net of $22,085 for the </w:t>
      </w:r>
      <w:r>
        <w:rPr>
          <w:rFonts w:ascii="Times New Roman;sans-serif" w:hAnsi="Times New Roman;sans-serif"/>
          <w:b w:val="false"/>
          <w:color w:val="000000"/>
          <w:sz w:val="20"/>
          <w:shd w:fill="FFFFFF" w:val="clear"/>
        </w:rPr>
        <w:t xml:space="preserve">year ended December 31, 2024 </w:t>
      </w:r>
      <w:r>
        <w:rPr>
          <w:rFonts w:ascii="Times New Roman;sans-serif" w:hAnsi="Times New Roman;sans-serif"/>
          <w:b w:val="false"/>
          <w:color w:val="000000"/>
          <w:sz w:val="20"/>
        </w:rPr>
        <w:t>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84"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F-31</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or these foreign currency contracts. The Company also recognized realized gains of $5,087 upon settlement of a portion of the foreign exchange contracts during the </w:t>
      </w:r>
      <w:r>
        <w:rPr>
          <w:rFonts w:ascii="Times New Roman;sans-serif" w:hAnsi="Times New Roman;sans-serif"/>
          <w:b w:val="false"/>
          <w:color w:val="000000"/>
          <w:sz w:val="20"/>
          <w:shd w:fill="FFFFFF" w:val="clear"/>
        </w:rPr>
        <w:t>year ended December 31, 2024</w:t>
      </w:r>
      <w:r>
        <w:rPr>
          <w:rFonts w:ascii="Times New Roman;sans-serif" w:hAnsi="Times New Roman;sans-serif"/>
          <w:b w:val="false"/>
          <w:color w:val="000000"/>
          <w:sz w:val="2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pStyle w:val="TextBody"/>
        <w:bidi w:val="0"/>
        <w:spacing w:lineRule="auto" w:line="288" w:before="240" w:after="283"/>
        <w:jc w:val="left"/>
        <w:rPr/>
      </w:pPr>
      <w:r>
        <w:rPr>
          <w:rFonts w:ascii="Times New Roman;sans-serif" w:hAnsi="Times New Roman;sans-serif"/>
          <w:b w:val="false"/>
          <w:color w:val="000000"/>
          <w:sz w:val="20"/>
        </w:rPr>
        <w:t xml:space="preserve">The mark-to-market gain or loss on the interest rate swap, non-deliverable forward and other foreign exchange derivative instruments that are not intended to mitigate commodity risk are reported in </w:t>
      </w:r>
      <w:r>
        <w:rPr>
          <w:rFonts w:ascii="Times New Roman;sans-serif" w:hAnsi="Times New Roman;sans-serif"/>
          <w:b w:val="false"/>
          <w:color w:val="000000"/>
          <w:sz w:val="20"/>
          <w:shd w:fill="FFFFFF" w:val="clear"/>
        </w:rPr>
        <w:t>Other expense (income), net</w:t>
      </w:r>
      <w:r>
        <w:rPr>
          <w:color w:val="000000"/>
        </w:rPr>
        <w:t xml:space="preserve"> </w:t>
      </w:r>
      <w:r>
        <w:rPr>
          <w:rFonts w:ascii="Times New Roman;sans-serif" w:hAnsi="Times New Roman;sans-serif"/>
          <w:b w:val="false"/>
          <w:color w:val="000000"/>
          <w:sz w:val="20"/>
        </w:rPr>
        <w:t xml:space="preserve">in the </w:t>
      </w:r>
      <w:r>
        <w:rPr>
          <w:rFonts w:ascii="Times New Roman;sans-serif" w:hAnsi="Times New Roman;sans-serif"/>
          <w:b w:val="false"/>
          <w:color w:val="000000"/>
          <w:sz w:val="20"/>
          <w:shd w:fill="FFFFFF" w:val="clear"/>
        </w:rPr>
        <w:t>Consolidated Statements of Operations and Comprehensive (Loss) Income</w:t>
      </w:r>
      <w:r>
        <w:rPr>
          <w:rFonts w:ascii="Times New Roman;sans-serif" w:hAnsi="Times New Roman;sans-serif"/>
          <w:b w:val="false"/>
          <w:color w:val="000000"/>
          <w:sz w:val="20"/>
        </w:rPr>
        <w:t xml:space="preserve">.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Embedded contingent interest derivative</w:t>
      </w:r>
    </w:p>
    <w:p>
      <w:pPr>
        <w:pStyle w:val="TextBody"/>
        <w:bidi w:val="0"/>
        <w:spacing w:lineRule="auto" w:line="288" w:before="240" w:after="283"/>
        <w:jc w:val="left"/>
        <w:rPr/>
      </w:pPr>
      <w:r>
        <w:rPr>
          <w:rFonts w:ascii="Times New Roman;sans-serif" w:hAnsi="Times New Roman;sans-serif"/>
          <w:b w:val="false"/>
          <w:color w:val="000000"/>
          <w:sz w:val="20"/>
        </w:rPr>
        <w:t xml:space="preserve">During 2024, the Company entered into a side letter with lenders in the Term Loan A Credit Agreement (defined below), under which the Company's interest on the Term Loan A (defined below) would increase by 2% if the lenders demand that the Company pursue a refinancing of the Term Loan A and the Company is not able to successfully refinance. This contingent interest feature meets the definition of a derivative and requires bifurcation from the debt host contract. Changes to the fair value of this derivative are recognized within Interest expense, net in the </w:t>
      </w:r>
      <w:r>
        <w:rPr>
          <w:rFonts w:ascii="Times New Roman;sans-serif" w:hAnsi="Times New Roman;sans-serif"/>
          <w:b w:val="false"/>
          <w:color w:val="000000"/>
          <w:sz w:val="20"/>
          <w:shd w:fill="FFFFFF" w:val="clear"/>
        </w:rPr>
        <w:t>Consolidated Statements of Operations and Comprehensive (Loss) Income.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Fair value measurements and disclosures require the use of valuation techniques to measure fair value that maximize the use of observable inputs and minimize use of unobservable inputs. These inputs are prioritized as follows: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Level 1 – observable inputs such as quoted prices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Level 2 – inputs other than quoted prices included within Level 1 that are observable, either directly or indirectly, such as quoted prices for similar assets or liabilities or market corroborated inputs.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Level 3 – unobservable inputs for which there is little or no market data and which require the Company to develop its own assumptions about how market participants price the asset or liability.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valuation techniques that may be used to measure fair value are as follows: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Market approach – uses prices and other relevant information generated by market transactions involving identical or comparable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Income approach – uses valuation techniques, such as the discounted cash flow technique, to convert future amounts to a single present amount based on current market expectations about those future amounts.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Cost approach – based on the amount that currently would be necessary to replace the service capacity of an asset (replacement cost).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uses the market approach when valuing </w:t>
      </w:r>
      <w:r>
        <w:rPr>
          <w:rFonts w:ascii="Times New Roman;sans-serif" w:hAnsi="Times New Roman;sans-serif"/>
          <w:b w:val="false"/>
          <w:color w:val="000000"/>
          <w:sz w:val="20"/>
          <w:shd w:fill="FFFFFF" w:val="clear"/>
        </w:rPr>
        <w:t xml:space="preserve">investment in equity securities and foreign exchange forward contracts which are recorded in Prepaid expenses and other current assets, net, Other non-current assets, net and Other current liabilities on the Consolidated Balance Sheets as of December 31, 2024 and 2023. </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uses the income approach for valuing the </w:t>
      </w:r>
      <w:r>
        <w:rPr>
          <w:rFonts w:ascii="Times New Roman;sans-serif" w:hAnsi="Times New Roman;sans-serif"/>
          <w:b w:val="false"/>
          <w:color w:val="000000"/>
          <w:sz w:val="20"/>
          <w:shd w:fill="FFFFFF" w:val="clear"/>
        </w:rPr>
        <w:t xml:space="preserve">contingent consideration derivative liabilities and embedded contingent interest derivative. The contingent consideration derivative liabilities represent consideration due to the sellers in asset acquisitions when certain contingent events occur and are recorded within Other current liabilities and Other long-term liabilities based on the timing of expected settlement. The embedded contingent interest derivative represents incremental interest payments due to the lenders when certain contingent events occur and is recorded within Other current liabilities and Other long-term liabilities based on the timing of expected payments.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derivative instruments is estimated considering current interest rates, foreign exchange rates, closing quoted market prices and the creditworthiness of counterparties. The Company estimates fair value of the contingent consideration derivative liabilities using a discounted cash flows method with discount rates based on the average yield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85"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F-32</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curve for bonds with similar credit ratings and matching terms to the discount periods as well as a probability of the contingent events occurring. The Company estimates fair value of the embedded contingent interest derivative using a discounted cash flows method with discount rate based on the effective interest rate for the debt host instrument as well as a probability of the contingent events occurring.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Company’s financial assets and financial liabilities, including those that are measured at fair value, as of December 31, 2024 and 2023:</w:t>
      </w:r>
    </w:p>
    <w:tbl>
      <w:tblPr>
        <w:tblW w:w="8690" w:type="dxa"/>
        <w:jc w:val="left"/>
        <w:tblInd w:w="0" w:type="dxa"/>
        <w:tblLayout w:type="fixed"/>
        <w:tblCellMar>
          <w:top w:w="28" w:type="dxa"/>
          <w:left w:w="28" w:type="dxa"/>
          <w:bottom w:w="28" w:type="dxa"/>
          <w:right w:w="28" w:type="dxa"/>
        </w:tblCellMar>
      </w:tblPr>
      <w:tblGrid>
        <w:gridCol w:w="1411"/>
        <w:gridCol w:w="1242"/>
        <w:gridCol w:w="1247"/>
        <w:gridCol w:w="109"/>
        <w:gridCol w:w="109"/>
        <w:gridCol w:w="109"/>
        <w:gridCol w:w="213"/>
        <w:gridCol w:w="411"/>
        <w:gridCol w:w="110"/>
        <w:gridCol w:w="109"/>
        <w:gridCol w:w="109"/>
        <w:gridCol w:w="109"/>
        <w:gridCol w:w="246"/>
        <w:gridCol w:w="475"/>
        <w:gridCol w:w="110"/>
        <w:gridCol w:w="109"/>
        <w:gridCol w:w="109"/>
        <w:gridCol w:w="109"/>
        <w:gridCol w:w="211"/>
        <w:gridCol w:w="616"/>
        <w:gridCol w:w="109"/>
        <w:gridCol w:w="109"/>
        <w:gridCol w:w="109"/>
        <w:gridCol w:w="109"/>
        <w:gridCol w:w="211"/>
        <w:gridCol w:w="616"/>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contingent interest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The Company belie</w:t>
      </w:r>
      <w:r>
        <w:rPr>
          <w:rFonts w:ascii="Times New Roman;sans-serif" w:hAnsi="Times New Roman;sans-serif"/>
          <w:b w:val="false"/>
          <w:color w:val="000000"/>
          <w:sz w:val="20"/>
          <w:shd w:fill="FFFFFF" w:val="clear"/>
        </w:rPr>
        <w:t>ves the carrying amounts of cash and cash equivalents, accounts receivable and accounts payable approximated their fair value as of December 31, 2024 and 2023 and are classified as Level 1 within the fair value hierarchy.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below summarizes the fair value adjustment to instruments measured at Level 3 in the fair value hierarchy. The adjustments to contingent consideration derivative liabilities and embedded contingent interest derivative for the years ended December 31, 2024, 2023 and 2022 are shown below:</w:t>
      </w:r>
    </w:p>
    <w:tbl>
      <w:tblPr>
        <w:tblW w:w="10205" w:type="dxa"/>
        <w:jc w:val="left"/>
        <w:tblInd w:w="0" w:type="dxa"/>
        <w:tblLayout w:type="fixed"/>
        <w:tblCellMar>
          <w:top w:w="28" w:type="dxa"/>
          <w:left w:w="28" w:type="dxa"/>
          <w:bottom w:w="28" w:type="dxa"/>
          <w:right w:w="28" w:type="dxa"/>
        </w:tblCellMar>
      </w:tblPr>
      <w:tblGrid>
        <w:gridCol w:w="2427"/>
        <w:gridCol w:w="2133"/>
        <w:gridCol w:w="2138"/>
        <w:gridCol w:w="211"/>
        <w:gridCol w:w="689"/>
        <w:gridCol w:w="109"/>
        <w:gridCol w:w="109"/>
        <w:gridCol w:w="109"/>
        <w:gridCol w:w="109"/>
        <w:gridCol w:w="211"/>
        <w:gridCol w:w="689"/>
        <w:gridCol w:w="109"/>
        <w:gridCol w:w="109"/>
        <w:gridCol w:w="109"/>
        <w:gridCol w:w="109"/>
        <w:gridCol w:w="211"/>
        <w:gridCol w:w="466"/>
        <w:gridCol w:w="158"/>
      </w:tblGrid>
      <w:tr>
        <w:trPr/>
        <w:tc>
          <w:tcPr>
            <w:tcW w:w="2427"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derivative liabilities - Fair value adjustment - (gain)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contingent interest derivative - Fair value adjustment - loss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8"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6698"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During the years ended</w:t>
      </w:r>
      <w:r>
        <w:rPr>
          <w:color w:val="000000"/>
          <w:shd w:fill="FFFFFF" w:val="clear"/>
        </w:rPr>
        <w:t xml:space="preserve"> </w:t>
      </w:r>
      <w:r>
        <w:rPr>
          <w:rFonts w:ascii="Times New Roman;sans-serif" w:hAnsi="Times New Roman;sans-serif"/>
          <w:b w:val="false"/>
          <w:color w:val="000000"/>
          <w:sz w:val="20"/>
          <w:shd w:fill="FFFFFF" w:val="clear"/>
        </w:rPr>
        <w:t xml:space="preserve">December 31, 2024 and 2023, the Company had no transfers in or out of Level 3 in the fair value hierarchy. During the first quarter of 2024, the Company sold substantially all of its investment in Energos; this investment had been accounted for as an equity method investment </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Note 13</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Company retained an investment in Energos valued at $1,000, which is shown as a Level 3 investment in equity securities in the table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86"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F-33</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 Restricted cash</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and 2023, restricted cash consisted of the following:</w:t>
      </w:r>
    </w:p>
    <w:tbl>
      <w:tblPr>
        <w:tblW w:w="7285" w:type="dxa"/>
        <w:jc w:val="left"/>
        <w:tblInd w:w="0" w:type="dxa"/>
        <w:tblLayout w:type="fixed"/>
        <w:tblCellMar>
          <w:top w:w="28" w:type="dxa"/>
          <w:left w:w="28" w:type="dxa"/>
          <w:bottom w:w="28" w:type="dxa"/>
          <w:right w:w="28" w:type="dxa"/>
        </w:tblCellMar>
      </w:tblPr>
      <w:tblGrid>
        <w:gridCol w:w="1591"/>
        <w:gridCol w:w="1400"/>
        <w:gridCol w:w="1404"/>
        <w:gridCol w:w="232"/>
        <w:gridCol w:w="908"/>
        <w:gridCol w:w="119"/>
        <w:gridCol w:w="109"/>
        <w:gridCol w:w="109"/>
        <w:gridCol w:w="109"/>
        <w:gridCol w:w="231"/>
        <w:gridCol w:w="905"/>
        <w:gridCol w:w="168"/>
      </w:tblGrid>
      <w:tr>
        <w:trPr/>
        <w:tc>
          <w:tcPr>
            <w:tcW w:w="15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restricted under the terms of loan agreements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letters of credit and performance bonds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restricted cash</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472,696 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155,400 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Uses of cash proceeds under the BNDES Term Loan, Barcarena Debentures and PortoCem Debentures (see Note 20) are restricted to certain payments to construct the Company's power plants in Brazil.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11. Inventory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and 2023, inventory consisted of the following:</w:t>
      </w:r>
    </w:p>
    <w:tbl>
      <w:tblPr>
        <w:tblW w:w="6370" w:type="dxa"/>
        <w:jc w:val="left"/>
        <w:tblInd w:w="0" w:type="dxa"/>
        <w:tblLayout w:type="fixed"/>
        <w:tblCellMar>
          <w:top w:w="28" w:type="dxa"/>
          <w:left w:w="28" w:type="dxa"/>
          <w:bottom w:w="28" w:type="dxa"/>
          <w:right w:w="28" w:type="dxa"/>
        </w:tblCellMar>
      </w:tblPr>
      <w:tblGrid>
        <w:gridCol w:w="1261"/>
        <w:gridCol w:w="1106"/>
        <w:gridCol w:w="1113"/>
        <w:gridCol w:w="232"/>
        <w:gridCol w:w="908"/>
        <w:gridCol w:w="119"/>
        <w:gridCol w:w="109"/>
        <w:gridCol w:w="109"/>
        <w:gridCol w:w="109"/>
        <w:gridCol w:w="231"/>
        <w:gridCol w:w="905"/>
        <w:gridCol w:w="168"/>
      </w:tblGrid>
      <w:tr>
        <w:trPr/>
        <w:tc>
          <w:tcPr>
            <w:tcW w:w="12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 and natural gas inventory</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diesel oil inventory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Bunker fuel, materials, supplies and other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103,224 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113,684 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Inventory is adjusted to the lower of cost or net realizable value each quarter. Changes in the value of inventory are recorded within Cost of sales in the Consolidated Statements of Operations and Comprehensive (Loss) Income. The Company recognized an adjustment to inventory of </w:t>
      </w:r>
      <w:r>
        <w:rPr>
          <w:rFonts w:ascii="Times New Roman;sans-serif" w:hAnsi="Times New Roman;sans-serif"/>
          <w:b w:val="false"/>
          <w:color w:val="000000"/>
          <w:sz w:val="20"/>
        </w:rPr>
        <w:t xml:space="preserve">$6,232 during the year ended </w:t>
      </w:r>
      <w:r>
        <w:rPr>
          <w:rFonts w:ascii="Times New Roman;sans-serif" w:hAnsi="Times New Roman;sans-serif"/>
          <w:b w:val="false"/>
          <w:color w:val="000000"/>
          <w:sz w:val="20"/>
          <w:shd w:fill="FFFFFF" w:val="clear"/>
        </w:rPr>
        <w:t>December 31, 2023. In the second quarter of 2023, the Company acquired a spot cargo at a higher cost to obtain a new customer contract (Note 29), and the net realizable value of this cargo was below the cost. No inventory adjustments were recognized during the years ended December 31, 2024 or December 31, 2022.</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Prepaid expenses and other current assets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and 2023, prepaid expenses and other current assets consisted of the following:</w:t>
      </w:r>
    </w:p>
    <w:tbl>
      <w:tblPr>
        <w:tblW w:w="7165" w:type="dxa"/>
        <w:jc w:val="left"/>
        <w:tblInd w:w="0" w:type="dxa"/>
        <w:tblLayout w:type="fixed"/>
        <w:tblCellMar>
          <w:top w:w="28" w:type="dxa"/>
          <w:left w:w="28" w:type="dxa"/>
          <w:bottom w:w="28" w:type="dxa"/>
          <w:right w:w="28" w:type="dxa"/>
        </w:tblCellMar>
      </w:tblPr>
      <w:tblGrid>
        <w:gridCol w:w="1549"/>
        <w:gridCol w:w="1356"/>
        <w:gridCol w:w="1370"/>
        <w:gridCol w:w="232"/>
        <w:gridCol w:w="908"/>
        <w:gridCol w:w="119"/>
        <w:gridCol w:w="109"/>
        <w:gridCol w:w="109"/>
        <w:gridCol w:w="109"/>
        <w:gridCol w:w="231"/>
        <w:gridCol w:w="905"/>
        <w:gridCol w:w="168"/>
      </w:tblGrid>
      <w:tr>
        <w:trPr/>
        <w:tc>
          <w:tcPr>
            <w:tcW w:w="154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Recoverable taxes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(Note 7)</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 net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205,496 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213,104 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During 2023, the Company began to sub-charter the </w:t>
      </w:r>
      <w:r>
        <w:rPr>
          <w:rFonts w:ascii="Times New Roman;sans-serif" w:hAnsi="Times New Roman;sans-serif"/>
          <w:b w:val="false"/>
          <w:i/>
          <w:color w:val="000000"/>
          <w:sz w:val="20"/>
          <w:shd w:fill="FFFFFF" w:val="clear"/>
        </w:rPr>
        <w:t>Winter</w:t>
      </w:r>
      <w:r>
        <w:rPr>
          <w:rFonts w:ascii="Times New Roman;sans-serif" w:hAnsi="Times New Roman;sans-serif"/>
          <w:b w:val="false"/>
          <w:color w:val="000000"/>
          <w:sz w:val="20"/>
          <w:shd w:fill="FFFFFF" w:val="clear"/>
        </w:rPr>
        <w:t>, a vessel included in the Energos Formation Transaction, and an asset was recorded representing the existing charterer's remaining payments to Energos, which was $59,074 as of December 31, 2023. The Company also recognized a liability of $49,400 as of December 31, 2023 (see Note 19) representing the Company's obligation to pay sub-charter payments until the vessel is chartered directly from Energos. The sub-charter was terminated during the third quarter of 2024, and the Company derecognized both the sub-charter asset and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7"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F-34</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The remaining balance of other cu</w:t>
      </w:r>
      <w:r>
        <w:rPr>
          <w:rFonts w:ascii="Times New Roman;sans-serif" w:hAnsi="Times New Roman;sans-serif"/>
          <w:b w:val="false"/>
          <w:color w:val="000000"/>
          <w:sz w:val="20"/>
          <w:shd w:fill="FFFFFF" w:val="clear"/>
        </w:rPr>
        <w:t>rrent assets as of December 31, 2024 and 2023 primarily consists of derivative assets recognized for foreign currency exchange contracts (Note 9) and deposits.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Assets held for sale</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December 2023, the Company entered into an agreement to sell the vessel, </w:t>
      </w:r>
      <w:r>
        <w:rPr>
          <w:rFonts w:ascii="Times New Roman;sans-serif" w:hAnsi="Times New Roman;sans-serif"/>
          <w:b w:val="false"/>
          <w:i/>
          <w:color w:val="000000"/>
          <w:sz w:val="20"/>
          <w:shd w:fill="FFFFFF" w:val="clear"/>
        </w:rPr>
        <w:t>Mazo</w:t>
      </w:r>
      <w:r>
        <w:rPr>
          <w:rFonts w:ascii="Times New Roman;sans-serif" w:hAnsi="Times New Roman;sans-serif"/>
          <w:b w:val="false"/>
          <w:color w:val="000000"/>
          <w:sz w:val="20"/>
          <w:shd w:fill="FFFFFF" w:val="clear"/>
        </w:rPr>
        <w:t>, for $22,400; and as such, the vessel was classified as held for sale as of December 31, 2023. In conjunction with the classification to held for sale, the Company recognized an impairment of $10,958 within Asset impairment expense in the Consolidated Statements of Operations and Comprehensive (Loss) Income. Nonrecurring, Level 2 inputs were used to estimate the fair value of the vessel for the purpose of recognizing the impairment. The sale closed in 2024, resulting in a gain of $392.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Equity method investments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balance of the Company’s equity method investments are as follows:</w:t>
      </w:r>
    </w:p>
    <w:tbl>
      <w:tblPr>
        <w:tblW w:w="8261" w:type="dxa"/>
        <w:jc w:val="left"/>
        <w:tblInd w:w="0" w:type="dxa"/>
        <w:tblLayout w:type="fixed"/>
        <w:tblCellMar>
          <w:top w:w="28" w:type="dxa"/>
          <w:left w:w="28" w:type="dxa"/>
          <w:bottom w:w="28" w:type="dxa"/>
          <w:right w:w="28" w:type="dxa"/>
        </w:tblCellMar>
      </w:tblPr>
      <w:tblGrid>
        <w:gridCol w:w="1608"/>
        <w:gridCol w:w="1414"/>
        <w:gridCol w:w="1418"/>
        <w:gridCol w:w="317"/>
        <w:gridCol w:w="1244"/>
        <w:gridCol w:w="164"/>
        <w:gridCol w:w="109"/>
        <w:gridCol w:w="109"/>
        <w:gridCol w:w="109"/>
        <w:gridCol w:w="313"/>
        <w:gridCol w:w="1228"/>
        <w:gridCol w:w="228"/>
      </w:tblGrid>
      <w:tr>
        <w:trPr/>
        <w:tc>
          <w:tcPr>
            <w:tcW w:w="16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as of beginning of period</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392,306 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investees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Other-than-temporary impairment</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equity method investments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(144,587)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(260,156)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as of end of period</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December 31, 2023, the carrying value of the Company’s equity method investments was less than its proportionate share of the underlying net assets of its investees by $5,277.</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Energos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August 2022, the Company completed a transaction with an affiliate of Apollo Global Management, Inc., pursuant to which the Company transferred ownership of 11 vessels to Energos Infrastructure ("Energos") in exchange for approximately </w:t>
      </w:r>
      <w:r>
        <w:rPr>
          <w:rFonts w:ascii="Times New Roman;sans-serif" w:hAnsi="Times New Roman;sans-serif"/>
          <w:b w:val="false"/>
          <w:color w:val="000000"/>
          <w:sz w:val="20"/>
        </w:rPr>
        <w:t>$1.85</w:t>
      </w:r>
      <w:r>
        <w:rPr>
          <w:color w:val="000000"/>
          <w:shd w:fill="FFFFFF" w:val="clear"/>
        </w:rPr>
        <w:t xml:space="preserve"> </w:t>
      </w:r>
      <w:r>
        <w:rPr>
          <w:rFonts w:ascii="Times New Roman;sans-serif" w:hAnsi="Times New Roman;sans-serif"/>
          <w:b w:val="false"/>
          <w:color w:val="000000"/>
          <w:sz w:val="20"/>
          <w:shd w:fill="FFFFFF" w:val="clear"/>
        </w:rPr>
        <w:t xml:space="preserve">billion in cash and a </w:t>
      </w:r>
      <w:r>
        <w:rPr>
          <w:rFonts w:ascii="Times New Roman;sans-serif" w:hAnsi="Times New Roman;sans-serif"/>
          <w:b w:val="false"/>
          <w:color w:val="000000"/>
          <w:sz w:val="20"/>
        </w:rPr>
        <w:t>20%</w:t>
      </w:r>
      <w:r>
        <w:rPr>
          <w:color w:val="000000"/>
          <w:shd w:fill="FFFFFF" w:val="clear"/>
        </w:rPr>
        <w:t xml:space="preserve"> </w:t>
      </w:r>
      <w:r>
        <w:rPr>
          <w:rFonts w:ascii="Times New Roman;sans-serif" w:hAnsi="Times New Roman;sans-serif"/>
          <w:b w:val="false"/>
          <w:color w:val="000000"/>
          <w:sz w:val="20"/>
          <w:shd w:fill="FFFFFF" w:val="clear"/>
        </w:rPr>
        <w:t xml:space="preserve">equity interest in Energos (the “Energos Formation Transaction”). </w:t>
      </w:r>
      <w:r>
        <w:rPr>
          <w:rFonts w:ascii="Times New Roman;sans-serif" w:hAnsi="Times New Roman;sans-serif"/>
          <w:b w:val="false"/>
          <w:color w:val="000000"/>
          <w:sz w:val="20"/>
        </w:rPr>
        <w:t>The Company's equity investment provided certain rights, including representation on the Energos board of directors, that gave the Company significant influence over the operations of Energos, and as such, the investment was accounted for under the equity method. Energos was also an affiliate, and all transactions with Energos were transactions with an affiliate.</w:t>
      </w:r>
    </w:p>
    <w:p>
      <w:pPr>
        <w:pStyle w:val="TextBody"/>
        <w:bidi w:val="0"/>
        <w:spacing w:lineRule="auto" w:line="288" w:before="240" w:after="283"/>
        <w:jc w:val="left"/>
        <w:rPr/>
      </w:pPr>
      <w:r>
        <w:rPr>
          <w:rFonts w:ascii="Times New Roman;sans-serif" w:hAnsi="Times New Roman;sans-serif"/>
          <w:b w:val="false"/>
          <w:color w:val="000000"/>
          <w:sz w:val="20"/>
        </w:rPr>
        <w:t xml:space="preserve">In February 2024, the Company sold substantially all of its stake in Energos. As a result of the transaction, the Company has recognized an </w:t>
      </w:r>
      <w:r>
        <w:rPr>
          <w:rFonts w:ascii="Times New Roman;sans-serif" w:hAnsi="Times New Roman;sans-serif"/>
          <w:b w:val="false"/>
          <w:color w:val="000000"/>
          <w:sz w:val="20"/>
          <w:shd w:fill="FFFFFF" w:val="clear"/>
        </w:rPr>
        <w:t>other than temporary impairment ("OTTI")</w:t>
      </w:r>
      <w:r>
        <w:rPr>
          <w:color w:val="000000"/>
        </w:rPr>
        <w:t xml:space="preserve"> </w:t>
      </w:r>
      <w:r>
        <w:rPr>
          <w:rFonts w:ascii="Times New Roman;sans-serif" w:hAnsi="Times New Roman;sans-serif"/>
          <w:b w:val="false"/>
          <w:color w:val="000000"/>
          <w:sz w:val="20"/>
        </w:rPr>
        <w:t xml:space="preserve">of the investment in Energos totaling </w:t>
      </w:r>
      <w:r>
        <w:rPr>
          <w:rFonts w:ascii="Times New Roman;sans-serif" w:hAnsi="Times New Roman;sans-serif"/>
          <w:b w:val="false"/>
          <w:color w:val="000000"/>
          <w:sz w:val="20"/>
          <w:shd w:fill="FFFFFF" w:val="clear"/>
        </w:rPr>
        <w:t>$5,277</w:t>
      </w:r>
      <w:r>
        <w:rPr>
          <w:color w:val="000000"/>
        </w:rPr>
        <w:t xml:space="preserve"> </w:t>
      </w:r>
      <w:r>
        <w:rPr>
          <w:rFonts w:ascii="Times New Roman;sans-serif" w:hAnsi="Times New Roman;sans-serif"/>
          <w:b w:val="false"/>
          <w:color w:val="000000"/>
          <w:sz w:val="20"/>
        </w:rPr>
        <w:t xml:space="preserve">for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and this loss was recognized in </w:t>
      </w:r>
      <w:r>
        <w:rPr>
          <w:rFonts w:ascii="Times New Roman;sans-serif" w:hAnsi="Times New Roman;sans-serif"/>
          <w:b w:val="false"/>
          <w:color w:val="000000"/>
          <w:sz w:val="20"/>
          <w:shd w:fill="FFFFFF" w:val="clear"/>
        </w:rPr>
        <w:t xml:space="preserve">Income (loss) from equity method investments </w:t>
      </w:r>
      <w:r>
        <w:rPr>
          <w:rFonts w:ascii="Times New Roman;sans-serif" w:hAnsi="Times New Roman;sans-serif"/>
          <w:b w:val="false"/>
          <w:color w:val="000000"/>
          <w:sz w:val="20"/>
        </w:rPr>
        <w:t xml:space="preserve">in the </w:t>
      </w:r>
      <w:r>
        <w:rPr>
          <w:rFonts w:ascii="Times New Roman;sans-serif" w:hAnsi="Times New Roman;sans-serif"/>
          <w:b w:val="false"/>
          <w:color w:val="000000"/>
          <w:sz w:val="20"/>
          <w:shd w:fill="FFFFFF" w:val="clear"/>
        </w:rPr>
        <w:t>Consolidated Statements of Operations and Comprehensive (Loss) Income</w:t>
      </w:r>
      <w:r>
        <w:rPr>
          <w:rFonts w:ascii="Times New Roman;sans-serif" w:hAnsi="Times New Roman;sans-serif"/>
          <w:b w:val="false"/>
          <w:color w:val="000000"/>
          <w:sz w:val="20"/>
        </w:rPr>
        <w:t xml:space="preserve">. Nonrecurring, Level 2 inputs were used to estimate the fair value of the investment for the purpose of recognizing the OTTI. The sale was completed on February 14, 2024 and the Company received proceeds of $136,365, resulting in a loss of $7,222 presented within Other expense (income), net in the </w:t>
      </w:r>
      <w:r>
        <w:rPr>
          <w:rFonts w:ascii="Times New Roman;sans-serif" w:hAnsi="Times New Roman;sans-serif"/>
          <w:b w:val="false"/>
          <w:color w:val="000000"/>
          <w:sz w:val="20"/>
          <w:shd w:fill="FFFFFF" w:val="clear"/>
        </w:rPr>
        <w:t>Consolidated Statements of Operations and Comprehensive (Loss) Income</w:t>
      </w:r>
      <w:r>
        <w:rPr>
          <w:rFonts w:ascii="Times New Roman;sans-serif" w:hAnsi="Times New Roman;sans-serif"/>
          <w:b w:val="false"/>
          <w:color w:val="000000"/>
          <w:sz w:val="20"/>
        </w:rPr>
        <w:t>. The Company retained an investment in Energos valued at $1,000, which has been recognized within Other non-current assets. Following the disposition of substantially all of the stake in Energos, the Company no longer has significant influence over Energos.</w:t>
      </w:r>
    </w:p>
    <w:p>
      <w:pPr>
        <w:pStyle w:val="TextBody"/>
        <w:bidi w:val="0"/>
        <w:spacing w:lineRule="auto" w:line="288" w:before="240" w:after="283"/>
        <w:jc w:val="left"/>
        <w:rPr/>
      </w:pPr>
      <w:r>
        <w:rPr>
          <w:rFonts w:ascii="Times New Roman;sans-serif" w:hAnsi="Times New Roman;sans-serif"/>
          <w:b w:val="false"/>
          <w:color w:val="000000"/>
          <w:sz w:val="20"/>
        </w:rPr>
        <w:t>Due to the timing and availabili</w:t>
      </w:r>
      <w:r>
        <w:rPr>
          <w:rFonts w:ascii="Times New Roman;sans-serif" w:hAnsi="Times New Roman;sans-serif"/>
          <w:b w:val="false"/>
          <w:color w:val="000000"/>
          <w:sz w:val="20"/>
          <w:shd w:fill="FFFFFF" w:val="clear"/>
        </w:rPr>
        <w:t>ty of financial information of Energos, the Company recognized its proportional share of the income or loss from the equity method investment on a financial reporting lag of one fiscal quarter. For the years ended December 31, 2023 and 2022, the Company has recognized earnings from Energos of $9,263 and $2,788, respectively. There were no earnings from Energos for the year ended December 31, 2024.</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Hilli LLC</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15, 2023, the Company completed a transaction with Golar LNG Limited ("GLNG") for the sale of the Company's investment in the common units of Hilli LLC in exchange for approximately 4.1 million NFE shares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8"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F-35</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$100,000 in cash (the "Hilli Exchange"). In the fourth quarter of 2022, the Company recognized an OTTI on the investment in Hilli LLC of $118,558; this impairment was recognized in </w:t>
      </w:r>
      <w:r>
        <w:rPr>
          <w:rFonts w:ascii="Times New Roman;sans-serif" w:hAnsi="Times New Roman;sans-serif"/>
          <w:b w:val="false"/>
          <w:color w:val="000000"/>
          <w:sz w:val="20"/>
        </w:rPr>
        <w:t>Income (loss) from equity method investments</w:t>
      </w:r>
      <w:r>
        <w:rPr>
          <w:color w:val="000000"/>
          <w:shd w:fill="FFFFFF" w:val="clear"/>
        </w:rPr>
        <w:t xml:space="preserve"> </w:t>
      </w:r>
      <w:r>
        <w:rPr>
          <w:rFonts w:ascii="Times New Roman;sans-serif" w:hAnsi="Times New Roman;sans-serif"/>
          <w:b w:val="false"/>
          <w:color w:val="000000"/>
          <w:sz w:val="20"/>
          <w:shd w:fill="FFFFFF" w:val="clear"/>
        </w:rPr>
        <w:t xml:space="preserve">in the Consolidated Statements of Operations and Comprehensive (Loss) Income. Upon completion of the Hilli Exchange, a loss on disposal of $37,401 was recognized in Other expense (income), net in the Consolidated Statements of Operations and Comprehensive (Loss) Income. As a result of the Hilli Exchange, the Company no longer has an ownership interest in the </w:t>
      </w:r>
      <w:r>
        <w:rPr>
          <w:rFonts w:ascii="Times New Roman;sans-serif" w:hAnsi="Times New Roman;sans-serif"/>
          <w:b w:val="false"/>
          <w:i/>
          <w:color w:val="000000"/>
          <w:sz w:val="20"/>
          <w:shd w:fill="FFFFFF" w:val="clear"/>
        </w:rPr>
        <w:t>Hilli</w:t>
      </w:r>
      <w:r>
        <w:rPr>
          <w:rFonts w:ascii="Times New Roman;sans-serif" w:hAnsi="Times New Roman;sans-serif"/>
          <w:b w:val="false"/>
          <w:color w:val="000000"/>
          <w:sz w:val="20"/>
          <w:shd w:fill="FFFFFF" w:val="clear"/>
        </w:rPr>
        <w:t>. NFE shares received from GLNG were cancelled upon closing of the Hilli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14. Construction in progress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construction in progress activity during the years ended December 31, 2024 and 2023 is detailed below:</w:t>
      </w:r>
    </w:p>
    <w:tbl>
      <w:tblPr>
        <w:tblW w:w="7164" w:type="dxa"/>
        <w:jc w:val="left"/>
        <w:tblInd w:w="0" w:type="dxa"/>
        <w:tblLayout w:type="fixed"/>
        <w:tblCellMar>
          <w:top w:w="28" w:type="dxa"/>
          <w:left w:w="28" w:type="dxa"/>
          <w:bottom w:w="28" w:type="dxa"/>
          <w:right w:w="28" w:type="dxa"/>
        </w:tblCellMar>
      </w:tblPr>
      <w:tblGrid>
        <w:gridCol w:w="1523"/>
        <w:gridCol w:w="1335"/>
        <w:gridCol w:w="1342"/>
        <w:gridCol w:w="211"/>
        <w:gridCol w:w="976"/>
        <w:gridCol w:w="109"/>
        <w:gridCol w:w="109"/>
        <w:gridCol w:w="109"/>
        <w:gridCol w:w="109"/>
        <w:gridCol w:w="211"/>
        <w:gridCol w:w="976"/>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as of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currency translation adjustment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placed in service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as of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5,348,294 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Interest expense of $486,396, $295,809 and $94,454, inclusive of amortized debt issuance costs, was capitalized for the years ended December 31, 2024, 2023 and 2022, respectively. Recoverable taxes of $45,996 were capitalized for the year ended December 31, 2024 and represents non-cash addition to Construction in progress. </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Company's first Fast LNG project was placed into service for accounting purposes in the fourth quarter of 2024, and </w:t>
      </w:r>
      <w:r>
        <w:rPr>
          <w:rFonts w:ascii="Times New Roman;sans-serif" w:hAnsi="Times New Roman;sans-serif"/>
          <w:b w:val="false"/>
          <w:color w:val="000000"/>
          <w:sz w:val="20"/>
          <w:shd w:fill="FFFFFF" w:val="clear"/>
        </w:rPr>
        <w:t>$3,573,382</w:t>
      </w:r>
      <w:r>
        <w:rPr>
          <w:color w:val="000000"/>
        </w:rPr>
        <w:t xml:space="preserve"> </w:t>
      </w:r>
      <w:r>
        <w:rPr>
          <w:rFonts w:ascii="Times New Roman;sans-serif" w:hAnsi="Times New Roman;sans-serif"/>
          <w:b w:val="false"/>
          <w:color w:val="000000"/>
          <w:sz w:val="20"/>
        </w:rPr>
        <w:t>was transferred to Property, plant and equipment, net. Assets placed in service during 2024 also include the</w:t>
      </w:r>
      <w:r>
        <w:rPr>
          <w:color w:val="000000"/>
          <w:shd w:fill="FFFFFF" w:val="clear"/>
        </w:rPr>
        <w:t xml:space="preserve"> </w:t>
      </w:r>
      <w:r>
        <w:rPr>
          <w:rFonts w:ascii="Times New Roman;sans-serif" w:hAnsi="Times New Roman;sans-serif"/>
          <w:b w:val="false"/>
          <w:color w:val="000000"/>
          <w:sz w:val="20"/>
          <w:shd w:fill="FFFFFF" w:val="clear"/>
        </w:rPr>
        <w:t>Company's LNG receiving facility located on the southern coast of Brazil (the “Santa Catarina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significant development activities in Latin America. The successful completion of these development projects is subject to various risks, such as obtaining government approvals, identifying suitable sites, securing financing and permitting, and ensuring contract compliance.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15. Property, plant and equipment, net</w:t>
      </w:r>
    </w:p>
    <w:p>
      <w:pPr>
        <w:pStyle w:val="TextBody"/>
        <w:bidi w:val="0"/>
        <w:spacing w:lineRule="auto" w:line="288" w:before="240" w:after="283"/>
        <w:jc w:val="left"/>
        <w:rPr/>
      </w:pPr>
      <w:r>
        <w:rPr>
          <w:rFonts w:ascii="Times New Roman;sans-serif" w:hAnsi="Times New Roman;sans-serif"/>
          <w:b w:val="false"/>
          <w:color w:val="000000"/>
          <w:sz w:val="20"/>
        </w:rPr>
        <w:t>As of December 31, 2024 and 2023, the Company’s pro</w:t>
      </w:r>
      <w:r>
        <w:rPr>
          <w:rFonts w:ascii="Times New Roman;sans-serif" w:hAnsi="Times New Roman;sans-serif"/>
          <w:b w:val="false"/>
          <w:color w:val="000000"/>
          <w:sz w:val="20"/>
          <w:shd w:fill="FFFFFF" w:val="clear"/>
        </w:rPr>
        <w:t>perty, plant and equipment, net consisted of the following:</w:t>
      </w:r>
    </w:p>
    <w:tbl>
      <w:tblPr>
        <w:tblW w:w="6369" w:type="dxa"/>
        <w:jc w:val="left"/>
        <w:tblInd w:w="0" w:type="dxa"/>
        <w:tblLayout w:type="fixed"/>
        <w:tblCellMar>
          <w:top w:w="28" w:type="dxa"/>
          <w:left w:w="28" w:type="dxa"/>
          <w:bottom w:w="28" w:type="dxa"/>
          <w:right w:w="28" w:type="dxa"/>
        </w:tblCellMar>
      </w:tblPr>
      <w:tblGrid>
        <w:gridCol w:w="1232"/>
        <w:gridCol w:w="1085"/>
        <w:gridCol w:w="1088"/>
        <w:gridCol w:w="211"/>
        <w:gridCol w:w="976"/>
        <w:gridCol w:w="109"/>
        <w:gridCol w:w="109"/>
        <w:gridCol w:w="109"/>
        <w:gridCol w:w="109"/>
        <w:gridCol w:w="211"/>
        <w:gridCol w:w="97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 liquefaction facilities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 and power plant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pipelines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facilities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 containers and other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2,481,415 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LNG liquefaction facilities includes the Company's first Fast LNG project, which was placed into service in the fourth quarter of 2024.</w:t>
      </w:r>
    </w:p>
    <w:p>
      <w:pPr>
        <w:pStyle w:val="TextBody"/>
        <w:bidi w:val="0"/>
        <w:spacing w:lineRule="auto" w:line="288" w:before="240" w:after="283"/>
        <w:jc w:val="left"/>
        <w:rPr/>
      </w:pPr>
      <w:r>
        <w:rPr>
          <w:rFonts w:ascii="Times New Roman;sans-serif" w:hAnsi="Times New Roman;sans-serif"/>
          <w:b w:val="false"/>
          <w:color w:val="000000"/>
          <w:sz w:val="20"/>
        </w:rPr>
        <w:t>The book value of the vessels that was recognized due to the failed sale leaseback in the Energos Formation Transaction as of</w:t>
      </w:r>
      <w:r>
        <w:rPr>
          <w:color w:val="000000"/>
          <w:shd w:fill="FFFFFF" w:val="clear"/>
        </w:rPr>
        <w:t xml:space="preserve"> </w:t>
      </w:r>
      <w:r>
        <w:rPr>
          <w:rFonts w:ascii="Times New Roman;sans-serif" w:hAnsi="Times New Roman;sans-serif"/>
          <w:b w:val="false"/>
          <w:color w:val="000000"/>
          <w:sz w:val="20"/>
          <w:shd w:fill="FFFFFF" w:val="clear"/>
        </w:rPr>
        <w:t>December 31, 2024 and 2023 wa</w:t>
      </w:r>
      <w:r>
        <w:rPr>
          <w:rFonts w:ascii="Times New Roman;sans-serif" w:hAnsi="Times New Roman;sans-serif"/>
          <w:b w:val="false"/>
          <w:color w:val="000000"/>
          <w:sz w:val="20"/>
        </w:rPr>
        <w:t xml:space="preserve">s $1,272,334 and </w:t>
      </w:r>
      <w:r>
        <w:rPr>
          <w:rFonts w:ascii="Times New Roman;sans-serif" w:hAnsi="Times New Roman;sans-serif"/>
          <w:b w:val="false"/>
          <w:color w:val="000000"/>
          <w:sz w:val="20"/>
          <w:shd w:fill="FFFFFF" w:val="clear"/>
        </w:rPr>
        <w:t>$1,293,384, respectively</w:t>
      </w:r>
      <w:r>
        <w:rPr>
          <w:rFonts w:ascii="Times New Roman;sans-serif" w:hAnsi="Times New Roman;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9"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F-36</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Depreciation expense for the years ended December 31, 2024, 2023 and 2022 totaled $144,166, $141,069 and $104,823, respectively, of which $511, $905 and $954, respectively, is included within Cost of sales in the Consolidated Statements of Operations and Comprehensive (Loss)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16. Goodwill and intangible assets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Goodwill</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allocated $10,410 of goodwill from the Terminal and Infrastructure Reporting unit to the sale of the Miami Facility disposal group during the year ended December 31, 2024 on a relative fair value basis. As of December 31, 2024 and December 31, 2023, the carrying amount of goodwill within the Terminals and Infrastructure reporting unit and Ships reporting unit was $750,412 and $15,938, and $760,822 and $15,938, respectively.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performed a quantitative analysis as of October 1, 2024 and a qualitative analysis as of October 1, 2023. The Company concluded that the fair value of each reporting unit was greater than the carrying amount for both periods, and no goodwill impairment charges were recognized during the years ended December 31, 2024 and 2023.</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Intangible assets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 the composition of intangible assets as of December 31, 2024 and 2023:</w:t>
      </w:r>
    </w:p>
    <w:tbl>
      <w:tblPr>
        <w:tblW w:w="10205" w:type="dxa"/>
        <w:jc w:val="left"/>
        <w:tblInd w:w="0" w:type="dxa"/>
        <w:tblLayout w:type="fixed"/>
        <w:tblCellMar>
          <w:top w:w="28" w:type="dxa"/>
          <w:left w:w="28" w:type="dxa"/>
          <w:bottom w:w="28" w:type="dxa"/>
          <w:right w:w="28" w:type="dxa"/>
        </w:tblCellMar>
      </w:tblPr>
      <w:tblGrid>
        <w:gridCol w:w="882"/>
        <w:gridCol w:w="722"/>
        <w:gridCol w:w="726"/>
        <w:gridCol w:w="243"/>
        <w:gridCol w:w="954"/>
        <w:gridCol w:w="126"/>
        <w:gridCol w:w="109"/>
        <w:gridCol w:w="109"/>
        <w:gridCol w:w="109"/>
        <w:gridCol w:w="252"/>
        <w:gridCol w:w="886"/>
        <w:gridCol w:w="132"/>
        <w:gridCol w:w="109"/>
        <w:gridCol w:w="109"/>
        <w:gridCol w:w="109"/>
        <w:gridCol w:w="308"/>
        <w:gridCol w:w="1162"/>
        <w:gridCol w:w="159"/>
        <w:gridCol w:w="109"/>
        <w:gridCol w:w="109"/>
        <w:gridCol w:w="109"/>
        <w:gridCol w:w="220"/>
        <w:gridCol w:w="863"/>
        <w:gridCol w:w="113"/>
        <w:gridCol w:w="109"/>
        <w:gridCol w:w="109"/>
        <w:gridCol w:w="109"/>
        <w:gridCol w:w="333"/>
        <w:gridCol w:w="333"/>
        <w:gridCol w:w="483"/>
      </w:tblGrid>
      <w:tr>
        <w:trPr/>
        <w:tc>
          <w:tcPr>
            <w:tcW w:w="88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 Translation</w:t>
              <w:br/>
              <w:t xml:space="preserve">Adjustment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Life</w:t>
            </w:r>
          </w:p>
        </w:tc>
      </w:tr>
      <w:tr>
        <w:trPr/>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Definite-lived intangible assets</w:t>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capacity reserve contract</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vessel charter contracts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Permits and development rights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244,385 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(27,693)</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(37,182)</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179,510 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2"/>
        <w:gridCol w:w="728"/>
        <w:gridCol w:w="732"/>
        <w:gridCol w:w="263"/>
        <w:gridCol w:w="900"/>
        <w:gridCol w:w="135"/>
        <w:gridCol w:w="109"/>
        <w:gridCol w:w="109"/>
        <w:gridCol w:w="109"/>
        <w:gridCol w:w="253"/>
        <w:gridCol w:w="888"/>
        <w:gridCol w:w="132"/>
        <w:gridCol w:w="109"/>
        <w:gridCol w:w="109"/>
        <w:gridCol w:w="109"/>
        <w:gridCol w:w="437"/>
        <w:gridCol w:w="999"/>
        <w:gridCol w:w="227"/>
        <w:gridCol w:w="109"/>
        <w:gridCol w:w="109"/>
        <w:gridCol w:w="109"/>
        <w:gridCol w:w="235"/>
        <w:gridCol w:w="805"/>
        <w:gridCol w:w="121"/>
        <w:gridCol w:w="109"/>
        <w:gridCol w:w="109"/>
        <w:gridCol w:w="109"/>
        <w:gridCol w:w="337"/>
        <w:gridCol w:w="337"/>
        <w:gridCol w:w="486"/>
      </w:tblGrid>
      <w:tr>
        <w:trPr/>
        <w:tc>
          <w:tcPr>
            <w:tcW w:w="88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 Translation</w:t>
              <w:b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br/>
              <w:t>Average Life</w:t>
            </w:r>
          </w:p>
        </w:tc>
      </w:tr>
      <w:tr>
        <w:trPr/>
        <w:tc>
          <w:tcPr>
            <w:tcW w:w="2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Definite-lived intangible assets</w:t>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vessel charter contracts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Permits and development rights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(16,513)</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and 2023, the weighted-average remaining amortization periods for the intangible assets were 19.7 and 28.8 years, respectively. Amortization expense for the years ended December 31, 2024, 2023, and 2022 was $12,227, $26,853, and $37,162, respectively which were inclusive of reductions in expense for the amortization of unfavorable contract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90"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F-37</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year ended December 31, 2023, certain favorable vessel charter contract intangibles with a gross carrying amount of $88,000 became fully amortized, and the gross carrying amount and accumulated amortization have been written-off. Additionally, a vessel charter contract was terminated during 2023, and the net book value of the intangible asset on the date of termination of $9,553 was recognized as an impairment in the Consolidated Statements of Operations and Comprehensive (Loss) Income.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third quarter of 2023, An Bord Pleanála ("ABP"), Ireland's planning commission, denied the Company's application for the development of an LNG terminal and power plant in Shannon, Ireland. The Company challenged this decision, and in September 2024, the High Court of Ireland ruled that ABP did not have appropriate grounds for the denial of the permit. In November, ABP sought leave to appeal the High Court's decision, the High Court has not yet heard the request to leave appeal. If the leave is not granted, then ABP will be directed to reconsider our permit application on accordance with Irish Law. The continued development of this project is uncertain and there are multiple risks, including regulatory risks, that could preclude the development of this project, and the results of these risks could have a material effect to the Company's results of operations.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estimated aggregate amortization expense for each of the next five years is:</w:t>
      </w:r>
    </w:p>
    <w:tbl>
      <w:tblPr>
        <w:tblW w:w="3485" w:type="dxa"/>
        <w:jc w:val="left"/>
        <w:tblInd w:w="0" w:type="dxa"/>
        <w:tblLayout w:type="fixed"/>
        <w:tblCellMar>
          <w:top w:w="28" w:type="dxa"/>
          <w:left w:w="28" w:type="dxa"/>
          <w:bottom w:w="28" w:type="dxa"/>
          <w:right w:w="28" w:type="dxa"/>
        </w:tblCellMar>
      </w:tblPr>
      <w:tblGrid>
        <w:gridCol w:w="830"/>
        <w:gridCol w:w="731"/>
        <w:gridCol w:w="733"/>
        <w:gridCol w:w="211"/>
        <w:gridCol w:w="826"/>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 Other non-current assets, net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and 2023, Other non-current assets consisted of the following:</w:t>
      </w:r>
    </w:p>
    <w:tbl>
      <w:tblPr>
        <w:tblW w:w="5409" w:type="dxa"/>
        <w:jc w:val="left"/>
        <w:tblInd w:w="0" w:type="dxa"/>
        <w:tblLayout w:type="fixed"/>
        <w:tblCellMar>
          <w:top w:w="28" w:type="dxa"/>
          <w:left w:w="28" w:type="dxa"/>
          <w:bottom w:w="28" w:type="dxa"/>
          <w:right w:w="28" w:type="dxa"/>
        </w:tblCellMar>
      </w:tblPr>
      <w:tblGrid>
        <w:gridCol w:w="912"/>
        <w:gridCol w:w="802"/>
        <w:gridCol w:w="805"/>
        <w:gridCol w:w="232"/>
        <w:gridCol w:w="908"/>
        <w:gridCol w:w="119"/>
        <w:gridCol w:w="109"/>
        <w:gridCol w:w="109"/>
        <w:gridCol w:w="109"/>
        <w:gridCol w:w="231"/>
        <w:gridCol w:w="905"/>
        <w:gridCol w:w="168"/>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receivables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114,677 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 net (Note 7)</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to fulfill (Note 7)</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272,899 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In the fourth quarter of 2024, the Company novated an LNG supply contact to a customer (Note 7). In conjunction with this novation, the Company agreed to guarantee the performance of the LNG supplier (Note 21). In exchange for this guarantee, the Company will receive payments totaling $126,668 from the counterparty. These payments will be made between the third quarter of 2026 through the first quarter of 2028, and the discounted value of the payment stream of </w:t>
      </w:r>
      <w:r>
        <w:rPr>
          <w:rFonts w:ascii="Times New Roman;sans-serif" w:hAnsi="Times New Roman;sans-serif"/>
          <w:b w:val="false"/>
          <w:color w:val="000000"/>
          <w:sz w:val="20"/>
          <w:shd w:fill="FFFFFF" w:val="clear"/>
        </w:rPr>
        <w:t>$114,677</w:t>
      </w:r>
      <w:r>
        <w:rPr>
          <w:color w:val="000000"/>
        </w:rPr>
        <w:t xml:space="preserve"> </w:t>
      </w:r>
      <w:r>
        <w:rPr>
          <w:rFonts w:ascii="Times New Roman;sans-serif" w:hAnsi="Times New Roman;sans-serif"/>
          <w:b w:val="false"/>
          <w:color w:val="000000"/>
          <w:sz w:val="20"/>
        </w:rPr>
        <w:t xml:space="preserve">has been recorded as a long-term receivable. </w:t>
      </w:r>
    </w:p>
    <w:p>
      <w:pPr>
        <w:pStyle w:val="TextBody"/>
        <w:bidi w:val="0"/>
        <w:spacing w:lineRule="auto" w:line="288" w:before="240" w:after="283"/>
        <w:jc w:val="left"/>
        <w:rPr/>
      </w:pPr>
      <w:r>
        <w:rPr>
          <w:rFonts w:ascii="Times New Roman;sans-serif" w:hAnsi="Times New Roman;sans-serif"/>
          <w:b w:val="false"/>
          <w:color w:val="000000"/>
          <w:sz w:val="20"/>
        </w:rPr>
        <w:t xml:space="preserve">Financing costs includes deferred costs associated with the Company's Revolving Facility and the undrawn portion of the Term Loan A (both defined below). </w:t>
      </w:r>
      <w:r>
        <w:rPr>
          <w:rFonts w:ascii="Times New Roman;sans-serif" w:hAnsi="Times New Roman;sans-serif"/>
          <w:b w:val="false"/>
          <w:color w:val="000000"/>
          <w:sz w:val="20"/>
          <w:shd w:fill="FFFFFF" w:val="clear"/>
        </w:rPr>
        <w:t>Other non-current assets includes the development costs for hosted software products, foreign exchange contracts and investments in equity securities, which includes investments without a readily determinable fair value of $8,678 and $7,678 as of December 31, 2024 and 2023, respectively. The Company has not recognized any gains or losses in the value of these investments during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91"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F-38</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18. Accrued liabilities</w:t>
      </w:r>
    </w:p>
    <w:p>
      <w:pPr>
        <w:pStyle w:val="TextBody"/>
        <w:bidi w:val="0"/>
        <w:spacing w:lineRule="auto" w:line="288" w:before="240" w:after="283"/>
        <w:jc w:val="left"/>
        <w:rPr/>
      </w:pPr>
      <w:r>
        <w:rPr>
          <w:rFonts w:ascii="Times New Roman;sans-serif" w:hAnsi="Times New Roman;sans-serif"/>
          <w:b w:val="false"/>
          <w:color w:val="000000"/>
          <w:sz w:val="20"/>
        </w:rPr>
        <w:t xml:space="preserve">As of December 31, 2024 and </w:t>
      </w:r>
      <w:r>
        <w:rPr>
          <w:rFonts w:ascii="Times New Roman;sans-serif" w:hAnsi="Times New Roman;sans-serif"/>
          <w:b w:val="false"/>
          <w:color w:val="000000"/>
          <w:sz w:val="20"/>
          <w:shd w:fill="FFFFFF" w:val="clear"/>
        </w:rPr>
        <w:t>2023, Accrued liabilities consisted of the following:</w:t>
      </w:r>
    </w:p>
    <w:tbl>
      <w:tblPr>
        <w:tblW w:w="5244" w:type="dxa"/>
        <w:jc w:val="left"/>
        <w:tblInd w:w="0" w:type="dxa"/>
        <w:tblLayout w:type="fixed"/>
        <w:tblCellMar>
          <w:top w:w="28" w:type="dxa"/>
          <w:left w:w="28" w:type="dxa"/>
          <w:bottom w:w="28" w:type="dxa"/>
          <w:right w:w="28" w:type="dxa"/>
        </w:tblCellMar>
      </w:tblPr>
      <w:tblGrid>
        <w:gridCol w:w="854"/>
        <w:gridCol w:w="748"/>
        <w:gridCol w:w="752"/>
        <w:gridCol w:w="232"/>
        <w:gridCol w:w="908"/>
        <w:gridCol w:w="119"/>
        <w:gridCol w:w="109"/>
        <w:gridCol w:w="109"/>
        <w:gridCol w:w="109"/>
        <w:gridCol w:w="231"/>
        <w:gridCol w:w="905"/>
        <w:gridCol w:w="168"/>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development costs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286,030 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inventory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391,359 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471,675 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19. Other current liabilities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and 2023, Other current liabilities consisted of the following:</w:t>
      </w:r>
    </w:p>
    <w:tbl>
      <w:tblPr>
        <w:tblW w:w="5349" w:type="dxa"/>
        <w:jc w:val="left"/>
        <w:tblInd w:w="0" w:type="dxa"/>
        <w:tblLayout w:type="fixed"/>
        <w:tblCellMar>
          <w:top w:w="28" w:type="dxa"/>
          <w:left w:w="28" w:type="dxa"/>
          <w:bottom w:w="28" w:type="dxa"/>
          <w:right w:w="28" w:type="dxa"/>
        </w:tblCellMar>
      </w:tblPr>
      <w:tblGrid>
        <w:gridCol w:w="890"/>
        <w:gridCol w:w="783"/>
        <w:gridCol w:w="786"/>
        <w:gridCol w:w="232"/>
        <w:gridCol w:w="908"/>
        <w:gridCol w:w="119"/>
        <w:gridCol w:w="109"/>
        <w:gridCol w:w="109"/>
        <w:gridCol w:w="109"/>
        <w:gridCol w:w="231"/>
        <w:gridCol w:w="905"/>
        <w:gridCol w:w="168"/>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(Note 7)</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affiliates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Winter sub-charter liability</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174,829 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During the fourth quarter of 2023, the Company began to sub-charter the </w:t>
      </w:r>
      <w:r>
        <w:rPr>
          <w:rFonts w:ascii="Times New Roman;sans-serif" w:hAnsi="Times New Roman;sans-serif"/>
          <w:b w:val="false"/>
          <w:i/>
          <w:color w:val="000000"/>
          <w:sz w:val="20"/>
          <w:shd w:fill="FFFFFF" w:val="clear"/>
        </w:rPr>
        <w:t>Winter</w:t>
      </w:r>
      <w:r>
        <w:rPr>
          <w:rFonts w:ascii="Times New Roman;sans-serif" w:hAnsi="Times New Roman;sans-serif"/>
          <w:b w:val="false"/>
          <w:color w:val="000000"/>
          <w:sz w:val="20"/>
          <w:shd w:fill="FFFFFF" w:val="clear"/>
        </w:rPr>
        <w:t xml:space="preserve">, a vessel included in the Energos Formation Transaction, and a liability was recorded representing the Company's obligation to pay sub-charter payments until the vessel is chartered directly from Energos. The Company also recognized an asset of </w:t>
      </w:r>
      <w:r>
        <w:rPr>
          <w:rFonts w:ascii="Times New Roman;sans-serif" w:hAnsi="Times New Roman;sans-serif"/>
          <w:b w:val="false"/>
          <w:color w:val="000000"/>
          <w:sz w:val="20"/>
        </w:rPr>
        <w:t>$59,074</w:t>
      </w:r>
      <w:r>
        <w:rPr>
          <w:color w:val="000000"/>
          <w:shd w:fill="FFFFFF" w:val="clear"/>
        </w:rPr>
        <w:t xml:space="preserve"> </w:t>
      </w:r>
      <w:r>
        <w:rPr>
          <w:rFonts w:ascii="Times New Roman;sans-serif" w:hAnsi="Times New Roman;sans-serif"/>
          <w:b w:val="false"/>
          <w:color w:val="000000"/>
          <w:sz w:val="20"/>
          <w:shd w:fill="FFFFFF" w:val="clear"/>
        </w:rPr>
        <w:t>(see Note 12) representing the charterer's remaining payments to Energos. The sub-charter was terminated during the third quarter of 2024, and the Company derecognized both the sub-charter asset and liability.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remaining balance of other current liabilities as of December 31, 2024 primarily consists of recoverable taxes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2"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F-39</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20.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debt consisted of the following:</w:t>
      </w:r>
    </w:p>
    <w:tbl>
      <w:tblPr>
        <w:tblW w:w="7750" w:type="dxa"/>
        <w:jc w:val="left"/>
        <w:tblInd w:w="0" w:type="dxa"/>
        <w:tblLayout w:type="fixed"/>
        <w:tblCellMar>
          <w:top w:w="28" w:type="dxa"/>
          <w:left w:w="28" w:type="dxa"/>
          <w:bottom w:w="28" w:type="dxa"/>
          <w:right w:w="28" w:type="dxa"/>
        </w:tblCellMar>
      </w:tblPr>
      <w:tblGrid>
        <w:gridCol w:w="1422"/>
        <w:gridCol w:w="1250"/>
        <w:gridCol w:w="1257"/>
        <w:gridCol w:w="281"/>
        <w:gridCol w:w="1299"/>
        <w:gridCol w:w="145"/>
        <w:gridCol w:w="109"/>
        <w:gridCol w:w="109"/>
        <w:gridCol w:w="109"/>
        <w:gridCol w:w="278"/>
        <w:gridCol w:w="1288"/>
        <w:gridCol w:w="203"/>
      </w:tblGrid>
      <w:tr>
        <w:trPr/>
        <w:tc>
          <w:tcPr>
            <w:tcW w:w="14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Corporate debt</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due November 2029</w:t>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2,728,269 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due September 2026</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1,486,374 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due March 2029</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due September 2025</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1,245,662 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Facility</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October 2028</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776,353 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due July 2027</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321,573 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182,270 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Sale leaseback financing</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Financing Obligation, due August 2042</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1,366,293 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1,359,995 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Tugboat Financing, due December 2038</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 level financing</w:t>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PortoCem Debentures, due September 2040</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BNDES Term Loan, due October 2045</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Power 2029 Bonds, due May 2029</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217,871 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216,993 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Barcarena Debentures, due October 2028</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194,571 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175,025 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Turbine Financing, due July 2027</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142,549 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EB-5 Loan, due July 2028</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98,647 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Barcarena Term Loan, due February 2024</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199,678 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Notes, due July 2026</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190,789 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8,894,835 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6,803,148 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539,132 </w:t>
            </w:r>
          </w:p>
        </w:tc>
        <w:tc>
          <w:tcPr>
            <w:tcW w:w="14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292,625 </w:t>
            </w:r>
          </w:p>
        </w:tc>
        <w:tc>
          <w:tcPr>
            <w:tcW w:w="20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8,355,703 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6,510,523 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Long-term debt is recorded at amortized cost on the </w:t>
      </w:r>
      <w:r>
        <w:rPr>
          <w:rFonts w:ascii="Times New Roman;sans-serif" w:hAnsi="Times New Roman;sans-serif"/>
          <w:b w:val="false"/>
          <w:color w:val="000000"/>
          <w:sz w:val="20"/>
          <w:shd w:fill="FFFFFF" w:val="clear"/>
        </w:rPr>
        <w:t>Consolidated Balance Sheets</w:t>
      </w:r>
      <w:r>
        <w:rPr>
          <w:rFonts w:ascii="Times New Roman;sans-serif" w:hAnsi="Times New Roman;sans-serif"/>
          <w:b w:val="false"/>
          <w:color w:val="000000"/>
          <w:sz w:val="20"/>
        </w:rPr>
        <w:t xml:space="preserve">. The fair value of the Company's long-term debt was $9,087,890 and $6,835,487 as of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respectively, and was classified as Level 2 within the fair value hierarchy. </w:t>
      </w:r>
      <w:r>
        <w:rPr>
          <w:rFonts w:ascii="Times New Roman;sans-serif" w:hAnsi="Times New Roman;sans-serif"/>
          <w:b w:val="false"/>
          <w:color w:val="000000"/>
          <w:sz w:val="20"/>
          <w:shd w:fill="FFFFFF" w:val="clear"/>
        </w:rPr>
        <w:t>The Company's debt arrangements include cross-acceleration clauses whereby events of default under an individual debt agreement can lead to acceleration of principal under other debt arrangements.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outstanding debt as of December 31, 2024 is repayable as follows:</w:t>
      </w:r>
    </w:p>
    <w:tbl>
      <w:tblPr>
        <w:tblW w:w="5084" w:type="dxa"/>
        <w:jc w:val="left"/>
        <w:tblInd w:w="0" w:type="dxa"/>
        <w:tblLayout w:type="fixed"/>
        <w:tblCellMar>
          <w:top w:w="28" w:type="dxa"/>
          <w:left w:w="28" w:type="dxa"/>
          <w:bottom w:w="28" w:type="dxa"/>
          <w:right w:w="28" w:type="dxa"/>
        </w:tblCellMar>
      </w:tblPr>
      <w:tblGrid>
        <w:gridCol w:w="1200"/>
        <w:gridCol w:w="1050"/>
        <w:gridCol w:w="1065"/>
        <w:gridCol w:w="278"/>
        <w:gridCol w:w="1288"/>
        <w:gridCol w:w="203"/>
      </w:tblGrid>
      <w:tr>
        <w:trPr/>
        <w:tc>
          <w:tcPr>
            <w:tcW w:w="120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539,132 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712,903</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1,270,843</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1,184,328</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3,139,164</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2,180,726</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9,027,096 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finance charges</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(132,261)</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deferred finance charges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8,894,835 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3"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F-40</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Company's future payments for the Vessel Financing Obligation include the expected carrying value of vessels that will be derecognized at the end of the lease term. The future payments also include third-party charter payments that will be received by Energos and included as part of debt service.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2024 Exchange Transactions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November 6, 2024, the Company entered into an exchange and subscription agreement (the “Exchange and Subscription Agreement”) with certain holders (the “Supporting Holders”) of the Company’s outstanding 2026 Notes and 2029 Notes (each defined below). Pursuant to the Exchange and Subscription Agreement (i) NFE Financing LLC (“NFE Financing”), an indirect subsidiary of NFE, sold to the Supporting Holders approximately $1,210,396 aggregate principal amount of NFE Financing’s 12.0% Senior Secured Notes due 2029 (the “New 2029 Notes”) (the transactions described in clause (i), the “Subscription Transactions”) and (ii) NFE Financing issued to the Supporting Holders approximately $1,519,731 aggregate principal amount of New 2029 Notes in a dollar-for-dollar exchange for a portion of the Company’s 2026 Notes and 2029 Notes (the transactions described in clause (ii), the “Exchange Transactions” and together with the Subscription Transactions, the “Refinancing Transactions”).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NFE Financing issued $2,730,127 aggregate principal amount of New 2029 Notes pursuant to the Refinancing Transactions. The Company utilized $886,648 of these net proceeds from the Subscription Transactions to repay in full the outstanding aggregate principal amount and accrued interest on the 2025 Notes. The remainder of the net proceeds from the New 2029 Notes issued pursuant to the Subscription Transactions will be used for general corporate purposes.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the Exchange and Subscription Agreement, upon consummation of the Refinancing Transactions, the Supporting Holders received a commitment fee equal to either (i) 5% of the aggregate principal amount of such Supporting Holder’s New 2029 Notes, payable in shares of Class A common stock of the Company, at a price of $8.63 per share (the “Commitment Fee Shares”), (ii) 2% of the aggregate principal amount of such Supporting Holder’s New 2029 Notes, payable in kind in the form of additional New 2029 Notes (the “Commitment Fee Notes”), or (iii) a combination of the foregoing. The Company has issued 15,700,998 Commitment Fee Shares to the Supporting Holders in satisfaction of its commitment fee obligations under the Exchange and Subscription Agreement, and $5,368 Commitment Fee Notes were issued and included in the total New 2029 Notes issuance.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New 2029 Notes were issued pursuant to, and are governed by, an indenture (the “New Notes Indenture”). The New 2029 Notes are senior, secured obligations of NFE Financing, and interest is payable semi-annually in arrears at a rate of 12.0% per annum on May 15 and November 15 of each year, beginning on May 15, 2025. The New Notes will mature on November 15, 2029, provided that the maturity date shall be accelerated to the date that is 91 days prior to the stated maturity date of any other indebtedness of the Company, subject to certain exceptions as described in the New Notes Indenture, if more than $100,000 aggregate principal amount of such other indebtedness remains outstanding on such date</w:t>
      </w:r>
      <w:r>
        <w:rPr>
          <w:rFonts w:ascii="Times New Roman;sans-serif" w:hAnsi="Times New Roman;sans-serif"/>
          <w:b w:val="false"/>
          <w:color w:val="EE2724"/>
          <w:sz w:val="20"/>
          <w:shd w:fill="FFFFFF" w:val="clear"/>
        </w:rPr>
        <w: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NFE Financing may redeem some or all of the New 2029 Notes at redemption prices set forth in the New Notes Indenture; such redemption prices and any “make-whole” premiums are based on the timing of the redemption. Further, upon the occurrence of certain other events, including change of control and certain distributions from the Company’s Brazil business, NFE Financing may be required to make an offer to repurchase all of the New 2029 Notes at prices specified in the New Notes Indenture.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New 2029 Notes are guaranteed by NFE Financing’s wholly-owned subsidiary, Bradford County Real Estate Partners LLC (the “New Notes Guarantor”) which owns the Company’s land in Wyalusing, Pennsylvania. The New 2029 Notes are secured by first-priority liens on: (a) all assets of NFE Financing, including approximately 45% of the equity in the entity that owns the Company’s Brazil business, and 100% of the equity in the New Notes Guarantor and (b) all assets of the New Notes Guarantor.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New Notes Indenture provides for customary events of default which include (subject in certain cases to customary grace and cure periods), among others, acceleration and/or defaults of certain of the Company's other indebtedness. The New Notes Indenture and other credit agreements associated with certain intercompany loans of NFE Financing, limit the ability of the Company to, among other things, incur additional indebtedness, incur liens that secure indebtedness, make restricted payments, create dividend restrictions and other payment restrictions, sell or transfer certain assets, in each case subject to certain exceptions and qualifications set forth in the New Notes Indenture and other indentures.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repayment of all of the 2025 Notes and the exchange of a portion of the 2026 Notes and 2029 Notes was treated as an extinguishment, and $11,442 of unamortized deferred debt issuance costs was recognized as a loss on extinguishment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4"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F-41</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debt in the Consolidated Statements of Operations and Comprehensive (Loss) Income. Fees paid to lenders, including the issuance of Commitment Fee Shares and Commitment Fee Notes, of $193,370 were included in the loss on extinguishment of debt. The Company also recognized $30,541 of loss on extinguishment of debt, which represents the fair value of the New 2029 Notes issued in excess of the carrying amount of debt exchanged or repaid. The New 2029 Notes are recorded at fair value and fees paid to third parties of $32,341 will be amortized over the term of the New 2029 Notes. As of December 31, 2024, total remaining unamortized deferred financing costs for the New 2029 Notes was $31,747.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In conjunction with the Refinancing Transactions, the Supporting Holders agreed to consent to certain amendments to the indentures pursuant to which the 2026 Notes (such indenture, the “Existing 2026 Notes Indenture”) and the 2029 Notes (such indenture, the “Existing 2029 Notes Indenture”) were issued. These amendments allow the Company to subordinate the liens on certain of the collateral securing the obligations under each of the Existing 2026 Notes Indenture and Existing 2029 Notes Indenture to the liens on the same collateral securing certain intercompany loans due to NFE Financing, and to remove all covenants and events of default that may be removed in compliance with terms of such indentures (the “Indenture Amendments”). The adoption of the Indenture Amendments required the consent of holders of at least 66.67% the outstanding principal amount of each of the 2026 Notes and 2029 Notes. The Company received the required level of consent, and subsequently executed a supplemental indenture to the Existing 2026 Notes Indenture (the “2026 Supplemental Indenture”) and a supplemental indenture to the Existing 2029 Notes Indenture (the “2029 Supplemental Indenture,” and, together with the 2026 Supplemental Indenture, the “Supplemental Indentures”) effecting the Amendments. The Supplemental Indentures became effective on December 5, 2024.</w:t>
      </w:r>
      <w:r>
        <w:rPr>
          <w:rFonts w:ascii="Times New Roman;sans-serif" w:hAnsi="Times New Roman;sans-serif"/>
          <w:b w:val="false"/>
          <w:i/>
          <w:color w:val="000000"/>
          <w:sz w:val="20"/>
          <w:shd w:fill="FFFFFF" w:val="clear"/>
        </w:rPr>
        <w:t>2025 Notes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September and December 2020, the Company issued an aggregate amount of $1,250,000 of 6.75% senior secured notes in private offerings pursuant to Rule 144A under the Securities Act (the “2025 Notes”). Interest was payable semi-annually in arrears on March 15 and September 15 of each year; no principal payments were due until maturity on September 15, 2025.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offering of the 2029 Notes (defined below) in March 2024, the Company completed a cash tender offer to repurchase $375,000 of the outstanding 2025 Notes, for an aggregate repurchase price of $376,875. The tender offer was closed and the partial repurchase of the 2025 Notes was completed in the first quarter of 2024. The premium over the repurchase price of $1,875 was recognized as Loss on extinguishment of debt, net in the Consolidated Statements of Operations and Comprehensive (Loss) Income. The remaining outstanding principal under the 2025 Notes was repaid in conjunction with the Refinancing Transactions.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2026 Notes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April 2021, the Company issued $1,500,000 of 6.50% senior secured notes in a private offering pursuant to Rule 144A under the Securities Act (the “2026 Notes”). Interest is payable semi-annually in arrears on March 31 and September 30 of each year; no principal payments are due until maturity on September 30, 2026. The Company may redeem the 2026 Notes, in whole or in part, at any time prior to maturity, subject to certain make-whole premiums.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2026 Notes are guaranteed, jointly and severally, on a senior secured basis by certain domestic and foreign subsidiaries. Subsequent to the Refinancing Transactions, the 2026 Notes are subject to the 2026 Supplemental Indenture.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issuance of the 2026 Notes, the Company incurred $25,240 in origination, structuring and other fees, which was deferred as a reduction of the principal balance of the 2026 Notes on the Consolidated Balance Sheets. As part of the Refinancing Transactions, the Company exchanged $989,121 of the 2026 Notes on a dollar-for-dollar basis for New 2029 Notes, resulting in a partial extinguishment. This partial extinguishment of the 2026 Notes resulted in the proportionate write-off of unamortized deferred financing fees, and as of December 31, 2024 and 2023, total remaining unamortized deferred financing costs for the 2026 Notes was $1,857 and $13,626,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2029 Notes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March 2024, the Company issued $750,000 of 8.75% senior secured notes in a private offering pursuant to Rule 144A under the Securities Act (the “2029 Notes”). Interest is payable semi-annually in arrears on March 15 and September 15 of each year; no principal payments are due until maturity on March 15, 2029. The Company may redeem the 2029 Notes, in whole or in part, at any time prior to maturity, subject to certain make-whole premiums.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5"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F-42</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2029 Notes are guaranteed on a senior secured basis by each domestic subsidiary and foreign subsidiary that is a guarantor under the 2026 Notes. Subsequent to the Refinancing Transactions, the 2029 Notes are subject to the 2029 Supplemental Indenture.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issuance of the 2029 Notes, the Company incurred $14,171 in origination, structuring and other fees, which was deferred as a reduction of the principal balance of the 2029 Notes on the Consolidated Balance Sheets. As part of the Refinancing Transactions, the Company exchanged $513,272 of the 2029 Notes on a dollar-for-dollar basis for New 2029 Notes, resulting in a partial extinguishment. This partial extinguishment of the 2029 Notes resulted in the proportionate write-off of unamortized deferred financing fees, and as of December 31, 2024, total remaining unamortized deferred financing costs for the 2029 Notes was $2,939.</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Facility</w:t>
      </w:r>
    </w:p>
    <w:p>
      <w:pPr>
        <w:pStyle w:val="TextBody"/>
        <w:bidi w:val="0"/>
        <w:spacing w:lineRule="auto" w:line="288" w:before="240" w:after="283"/>
        <w:jc w:val="left"/>
        <w:rPr/>
      </w:pPr>
      <w:r>
        <w:rPr>
          <w:rFonts w:ascii="Times New Roman;sans-serif" w:hAnsi="Times New Roman;sans-serif"/>
          <w:b w:val="false"/>
          <w:color w:val="000000"/>
          <w:sz w:val="20"/>
        </w:rPr>
        <w:t xml:space="preserve">In April 2021, the Company entered into a credit agreement (the "Revolving Credit Agreement") for a $200,000 senior secured revolving credit facility (the "Revolving Facility"). Through December 31, 2023, the Revolving Facility was amended to increase the borrowing capacity to $950,000. In May 2024, the Company entered into an amendment which increased the borrowing capacity by $50,000, for a total capacity of $1,000,000. The amendments did not impact the interest rate or term of the Revolving Facility, and no deferred costs were written off. As of </w:t>
      </w:r>
      <w:r>
        <w:rPr>
          <w:rFonts w:ascii="Times New Roman;sans-serif" w:hAnsi="Times New Roman;sans-serif"/>
          <w:b w:val="false"/>
          <w:color w:val="000000"/>
          <w:sz w:val="20"/>
          <w:shd w:fill="FFFFFF" w:val="clear"/>
        </w:rPr>
        <w:t>December 31, 2024 and 2023, $1,000,000 and $866,600 was outstanding under the Revolving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borrowings under the Revolving Facility bear interest at a Secured Overnight Financing Rate ("SOFR") based rate plus a margin based upon usage of the Revolving Facility. The rates applicable to outstanding borrowings as of December 31, 2024 and 2023 were 8.22% and 8.29%, respectively. Borrowings under the Revolving Facility may be prepaid, at the option of the Company, at any time without premium.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 with the Refinancing Transactions, the Company entered into an amendment with certain lenders in the Revolving Facility (the "Consenting Lenders") to extend the maturity of their commitments to October 15, 2027. The Consenting Lenders hold $900,000 of the total revolving commitments. The applicable margin payable on revolving borrowings to the Consenting Lenders increased by 100 basis points. The Company is required to reduce the commitments with proceeds from certain assets sales and by certain amounts received from the settlement of the Company’s claims following the termination of the Company’s contract to provide emergency power services in Puerto Rico (Note 5). Notwithstanding these required reductions, the Company must reduce commitments for Consenting Lenders to $630,000 by September 30, 2025, and as such, $270,000 of the outstanding borrowings under the Revolving Facility have been recognized as current. The remainder of the Revolving Facility will mature in April 2026 with the potential for the Company to extend the maturity date once for a one-year increment. </w:t>
      </w:r>
    </w:p>
    <w:p>
      <w:pPr>
        <w:pStyle w:val="TextBody"/>
        <w:bidi w:val="0"/>
        <w:spacing w:lineRule="auto" w:line="288" w:before="240" w:after="283"/>
        <w:jc w:val="left"/>
        <w:rPr/>
      </w:pPr>
      <w:r>
        <w:rPr>
          <w:rFonts w:ascii="Times New Roman;sans-serif" w:hAnsi="Times New Roman;sans-serif"/>
          <w:b w:val="false"/>
          <w:color w:val="000000"/>
          <w:sz w:val="20"/>
        </w:rPr>
        <w:t xml:space="preserve">The obligations under the Revolving Facility are guaranteed by certain of the Company's subsidiaries, including those that own the Company's offshore FLNG facility at Altamira ("FLNG1 Project") and Altamira Onshore Project (defined below), and </w:t>
      </w:r>
      <w:r>
        <w:rPr>
          <w:rFonts w:ascii="Times New Roman;sans-serif" w:hAnsi="Times New Roman;sans-serif"/>
          <w:b w:val="false"/>
          <w:color w:val="000000"/>
          <w:sz w:val="20"/>
          <w:shd w:fill="FFFFFF" w:val="clear"/>
        </w:rPr>
        <w:t xml:space="preserve">are secured by substantially the same collateral securing the obligations under certain intercompany loans entered into in conjunction with the Refinancing Transactions, as well as the assets comprising the FLNG1 Project and Altamira Onshore Project. The Company is required to comply with the below covenants under the Revolving Facility and the Letter of Credit Facility (defined below): </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Beginning </w:t>
      </w:r>
      <w:r>
        <w:rPr>
          <w:rFonts w:ascii="Times New Roman;sans-serif" w:hAnsi="Times New Roman;sans-serif"/>
          <w:b w:val="false"/>
          <w:color w:val="000000"/>
          <w:sz w:val="20"/>
        </w:rPr>
        <w:t xml:space="preserve">with the fiscal quarter ended March 31, 2025, for quarters in which the Revolving Facility is greater than 50% drawn, the Debt to EBITDA Ratio must be below the following: (i) 8.75 to 1.00, for the fiscal quarter ending March 31, 2025, (ii) 7.25 to 1.00, for the fiscal quarter ending June 30, 2025, (iii) 6.75 to 1.00, for the fiscal quarter ending September 30, 2025, (iv) 6.50 to 1.00, for the fiscal quarter ending December 31, 2025, (v) 7.25 to 1.00, for the fiscal quarters ending March 31, 2026 through September 30, 2026, and (vi) 6.75 to 1.00, for the fiscal quarter ending December 31, 2026 and each fiscal quarter thereafter. </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Beginning </w:t>
      </w:r>
      <w:r>
        <w:rPr>
          <w:rFonts w:ascii="Times New Roman;sans-serif" w:hAnsi="Times New Roman;sans-serif"/>
          <w:b w:val="false"/>
          <w:color w:val="000000"/>
          <w:sz w:val="20"/>
        </w:rPr>
        <w:t>with fiscal quarter ended March 31, 2025, the Fixed Charge Coverage Ratio must be less than or equal to (i) 0.80 to 1.00, for the fiscal quarter ending March 31, 2025 and (ii) 1.00 to 1.00, for the fiscal quarter ending June 30, 2025 and each fiscal quarter thereafter.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Company is also required to maintain a minimum consolidated liquidity of (i) $50,000 as of the last day of each month, commencing as of October 31, 2024 and (ii) $100,000 as of the last day of any fiscal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96"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F-43</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commencing as of December 31, 2024. The Company was in compliance with these covenants as of December 31, 2024.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Revolving Credit Agreement contains usual and customary representations and warranties, usual and customary affirmative and negative covenants and events of default.</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incurred $5,398 in origination, structuring and other fees, associated with entry into the Revolving Facility, which includes additional fees to expand the facility in 2022. During the years ended </w:t>
      </w:r>
      <w:r>
        <w:rPr>
          <w:rFonts w:ascii="Times New Roman;sans-serif" w:hAnsi="Times New Roman;sans-serif"/>
          <w:b w:val="false"/>
          <w:color w:val="000000"/>
          <w:sz w:val="20"/>
          <w:shd w:fill="FFFFFF" w:val="clear"/>
        </w:rPr>
        <w:t>December 31, 2024 and 2023</w:t>
      </w:r>
      <w:r>
        <w:rPr>
          <w:rFonts w:ascii="Times New Roman;sans-serif" w:hAnsi="Times New Roman;sans-serif"/>
          <w:b w:val="false"/>
          <w:color w:val="000000"/>
          <w:sz w:val="20"/>
        </w:rPr>
        <w:t xml:space="preserve">, the Company incurred an additional $32,410 and $9,431, respectively, in fees in relation to the amendments. Each amendment has been accounted for as a modification, and these costs have been capitalized within Other non-current assets on the </w:t>
      </w:r>
      <w:r>
        <w:rPr>
          <w:rFonts w:ascii="Times New Roman;sans-serif" w:hAnsi="Times New Roman;sans-serif"/>
          <w:b w:val="false"/>
          <w:color w:val="000000"/>
          <w:sz w:val="20"/>
          <w:shd w:fill="FFFFFF" w:val="clear"/>
        </w:rPr>
        <w:t>Consolidated Balance Sheets</w:t>
      </w:r>
      <w:r>
        <w:rPr>
          <w:rFonts w:ascii="Times New Roman;sans-serif" w:hAnsi="Times New Roman;sans-serif"/>
          <w:b w:val="false"/>
          <w:color w:val="000000"/>
          <w:sz w:val="20"/>
        </w:rPr>
        <w:t xml:space="preserve">. As of </w:t>
      </w:r>
      <w:r>
        <w:rPr>
          <w:rFonts w:ascii="Times New Roman;sans-serif" w:hAnsi="Times New Roman;sans-serif"/>
          <w:b w:val="false"/>
          <w:color w:val="000000"/>
          <w:sz w:val="20"/>
          <w:shd w:fill="FFFFFF" w:val="clear"/>
        </w:rPr>
        <w:t>December 31, 2024 and 2023</w:t>
      </w:r>
      <w:r>
        <w:rPr>
          <w:rFonts w:ascii="Times New Roman;sans-serif" w:hAnsi="Times New Roman;sans-serif"/>
          <w:b w:val="false"/>
          <w:color w:val="000000"/>
          <w:sz w:val="20"/>
        </w:rPr>
        <w:t>, total remaining unamortized deferred financing costs for the Revolving Facility was $38,190 and $11,923,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Letter of Credit Facility</w:t>
      </w:r>
    </w:p>
    <w:p>
      <w:pPr>
        <w:pStyle w:val="TextBody"/>
        <w:bidi w:val="0"/>
        <w:spacing w:lineRule="auto" w:line="288" w:before="240" w:after="283"/>
        <w:jc w:val="left"/>
        <w:rPr/>
      </w:pPr>
      <w:r>
        <w:rPr>
          <w:rFonts w:ascii="Times New Roman;sans-serif" w:hAnsi="Times New Roman;sans-serif"/>
          <w:b w:val="false"/>
          <w:color w:val="000000"/>
          <w:sz w:val="20"/>
        </w:rPr>
        <w:t xml:space="preserve">In July 2021, the Company entered into an uncommitted letter of credit and reimbursement agreement (the "Letter of Credit Agreement") with a bank for the issuance of letters of credit for an aggregate amount of up to $75,000 (the“Letter of Credit Facility”). Through December 31, 2023, the Letter of Credit Facility was amended multiple times to increase the availability to $350,000. As at </w:t>
      </w:r>
      <w:r>
        <w:rPr>
          <w:rFonts w:ascii="Times New Roman;sans-serif" w:hAnsi="Times New Roman;sans-serif"/>
          <w:b w:val="false"/>
          <w:color w:val="000000"/>
          <w:sz w:val="20"/>
          <w:shd w:fill="FFFFFF" w:val="clear"/>
        </w:rPr>
        <w:t>December 31, 2024, the Letter of Credit Facility had a limit of $315,000, and outstanding letters of credit</w:t>
      </w:r>
      <w:r>
        <w:rPr>
          <w:color w:val="000000"/>
        </w:rPr>
        <w:t xml:space="preserve"> </w:t>
      </w:r>
      <w:r>
        <w:rPr>
          <w:rFonts w:ascii="Times New Roman;sans-serif" w:hAnsi="Times New Roman;sans-serif"/>
          <w:b w:val="false"/>
          <w:color w:val="000000"/>
          <w:sz w:val="20"/>
        </w:rPr>
        <w:t xml:space="preserve">have an interest rate of 3.35%. The Company had an unutilized Letter of Credit Facility balance of $69,000 as at </w:t>
      </w:r>
      <w:r>
        <w:rPr>
          <w:rFonts w:ascii="Times New Roman;sans-serif" w:hAnsi="Times New Roman;sans-serif"/>
          <w:b w:val="false"/>
          <w:color w:val="000000"/>
          <w:sz w:val="20"/>
          <w:shd w:fill="FFFFFF" w:val="clear"/>
        </w:rPr>
        <w:t>December 31, 2024.</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Letter of Credit Agreement contains usual and customary representations and warranties, usual and customary affirmative and negative covenants and events of default. The Company is required to comply with the financial covenants applicable to the Revolving Facility.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Term Loan B Credit Agreement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August 3, 2023, the Company entered into a credit agreement (the “Bridge Term Loan Agreement”) pursuant to which the lenders funded term loans (the “Bridge Term Loans”) to the Company in an aggregate principal amount of $400,000. The Bridge Term Loans were initially set to mature on August 1, 2024 and were payable in full on the maturity date. The Bridge Term Loans bore interest at a per annum rate equal to Adjusted Term SOFR (as defined in the Bridge Term Loan Agreement) plus 3.50%.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October 30, 2023, the Company entered into a credit agreement (the “Term Loan B Agreement”) pursuant to which the lenders funded term loans to the Company in an aggregate principal amount of $856,000 ("Term Loan B"). Borrowings were issued at a discount, and the Company received proceeds of $787,520. The proceeds from the Term Loan B issuance were used to repay the Bridge Term Loans and may be used for working capital and other general corporate purposes. The Term Loan B will mature on the earliest of (i) October 30, 2028 if the 2026 Notes are refinanced in full prior to their maturity and (ii) July 31, 2026, if any of the 2026 Notes remain outstanding as of such date. Quarterly principal payments of approximately $2,140 are required beginning March 2024.</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obligations under the Term Loan B are guaranteed by certain of the Company's subsidiaries, including those that own the Company's FLNG1 Project and Altamira Onshore Project (defined below). The Term Loan B is secured by substantially the same collateral as the first lien obligations under the 2026 Notes, the Revolving Facility, and, in addition, is secured by assets compromising the Company's FLNG1 Project.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 B bears interest at a per annum rate equal to Adjusted Term SOFR (as defined in the Term Loan B Agreement) plus 5.0%. The Company may prepay the Term Loan B at its option subject to prepayment premiums until October 2025 and customary break funding costs. The Company is required to prepay the Term Loan B with the net proceeds of certain asset sales, condemnations, and debt and convertible securities issuances, in each case subject to certain exceptions and thresholds. Additionally, commencing with the fiscal quarter ending December 31, 2024, the Company will be required to prepay the Term Loan B with the Company’s Excess Cash Flow (as defined in the Term Loan B Agreement).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Term Loan B Agreement contains usual and customary representations and warranties, and usual and customary affirmative and negative covenants. No financial covenant compliance is required under the Term Loan B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97"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F-44</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In connection with the execution of the Bridge Term Loan Agreement and the Term Loan B Agreement, the Company incurred $17,719 in origination, structuring and other fees.</w:t>
      </w:r>
      <w:r>
        <w:rPr>
          <w:color w:val="000000"/>
        </w:rPr>
        <w:t xml:space="preserve"> </w:t>
      </w:r>
      <w:r>
        <w:rPr>
          <w:rFonts w:ascii="Times New Roman;sans-serif" w:hAnsi="Times New Roman;sans-serif"/>
          <w:b w:val="false"/>
          <w:color w:val="000000"/>
          <w:sz w:val="20"/>
        </w:rPr>
        <w:t xml:space="preserve">The repayment of the Bridge Term Loans with borrowings under the Term Loan B Agreement was treated as a modification, and fees attributable to lenders that participated in the Bridge Term Loans will be amortized over the life of the Term Loan B Agreement; additional third-party fees associated with such lenders of $1,578 were recognized as expense in Transaction and integration costs. Additional fees for new lenders participating in the Term Loan B were recognized as a reduction of the principal balance on the </w:t>
      </w:r>
      <w:r>
        <w:rPr>
          <w:rFonts w:ascii="Times New Roman;sans-serif" w:hAnsi="Times New Roman;sans-serif"/>
          <w:b w:val="false"/>
          <w:color w:val="000000"/>
          <w:sz w:val="20"/>
          <w:shd w:fill="FFFFFF" w:val="clear"/>
        </w:rPr>
        <w:t>Consolidated Balance Sheets</w:t>
      </w:r>
      <w:r>
        <w:rPr>
          <w:rFonts w:ascii="Times New Roman;sans-serif" w:hAnsi="Times New Roman;sans-serif"/>
          <w:b w:val="false"/>
          <w:color w:val="000000"/>
          <w:sz w:val="20"/>
        </w:rPr>
        <w:t xml:space="preserve">. As of </w:t>
      </w:r>
      <w:r>
        <w:rPr>
          <w:rFonts w:ascii="Times New Roman;sans-serif" w:hAnsi="Times New Roman;sans-serif"/>
          <w:b w:val="false"/>
          <w:color w:val="000000"/>
          <w:sz w:val="20"/>
          <w:shd w:fill="FFFFFF" w:val="clear"/>
        </w:rPr>
        <w:t>December 31, 2024 and 2023</w:t>
      </w:r>
      <w:r>
        <w:rPr>
          <w:rFonts w:ascii="Times New Roman;sans-serif" w:hAnsi="Times New Roman;sans-serif"/>
          <w:b w:val="false"/>
          <w:color w:val="000000"/>
          <w:sz w:val="20"/>
        </w:rPr>
        <w:t xml:space="preserve">, total remaining unamortized deferred financing costs, including the unamortized original issue discount, for the Term Loan B were </w:t>
      </w:r>
      <w:r>
        <w:rPr>
          <w:rFonts w:ascii="Times New Roman;sans-serif" w:hAnsi="Times New Roman;sans-serif"/>
          <w:b w:val="false"/>
          <w:color w:val="000000"/>
          <w:sz w:val="20"/>
          <w:shd w:fill="FFFFFF" w:val="clear"/>
        </w:rPr>
        <w:t>$71,087</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$84,580</w:t>
      </w:r>
      <w:r>
        <w:rPr>
          <w:rFonts w:ascii="Times New Roman;sans-serif" w:hAnsi="Times New Roman;sans-serif"/>
          <w:b w:val="false"/>
          <w:color w:val="000000"/>
          <w:sz w:val="20"/>
        </w:rPr>
        <w:t xml:space="preserve">, respectively.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Term Loan A Credit Agreement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July 2024, the Company entered into a credit agreement ("Term Loan A Credit Agreement") for a senior secured, multiple draw term loan facility in an aggregate principal amount of up to $700,000 ("Term Loan A"). Proceeds will be used to pay costs of the construction and development of the Company's onshore FLNG project in Altamira (the “Altamira Onshore Project”). During the year ended December 31, 2024, the Company drew </w:t>
      </w:r>
      <w:r>
        <w:rPr>
          <w:rFonts w:ascii="Times New Roman;sans-serif" w:hAnsi="Times New Roman;sans-serif"/>
          <w:b w:val="false"/>
          <w:color w:val="000000"/>
          <w:sz w:val="20"/>
        </w:rPr>
        <w:t>$350,000</w:t>
      </w:r>
      <w:r>
        <w:rPr>
          <w:color w:val="000000"/>
          <w:shd w:fill="FFFFFF" w:val="clear"/>
        </w:rPr>
        <w:t xml:space="preserve"> </w:t>
      </w:r>
      <w:r>
        <w:rPr>
          <w:rFonts w:ascii="Times New Roman;sans-serif" w:hAnsi="Times New Roman;sans-serif"/>
          <w:b w:val="false"/>
          <w:color w:val="000000"/>
          <w:sz w:val="20"/>
          <w:shd w:fill="FFFFFF" w:val="clear"/>
        </w:rPr>
        <w:t xml:space="preserve">on the Term Loan A. The remaining commitments for subsequent funding expire on the earliest of June 30, 2026, the date of completion of the Onshore Altamira Project (the “Completion Date”) and the date that the commitments are reduced to zero or terminated.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obligations under the Term Loan A Credit Agreement are guaranteed, jointly and severally, on a senior secured basis by each subsidiary that is a guarantor under the 2026 Notes, 2029 Notes, the Company’s Revolving Facility, the Company’s letter of credit facility (the “Letter of Credit Facility”) and the Company’s Term Loan B, other than the guarantors comprising the FLNG1 Project (who guarantee the Revolving Facility, the Letter of Credit Facility, and the Term Loan B). The obligations under the Term Loan A Credit Agreement are secured by substantially the same collateral as the collateral securing such facilities, with the exception of the collateral comprising the FLNG1 Project (which secures the Revolving Facility, the Letter of Credit Facility, and the Term Loan B). Additionally, the Term Loan A is guaranteed by the entities, and secured by the assets, comprising the Onshore Altamira Project. An equal priority intercreditor agreement governs the treatment of the collateral.</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 A will mature in July 2027 and is payable in full on the maturity date. In the event that the Company’s existing 2026 Notes are not refinanced or repaid at least 60 days prior to maturity, amounts outstanding under the Term Loan A will become due and payable on such date. The Company may prepay the Term Loan A at its option without premium or penalty at any time subject to customary break funding costs. The Company is required to prepay the Term Loan A with the net proceeds of certain asset sales, condemnations, debt and convertible securities issuances, and extraordinary receipts related to the Onshore Altamira Project. Additionally, commencing with the first fiscal quarter after the Completion Date, the Company will be required to prepay the Term Loan A with the Onshore Altamira Project’s Excess Cash Flow (as defined in the Term Loan A Credit Agreement).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 A will bear interest at a per annum rate equal to Term SOFR plus 3.75%, or at a base rate plus 2.75%. The interest rate on the Term Loan A will increase by 0.25% every 180 days beginning on June 30, 2025.</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 A Credit Agreement contains usual and customary representations, warranties and affirmative and negative covenants for financings of this type, including certain representations and warranties related to the Onshore Altamira Project. The Term Loan A Credit Agreement includes certain other covenants related solely to the Onshore Altamira Project, including limitations on capital expenditures, restrictions on additional accounts, and restrictions on amendments or termination of certain material documents related to the Onshore Altamira Project. The Company must also comply with certain financial covenants consistent with those under the Revolving Facility, including Debt to EBITDA Ratio and minimum consolidated liquidity.</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connection with the issuance of the Term Loan A, the Company incurred $39,227 in origination, structuring and other fees, which was capitalized in Other non-current assets on the Consolidated Balance Sheet as the Term Loan A is a delayed draw term loan. During the year ended December 31, 2024, $16,142 of fees were reclassified as a reduction of the principal balance of the Term Loan A on the Consolidated Balance Sheets as each draw was made. In addition, the Company recorded a debt discount of $8,830 as a result of an embedded derivative (Note 9). </w:t>
      </w:r>
      <w:r>
        <w:rPr>
          <w:rFonts w:ascii="Times New Roman;sans-serif" w:hAnsi="Times New Roman;sans-serif"/>
          <w:b w:val="false"/>
          <w:color w:val="000000"/>
          <w:sz w:val="20"/>
        </w:rPr>
        <w:t>As of December 31, 2024, total remaining unamortized deferred financing costs and debt discount reducing the principal balance was $28,426</w:t>
      </w:r>
      <w:r>
        <w:rPr>
          <w:rFonts w:ascii="Times New Roman;sans-serif" w:hAnsi="Times New Roman;sans-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98"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F-45</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Short-term Borrowings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an LNG cargo financing arrangement where it may, from time to time, enter into sales and repurchase agreements with a financial institution, whereby the Company sells to the financial institution an LNG cargo and concurrently enters into an agreement to repurchase the same LNG cargo immediately with the repurchase price payable at a future date, generally not to exceed 90-days from the date of the sale and repurchase (the “Short-term Borrowings”). As of December 31, 2024, the Company had $179,890 due under repurchase arrangements with a weighted average interest rate of 8.87%. As of December 31, 2023, the Company had $182,270 due under repurchase arrangements with a weighted average interest rate of 9.68%.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Vessel Financing Obligation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connection with of the Energos Formation Transaction (see discussion in Note 6), the Company entered into long-term time charter agreements for certain vessels for periods of up to 20 years. Vessels chartered to the Company at the time of closing were classified as finance leases. Additionally, the Company's charter of certain other vessels will commence only upon the expiration of the vessel's existing third-party charters. These forward starting charters prevented the recognition of a sale of the vessels to Energos. As such, the Company accounted for the Energos Formation Transaction as a failed sale-leaseback and has recorded a financing obligation for consideration received.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continues to be the </w:t>
      </w:r>
      <w:r>
        <w:rPr>
          <w:rFonts w:ascii="Times New Roman;sans-serif" w:hAnsi="Times New Roman;sans-serif"/>
          <w:b w:val="false"/>
          <w:color w:val="000000"/>
          <w:sz w:val="20"/>
        </w:rPr>
        <w:t xml:space="preserve">owner for accounting purposes of vessels included in the Energos Formation Transaction (except the </w:t>
      </w:r>
      <w:r>
        <w:rPr>
          <w:rFonts w:ascii="Times New Roman;sans-serif" w:hAnsi="Times New Roman;sans-serif"/>
          <w:b w:val="false"/>
          <w:i/>
          <w:color w:val="000000"/>
          <w:sz w:val="20"/>
        </w:rPr>
        <w:t>Nanook</w:t>
      </w:r>
      <w:r>
        <w:rPr>
          <w:rFonts w:ascii="Times New Roman;sans-serif" w:hAnsi="Times New Roman;sans-serif"/>
          <w:b w:val="false"/>
          <w:color w:val="000000"/>
          <w:sz w:val="20"/>
        </w:rPr>
        <w:t>), and as such, the Company recognizes revenue and operating expenses related to vessels under charter to third parties. Revenue recognized from these third-party charters form a portion of the debt service for the financing obligation; at inception of the arrangement, the effective interest rate on this financing obligation was approximately 15.9% and includes the cash flows that Energos receives from these third-party charters</w:t>
      </w:r>
      <w:r>
        <w:rPr>
          <w:rFonts w:ascii="Times New Roman;sans-serif" w:hAnsi="Times New Roman;sans-serif"/>
          <w:b w:val="false"/>
          <w:color w:val="000000"/>
          <w:sz w:val="20"/>
          <w:shd w:fill="FFFFFF" w:val="clear"/>
        </w:rPr>
        <w:t>. Charter payments due in 2025 include $57,762 that will be treated as a payment of principal, and this amount is included within the current portion of long-term debt.</w:t>
      </w:r>
    </w:p>
    <w:p>
      <w:pPr>
        <w:pStyle w:val="TextBody"/>
        <w:bidi w:val="0"/>
        <w:spacing w:lineRule="auto" w:line="288" w:before="240" w:after="283"/>
        <w:jc w:val="left"/>
        <w:rPr/>
      </w:pPr>
      <w:r>
        <w:rPr>
          <w:rFonts w:ascii="Times New Roman;sans-serif" w:hAnsi="Times New Roman;sans-serif"/>
          <w:b w:val="false"/>
          <w:color w:val="000000"/>
          <w:sz w:val="20"/>
        </w:rPr>
        <w:t xml:space="preserve">In connection with closing of the Energos Formation Transaction, the Company incurred $10,010 in origination, structuring and other fees, of which $2,995 was allocated to the sale of the </w:t>
      </w:r>
      <w:r>
        <w:rPr>
          <w:rFonts w:ascii="Times New Roman;sans-serif" w:hAnsi="Times New Roman;sans-serif"/>
          <w:b w:val="false"/>
          <w:i/>
          <w:color w:val="000000"/>
          <w:sz w:val="20"/>
        </w:rPr>
        <w:t>Nanook</w:t>
      </w:r>
      <w:r>
        <w:rPr>
          <w:color w:val="000000"/>
        </w:rPr>
        <w:t xml:space="preserve"> </w:t>
      </w:r>
      <w:r>
        <w:rPr>
          <w:rFonts w:ascii="Times New Roman;sans-serif" w:hAnsi="Times New Roman;sans-serif"/>
          <w:b w:val="false"/>
          <w:color w:val="000000"/>
          <w:sz w:val="20"/>
        </w:rPr>
        <w:t xml:space="preserve">and recognized as </w:t>
      </w:r>
      <w:r>
        <w:rPr>
          <w:rFonts w:ascii="Times New Roman;sans-serif" w:hAnsi="Times New Roman;sans-serif"/>
          <w:b w:val="false"/>
          <w:color w:val="000000"/>
          <w:sz w:val="20"/>
          <w:shd w:fill="FFFFFF" w:val="clear"/>
        </w:rPr>
        <w:t>Other expense (income), net in the Consolidated Statements of Operations and Comprehensive (Loss) Income</w:t>
      </w:r>
      <w:r>
        <w:rPr>
          <w:rFonts w:ascii="Times New Roman;sans-serif" w:hAnsi="Times New Roman;sans-serif"/>
          <w:b w:val="false"/>
          <w:color w:val="000000"/>
          <w:sz w:val="20"/>
        </w:rPr>
        <w:t xml:space="preserve">. Financing costs of $7,015 were allocated and deferred as a reduction of the principal balance of the financing obligation on the </w:t>
      </w:r>
      <w:r>
        <w:rPr>
          <w:rFonts w:ascii="Times New Roman;sans-serif" w:hAnsi="Times New Roman;sans-serif"/>
          <w:b w:val="false"/>
          <w:color w:val="000000"/>
          <w:sz w:val="20"/>
          <w:shd w:fill="FFFFFF" w:val="clear"/>
        </w:rPr>
        <w:t>Consolidated Balance Sheets</w:t>
      </w:r>
      <w:r>
        <w:rPr>
          <w:rFonts w:ascii="Times New Roman;sans-serif" w:hAnsi="Times New Roman;sans-serif"/>
          <w:b w:val="false"/>
          <w:color w:val="000000"/>
          <w:sz w:val="20"/>
        </w:rPr>
        <w:t xml:space="preserve">. As of </w:t>
      </w:r>
      <w:r>
        <w:rPr>
          <w:rFonts w:ascii="Times New Roman;sans-serif" w:hAnsi="Times New Roman;sans-serif"/>
          <w:b w:val="false"/>
          <w:color w:val="000000"/>
          <w:sz w:val="20"/>
          <w:shd w:fill="FFFFFF" w:val="clear"/>
        </w:rPr>
        <w:t>December 31, 2024 and 2023</w:t>
      </w:r>
      <w:r>
        <w:rPr>
          <w:rFonts w:ascii="Times New Roman;sans-serif" w:hAnsi="Times New Roman;sans-serif"/>
          <w:b w:val="false"/>
          <w:color w:val="000000"/>
          <w:sz w:val="20"/>
        </w:rPr>
        <w:t xml:space="preserve">, the remaining unamortized deferred financing costs for the Vessel Financing Obligation was $6,141 and $6,490, respectively.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Tugboat Financing</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December 2023, the Company sold and leased back four tugboat vessels for 15 years receiving proceeds of $46,728. ("Tugboat Financing"). The leasebacks of the tugboat vessels were classified as finance leases, and as such, the Company accounted for the Tugboat Financing as a failed sale-leaseback and has recorded a financing obligation for consideration received. </w:t>
      </w:r>
      <w:r>
        <w:rPr>
          <w:rFonts w:ascii="Times New Roman;sans-serif" w:hAnsi="Times New Roman;sans-serif"/>
          <w:b w:val="false"/>
          <w:color w:val="000000"/>
          <w:sz w:val="20"/>
        </w:rPr>
        <w:t xml:space="preserve">The effective interest rate on this financing obligation is approximately </w:t>
      </w:r>
      <w:r>
        <w:rPr>
          <w:rFonts w:ascii="Times New Roman;sans-serif" w:hAnsi="Times New Roman;sans-serif"/>
          <w:b w:val="false"/>
          <w:color w:val="000000"/>
          <w:sz w:val="20"/>
          <w:shd w:fill="FFFFFF" w:val="clear"/>
        </w:rPr>
        <w:t>16.92%.</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PortoCem Financings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part of the PortoCem Acquisition, the Company assumed a term loan in the aggregate principal amount of R$141,445 million ($28,093 based on the exchange rate in effect on the acquisition date) due December 2024, bearing interest at a rate equal to the one-day interbank deposit rate in Brazil plus 5.0% (the "PortoCem BTG Loan"). Lenders under the PortoCem BTG Loan waived acceleration requirements in the event of a change in control in conjunction with the PortoCem Acquisition, and repayment of the PortoCem BTG Loan was required upon the earlier of PortoCem obtaining additional financing or the original maturity date of December 2024.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April 2024, PortoCem and a syndicate of banks in Brazil entered into a commitment letter for R$2.9 billion of financing. PortoCem received funding under a short term credit note of R$600 million ("PortoCem Credit Note") from this syndicate that was due in July 2024, and a portion of the proceeds was used to repay the PortoCem BTG Loan.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May 2024, the PortoCem Credit Note was replaced by a bridge financing agreement that allows PortoCem to borrow up to R$2.9 billion due in October 2025 ("PortoCem Bridge Loan"). PortoCem borrowed R$1.5 billion, and this funding was used to repay the PortoCem Credit Note and to begin the development and construction of a power plant to deliver under the capacity reserve contracts acquired in the PortoCem Acquisition. The PortoCem Bridge Loan bore interest at the 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99"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F-46</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day interbank deposit futures rate in Brazil plus 4.25%, and no principal payments were required until maturity in October 2025.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2024, PortoCem issued R$4.5 billion ($726,750 based on exchange rates in effect at December 31, 2024) of debentures to BNDES ("PortoCem Debentures"). Borrowings bear interest at 9.15%. No principal or interest payments are due until September 2027; at that point, PortoCem will begin to make semi-annual payments until maturity in September 2040. Proceeds received were utilized to repay the PortoCem Bridge Loan, and the remaining proceeds are restricted to fund the construction of the PortoCem Power Plant.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PortoCem Debentures contain usual and customary representations and warranties, and usual and customary affirmative and negative covenants. The PortoCem Debentures do not contain any restrictive financial covenants.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incurred $11,663 in origination, structuring and other fees in connection with the entry into the PortoCem Credit Note and the PortoCem Bridge Loan. The repayment of the PortoCem Bridge Loan was treated as an extinguishment, and the Company recognized $25,010 of repayment penalty and unamortized deferred financing fees as loss on extinguishment of debt in the Consolidated Statements of Operations and Comprehensive (Loss) Income</w:t>
      </w:r>
      <w:r>
        <w:rPr>
          <w:color w:val="000000"/>
          <w:shd w:fill="FFFFFF" w:val="clear"/>
        </w:rPr>
        <w:t xml:space="preserve"> </w:t>
      </w:r>
      <w:r>
        <w:rPr>
          <w:rFonts w:ascii="Times New Roman;sans-serif" w:hAnsi="Times New Roman;sans-serif"/>
          <w:b w:val="false"/>
          <w:color w:val="000000"/>
          <w:sz w:val="20"/>
          <w:shd w:fill="FFFFFF" w:val="clear"/>
        </w:rPr>
        <w:t xml:space="preserve">at the time of repayment. The Company incurred $6,301 of new third party fees in conjunction with the repayment of the PortoCem Bridge Loan and issuance of the PortoCem Debentures. As of December 31, 2024, total remaining unamortized deferred financing costs for the PortoCem Debentures was $6,301.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Barcarena Financings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October 2023, certain of the Company's Brazilian subsidiaries entered into two long-term financing arrangements, fully funding the construction of the Company's power plant </w:t>
      </w:r>
      <w:r>
        <w:rPr>
          <w:rFonts w:ascii="Times New Roman;sans-serif" w:hAnsi="Times New Roman;sans-serif"/>
          <w:b w:val="false"/>
          <w:color w:val="000000"/>
          <w:sz w:val="20"/>
        </w:rPr>
        <w:t>located in Pará, Brazil (the "Barcarena Power Plant")</w:t>
      </w:r>
      <w:r>
        <w:rPr>
          <w:rFonts w:ascii="Times New Roman;sans-serif" w:hAnsi="Times New Roman;sans-serif"/>
          <w:b w:val="false"/>
          <w:color w:val="000000"/>
          <w:sz w:val="20"/>
          <w:shd w:fill="FFFFFF" w:val="clear"/>
        </w:rPr>
        <w:t xml:space="preserve">. The parent of the owner of the Barcarena Power Plant entered into an agreement for the issuance of up to $200 million of convertible debentures </w:t>
      </w:r>
      <w:r>
        <w:rPr>
          <w:rFonts w:ascii="Times New Roman;sans-serif" w:hAnsi="Times New Roman;sans-serif"/>
          <w:b w:val="false"/>
          <w:color w:val="000000"/>
          <w:sz w:val="20"/>
        </w:rPr>
        <w:t xml:space="preserve">maturing in October 2028 ("Barcarena Debentures") and issued $180 million of the Barcarena Debentures prior to December 31, 2023. The remaining series may be issued upon the achievement of certain conditions precedent. Interest on the Barcarena Debentures is due quarterly, and interest accrues at an annual rate of 12.0%, increasing 1.25% each year after the third anniversary of issuance. The Company is able to prepay the Barcarena Debentures, subject to </w:t>
      </w:r>
      <w:r>
        <w:rPr>
          <w:rFonts w:ascii="Times New Roman;sans-serif" w:hAnsi="Times New Roman;sans-serif"/>
          <w:b w:val="false"/>
          <w:color w:val="000000"/>
          <w:sz w:val="20"/>
          <w:shd w:fill="FFFFFF" w:val="clear"/>
        </w:rPr>
        <w:t>certain make-whole penalties,</w:t>
      </w:r>
      <w:r>
        <w:rPr>
          <w:color w:val="000000"/>
        </w:rPr>
        <w:t xml:space="preserve"> </w:t>
      </w:r>
      <w:r>
        <w:rPr>
          <w:rFonts w:ascii="Times New Roman;sans-serif" w:hAnsi="Times New Roman;sans-serif"/>
          <w:b w:val="false"/>
          <w:color w:val="000000"/>
          <w:sz w:val="20"/>
        </w:rPr>
        <w:t xml:space="preserve">and the Company is required to utilize certain excess cash flows from the Company's Brazilian operations to prepay principal.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Barcarena Debentures are convertible into shares of one of the Company's indirect Brazilian subsidiaries on the maturity date at the creditors' option, based on the current fair value of this subsidiary's equity at the time of conversion.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obligations under the Barcarena Debentures are guaranteed by certain indirect Brazilian subsidiaries that own the </w:t>
      </w:r>
      <w:r>
        <w:rPr>
          <w:rFonts w:ascii="Times New Roman;sans-serif" w:hAnsi="Times New Roman;sans-serif"/>
          <w:b w:val="false"/>
          <w:color w:val="000000"/>
          <w:sz w:val="20"/>
        </w:rPr>
        <w:t>Barcarena Facility and the Santa Catarina Facility</w:t>
      </w:r>
      <w:r>
        <w:rPr>
          <w:rFonts w:ascii="Times New Roman;sans-serif" w:hAnsi="Times New Roman;sans-serif"/>
          <w:b w:val="false"/>
          <w:color w:val="000000"/>
          <w:sz w:val="20"/>
          <w:shd w:fill="FFFFFF" w:val="clear"/>
        </w:rPr>
        <w:t xml:space="preserve">. NFE has also provided a parent company guarantee that will be released once the Barcarena Facility commences commercial operations. Brazilian subsidiaries guaranteeing these obligations are required to comply with customary affirmative and negative covenants, and the Barcarena Debentures also provides for customary events of default, prepayment and cure provisions.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incurred $5,061 of structuring and other fees, and such fees were deferred as a reduction to the principal balance of the Barcarena Debentures. As of December 31, 2024 and 2023, the remaining unamortized deferred financing costs for the Barcarena Debentures were $3,085 and $4,975, respectively.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owner of the Barcarena Power Plant entered into a credit agreement with BNDES, the Brazilian Development Bank (the "BNDES Credit Agreement"). The Company is able to borrow up to $355,566 under the BNDES Credit Agreement, segregated into three tranches based on the use of proceeds ("BNDES Term Loan"). The Company borrowed $344,735 under the BNDES Credit Agreement in 2024. Each tranche bears a different rate of interest ranging from 2.61% to 4.41% plus the fixed rate announced by BNDES. No principal payments are required until April 2026 and are due quarterly thereafter until maturity in 2045. Interest payments prior to April 2026 are made through an increase in the outstanding principal amount and are due quarterly thereafter.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obligations under the BNDES Credit Agreement are guaranteed by certain indirect Brazilian subsidiaries that are constructing the Barcarena Power Plant, and are secured by the Barcarena Power Plant and receivables under the Barcarena Power Plant's PPAs. These Brazilian subsidiaries are required to comply with customary affirmative and negative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100"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F-47</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covenants, and the BNDES Credit Agreement also provides for customary events of default, prepayment and cure provisions.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South Power 2029 Bonds</w:t>
      </w:r>
    </w:p>
    <w:p>
      <w:pPr>
        <w:pStyle w:val="TextBody"/>
        <w:bidi w:val="0"/>
        <w:spacing w:lineRule="auto" w:line="288" w:before="240" w:after="283"/>
        <w:jc w:val="left"/>
        <w:rPr/>
      </w:pPr>
      <w:r>
        <w:rPr>
          <w:rFonts w:ascii="Times New Roman;sans-serif" w:hAnsi="Times New Roman;sans-serif"/>
          <w:b w:val="false"/>
          <w:color w:val="000000"/>
          <w:sz w:val="20"/>
        </w:rPr>
        <w:t xml:space="preserve">In January 2022, NFE South Power Holdings Limited (“South Power”), a wholly owned subsidiary of NFE, entered into an agreement for the issuance of up to $285,000 secured bonds (“South Power 2029 Bonds”). The South Power 2029 Bonds are secured by, amongst other things, the Company’s combined heat and power plant in Clarendon, Jamaica (“CHP Plant”), and </w:t>
      </w:r>
      <w:r>
        <w:rPr>
          <w:rFonts w:ascii="Times New Roman;sans-serif" w:hAnsi="Times New Roman;sans-serif"/>
          <w:b w:val="false"/>
          <w:color w:val="000000"/>
          <w:sz w:val="20"/>
          <w:shd w:fill="FFFFFF" w:val="clear"/>
        </w:rPr>
        <w:t xml:space="preserve">NFE has provided a guarantee of the obligations under the South Power 2029 Bonds. </w:t>
      </w:r>
      <w:r>
        <w:rPr>
          <w:rFonts w:ascii="Times New Roman;sans-serif" w:hAnsi="Times New Roman;sans-serif"/>
          <w:b w:val="false"/>
          <w:color w:val="000000"/>
          <w:sz w:val="20"/>
        </w:rPr>
        <w:t xml:space="preserve">As of both </w:t>
      </w:r>
      <w:r>
        <w:rPr>
          <w:rFonts w:ascii="Times New Roman;sans-serif" w:hAnsi="Times New Roman;sans-serif"/>
          <w:b w:val="false"/>
          <w:color w:val="000000"/>
          <w:sz w:val="20"/>
          <w:shd w:fill="FFFFFF" w:val="clear"/>
        </w:rPr>
        <w:t>December 31, 2024 and 2023</w:t>
      </w:r>
      <w:r>
        <w:rPr>
          <w:rFonts w:ascii="Times New Roman;sans-serif" w:hAnsi="Times New Roman;sans-serif"/>
          <w:b w:val="false"/>
          <w:color w:val="000000"/>
          <w:sz w:val="20"/>
        </w:rPr>
        <w:t>, South Power had $221,824 of South Power 2029 Bonds issued and outstanding.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South Power 2029 Bonds bear interest at an annual fixed rate of 6.50% and shall be partially repaid in quarterly installments beginning in August 2025 with the final repayment date in May 2029. Interest payments on outstanding principal balances are due quarterly.</w:t>
      </w:r>
    </w:p>
    <w:p>
      <w:pPr>
        <w:pStyle w:val="TextBody"/>
        <w:bidi w:val="0"/>
        <w:spacing w:lineRule="auto" w:line="288" w:before="240" w:after="283"/>
        <w:jc w:val="left"/>
        <w:rPr/>
      </w:pPr>
      <w:r>
        <w:rPr>
          <w:rFonts w:ascii="Times New Roman;sans-serif" w:hAnsi="Times New Roman;sans-serif"/>
          <w:b w:val="false"/>
          <w:color w:val="000000"/>
          <w:sz w:val="20"/>
        </w:rPr>
        <w:t xml:space="preserve">South Power is required to comply with certain financial covenants as well as customary affirmative and negative covenants. The South Power 2029 Bonds also provide for customary events of default, prepayment and cure provisions. The Company was in compliance with all covenants as of </w:t>
      </w:r>
      <w:r>
        <w:rPr>
          <w:rFonts w:ascii="Times New Roman;sans-serif" w:hAnsi="Times New Roman;sans-serif"/>
          <w:b w:val="false"/>
          <w:color w:val="000000"/>
          <w:sz w:val="20"/>
          <w:shd w:fill="FFFFFF" w:val="clear"/>
        </w:rPr>
        <w:t>December 31, 2024 and 2023.</w:t>
      </w:r>
    </w:p>
    <w:p>
      <w:pPr>
        <w:pStyle w:val="TextBody"/>
        <w:bidi w:val="0"/>
        <w:spacing w:lineRule="auto" w:line="288" w:before="240" w:after="283"/>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December 31, 2024 and 2023,</w:t>
      </w:r>
      <w:r>
        <w:rPr>
          <w:color w:val="000000"/>
        </w:rPr>
        <w:t xml:space="preserve"> </w:t>
      </w:r>
      <w:r>
        <w:rPr>
          <w:rFonts w:ascii="Times New Roman;sans-serif" w:hAnsi="Times New Roman;sans-serif"/>
          <w:b w:val="false"/>
          <w:color w:val="000000"/>
          <w:sz w:val="20"/>
        </w:rPr>
        <w:t>the remaining unamortized deferred financing costs for the South Power 2029 Bonds was $3,953 and $4,832,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Turbine Financing</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May 2024, the Company executed a loan agreement with a lender to borrow </w:t>
      </w:r>
      <w:r>
        <w:rPr>
          <w:rFonts w:ascii="Times New Roman;sans-serif" w:hAnsi="Times New Roman;sans-serif"/>
          <w:b w:val="false"/>
          <w:color w:val="000000"/>
          <w:sz w:val="20"/>
        </w:rPr>
        <w:t>$148,500</w:t>
      </w:r>
      <w:r>
        <w:rPr>
          <w:color w:val="000000"/>
          <w:shd w:fill="FFFFFF" w:val="clear"/>
        </w:rPr>
        <w:t xml:space="preserve"> </w:t>
      </w:r>
      <w:r>
        <w:rPr>
          <w:rFonts w:ascii="Times New Roman;sans-serif" w:hAnsi="Times New Roman;sans-serif"/>
          <w:b w:val="false"/>
          <w:color w:val="000000"/>
          <w:sz w:val="20"/>
          <w:shd w:fill="FFFFFF" w:val="clear"/>
        </w:rPr>
        <w:t xml:space="preserve">under a promissory note secured by certain turbines owned by a wholly-owned subsidiary of the Company (the “Turbine Financing”). The Turbine Financing bears interest at </w:t>
      </w:r>
      <w:r>
        <w:rPr>
          <w:rFonts w:ascii="Times New Roman;sans-serif" w:hAnsi="Times New Roman;sans-serif"/>
          <w:b w:val="false"/>
          <w:color w:val="000000"/>
          <w:sz w:val="20"/>
        </w:rPr>
        <w:t>10.30%</w:t>
      </w:r>
      <w:r>
        <w:rPr>
          <w:rFonts w:ascii="Times New Roman;sans-serif" w:hAnsi="Times New Roman;sans-serif"/>
          <w:b w:val="false"/>
          <w:color w:val="000000"/>
          <w:sz w:val="20"/>
          <w:shd w:fill="FFFFFF" w:val="clear"/>
        </w:rPr>
        <w:t>, and the principal is partially repayable in monthly installments over the 36-month term of the loan with the balance due upon maturity in June 2027.</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Turbine Financing contains usual and customary representations and warranties, and usual and customary affirmative and negative covenants. The Turbine Financing does not contain any restrictive financial covenants. The Company was required to pay a deposit of approximately </w:t>
      </w:r>
      <w:r>
        <w:rPr>
          <w:rFonts w:ascii="Times New Roman;sans-serif" w:hAnsi="Times New Roman;sans-serif"/>
          <w:b w:val="false"/>
          <w:color w:val="000000"/>
          <w:sz w:val="20"/>
        </w:rPr>
        <w:t>$5,963</w:t>
      </w:r>
      <w:r>
        <w:rPr>
          <w:color w:val="000000"/>
          <w:shd w:fill="FFFFFF" w:val="clear"/>
        </w:rPr>
        <w:t xml:space="preserve"> </w:t>
      </w:r>
      <w:r>
        <w:rPr>
          <w:rFonts w:ascii="Times New Roman;sans-serif" w:hAnsi="Times New Roman;sans-serif"/>
          <w:b w:val="false"/>
          <w:color w:val="000000"/>
          <w:sz w:val="20"/>
          <w:shd w:fill="FFFFFF" w:val="clear"/>
        </w:rPr>
        <w:t xml:space="preserve">that will be held by the lender throughout the term of the borrowing which was recorded in </w:t>
      </w:r>
      <w:r>
        <w:rPr>
          <w:rFonts w:ascii="Times New Roman;sans-serif" w:hAnsi="Times New Roman;sans-serif"/>
          <w:b w:val="false"/>
          <w:color w:val="000000"/>
          <w:sz w:val="20"/>
        </w:rPr>
        <w:t>Other non-current assets, net on the Consolidated Balance Sheets</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Proceeds received were net of upfront fees due to the lender, and through December 31, 2024 the Company has incurred </w:t>
      </w:r>
      <w:r>
        <w:rPr>
          <w:rFonts w:ascii="Times New Roman;sans-serif" w:hAnsi="Times New Roman;sans-serif"/>
          <w:b w:val="false"/>
          <w:color w:val="000000"/>
          <w:sz w:val="20"/>
        </w:rPr>
        <w:t>$2,136</w:t>
      </w:r>
      <w:r>
        <w:rPr>
          <w:color w:val="000000"/>
          <w:shd w:fill="FFFFFF" w:val="clear"/>
        </w:rPr>
        <w:t xml:space="preserve"> </w:t>
      </w:r>
      <w:r>
        <w:rPr>
          <w:rFonts w:ascii="Times New Roman;sans-serif" w:hAnsi="Times New Roman;sans-serif"/>
          <w:b w:val="false"/>
          <w:color w:val="000000"/>
          <w:sz w:val="20"/>
          <w:shd w:fill="FFFFFF" w:val="clear"/>
        </w:rPr>
        <w:t xml:space="preserve">in origination, structuring and other fees, associated with entry into the Turbine Financing. As of December 31, 2024, total remaining unamortized deferred financing costs for the Turbine Financing was </w:t>
      </w:r>
      <w:r>
        <w:rPr>
          <w:rFonts w:ascii="Times New Roman;sans-serif" w:hAnsi="Times New Roman;sans-serif"/>
          <w:b w:val="false"/>
          <w:color w:val="000000"/>
          <w:sz w:val="20"/>
        </w:rPr>
        <w:t>$1,753.</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EB-5 Loan Agreement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21, 2023, the Company entered into a loan agreement under the U.S. Citizenship and Immigration Services EB-5 Program (“EB-5 Loan Agreement”) to pay for the development and construction of a new green hydrogen facility in Texas. The maximum aggregate principal amount available under the EB-5 Loan Agreement is $100,000, and outstanding borrowings bear interest at a fixed rate of 4.75%. The loan matures in 5 years from the initial advance with an option to extend the maturity by two one-year periods. It is expected that the loan will be secured by NFE's green hydrogen facility, and NFE has provided a guarantee of the obligations under the EB-5 Loan Agreement. In the year ended December 31, 2023, $62,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101"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F-48</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928 was funded under the EB-5 Loan Agreement, and the remaining availability of $37,072 was funded during the year ended December 31, 2024.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EB-5 Loan Agreement contains usual and customary representations and warranties, and usual and customary affirmative and negative covenants. </w:t>
      </w:r>
      <w:r>
        <w:rPr>
          <w:rFonts w:ascii="Times New Roman;sans-serif" w:hAnsi="Times New Roman;sans-serif"/>
          <w:b w:val="false"/>
          <w:color w:val="000000"/>
          <w:sz w:val="20"/>
        </w:rPr>
        <w:t>The EB-5 Loan Agreement</w:t>
      </w:r>
      <w:r>
        <w:rPr>
          <w:color w:val="000000"/>
          <w:shd w:fill="FFFFFF" w:val="clear"/>
        </w:rPr>
        <w:t xml:space="preserve"> </w:t>
      </w:r>
      <w:r>
        <w:rPr>
          <w:rFonts w:ascii="Times New Roman;sans-serif" w:hAnsi="Times New Roman;sans-serif"/>
          <w:b w:val="false"/>
          <w:color w:val="000000"/>
          <w:sz w:val="20"/>
          <w:shd w:fill="FFFFFF" w:val="clear"/>
        </w:rPr>
        <w:t>does not contain any restrictive financial covenants.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has incurred $1,728 in </w:t>
      </w:r>
      <w:r>
        <w:rPr>
          <w:rFonts w:ascii="Times New Roman;sans-serif" w:hAnsi="Times New Roman;sans-serif"/>
          <w:b w:val="false"/>
          <w:color w:val="000000"/>
          <w:sz w:val="20"/>
        </w:rPr>
        <w:t xml:space="preserve">origination, structuring and other fees associated with entry into the EB-5 Loan Agreement. As of </w:t>
      </w:r>
      <w:r>
        <w:rPr>
          <w:rFonts w:ascii="Times New Roman;sans-serif" w:hAnsi="Times New Roman;sans-serif"/>
          <w:b w:val="false"/>
          <w:color w:val="000000"/>
          <w:sz w:val="20"/>
          <w:shd w:fill="FFFFFF" w:val="clear"/>
        </w:rPr>
        <w:t>December 31, 2024 and 2023</w:t>
      </w:r>
      <w:r>
        <w:rPr>
          <w:rFonts w:ascii="Times New Roman;sans-serif" w:hAnsi="Times New Roman;sans-serif"/>
          <w:b w:val="false"/>
          <w:color w:val="000000"/>
          <w:sz w:val="20"/>
        </w:rPr>
        <w:t>, the total remaining unamortized deferred financing costs for the EB-5 Loan Agreement was $</w:t>
      </w:r>
      <w:r>
        <w:rPr>
          <w:rFonts w:ascii="Times New Roman;sans-serif" w:hAnsi="Times New Roman;sans-serif"/>
          <w:b w:val="false"/>
          <w:color w:val="000000"/>
          <w:sz w:val="20"/>
          <w:shd w:fill="FFFFFF" w:val="clear"/>
        </w:rPr>
        <w:t>1,353</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shd w:fill="FFFFFF" w:val="clear"/>
        </w:rPr>
        <w:t>1,314</w:t>
      </w:r>
      <w:r>
        <w:rPr>
          <w:rFonts w:ascii="Times New Roman;sans-serif" w:hAnsi="Times New Roman;sans-serif"/>
          <w:b w:val="false"/>
          <w:color w:val="000000"/>
          <w:sz w:val="20"/>
        </w:rPr>
        <w:t xml:space="preserve">, respectively.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Equipment Notes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June 2023, the Company executed a Master Loan and Security Agreement with a lender to borrow up to $200,000 under promissory notes secured by certain turbines acquired in the first quarter of 2023 to support our grid stabilization project in Puerto Rico (the “Equipment Notes”). During 2023, the Company borrowed the full capacity bearing interest at approximately 7.68%, and the principal was partially repayable in monthly installments over the 36-month term of the loan with the balance due upon maturity in July 2026.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In conjunction with the execution of the APA to sell certain turbines to PREPA in March 2024 (</w:t>
      </w:r>
      <w:r>
        <w:rPr>
          <w:rFonts w:ascii="Times New Roman;sans-serif" w:hAnsi="Times New Roman;sans-serif"/>
          <w:b w:val="false"/>
          <w:color w:val="000000"/>
          <w:sz w:val="20"/>
        </w:rPr>
        <w:t>Note 5)</w:t>
      </w:r>
      <w:r>
        <w:rPr>
          <w:rFonts w:ascii="Times New Roman;sans-serif" w:hAnsi="Times New Roman;sans-serif"/>
          <w:b w:val="false"/>
          <w:color w:val="000000"/>
          <w:sz w:val="20"/>
          <w:shd w:fill="FFFFFF" w:val="clear"/>
        </w:rPr>
        <w:t>, the Company repaid the Equipment Notes in full, releasing any liens held on the turbines prior to their sale. The balance outstanding as of the repayment date was $188,431, and the Company incurred a prepayment premium of 3%. The prepayment premium and any unamortized financing costs of $7,879 were recognized as Loss on extinguishment of debt, net in the Consolidated Statements of Operations and Comprehensive (Loss) Income.</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Expense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and related amortization of debt issuance costs, premiums and discounts recognized during major development and construction projects are capitalized and included in the cost of the project. Interest expense, net of amounts capitalized, recognized for the years ended December 31, 2024, 2023 and 2022 consisted of the following:</w:t>
      </w:r>
    </w:p>
    <w:tbl>
      <w:tblPr>
        <w:tblW w:w="9191" w:type="dxa"/>
        <w:jc w:val="left"/>
        <w:tblInd w:w="0" w:type="dxa"/>
        <w:tblLayout w:type="fixed"/>
        <w:tblCellMar>
          <w:top w:w="28" w:type="dxa"/>
          <w:left w:w="28" w:type="dxa"/>
          <w:bottom w:w="28" w:type="dxa"/>
          <w:right w:w="28" w:type="dxa"/>
        </w:tblCellMar>
      </w:tblPr>
      <w:tblGrid>
        <w:gridCol w:w="1830"/>
        <w:gridCol w:w="1609"/>
        <w:gridCol w:w="1615"/>
        <w:gridCol w:w="211"/>
        <w:gridCol w:w="826"/>
        <w:gridCol w:w="109"/>
        <w:gridCol w:w="109"/>
        <w:gridCol w:w="109"/>
        <w:gridCol w:w="109"/>
        <w:gridCol w:w="211"/>
        <w:gridCol w:w="826"/>
        <w:gridCol w:w="109"/>
        <w:gridCol w:w="109"/>
        <w:gridCol w:w="109"/>
        <w:gridCol w:w="109"/>
        <w:gridCol w:w="211"/>
        <w:gridCol w:w="826"/>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per contractual rates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Vessel Financing Obligation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premiums and discounts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incurred on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Interest expense on the Vessel Financing Obligations includes non-cash expense of $120,962, $169,641, and $84,517 for the years ended </w:t>
      </w:r>
      <w:r>
        <w:rPr>
          <w:rFonts w:ascii="Times New Roman;sans-serif" w:hAnsi="Times New Roman;sans-serif"/>
          <w:b w:val="false"/>
          <w:color w:val="000000"/>
          <w:sz w:val="20"/>
          <w:shd w:fill="FFFFFF" w:val="clear"/>
        </w:rPr>
        <w:t xml:space="preserve">December 31, 2024, 2023, and 2022, respectively, </w:t>
      </w:r>
      <w:r>
        <w:rPr>
          <w:rFonts w:ascii="Times New Roman;sans-serif" w:hAnsi="Times New Roman;sans-serif"/>
          <w:b w:val="false"/>
          <w:color w:val="000000"/>
          <w:sz w:val="20"/>
        </w:rPr>
        <w:t>related to payments received by Energos from third party charterers.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21. Other Long-Term Liabilities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and 2023, Other long-term liabilities consisted of the following: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102"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F-49</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tbl>
      <w:tblPr>
        <w:tblW w:w="5620" w:type="dxa"/>
        <w:jc w:val="left"/>
        <w:tblInd w:w="0" w:type="dxa"/>
        <w:tblLayout w:type="fixed"/>
        <w:tblCellMar>
          <w:top w:w="28" w:type="dxa"/>
          <w:left w:w="28" w:type="dxa"/>
          <w:bottom w:w="28" w:type="dxa"/>
          <w:right w:w="28" w:type="dxa"/>
        </w:tblCellMar>
      </w:tblPr>
      <w:tblGrid>
        <w:gridCol w:w="987"/>
        <w:gridCol w:w="868"/>
        <w:gridCol w:w="874"/>
        <w:gridCol w:w="232"/>
        <w:gridCol w:w="908"/>
        <w:gridCol w:w="119"/>
        <w:gridCol w:w="109"/>
        <w:gridCol w:w="109"/>
        <w:gridCol w:w="109"/>
        <w:gridCol w:w="253"/>
        <w:gridCol w:w="867"/>
        <w:gridCol w:w="185"/>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Guarantee liability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liabilities </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liability (Note 7)</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long-term liabilities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166,358 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In the fourth quarter of 2024, the Company novated an LNG supply contact to a customer (Note 7). In conjunction with this novation, the Company agreed to guarantee the performance of the LNG supplier, and the fair value of the guarantee of $115,539 was recognized. In exchange for this guarantee, the customer will make payments to the Company between the third quarter of 2026 through the first quarter of 2028 totaling $126,668 (Note 17). The value of the guarantee will be recognized as Contract novation income in the </w:t>
      </w:r>
      <w:r>
        <w:rPr>
          <w:rFonts w:ascii="Times New Roman;sans-serif" w:hAnsi="Times New Roman;sans-serif"/>
          <w:b w:val="false"/>
          <w:color w:val="000000"/>
          <w:sz w:val="20"/>
          <w:shd w:fill="FFFFFF" w:val="clear"/>
        </w:rPr>
        <w:t>Consolidated Statements of Operations and Comprehensive (Loss) Income</w:t>
      </w:r>
      <w:r>
        <w:rPr>
          <w:color w:val="000000"/>
        </w:rPr>
        <w:t xml:space="preserve"> </w:t>
      </w:r>
      <w:r>
        <w:rPr>
          <w:rFonts w:ascii="Times New Roman;sans-serif" w:hAnsi="Times New Roman;sans-serif"/>
          <w:b w:val="false"/>
          <w:color w:val="000000"/>
          <w:sz w:val="20"/>
        </w:rPr>
        <w:t xml:space="preserve">as these installment payments become due.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22. Income Taxes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the Company’s income (loss) before income taxes for the years ended December 31, 2024, 2023 and 2022 were as follows:</w:t>
      </w:r>
    </w:p>
    <w:tbl>
      <w:tblPr>
        <w:tblW w:w="5952" w:type="dxa"/>
        <w:jc w:val="left"/>
        <w:tblInd w:w="0" w:type="dxa"/>
        <w:tblLayout w:type="fixed"/>
        <w:tblCellMar>
          <w:top w:w="28" w:type="dxa"/>
          <w:left w:w="28" w:type="dxa"/>
          <w:bottom w:w="28" w:type="dxa"/>
          <w:right w:w="28" w:type="dxa"/>
        </w:tblCellMar>
      </w:tblPr>
      <w:tblGrid>
        <w:gridCol w:w="631"/>
        <w:gridCol w:w="553"/>
        <w:gridCol w:w="556"/>
        <w:gridCol w:w="211"/>
        <w:gridCol w:w="901"/>
        <w:gridCol w:w="109"/>
        <w:gridCol w:w="109"/>
        <w:gridCol w:w="109"/>
        <w:gridCol w:w="109"/>
        <w:gridCol w:w="211"/>
        <w:gridCol w:w="826"/>
        <w:gridCol w:w="109"/>
        <w:gridCol w:w="109"/>
        <w:gridCol w:w="109"/>
        <w:gridCol w:w="109"/>
        <w:gridCol w:w="211"/>
        <w:gridCol w:w="826"/>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Income tax expense is comprised of the following for the years ended December 31, 2024, 2023 and 2022:</w:t>
      </w:r>
    </w:p>
    <w:tbl>
      <w:tblPr>
        <w:tblW w:w="8021" w:type="dxa"/>
        <w:jc w:val="left"/>
        <w:tblInd w:w="0" w:type="dxa"/>
        <w:tblLayout w:type="fixed"/>
        <w:tblCellMar>
          <w:top w:w="28" w:type="dxa"/>
          <w:left w:w="28" w:type="dxa"/>
          <w:bottom w:w="28" w:type="dxa"/>
          <w:right w:w="28" w:type="dxa"/>
        </w:tblCellMar>
      </w:tblPr>
      <w:tblGrid>
        <w:gridCol w:w="1413"/>
        <w:gridCol w:w="1242"/>
        <w:gridCol w:w="1259"/>
        <w:gridCol w:w="211"/>
        <w:gridCol w:w="721"/>
        <w:gridCol w:w="109"/>
        <w:gridCol w:w="109"/>
        <w:gridCol w:w="109"/>
        <w:gridCol w:w="109"/>
        <w:gridCol w:w="211"/>
        <w:gridCol w:w="826"/>
        <w:gridCol w:w="109"/>
        <w:gridCol w:w="109"/>
        <w:gridCol w:w="109"/>
        <w:gridCol w:w="109"/>
        <w:gridCol w:w="211"/>
        <w:gridCol w:w="901"/>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(benefit)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(benefit from)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103"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F-50</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Effective Tax Rate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reconciliation of the U.S. federal statutory income tax rate to the Company’s effective tax rate is as follows:</w:t>
      </w:r>
    </w:p>
    <w:tbl>
      <w:tblPr>
        <w:tblW w:w="7557" w:type="dxa"/>
        <w:jc w:val="left"/>
        <w:tblInd w:w="0" w:type="dxa"/>
        <w:tblLayout w:type="fixed"/>
        <w:tblCellMar>
          <w:top w:w="28" w:type="dxa"/>
          <w:left w:w="28" w:type="dxa"/>
          <w:bottom w:w="28" w:type="dxa"/>
          <w:right w:w="28" w:type="dxa"/>
        </w:tblCellMar>
      </w:tblPr>
      <w:tblGrid>
        <w:gridCol w:w="1410"/>
        <w:gridCol w:w="1243"/>
        <w:gridCol w:w="1247"/>
        <w:gridCol w:w="343"/>
        <w:gridCol w:w="347"/>
        <w:gridCol w:w="341"/>
        <w:gridCol w:w="112"/>
        <w:gridCol w:w="112"/>
        <w:gridCol w:w="112"/>
        <w:gridCol w:w="291"/>
        <w:gridCol w:w="294"/>
        <w:gridCol w:w="292"/>
        <w:gridCol w:w="112"/>
        <w:gridCol w:w="112"/>
        <w:gridCol w:w="112"/>
        <w:gridCol w:w="343"/>
        <w:gridCol w:w="347"/>
        <w:gridCol w:w="387"/>
      </w:tblGrid>
      <w:tr>
        <w:trPr/>
        <w:tc>
          <w:tcPr>
            <w:tcW w:w="141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at the statutory rate</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 differential</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taxation on foreign earnings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from foreign operations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non-controlling interest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share-based compensation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Withholding taxes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credits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Sergipe Sale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basis differences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deferred taxes and payable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8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certain operations in jurisdictions that are not subject to income taxes or are subject to preferential tax rates. The effect of these earnings taxed at zero percent, as well as the impact of such preferential tax rates, are included in the foreign rate differential. The Organization for Economic Cooperation and Development is coordinating negotiations among more than 140 countries with the goal of achieving consensus around substantial changes to international tax policies, including the implementation of a minimum global effective tax rate of 15%. As of December 31, 2024, various countries have implemented the legislation, however, the legislation has not resulted in a material change to the income tax provision for the year ended December 31, 2024. As additional jurisdictions enact such legislation, the effective tax rate and cash tax payments could increase in future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104"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F-51</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tax effect of each type of temporary difference and carryforward that give rise to a significant deferred tax asset or liability as of December 31, 2024 and 2023 are as follows:</w:t>
      </w:r>
    </w:p>
    <w:tbl>
      <w:tblPr>
        <w:tblW w:w="6849" w:type="dxa"/>
        <w:jc w:val="left"/>
        <w:tblInd w:w="0" w:type="dxa"/>
        <w:tblLayout w:type="fixed"/>
        <w:tblCellMar>
          <w:top w:w="28" w:type="dxa"/>
          <w:left w:w="28" w:type="dxa"/>
          <w:bottom w:w="28" w:type="dxa"/>
          <w:right w:w="28" w:type="dxa"/>
        </w:tblCellMar>
      </w:tblPr>
      <w:tblGrid>
        <w:gridCol w:w="1459"/>
        <w:gridCol w:w="1284"/>
        <w:gridCol w:w="1292"/>
        <w:gridCol w:w="211"/>
        <w:gridCol w:w="901"/>
        <w:gridCol w:w="109"/>
        <w:gridCol w:w="109"/>
        <w:gridCol w:w="109"/>
        <w:gridCol w:w="109"/>
        <w:gridCol w:w="211"/>
        <w:gridCol w:w="901"/>
        <w:gridCol w:w="154"/>
      </w:tblGrid>
      <w:tr>
        <w:trPr/>
        <w:tc>
          <w:tcPr>
            <w:tcW w:w="145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IRC Section 163(j) interest carryforward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and state net operating loss carryforward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net operating loss carryforward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Tax Attributes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United States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NFE has approximately $2,584 of federal and $2,927 of state net operating loss carry forwards. The federal and state net operating losses are generally allowed to be carried forward indefinitely and can offset up to 80 percent of future taxable income.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The Company’s net operating loss carryforwards are subject to an annual limitation of $5,431 under Section 382 of the Internal Revenue Code.</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Foreign Jurisdictions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foreign subsidiaries file income tax returns in certain foreign jurisdictions. As of December 31, 2024, the Company’s foreign subsidiaries have approximately $938,763 of net operating loss carry forwards, of which $254,294 will expire, if unused between 2028 and 2041, and the remaining $684,469 are allowed to be carried forward indefinitely.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105"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F-52</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Valuation Allowances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changes in the Company’s valuation allowance on deferred tax assets for the years ended December 31, 2024 and 2023:</w:t>
      </w:r>
    </w:p>
    <w:tbl>
      <w:tblPr>
        <w:tblW w:w="5903" w:type="dxa"/>
        <w:jc w:val="left"/>
        <w:tblInd w:w="0" w:type="dxa"/>
        <w:tblLayout w:type="fixed"/>
        <w:tblCellMar>
          <w:top w:w="28" w:type="dxa"/>
          <w:left w:w="28" w:type="dxa"/>
          <w:bottom w:w="28" w:type="dxa"/>
          <w:right w:w="28" w:type="dxa"/>
        </w:tblCellMar>
      </w:tblPr>
      <w:tblGrid>
        <w:gridCol w:w="1173"/>
        <w:gridCol w:w="1031"/>
        <w:gridCol w:w="1035"/>
        <w:gridCol w:w="211"/>
        <w:gridCol w:w="826"/>
        <w:gridCol w:w="109"/>
        <w:gridCol w:w="109"/>
        <w:gridCol w:w="109"/>
        <w:gridCol w:w="109"/>
        <w:gridCol w:w="211"/>
        <w:gridCol w:w="82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change in valuation allowance was mainly due to increase in deferred tax asset related to debt extinguishment in the U.S. and increase in net operating losses in foreign jurisdictions for the year ended December 31, 2024.</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NFE recorded a valuation allowance against its US federal and state deferred tax assets to reduce the net carrying value to an amount that it believes is more likely than not to be realized. The Company concluded, based on the weight of all available positive and negative evidence, those deferred tax assets are not more likely than not to be realized and accordingly, a valuation allowance has been recorded on this deferred tax asset for the amount not supported by reversing taxable temporary differences.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recorded a valuation allowance against certain foreign deferred tax assets to reduce the net carrying value to an amount that it believes is more likely than not to be realized, generally based on cumulative losses in certain development stage jurisdictions.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Uncertain Taxes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changes in the Company’s unrecognized tax benefits for the years ended December 31, 2024 and 2023:</w:t>
      </w:r>
    </w:p>
    <w:tbl>
      <w:tblPr>
        <w:tblW w:w="5724" w:type="dxa"/>
        <w:jc w:val="left"/>
        <w:tblInd w:w="0" w:type="dxa"/>
        <w:tblLayout w:type="fixed"/>
        <w:tblCellMar>
          <w:top w:w="28" w:type="dxa"/>
          <w:left w:w="28" w:type="dxa"/>
          <w:bottom w:w="28" w:type="dxa"/>
          <w:right w:w="28" w:type="dxa"/>
        </w:tblCellMar>
      </w:tblPr>
      <w:tblGrid>
        <w:gridCol w:w="1222"/>
        <w:gridCol w:w="1074"/>
        <w:gridCol w:w="1078"/>
        <w:gridCol w:w="272"/>
        <w:gridCol w:w="524"/>
        <w:gridCol w:w="140"/>
        <w:gridCol w:w="140"/>
        <w:gridCol w:w="140"/>
        <w:gridCol w:w="140"/>
        <w:gridCol w:w="272"/>
        <w:gridCol w:w="524"/>
        <w:gridCol w:w="198"/>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in the income tax provision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Income Tax Examinations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and its subsidiaries file income tax returns in the U.S. federal and various state and local jurisdictions, as well as various foreign jurisdictions. The Company filed its first corporate U.S. federal and state income tax returns for the period ended December 31, 2019. The U.S. Federal and state income tax returns filed for tax years 2021, 2022 and 2023 are open for examination. The Company is generally open to tax examinations in other foreign jurisdictions for a period of four to six years from the filing of the income tax return.</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Undistributed Earnings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not recorded a deferred tax liability for undistributed earnings for any controlled foreign corporation as of December 31, 2024. The Company has unremitted earnings in certain jurisdictions where distributions can be made at no net tax cost. From time to time, the Company may remit these earnings. The Company has the ability and intent to indefinitely reinvest any earnings that cannot be remitted at no net tax cost. It is not practicable to estimate the amount of any additional taxes which may be payable on these undistributed earnings.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Preferential Tax Rates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subsidiaries incorporated in Bermuda. Under current Bermuda law, the Company is not required to pay taxes in Bermuda on either income or capital gains. The Company has received an undertaking from the Bermuda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106"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F-53</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government that, in the event of income or capital gain taxes being imposed, it will be exempted from such taxes until 2035. On December 27, 2023, Bermuda enacted the Bermuda Corporate Income Tax Act 2023, which institutes a corporate income tax rate of 15% effective for tax years beginning January 1, 2025. As a result, such tax exemptions will not be valid beyond such subsidiaries' taxable year ending December 31, 2024, the impact of which has been included in the tax provision and was not material.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Puerto Rican operations received tax decrees from the Puerto Rico government that affords the Company a 4% tax rate on qualifying income. The effect of the earnings taxed at a 4% foreign tax rate is included in the foreign rate differential line in the Company’s effective tax rate. For the years ended December 31, 2024 and 2023, the income tax benefits attributable to the tax decrees, before taking into consideration the impact on U.S. taxation and the associated U.S. foreign tax credits, are estimated to be approximately $142,776 ($(0.65) per share of issued and outstanding Class A common stock on a diluted basis) and $164,668 ($(0.80) per share of issued and outstanding Class A common stock on a diluted basis),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23. Commitments and contingencies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subject to certain legal and regulatory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24. Earnings per share</w:t>
      </w:r>
    </w:p>
    <w:tbl>
      <w:tblPr>
        <w:tblW w:w="9369" w:type="dxa"/>
        <w:jc w:val="left"/>
        <w:tblInd w:w="0" w:type="dxa"/>
        <w:tblLayout w:type="fixed"/>
        <w:tblCellMar>
          <w:top w:w="28" w:type="dxa"/>
          <w:left w:w="28" w:type="dxa"/>
          <w:bottom w:w="28" w:type="dxa"/>
          <w:right w:w="28" w:type="dxa"/>
        </w:tblCellMar>
      </w:tblPr>
      <w:tblGrid>
        <w:gridCol w:w="1729"/>
        <w:gridCol w:w="1514"/>
        <w:gridCol w:w="1542"/>
        <w:gridCol w:w="237"/>
        <w:gridCol w:w="949"/>
        <w:gridCol w:w="109"/>
        <w:gridCol w:w="109"/>
        <w:gridCol w:w="109"/>
        <w:gridCol w:w="109"/>
        <w:gridCol w:w="241"/>
        <w:gridCol w:w="945"/>
        <w:gridCol w:w="109"/>
        <w:gridCol w:w="109"/>
        <w:gridCol w:w="109"/>
        <w:gridCol w:w="109"/>
        <w:gridCol w:w="241"/>
        <w:gridCol w:w="945"/>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dividend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 from the preferred stock exchange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Class A common stock</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217,578,487 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209,501,298 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 - basic</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dividend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 from the preferred stock exchange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attributable to dilutive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Class A common stock</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218,622,419 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206,481,977 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209,854,413 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 - diluted</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107"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F-54</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potentially dilutive securities excluded from the computation of diluted net (loss) income per share for the years ended December 31, 2024, 2023 and 2022 because its effects would have been anti-dilutive.</w:t>
      </w:r>
    </w:p>
    <w:tbl>
      <w:tblPr>
        <w:tblW w:w="6873" w:type="dxa"/>
        <w:jc w:val="left"/>
        <w:tblInd w:w="0" w:type="dxa"/>
        <w:tblLayout w:type="fixed"/>
        <w:tblCellMar>
          <w:top w:w="28" w:type="dxa"/>
          <w:left w:w="28" w:type="dxa"/>
          <w:bottom w:w="28" w:type="dxa"/>
          <w:right w:w="28" w:type="dxa"/>
        </w:tblCellMar>
      </w:tblPr>
      <w:tblGrid>
        <w:gridCol w:w="1147"/>
        <w:gridCol w:w="1007"/>
        <w:gridCol w:w="1011"/>
        <w:gridCol w:w="488"/>
        <w:gridCol w:w="488"/>
        <w:gridCol w:w="176"/>
        <w:gridCol w:w="152"/>
        <w:gridCol w:w="152"/>
        <w:gridCol w:w="152"/>
        <w:gridCol w:w="203"/>
        <w:gridCol w:w="203"/>
        <w:gridCol w:w="176"/>
        <w:gridCol w:w="152"/>
        <w:gridCol w:w="152"/>
        <w:gridCol w:w="152"/>
        <w:gridCol w:w="459"/>
        <w:gridCol w:w="367"/>
        <w:gridCol w:w="236"/>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1,579,802 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Series B convertible preferred stock</w:t>
            </w:r>
            <w:r>
              <w:rPr>
                <w:rFonts w:ascii="Times New Roman;sans-serif" w:hAnsi="Times New Roman;sans-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6" w:before="0" w:after="30"/>
              <w:ind w:left="0" w:right="0" w:hanging="144"/>
              <w:jc w:val="left"/>
              <w:rPr/>
            </w:pPr>
            <w:r>
              <w:rPr>
                <w:rFonts w:ascii="Times New Roman;sans-serif" w:hAnsi="Times New Roman;sans-serif"/>
                <w:b w:val="false"/>
                <w:color w:val="000000"/>
                <w:sz w:val="20"/>
              </w:rPr>
              <w:t>Equity agreement shares</w:t>
            </w:r>
            <w:r>
              <w:rPr>
                <w:rFonts w:ascii="Times New Roman;sans-serif" w:hAnsi="Times New Roman;sans-serif"/>
                <w:b w:val="false"/>
                <w:color w:val="000000"/>
                <w:sz w:val="13"/>
              </w:rPr>
              <w:t>(2)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458,696 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Represents the number of unconverted Series B convertible preferred shares as of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xml:space="preserve">. In December 2024, the Company received an irrevocable conversion notice for 15,000 shares. Refer to Note 4 for terms of conversion features. </w:t>
      </w:r>
    </w:p>
    <w:p>
      <w:pPr>
        <w:pStyle w:val="TextBody"/>
        <w:bidi w:val="0"/>
        <w:spacing w:lineRule="auto" w:line="288"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Represents Class A common stock that would be issued in relation to an agreement to issue shares executed in conjunction with a prior year asset acquisition.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During the year ended December 31, 2024, the Company paid dividends on the Series A Convertible Preferred Stock of $2,493. After the exchange of the Series A Convertible Preferred Shares with the Series B Convertible Preferred Shares in October 2024, the Company paid a dividend of $969 during the fourth quarter of 2024 (Refer to </w:t>
      </w:r>
      <w:r>
        <w:rPr>
          <w:rFonts w:ascii="Times New Roman;sans-serif" w:hAnsi="Times New Roman;sans-serif"/>
          <w:b w:val="false"/>
          <w:color w:val="000000"/>
          <w:sz w:val="20"/>
        </w:rPr>
        <w:t>Note 4</w:t>
      </w:r>
      <w:r>
        <w:rPr>
          <w:rFonts w:ascii="Times New Roman;sans-serif" w:hAnsi="Times New Roman;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25. Stockholders' equity</w:t>
      </w:r>
    </w:p>
    <w:p>
      <w:pPr>
        <w:pStyle w:val="TextBody"/>
        <w:bidi w:val="0"/>
        <w:spacing w:lineRule="auto" w:line="288" w:before="240" w:after="283"/>
        <w:ind w:left="0" w:right="0" w:hanging="7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Equity issuance</w:t>
      </w:r>
    </w:p>
    <w:p>
      <w:pPr>
        <w:pStyle w:val="TextBody"/>
        <w:bidi w:val="0"/>
        <w:spacing w:lineRule="auto" w:line="288" w:before="240" w:after="283"/>
        <w:jc w:val="left"/>
        <w:rPr/>
      </w:pPr>
      <w:r>
        <w:rPr>
          <w:rFonts w:ascii="Times New Roman;sans-serif" w:hAnsi="Times New Roman;sans-serif"/>
          <w:b w:val="false"/>
          <w:color w:val="000000"/>
          <w:sz w:val="20"/>
        </w:rPr>
        <w:t xml:space="preserve">On October 1, 2024, the Company entered into an Underwriting Agreement with several underwriters to issue and sell 46,349,942 shares of the Company's Class A common stock, at a purchase price to the public of $8.63 per share, less underwriting discounts and commissions, in a registered public offering (the "Equity Offering"). The Company's Chief Executive Officer, Wesley R. Edens, agreed to purchase 5,793,742 shares at the public offering price per share and on the same terms as the other purchasers in the Equity Offering. The Equity Offering closed on October 2, 2024. </w:t>
      </w:r>
      <w:r>
        <w:rPr>
          <w:rFonts w:ascii="Times New Roman;sans-serif" w:hAnsi="Times New Roman;sans-serif"/>
          <w:b w:val="false"/>
          <w:color w:val="000000"/>
          <w:sz w:val="20"/>
          <w:shd w:fill="FFFFFF" w:val="clear"/>
        </w:rPr>
        <w:t>The Company received net proceeds of approximately $386,583 after underwriters' discounts and commissions and the estimated offering expenses payable by the Company.</w:t>
      </w:r>
    </w:p>
    <w:p>
      <w:pPr>
        <w:pStyle w:val="TextBody"/>
        <w:bidi w:val="0"/>
        <w:spacing w:lineRule="auto" w:line="288" w:before="240" w:after="283"/>
        <w:ind w:left="0" w:right="0" w:hanging="7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Dividends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declared dividends of $0.10 per share totaling $61,517 during the year ended December 31, 2024, of which $41,010 have been paid. Under certain intercompany agreements entered into in conjunction with the Refinancing Transactions completed in the fourth quarter of 2024, New Fortress Energy Inc. is no longer permitted to pay dividends to shareholders. The Company paid quarterly dividends totaling $81,976 during the year ended December 31, 2023 representing $0.10 per Class A share. During 2022, the Company’s Board of Directors approved an update to its dividend policy and declared a dividend of $626,310, representing $3.00 per Class A share, which was paid in January 2023.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During each of the years ended December 31, 2024, 2023, and 2022, the Company paid dividends of $12,076 to holders of </w:t>
      </w:r>
      <w:r>
        <w:rPr>
          <w:rFonts w:ascii="Times New Roman;sans-serif" w:hAnsi="Times New Roman;sans-serif"/>
          <w:b w:val="false"/>
          <w:color w:val="000000"/>
          <w:sz w:val="20"/>
        </w:rPr>
        <w:t>Golar LNG Partners LP's ("GMLP") 8.75% Series A Cumulative Redeemable Preferred Units (“GMLP Preferred Units”)</w:t>
      </w:r>
      <w:r>
        <w:rPr>
          <w:rFonts w:ascii="Times New Roman;sans-serif" w:hAnsi="Times New Roman;sans-serif"/>
          <w:b w:val="false"/>
          <w:color w:val="000000"/>
          <w:sz w:val="20"/>
          <w:shd w:fill="FFFFFF" w:val="clear"/>
        </w:rPr>
        <w:t>. As these equity interests have been issued by the Company’s consolidated subsidiaries, the value of the GMLP Preferred Units is recognized as non-controlling interest in the consolidated financial statements.</w:t>
      </w:r>
    </w:p>
    <w:p>
      <w:pPr>
        <w:pStyle w:val="TextBody"/>
        <w:bidi w:val="0"/>
        <w:spacing w:lineRule="auto" w:line="288" w:before="240" w:after="283"/>
        <w:jc w:val="left"/>
        <w:rPr/>
      </w:pPr>
      <w:r>
        <w:rPr>
          <w:rFonts w:ascii="Times New Roman;sans-serif" w:hAnsi="Times New Roman;sans-serif"/>
          <w:b w:val="false"/>
          <w:color w:val="000000"/>
          <w:sz w:val="20"/>
        </w:rPr>
        <w:t xml:space="preserve">Upon the sale of the vessel </w:t>
      </w:r>
      <w:r>
        <w:rPr>
          <w:rFonts w:ascii="Times New Roman;sans-serif" w:hAnsi="Times New Roman;sans-serif"/>
          <w:b w:val="false"/>
          <w:i/>
          <w:color w:val="000000"/>
          <w:sz w:val="20"/>
        </w:rPr>
        <w:t>Mazo</w:t>
      </w:r>
      <w:r>
        <w:rPr>
          <w:color w:val="000000"/>
        </w:rPr>
        <w:t xml:space="preserve"> </w:t>
      </w:r>
      <w:r>
        <w:rPr>
          <w:rFonts w:ascii="Times New Roman;sans-serif" w:hAnsi="Times New Roman;sans-serif"/>
          <w:b w:val="false"/>
          <w:color w:val="000000"/>
          <w:sz w:val="20"/>
        </w:rPr>
        <w:t xml:space="preserve">(Refer to Note 12), one of the Company's non-wholly owned subsidiaries paid a dividend using proceeds from the sale. The dividend of </w:t>
      </w:r>
      <w:r>
        <w:rPr>
          <w:rFonts w:ascii="Times New Roman;sans-serif" w:hAnsi="Times New Roman;sans-serif"/>
          <w:b w:val="false"/>
          <w:color w:val="000000"/>
          <w:sz w:val="20"/>
          <w:shd w:fill="FFFFFF" w:val="clear"/>
        </w:rPr>
        <w:t>$8,662 paid to the other shareholder in this subsidiary was recognized as a reduction to non-controlling interest during the first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108"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F-55</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26. Share-based compensation</w:t>
      </w:r>
    </w:p>
    <w:p>
      <w:pPr>
        <w:pStyle w:val="TextBody"/>
        <w:bidi w:val="0"/>
        <w:spacing w:lineRule="auto" w:line="288" w:before="240" w:after="283"/>
        <w:jc w:val="left"/>
        <w:rPr/>
      </w:pPr>
      <w:r>
        <w:rPr>
          <w:rFonts w:ascii="Times New Roman;sans-serif" w:hAnsi="Times New Roman;sans-serif"/>
          <w:b w:val="false"/>
          <w:color w:val="000000"/>
          <w:sz w:val="20"/>
        </w:rPr>
        <w:t>The Company has granted RSUs to select officers, employees and certain non-employees under the Incentive Plan. The fair value of RSUs on the grant date is estimated based on the clo</w:t>
      </w:r>
      <w:r>
        <w:rPr>
          <w:rFonts w:ascii="Times New Roman;sans-serif" w:hAnsi="Times New Roman;sans-serif"/>
          <w:b w:val="false"/>
          <w:color w:val="000000"/>
          <w:sz w:val="20"/>
          <w:shd w:fill="FFFFFF" w:val="clear"/>
        </w:rPr>
        <w:t>sing price of the underlying shares on the grant date. The following table summarizes the RSU activity for the year</w:t>
      </w:r>
      <w:r>
        <w:rPr>
          <w:color w:val="000000"/>
        </w:rPr>
        <w:t xml:space="preserve"> </w:t>
      </w:r>
      <w:r>
        <w:rPr>
          <w:rFonts w:ascii="Times New Roman;sans-serif" w:hAnsi="Times New Roman;sans-serif"/>
          <w:b w:val="false"/>
          <w:color w:val="000000"/>
          <w:sz w:val="20"/>
        </w:rPr>
        <w:t>ended December 31, 2024</w:t>
      </w:r>
      <w:r>
        <w:rPr>
          <w:rFonts w:ascii="Times New Roman;sans-serif" w:hAnsi="Times New Roman;sans-serif"/>
          <w:b w:val="false"/>
          <w:color w:val="000000"/>
          <w:sz w:val="20"/>
          <w:shd w:fill="FFFFFF" w:val="clear"/>
        </w:rPr>
        <w:t>:</w:t>
      </w:r>
    </w:p>
    <w:tbl>
      <w:tblPr>
        <w:tblW w:w="7163" w:type="dxa"/>
        <w:jc w:val="left"/>
        <w:tblInd w:w="0" w:type="dxa"/>
        <w:tblLayout w:type="fixed"/>
        <w:tblCellMar>
          <w:top w:w="28" w:type="dxa"/>
          <w:left w:w="28" w:type="dxa"/>
          <w:bottom w:w="28" w:type="dxa"/>
          <w:right w:w="28" w:type="dxa"/>
        </w:tblCellMar>
      </w:tblPr>
      <w:tblGrid>
        <w:gridCol w:w="1299"/>
        <w:gridCol w:w="1139"/>
        <w:gridCol w:w="1146"/>
        <w:gridCol w:w="526"/>
        <w:gridCol w:w="524"/>
        <w:gridCol w:w="491"/>
        <w:gridCol w:w="109"/>
        <w:gridCol w:w="109"/>
        <w:gridCol w:w="109"/>
        <w:gridCol w:w="368"/>
        <w:gridCol w:w="1074"/>
        <w:gridCol w:w="269"/>
      </w:tblGrid>
      <w:tr>
        <w:trPr/>
        <w:tc>
          <w:tcPr>
            <w:tcW w:w="129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w:t>
              <w:br/>
              <w:t xml:space="preserve">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grant date fair</w:t>
              <w:br/>
              <w:t>value per share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RSUs as of December 31, 2023</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32,327 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2,786,112 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(91,362)</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(1,147,275)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RSUs as of December 31, 2024</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1,579,802 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non-vested RSUs vest over periods from 10 months to approximately </w:t>
      </w:r>
      <w:r>
        <w:rPr>
          <w:rFonts w:ascii="Times New Roman;sans-serif" w:hAnsi="Times New Roman;sans-serif"/>
          <w:b w:val="false"/>
          <w:color w:val="000000"/>
          <w:sz w:val="20"/>
        </w:rPr>
        <w:t>two years</w:t>
      </w:r>
      <w:r>
        <w:rPr>
          <w:color w:val="000000"/>
          <w:shd w:fill="FFFFFF" w:val="clear"/>
        </w:rPr>
        <w:t xml:space="preserve"> </w:t>
      </w:r>
      <w:r>
        <w:rPr>
          <w:rFonts w:ascii="Times New Roman;sans-serif" w:hAnsi="Times New Roman;sans-serif"/>
          <w:b w:val="false"/>
          <w:color w:val="000000"/>
          <w:sz w:val="20"/>
          <w:shd w:fill="FFFFFF" w:val="clear"/>
        </w:rPr>
        <w:t xml:space="preserve">following the grant date. The weighted-average remaining vesting period of non-vested RSUs totaled </w:t>
      </w:r>
      <w:r>
        <w:rPr>
          <w:rFonts w:ascii="Times New Roman;sans-serif" w:hAnsi="Times New Roman;sans-serif"/>
          <w:b w:val="false"/>
          <w:color w:val="000000"/>
          <w:sz w:val="20"/>
        </w:rPr>
        <w:t>0.5</w:t>
      </w:r>
      <w:r>
        <w:rPr>
          <w:color w:val="000000"/>
          <w:shd w:fill="FFFFFF" w:val="clear"/>
        </w:rPr>
        <w:t xml:space="preserve"> </w:t>
      </w:r>
      <w:r>
        <w:rPr>
          <w:rFonts w:ascii="Times New Roman;sans-serif" w:hAnsi="Times New Roman;sans-serif"/>
          <w:b w:val="false"/>
          <w:color w:val="000000"/>
          <w:sz w:val="20"/>
          <w:shd w:fill="FFFFFF" w:val="clear"/>
        </w:rPr>
        <w:t xml:space="preserve">years as of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For the years ended </w:t>
      </w:r>
      <w:r>
        <w:rPr>
          <w:rFonts w:ascii="Times New Roman;sans-serif" w:hAnsi="Times New Roman;sans-serif"/>
          <w:b w:val="false"/>
          <w:color w:val="000000"/>
          <w:sz w:val="20"/>
        </w:rPr>
        <w:t xml:space="preserve">December 31, 2024,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shd w:fill="FFFFFF" w:val="clear"/>
        </w:rPr>
        <w:t>2022, the Company recognized compensation costs associated with equity awards in the Consolidated Statements of Operations and Comprehensive (Loss) Income</w:t>
      </w:r>
      <w:r>
        <w:rPr>
          <w:color w:val="000000"/>
        </w:rPr>
        <w:t xml:space="preserve"> </w:t>
      </w:r>
      <w:r>
        <w:rPr>
          <w:rFonts w:ascii="Times New Roman;sans-serif" w:hAnsi="Times New Roman;sans-serif"/>
          <w:b w:val="false"/>
          <w:color w:val="000000"/>
          <w:sz w:val="20"/>
        </w:rPr>
        <w:t>as follows:</w:t>
      </w:r>
    </w:p>
    <w:tbl>
      <w:tblPr>
        <w:tblW w:w="10205" w:type="dxa"/>
        <w:jc w:val="left"/>
        <w:tblInd w:w="0" w:type="dxa"/>
        <w:tblLayout w:type="fixed"/>
        <w:tblCellMar>
          <w:top w:w="28" w:type="dxa"/>
          <w:left w:w="28" w:type="dxa"/>
          <w:bottom w:w="28" w:type="dxa"/>
          <w:right w:w="28" w:type="dxa"/>
        </w:tblCellMar>
      </w:tblPr>
      <w:tblGrid>
        <w:gridCol w:w="1097"/>
        <w:gridCol w:w="936"/>
        <w:gridCol w:w="939"/>
        <w:gridCol w:w="486"/>
        <w:gridCol w:w="1663"/>
        <w:gridCol w:w="251"/>
        <w:gridCol w:w="535"/>
        <w:gridCol w:w="1568"/>
        <w:gridCol w:w="280"/>
        <w:gridCol w:w="475"/>
        <w:gridCol w:w="1624"/>
        <w:gridCol w:w="351"/>
      </w:tblGrid>
      <w:tr>
        <w:trPr/>
        <w:tc>
          <w:tcPr>
            <w:tcW w:w="109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2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2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30,382 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the second quarter of 2024, the Company granted an equity award to certain employees that will settle in shares of a subsidiary owning the Company's Brazilian operations. The grant date fair value of this award was </w:t>
      </w:r>
      <w:r>
        <w:rPr>
          <w:rFonts w:ascii="Times New Roman;sans-serif" w:hAnsi="Times New Roman;sans-serif"/>
          <w:b w:val="false"/>
          <w:color w:val="000000"/>
          <w:sz w:val="20"/>
        </w:rPr>
        <w:t>$53,958</w:t>
      </w:r>
      <w:r>
        <w:rPr>
          <w:rFonts w:ascii="Times New Roman;sans-serif" w:hAnsi="Times New Roman;sans-serif"/>
          <w:b w:val="false"/>
          <w:color w:val="000000"/>
          <w:sz w:val="20"/>
          <w:shd w:fill="FFFFFF" w:val="clear"/>
        </w:rPr>
        <w:t xml:space="preserve">, and the award contains a service condition that will vest in annual increments through </w:t>
      </w:r>
      <w:r>
        <w:rPr>
          <w:rFonts w:ascii="Times New Roman;sans-serif" w:hAnsi="Times New Roman;sans-serif"/>
          <w:b w:val="false"/>
          <w:color w:val="000000"/>
          <w:sz w:val="20"/>
        </w:rPr>
        <w:t>March 31, 2027</w:t>
      </w:r>
      <w:r>
        <w:rPr>
          <w:rFonts w:ascii="Times New Roman;sans-serif" w:hAnsi="Times New Roman;sans-serif"/>
          <w:b w:val="false"/>
          <w:color w:val="000000"/>
          <w:sz w:val="20"/>
          <w:shd w:fill="FFFFFF" w:val="clear"/>
        </w:rPr>
        <w:t xml:space="preserve">. Compensation expense of </w:t>
      </w:r>
      <w:r>
        <w:rPr>
          <w:rFonts w:ascii="Times New Roman;sans-serif" w:hAnsi="Times New Roman;sans-serif"/>
          <w:b w:val="false"/>
          <w:color w:val="000000"/>
          <w:sz w:val="20"/>
        </w:rPr>
        <w:t>$11,537 for the year ended December 31, 2024</w:t>
      </w:r>
      <w:r>
        <w:rPr>
          <w:color w:val="000000"/>
          <w:shd w:fill="FFFFFF" w:val="clear"/>
        </w:rPr>
        <w:t xml:space="preserve"> </w:t>
      </w:r>
      <w:r>
        <w:rPr>
          <w:rFonts w:ascii="Times New Roman;sans-serif" w:hAnsi="Times New Roman;sans-serif"/>
          <w:b w:val="false"/>
          <w:color w:val="000000"/>
          <w:sz w:val="20"/>
          <w:shd w:fill="FFFFFF" w:val="clear"/>
        </w:rPr>
        <w:t xml:space="preserve">associated with this award is included in the table above.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2021 and 2022, the Company granted PSUs to certain employees and non-employees that contain a performance condition under the Incentive Plan. Vesting was determined based on achievement of a performance metric for the year subsequent to the grant, and the number of shares that would vest can range from zero to a multiple of units granted. As of December 31, 2023, the Company determined that it was not probable that the performance condition required for the PSUs granted in 2022 to vest would be achieved, and as such, no compensation expense was recognized for this award. During the fourth quarter of 2022, the Company determined that the PSUs granted in 2021 would vest at a multiple of two, resulting in vesting of 681,204 PSUs. Compensation cost for the service period since the grant date of $27,705 was recognized in 2022, and this compensation expense is included in the table above.</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During the year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the Company recognized a reversal of cumulative compensation expense of </w:t>
      </w:r>
      <w:r>
        <w:rPr>
          <w:rFonts w:ascii="Times New Roman;sans-serif" w:hAnsi="Times New Roman;sans-serif"/>
          <w:b w:val="false"/>
          <w:color w:val="000000"/>
          <w:sz w:val="20"/>
        </w:rPr>
        <w:t xml:space="preserve">$13,584 </w:t>
      </w:r>
      <w:r>
        <w:rPr>
          <w:rFonts w:ascii="Times New Roman;sans-serif" w:hAnsi="Times New Roman;sans-serif"/>
          <w:b w:val="false"/>
          <w:color w:val="000000"/>
          <w:sz w:val="20"/>
          <w:shd w:fill="FFFFFF" w:val="clear"/>
        </w:rPr>
        <w:t xml:space="preserve">for forfeited RSU awards; no significant reversals of compensation cost were recorded in the years ended December 31, 2023 and 2022. The Company recognizes the income tax benefits resulting from vesting of RSUs in the period of vesting, to the extent the compensation expense has been recognized. As of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unrecognized compensation costs from non-vested RSUs was </w:t>
      </w:r>
      <w:r>
        <w:rPr>
          <w:rFonts w:ascii="Times New Roman;sans-serif" w:hAnsi="Times New Roman;sans-serif"/>
          <w:b w:val="false"/>
          <w:color w:val="000000"/>
          <w:sz w:val="20"/>
        </w:rPr>
        <w:t xml:space="preserve">$14,420, and unrecognized compensation costs for other equity awards </w:t>
      </w:r>
      <w:r>
        <w:rPr>
          <w:rFonts w:ascii="Times New Roman;sans-serif" w:hAnsi="Times New Roman;sans-serif"/>
          <w:b w:val="false"/>
          <w:color w:val="000000"/>
          <w:sz w:val="20"/>
          <w:shd w:fill="FFFFFF" w:val="clear"/>
        </w:rPr>
        <w:t>that will settle in shares of a subsidiary owning the Company's Brazilian operations</w:t>
      </w:r>
      <w:r>
        <w:rPr>
          <w:color w:val="000000"/>
        </w:rPr>
        <w:t xml:space="preserve"> </w:t>
      </w:r>
      <w:r>
        <w:rPr>
          <w:rFonts w:ascii="Times New Roman;sans-serif" w:hAnsi="Times New Roman;sans-serif"/>
          <w:b w:val="false"/>
          <w:color w:val="000000"/>
          <w:sz w:val="20"/>
        </w:rPr>
        <w:t>was $42,422</w:t>
      </w:r>
      <w:r>
        <w:rPr>
          <w:rFonts w:ascii="Times New Roman;sans-serif" w:hAnsi="Times New Roman;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109"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F-56</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27. Related party transactions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Management services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Messrs. Edens, chief executive officer and chairman of the Board of Directors, and Nardone, member of the Board of Directors,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$6,822, $5,845 and $5,087 for the years ended December 31, 2024, 2023 and 2022, respectively. Costs associated with the Administrative Agreement are included within Selling, general and administrative in the Consolidated Statements of Operations and Comprehensive (Loss) Income. As of December 31, 2024 and 2023, $6,755 and $5,691 were due to Fortress, respectively.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administrative services, Mr. Edens owns an aircraft that the Company charters from a third party operator for business purposes in the ordinary course of operations. The Company incurred, at aircraft operator rates, charter costs of $2,126, $2,784 and $3,714 for the years ended December 31, 2024, 2023 and 2022, respectively. As of December 31, 2024 and 2023, $1,146 and $1,095 was due to this affiliate,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Fortress affiliated entities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provides certain administrative services to related parties including entities affiliated with Fortress. No costs are incurred for such administrative services by the Company as the Company is fully reimbursed for all costs incurred. The Company has subleased a portion of office space to affiliates of entities managed by Fortress, and for the years ended December 31, 2024, 2023 and 2022, </w:t>
      </w:r>
      <w:r>
        <w:rPr>
          <w:rFonts w:ascii="Times New Roman;sans-serif" w:hAnsi="Times New Roman;sans-serif"/>
          <w:b w:val="false"/>
          <w:color w:val="000000"/>
          <w:sz w:val="20"/>
        </w:rPr>
        <w:t>r</w:t>
      </w:r>
      <w:r>
        <w:rPr>
          <w:rFonts w:ascii="Times New Roman;sans-serif" w:hAnsi="Times New Roman;sans-serif"/>
          <w:b w:val="false"/>
          <w:color w:val="000000"/>
          <w:sz w:val="20"/>
          <w:shd w:fill="FFFFFF" w:val="clear"/>
        </w:rPr>
        <w:t xml:space="preserve">ent and office related expenses of </w:t>
      </w:r>
      <w:r>
        <w:rPr>
          <w:rFonts w:ascii="Times New Roman;sans-serif" w:hAnsi="Times New Roman;sans-serif"/>
          <w:b w:val="false"/>
          <w:color w:val="000000"/>
          <w:sz w:val="20"/>
        </w:rPr>
        <w:t xml:space="preserve">$1,080, $913 and $857 </w:t>
      </w:r>
      <w:r>
        <w:rPr>
          <w:rFonts w:ascii="Times New Roman;sans-serif" w:hAnsi="Times New Roman;sans-serif"/>
          <w:b w:val="false"/>
          <w:color w:val="000000"/>
          <w:sz w:val="20"/>
          <w:shd w:fill="FFFFFF" w:val="clear"/>
        </w:rPr>
        <w:t xml:space="preserve">were incurred by these affiliates, respectively. As of December 31, 2024 and 2023, </w:t>
      </w:r>
      <w:r>
        <w:rPr>
          <w:rFonts w:ascii="Times New Roman;sans-serif" w:hAnsi="Times New Roman;sans-serif"/>
          <w:b w:val="false"/>
          <w:color w:val="000000"/>
          <w:sz w:val="20"/>
        </w:rPr>
        <w:t>$2,637</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$1,547</w:t>
      </w:r>
      <w:r>
        <w:rPr>
          <w:color w:val="000000"/>
          <w:shd w:fill="FFFFFF" w:val="clear"/>
        </w:rPr>
        <w:t xml:space="preserve"> </w:t>
      </w:r>
      <w:r>
        <w:rPr>
          <w:rFonts w:ascii="Times New Roman;sans-serif" w:hAnsi="Times New Roman;sans-serif"/>
          <w:b w:val="false"/>
          <w:color w:val="000000"/>
          <w:sz w:val="20"/>
          <w:shd w:fill="FFFFFF" w:val="clear"/>
        </w:rPr>
        <w:t>were due from affiliates, respectively.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$912, $2,702 and $2,453 for the years ended December 31, 2024, 2023 and 2022, respectively. In May 2024, this affiliate assigned the office lease to the Company, and after this point, the Company no longer incurs rent expense with this affiliate. As of December 31, 2024 and 2023, $3,614 and $2,702 were due to Fortress affiliated entities,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Land leases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Prior to the sale of the Company's Miami Facility in the fourth quarter of 2024, the Company leased land from Florida East Coast Industries, LLC (“FECI”), which is controlled by funds managed by an affiliate of Fortress. The Company recognized expense related to the land lease of $349, $505 and $506 during the years ended December 31, 2024, 2023 and 2022, respectively, which was included within Operations and maintenance in the Consolidated Statements of Operations and Comprehensive (Loss) Income. No amounts are due to FECI as of December 31, 2024. </w:t>
      </w:r>
      <w:r>
        <w:rPr>
          <w:rFonts w:ascii="Times New Roman;sans-serif" w:hAnsi="Times New Roman;sans-serif"/>
          <w:b w:val="false"/>
          <w:color w:val="000000"/>
          <w:sz w:val="20"/>
        </w:rPr>
        <w:t xml:space="preserve">The Company has amounts due to FECI of $92 and had recorded a lease liability of </w:t>
      </w:r>
      <w:r>
        <w:rPr>
          <w:rFonts w:ascii="Times New Roman;sans-serif" w:hAnsi="Times New Roman;sans-serif"/>
          <w:b w:val="false"/>
          <w:color w:val="000000"/>
          <w:sz w:val="20"/>
          <w:shd w:fill="FFFFFF" w:val="clear"/>
        </w:rPr>
        <w:t>$3,368</w:t>
      </w:r>
      <w:r>
        <w:rPr>
          <w:color w:val="000000"/>
        </w:rPr>
        <w:t xml:space="preserve"> </w:t>
      </w: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 xml:space="preserve">December 31, 2023. </w:t>
      </w:r>
    </w:p>
    <w:p>
      <w:pPr>
        <w:pStyle w:val="TextBody"/>
        <w:bidi w:val="0"/>
        <w:spacing w:lineRule="auto" w:line="288" w:before="240" w:after="283"/>
        <w:jc w:val="left"/>
        <w:rPr/>
      </w:pPr>
      <w:r>
        <w:rPr>
          <w:rFonts w:ascii="Times New Roman;sans-serif" w:hAnsi="Times New Roman;sans-serif"/>
          <w:b w:val="false"/>
          <w:color w:val="000000"/>
          <w:sz w:val="20"/>
        </w:rPr>
        <w:t xml:space="preserve">In September 2023, the Company entered into a lease agreement to lease land from Jefferson Terminal South LLC, which is an indirect, majority-owned subsidiary of a public company which is managed by an affiliate of Fortress. The Company recognized expense related to the land lease of </w:t>
      </w:r>
      <w:r>
        <w:rPr>
          <w:rFonts w:ascii="Times New Roman;sans-serif" w:hAnsi="Times New Roman;sans-serif"/>
          <w:b w:val="false"/>
          <w:color w:val="000000"/>
          <w:sz w:val="20"/>
          <w:shd w:fill="FFFFFF" w:val="clear"/>
        </w:rPr>
        <w:t>$731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$0</w:t>
      </w:r>
      <w:r>
        <w:rPr>
          <w:color w:val="000000"/>
        </w:rPr>
        <w:t xml:space="preserve"> </w:t>
      </w:r>
      <w:r>
        <w:rPr>
          <w:rFonts w:ascii="Times New Roman;sans-serif" w:hAnsi="Times New Roman;sans-serif"/>
          <w:b w:val="false"/>
          <w:color w:val="000000"/>
          <w:sz w:val="20"/>
        </w:rPr>
        <w:t xml:space="preserve">during the years ended </w:t>
      </w:r>
      <w:r>
        <w:rPr>
          <w:rFonts w:ascii="Times New Roman;sans-serif" w:hAnsi="Times New Roman;sans-serif"/>
          <w:b w:val="false"/>
          <w:color w:val="000000"/>
          <w:sz w:val="20"/>
          <w:shd w:fill="FFFFFF" w:val="clear"/>
        </w:rPr>
        <w:t xml:space="preserve">December 31, 2024 and 2023, respectively, </w:t>
      </w:r>
      <w:r>
        <w:rPr>
          <w:rFonts w:ascii="Times New Roman;sans-serif" w:hAnsi="Times New Roman;sans-serif"/>
          <w:b w:val="false"/>
          <w:color w:val="000000"/>
          <w:sz w:val="20"/>
        </w:rPr>
        <w:t xml:space="preserve">which was included within Operations and maintenance in the </w:t>
      </w:r>
      <w:r>
        <w:rPr>
          <w:rFonts w:ascii="Times New Roman;sans-serif" w:hAnsi="Times New Roman;sans-serif"/>
          <w:b w:val="false"/>
          <w:color w:val="000000"/>
          <w:sz w:val="20"/>
          <w:shd w:fill="FFFFFF" w:val="clear"/>
        </w:rPr>
        <w:t xml:space="preserve">Consolidated Statements of Operations and Comprehensive (Loss) Income. </w:t>
      </w: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 xml:space="preserve">the Company recorded a right-of-use asset of $3,530 and a lease liability of $4,474 on the </w:t>
      </w:r>
      <w:r>
        <w:rPr>
          <w:rFonts w:ascii="Times New Roman;sans-serif" w:hAnsi="Times New Roman;sans-serif"/>
          <w:b w:val="false"/>
          <w:color w:val="000000"/>
          <w:sz w:val="20"/>
          <w:shd w:fill="FFFFFF" w:val="clear"/>
        </w:rPr>
        <w:t>Consolidated Balance Sheets</w:t>
      </w:r>
      <w:r>
        <w:rPr>
          <w:rFonts w:ascii="Times New Roman;sans-serif" w:hAnsi="Times New Roman;sans-serif"/>
          <w:b w:val="false"/>
          <w:color w:val="000000"/>
          <w:sz w:val="20"/>
        </w:rPr>
        <w:t xml:space="preserve">. As of </w:t>
      </w:r>
      <w:r>
        <w:rPr>
          <w:rFonts w:ascii="Times New Roman;sans-serif" w:hAnsi="Times New Roman;sans-serif"/>
          <w:b w:val="false"/>
          <w:color w:val="000000"/>
          <w:sz w:val="20"/>
          <w:shd w:fill="FFFFFF" w:val="clear"/>
        </w:rPr>
        <w:t xml:space="preserve">December 31, 2023, the Company </w:t>
      </w:r>
      <w:r>
        <w:rPr>
          <w:rFonts w:ascii="Times New Roman;sans-serif" w:hAnsi="Times New Roman;sans-serif"/>
          <w:b w:val="false"/>
          <w:color w:val="000000"/>
          <w:sz w:val="20"/>
        </w:rPr>
        <w:t xml:space="preserve">recorded a right-of-use asset of $3,885 and a lease liability of $4,098 on the </w:t>
      </w:r>
      <w:r>
        <w:rPr>
          <w:rFonts w:ascii="Times New Roman;sans-serif" w:hAnsi="Times New Roman;sans-serif"/>
          <w:b w:val="false"/>
          <w:color w:val="000000"/>
          <w:sz w:val="20"/>
          <w:shd w:fill="FFFFFF" w:val="clear"/>
        </w:rPr>
        <w:t>Consolidated Balance Sheets.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DevTech investment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non-controlling interest in the Company’s consolidated financial statements. The Company recognized approximately $537, $424 and $408 in expense within Selling, general and administrative for the years ended December 31, 2024, 2023 and 2022, respectively. As of December 31, 2024 and 2023, $149 and $106 were due to DevTech,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110" name="Frame1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F-57</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28. Customer concentrations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 ended December 31, 2024, revenue from three significant customers constituted 48% of total revenue; no other customers comprised more than 10% of our revenue. For the year ended December 31, 2023, revenue from two significant customers constituted 47% of the total revenue. For the year ended December 31, 2022, revenue from two significant customers constituted 42% of the total revenue. These customers’ revenues are included in the Company’s Terminals and Infrastructure segment.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years ended December 31, 2024, 2023 and 2022, revenue from external customers that were derived from customers located in the United States were $1,045,654, $1,060,678 and $246,628, respectively, and from customers outside of the United States were $1,319,206, $1,352,618, and $2,121,644, respectively. The Company attributes revenue from customers to the country in which the party to the applicable agreement has its principal place of business.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and 2023, long lived assets, which are all non-current assets excluding investment in equity securities, restricted cash, deferred tax assets, goodwill, intangible assets and assets held for sale located in the United States were $1,529,478 and $1,744,591, respectively, and long lived assets located outside of the United States were $8,655,996 and $6,938,199, respectively, primarily located in Brazil and the Caribbean.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29. Segments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the Company operates in two reportable segments: Terminals and Infrastructure and Ships: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Terminals and Infrastructure</w:t>
      </w:r>
      <w:r>
        <w:rPr>
          <w:color w:val="000000"/>
          <w:shd w:fill="FFFFFF" w:val="clear"/>
        </w:rPr>
        <w:t xml:space="preserve"> </w:t>
      </w:r>
      <w:r>
        <w:rPr>
          <w:rFonts w:ascii="Times New Roman;sans-serif" w:hAnsi="Times New Roman;sans-serif"/>
          <w:b w:val="false"/>
          <w:color w:val="000000"/>
          <w:sz w:val="20"/>
          <w:shd w:fill="FFFFFF" w:val="clear"/>
        </w:rPr>
        <w:t>includes the Company’s vertically integrated gas to power solutions, spanning the entire production and delivery chain from natural gas procurement and liquefaction to logistics, shipping, facilities and conversion or development of natural gas-fired power generation. Vessels that are utilized in the Company’s terminal, logistics or sub-charter operations</w:t>
      </w:r>
      <w:r>
        <w:rPr>
          <w:color w:val="000000"/>
        </w:rPr>
        <w:t xml:space="preserve"> </w:t>
      </w:r>
      <w:r>
        <w:rPr>
          <w:rFonts w:ascii="Times New Roman;sans-serif" w:hAnsi="Times New Roman;sans-serif"/>
          <w:b w:val="false"/>
          <w:color w:val="000000"/>
          <w:sz w:val="20"/>
        </w:rPr>
        <w:t>are included in this segment.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Terminals and Infrastructure Operating Margin included the Company’s effective share of revenues, expenses and operating margin attributable to the Company's 50% investment in CELSEPAR; the Company disposed of this investment in the fourth quarter of 2022.</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Terminal and Infrastructure segment includes realized gains and losses from the settlement of derivative transactions entered into as economic hedges to reduce market risks associated with commodity prices.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Ships</w:t>
      </w:r>
      <w:r>
        <w:rPr>
          <w:color w:val="000000"/>
          <w:shd w:fill="FFFFFF" w:val="clear"/>
        </w:rPr>
        <w:t xml:space="preserve"> </w:t>
      </w:r>
      <w:r>
        <w:rPr>
          <w:rFonts w:ascii="Times New Roman;sans-serif" w:hAnsi="Times New Roman;sans-serif"/>
          <w:b w:val="false"/>
          <w:color w:val="000000"/>
          <w:sz w:val="20"/>
          <w:shd w:fill="FFFFFF" w:val="clear"/>
        </w:rPr>
        <w:t xml:space="preserve">includes </w:t>
      </w:r>
      <w:r>
        <w:rPr>
          <w:rFonts w:ascii="Times New Roman;sans-serif" w:hAnsi="Times New Roman;sans-serif"/>
          <w:b w:val="false"/>
          <w:color w:val="000000"/>
          <w:sz w:val="20"/>
        </w:rPr>
        <w:t>vessels that are currently chartered to third parties under long-term arrangements and are part of the Energos Formation Transaction;</w:t>
      </w:r>
      <w:r>
        <w:rPr>
          <w:color w:val="000000"/>
          <w:shd w:fill="FFFFFF" w:val="clear"/>
        </w:rPr>
        <w:t xml:space="preserve"> </w:t>
      </w:r>
      <w:r>
        <w:rPr>
          <w:rFonts w:ascii="Times New Roman;sans-serif" w:hAnsi="Times New Roman;sans-serif"/>
          <w:b w:val="false"/>
          <w:color w:val="000000"/>
          <w:sz w:val="20"/>
          <w:shd w:fill="FFFFFF" w:val="clear"/>
        </w:rPr>
        <w:t>three vessels are currently included in this segment. The Company’s investment in Energos was also included in the Ships segment prior to the disposition of this investment in the first quarter of 2024. Ships Operating Margin also included the Company's effective share of revenue, expenses and operating margin attributable to ownership of the common units of Hilli LLC prior to the disposition of this investment in the first quarter of 2023.</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Company's CEO who is 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The CODM includes deferred earnings from contracted sales for which a prepayment was received in the current period in the segment measure.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CODM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111" name="Frame1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F-58</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below presents segment information for the years ended December 31, 2024, 2023 and 2022:</w:t>
      </w:r>
    </w:p>
    <w:tbl>
      <w:tblPr>
        <w:tblW w:w="10205" w:type="dxa"/>
        <w:jc w:val="left"/>
        <w:tblInd w:w="0" w:type="dxa"/>
        <w:tblLayout w:type="fixed"/>
        <w:tblCellMar>
          <w:top w:w="28" w:type="dxa"/>
          <w:left w:w="28" w:type="dxa"/>
          <w:bottom w:w="28" w:type="dxa"/>
          <w:right w:w="28" w:type="dxa"/>
        </w:tblCellMar>
      </w:tblPr>
      <w:tblGrid>
        <w:gridCol w:w="762"/>
        <w:gridCol w:w="552"/>
        <w:gridCol w:w="554"/>
        <w:gridCol w:w="109"/>
        <w:gridCol w:w="109"/>
        <w:gridCol w:w="109"/>
        <w:gridCol w:w="211"/>
        <w:gridCol w:w="1081"/>
        <w:gridCol w:w="109"/>
        <w:gridCol w:w="109"/>
        <w:gridCol w:w="109"/>
        <w:gridCol w:w="109"/>
        <w:gridCol w:w="211"/>
        <w:gridCol w:w="841"/>
        <w:gridCol w:w="109"/>
        <w:gridCol w:w="109"/>
        <w:gridCol w:w="109"/>
        <w:gridCol w:w="109"/>
        <w:gridCol w:w="211"/>
        <w:gridCol w:w="1081"/>
        <w:gridCol w:w="109"/>
        <w:gridCol w:w="109"/>
        <w:gridCol w:w="109"/>
        <w:gridCol w:w="109"/>
        <w:gridCol w:w="237"/>
        <w:gridCol w:w="930"/>
        <w:gridCol w:w="124"/>
        <w:gridCol w:w="109"/>
        <w:gridCol w:w="109"/>
        <w:gridCol w:w="109"/>
        <w:gridCol w:w="211"/>
        <w:gridCol w:w="1081"/>
        <w:gridCol w:w="156"/>
      </w:tblGrid>
      <w:tr>
        <w:trPr/>
        <w:tc>
          <w:tcPr>
            <w:tcW w:w="76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tc>
      </w:tr>
      <w:tr>
        <w:trPr/>
        <w:tc>
          <w:tcPr>
            <w:tcW w:w="1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73"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(5)</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1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2,364,860 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Less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1,064,667 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r>
              <w:rPr>
                <w:rFonts w:ascii="Times New Roman;sans-serif" w:hAnsi="Times New Roman;sans-serif"/>
                <w:b w:val="false"/>
                <w:color w:val="000000"/>
                <w:sz w:val="20"/>
              </w:rPr>
              <w:t>Deferred earnings from contracted sales</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955,293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137,215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1,092,508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1,092,508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12,309,565 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12,867,496 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segmental financial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2,274,435 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5"/>
        <w:gridCol w:w="579"/>
        <w:gridCol w:w="581"/>
        <w:gridCol w:w="109"/>
        <w:gridCol w:w="109"/>
        <w:gridCol w:w="109"/>
        <w:gridCol w:w="213"/>
        <w:gridCol w:w="1001"/>
        <w:gridCol w:w="110"/>
        <w:gridCol w:w="109"/>
        <w:gridCol w:w="109"/>
        <w:gridCol w:w="109"/>
        <w:gridCol w:w="211"/>
        <w:gridCol w:w="841"/>
        <w:gridCol w:w="109"/>
        <w:gridCol w:w="109"/>
        <w:gridCol w:w="109"/>
        <w:gridCol w:w="109"/>
        <w:gridCol w:w="211"/>
        <w:gridCol w:w="1081"/>
        <w:gridCol w:w="109"/>
        <w:gridCol w:w="109"/>
        <w:gridCol w:w="109"/>
        <w:gridCol w:w="109"/>
        <w:gridCol w:w="234"/>
        <w:gridCol w:w="935"/>
        <w:gridCol w:w="122"/>
        <w:gridCol w:w="109"/>
        <w:gridCol w:w="109"/>
        <w:gridCol w:w="109"/>
        <w:gridCol w:w="211"/>
        <w:gridCol w:w="1081"/>
        <w:gridCol w:w="156"/>
      </w:tblGrid>
      <w:tr>
        <w:trPr/>
        <w:tc>
          <w:tcPr>
            <w:tcW w:w="78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1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88"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(5)</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1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2,141,085 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Less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1,209,472</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242,218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1,451,690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(128,069)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1,323,621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 </w:t>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9,680,917 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10,501,245 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segmental financial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3,461,659 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3,469,227 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112"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F-59</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797"/>
        <w:gridCol w:w="592"/>
        <w:gridCol w:w="595"/>
        <w:gridCol w:w="109"/>
        <w:gridCol w:w="109"/>
        <w:gridCol w:w="109"/>
        <w:gridCol w:w="214"/>
        <w:gridCol w:w="995"/>
        <w:gridCol w:w="112"/>
        <w:gridCol w:w="109"/>
        <w:gridCol w:w="109"/>
        <w:gridCol w:w="109"/>
        <w:gridCol w:w="211"/>
        <w:gridCol w:w="976"/>
        <w:gridCol w:w="109"/>
        <w:gridCol w:w="109"/>
        <w:gridCol w:w="109"/>
        <w:gridCol w:w="109"/>
        <w:gridCol w:w="212"/>
        <w:gridCol w:w="997"/>
        <w:gridCol w:w="109"/>
        <w:gridCol w:w="109"/>
        <w:gridCol w:w="109"/>
        <w:gridCol w:w="109"/>
        <w:gridCol w:w="234"/>
        <w:gridCol w:w="935"/>
        <w:gridCol w:w="122"/>
        <w:gridCol w:w="109"/>
        <w:gridCol w:w="109"/>
        <w:gridCol w:w="109"/>
        <w:gridCol w:w="211"/>
        <w:gridCol w:w="991"/>
        <w:gridCol w:w="158"/>
      </w:tblGrid>
      <w:tr>
        <w:trPr/>
        <w:tc>
          <w:tcPr>
            <w:tcW w:w="7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88"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(5)</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left"/>
              <w:rPr>
                <w:color w:val="000000"/>
              </w:rPr>
            </w:pPr>
            <w:r>
              <w:rPr>
                <w:color w:val="000000"/>
              </w:rPr>
              <w:t> </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2,168,565 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(244,909)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2,368,272 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Less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(131,946)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1,010,428 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105,800 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896,221</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354,072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1,250,293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(61,767)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1,188,526</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5,913,775 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7,705,082 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segmental financial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1,482,871 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1,509,998 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shd w:fill="FFFFFF" w:val="clear"/>
        </w:rPr>
        <w:t>The significant expense categories and amounts align with the segment-level information that is regularly provided to the CODM.</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(2)</w:t>
      </w:r>
      <w:r>
        <w:rPr>
          <w:rFonts w:ascii="Times New Roman;sans-serif" w:hAnsi="Times New Roman;sans-serif"/>
          <w:b w:val="false"/>
          <w:color w:val="000000"/>
          <w:sz w:val="20"/>
          <w:shd w:fill="FFFFFF" w:val="clear"/>
        </w:rPr>
        <w:t>Cost of sales in the Company’s segment measure only includes realized gains and losses on derivative transactions that are an economic hedge of commodity purchases and sales, and a realized gain of</w:t>
      </w:r>
      <w:r>
        <w:rPr>
          <w:color w:val="000000"/>
        </w:rPr>
        <w:t xml:space="preserve"> </w:t>
      </w:r>
      <w:r>
        <w:rPr>
          <w:rFonts w:ascii="Times New Roman;sans-serif" w:hAnsi="Times New Roman;sans-serif"/>
          <w:b w:val="false"/>
          <w:color w:val="000000"/>
          <w:sz w:val="20"/>
        </w:rPr>
        <w:t>$139,089</w:t>
      </w:r>
      <w:r>
        <w:rPr>
          <w:color w:val="000000"/>
          <w:shd w:fill="FFFFFF" w:val="clear"/>
        </w:rPr>
        <w:t xml:space="preserve"> </w:t>
      </w:r>
      <w:r>
        <w:rPr>
          <w:rFonts w:ascii="Times New Roman;sans-serif" w:hAnsi="Times New Roman;sans-serif"/>
          <w:b w:val="false"/>
          <w:color w:val="000000"/>
          <w:sz w:val="20"/>
          <w:shd w:fill="FFFFFF" w:val="clear"/>
        </w:rPr>
        <w:t>for the year ended December 31, 2023 was recognized as a reduction to Cost of sales in the segment measure. No realized gains or losses were recognized for the years ended December 31, 2024 and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recognized unrealized (losses) and earnings of ($106,393) and $106,103 on the mark-to-market value of derivative transactions for the years ended December 31, 2023 and 2022, respectively, and these losses reconcile Cost of sales in the segment measure to Cost of sales in the Consolidated Statements of Operations and Comprehensive (Loss)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excluded contract acquisition costs that do not meet the criteria for capitalization from the segment measure. Contract acquisition costs of $6,232 for the year ended December 31, 2023 reconcile Cost of sales in the segment measure to Cost of sales in the Consolidated Statements of Operations and Comprehensive (Loss) Income. The Company did not incur such costs in the years ended December 31, 2024 and 2022.</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(3)</w:t>
      </w:r>
      <w:r>
        <w:rPr>
          <w:rFonts w:ascii="Times New Roman;sans-serif" w:hAnsi="Times New Roman;sans-serif"/>
          <w:b w:val="false"/>
          <w:color w:val="000000"/>
          <w:sz w:val="20"/>
          <w:shd w:fill="FFFFFF" w:val="clear"/>
        </w:rPr>
        <w:t>Capital expenditures includes amounts capitalized to construction in progress and additions to property, plant and equipment during the period.</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(4)</w:t>
      </w:r>
      <w:r>
        <w:rPr>
          <w:rFonts w:ascii="Times New Roman;sans-serif" w:hAnsi="Times New Roman;sans-serif"/>
          <w:b w:val="false"/>
          <w:color w:val="000000"/>
          <w:sz w:val="20"/>
          <w:shd w:fill="FFFFFF" w:val="clear"/>
        </w:rPr>
        <w:t>Cost of sales is presented exclusive of costs included in Depreciation and amortization in the Consolidated Statements of Operations and Comprehensive (Loss) Income.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(5)</w:t>
      </w:r>
      <w:r>
        <w:rPr>
          <w:rFonts w:ascii="Times New Roman;sans-serif" w:hAnsi="Times New Roman;sans-serif"/>
          <w:b w:val="false"/>
          <w:color w:val="000000"/>
          <w:sz w:val="20"/>
          <w:shd w:fill="FFFFFF" w:val="clear"/>
        </w:rPr>
        <w:t>For the year ended December 31, 2024, Consolidation and Other adjusts for the inclusion of deferred earnings from contracted sales of $150,000 (Note 7) which were recognized during the third and fourth quarters of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2023 and 2022, the effective share of revenues, expenses and operating margin attributable to the Company's ownership of the common units of Hilli LLC and the Company's 50% ownership of CELSEPAR was included in the segment measure prior to the disposition of these investments. Unrealized mark-to-market gains or losses on derivative instruments and the exclusion of non-capitalizable contract acquisition costs were also removed.</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shd w:fill="FFFFFF" w:val="clear"/>
        </w:rPr>
        <w:t>(6)</w:t>
      </w:r>
      <w:r>
        <w:rPr>
          <w:rFonts w:ascii="Times New Roman;sans-serif" w:hAnsi="Times New Roman;sans-serif"/>
          <w:b w:val="false"/>
          <w:color w:val="000000"/>
          <w:sz w:val="20"/>
          <w:shd w:fill="FFFFFF" w:val="clear"/>
        </w:rPr>
        <w:t>Deferred earnings from contracted sales represent forward sales transactions that were contracted in the second and third quarters of 2024 and prepayment for these sales was received. Revenue has been recognized in the Consolidated Statements of Operations and Comprehensive (Loss) Income</w:t>
      </w:r>
      <w:r>
        <w:rPr>
          <w:color w:val="000000"/>
        </w:rPr>
        <w:t xml:space="preserve"> </w:t>
      </w:r>
      <w:r>
        <w:rPr>
          <w:rFonts w:ascii="Times New Roman;sans-serif" w:hAnsi="Times New Roman;sans-serif"/>
          <w:b w:val="false"/>
          <w:color w:val="000000"/>
          <w:sz w:val="20"/>
        </w:rPr>
        <w:t>during the third and fourth quarters of 2024.</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Consolidated Segment Operating Margin is defined as net income, adjusted for selling, general and administrative expenses, transaction and integration costs, depreciation and amortization, asset impairment expense, loss on sale of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13"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F-60</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expense, other (income) expense, net, loss on extinguishment of debt, net, tax provision and income from equity method investments.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reconciles Net income, the most comparable financial statement measure, to Consolidated Segment Operating Margin:</w:t>
      </w:r>
    </w:p>
    <w:tbl>
      <w:tblPr>
        <w:tblW w:w="8783" w:type="dxa"/>
        <w:jc w:val="left"/>
        <w:tblInd w:w="0" w:type="dxa"/>
        <w:tblLayout w:type="fixed"/>
        <w:tblCellMar>
          <w:top w:w="28" w:type="dxa"/>
          <w:left w:w="28" w:type="dxa"/>
          <w:bottom w:w="28" w:type="dxa"/>
          <w:right w:w="28" w:type="dxa"/>
        </w:tblCellMar>
      </w:tblPr>
      <w:tblGrid>
        <w:gridCol w:w="1401"/>
        <w:gridCol w:w="1232"/>
        <w:gridCol w:w="1236"/>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1,092,508 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1,323,621 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1,188,526 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30. Subsequent events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February 2025, one of the Company's consolidated subsidiaries entered into an agreement to issue up to $350,000 aggregate principal amount of 15% Senior Secured Notes due 2029 (the “Brazil Financing Notes”) at a purchase price of 97.75% of par. The Brazil Financing Notes bear interest at a rate of 15.0% and mature on August 30, 2029; the principal is due in full on the maturity date. Interest is payable quarterly in arrears beginning on March 30, 2025, and for the first 30 months that the Brazil Financing Notes are outstanding, interest due can be paid in kind and added to the principal amount. A portion of the proceeds from the issuance of the Brazil Financing Notes was used to repay the Barcarena Debentures in full.</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March 2025, the Company entered into an amendment to the Term Loan B Agreement. Pursuant to the amendment, certain lenders agreed to provide incremental term loans in an aggregate principal amount of up to $425,000. The incremental term loans are subject to the same terms as the initial Term Loan B, including interest rates and maturity date. Net proceeds will be used primarily to fund capital expenditures of the Altamira Onshore Project, and for other corporate expenses. In connection with the amendment, all unused term loan commitments under the Term Loan A Credit Agreement were terminated.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March 2025, the Company entered into a Backstop Agreement (the "Backstop Agreement") with a lender, pursuant to which the Company may, at its sole option, issue and sell to this lender (subject to the satisfaction of certain conditions) senior debt securities up to an aggregate principal amount sufficient to generate gross proceeds of $100,000 with a term of at least three years from the closing date. Proceeds received would be used to satisfy the repayment of the outstanding borrowings under the Revolving Facility required by the reduction of commitments by September 30, 2025 (Note 20). The Backstop Agreement would be terminated in the event that the Company completes the sale of assets or receives proceeds associated with a contract termination fee sufficient to satisfy such required repayment.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14, 2025, the Company completed the sale of its Jamaica business and received net proceeds of approximately $678,480, of which approximately $325,000 was immediately used to reduce outstanding indebtedness.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2025, the Company recognized an operating loss and negative operating cash flows. In addition, the Company’s forecasted cash flows through June 27, 2026 are expected to be negatively impacted by (i) reduced earnings following the sale of the Company’s business in Jamaica in May 2025, (ii) increased interest expense and collateral requirements for certain debt instruments, (iii) cash tax payments resulting from the taxable gain on the sale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114"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F-61</w:t>
                      </w:r>
                    </w:p>
                  </w:txbxContent>
                </v:textbox>
                <w10:wrap type="none"/>
              </v:rect>
            </w:pict>
          </mc:Fallback>
        </mc:AlternateContent>
      </w:r>
    </w:p>
    <w:p>
      <w:pPr>
        <w:pStyle w:val="TextBody"/>
        <w:bidi w:val="0"/>
        <w:spacing w:lineRule="auto" w:line="276" w:before="200" w:after="200"/>
        <w:jc w:val="left"/>
        <w:rPr/>
      </w:pPr>
      <w:hyperlink w:anchor="i9903e915422741eeb6b98091c044781d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Company’s Jamaica business in May 2025, and (iv) recent declines in commodity prices. Based on the Company's forecast through June 27, 2026, the Company may require additional liquidity to fund its debt service and capital expenditure commitments. As such, in connection with issuing its interim financial statements for the period ended March 31, 2025, management concluded that the Company’s liquidity and forecasted cash flows from operations through June 2026 are not probable to be sufficient to support, in full, obligations as they become due, and there is substantial doubt as to the Company’s ability to continue as a going concern for the period of twelve months from June 27, 2025.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evaluating strategies to obtain the required additional funding that are not fully in management’s control including asset sales, settlement of claims, capital raising, debt amendments and refinancing transactions and other strategic transactions that seek to optimize the value of the Company’s portfolio while providing additional liquidity and cash flow to the Company. However, since these plans are not within management’s control, they do not alleviate the substantial doubt as to the Company’s ability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Schedule II</w:t>
      </w:r>
    </w:p>
    <w:tbl>
      <w:tblPr>
        <w:tblW w:w="9035" w:type="dxa"/>
        <w:jc w:val="left"/>
        <w:tblInd w:w="0" w:type="dxa"/>
        <w:tblLayout w:type="fixed"/>
        <w:tblCellMar>
          <w:top w:w="28" w:type="dxa"/>
          <w:left w:w="28" w:type="dxa"/>
          <w:bottom w:w="28" w:type="dxa"/>
          <w:right w:w="28" w:type="dxa"/>
        </w:tblCellMar>
      </w:tblPr>
      <w:tblGrid>
        <w:gridCol w:w="1113"/>
        <w:gridCol w:w="978"/>
        <w:gridCol w:w="983"/>
        <w:gridCol w:w="372"/>
        <w:gridCol w:w="1086"/>
        <w:gridCol w:w="192"/>
        <w:gridCol w:w="109"/>
        <w:gridCol w:w="109"/>
        <w:gridCol w:w="109"/>
        <w:gridCol w:w="219"/>
        <w:gridCol w:w="748"/>
        <w:gridCol w:w="113"/>
        <w:gridCol w:w="109"/>
        <w:gridCol w:w="109"/>
        <w:gridCol w:w="109"/>
        <w:gridCol w:w="283"/>
        <w:gridCol w:w="649"/>
        <w:gridCol w:w="148"/>
        <w:gridCol w:w="109"/>
        <w:gridCol w:w="109"/>
        <w:gridCol w:w="109"/>
        <w:gridCol w:w="227"/>
        <w:gridCol w:w="777"/>
        <w:gridCol w:w="166"/>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br/>
              <w:t>Beginning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Additions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Deductions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br/>
              <w:t>End of Year</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w:t>
            </w:r>
          </w:p>
        </w:tc>
        <w:tc>
          <w:tcPr>
            <w:tcW w:w="37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0"/>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w:t>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0"/>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w:t>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w:t>
      </w:r>
    </w:p>
    <w:p>
      <w:pPr>
        <w:pStyle w:val="TextBody"/>
        <w:bidi w:val="0"/>
        <w:spacing w:lineRule="auto" w:line="288" w:before="240" w:after="283"/>
        <w:ind w:left="0" w:right="0" w:hanging="360"/>
        <w:jc w:val="left"/>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rPr>
        <w:t xml:space="preserve">Amount expensed is included within Selling, general and administrative.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15"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F-62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consent to the incorporation by reference in the following Registration Statements: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(1)Registration Statement (Form S-8 No. 333-229507), as amended by Post-Effective Amendment No. 1 filed by New Fortress Energy Inc., pertaining to the Amended and Restated New Fortress Energy Inc. 2019 Omnibus Incentive Plan, and</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(2)Registration Statement (Form S-3 No. 333-277611) of New Fortress Energy Inc.;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of our report with respect to the consolidated financial statements of New Fortress Energy Inc. dated March 10, 2025 (except for the effect of the material weakness described in the second paragraph of the Opinion on the Consolidated Financial Statements, the Critical Audit Matter for Going Concern, and the last three paragraphs of Note 30, as to which the date is June 27, 2025) and our report with respect to the effectiveness of internal control over financial reporting of New Fortress Energy Inc. dated March 10, 2025 (except for the effect of the material weakness described in the second and third paragraphs, as to which the date is June 27, 2025) included in this Form 10-K/A of New Fortress Energy Inc.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 Ernst &amp; Young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Philadelphia, Pennsylvania</w:t>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June 27,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Wesley R. Edens,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10-K/A of New Fortress Energy Inc. (the “registrant”);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18" w:type="dxa"/>
        <w:jc w:val="left"/>
        <w:tblInd w:w="0" w:type="dxa"/>
        <w:tblLayout w:type="fixed"/>
        <w:tblCellMar>
          <w:top w:w="28" w:type="dxa"/>
          <w:left w:w="28" w:type="dxa"/>
          <w:bottom w:w="28" w:type="dxa"/>
          <w:right w:w="28" w:type="dxa"/>
        </w:tblCellMar>
      </w:tblPr>
      <w:tblGrid>
        <w:gridCol w:w="630"/>
        <w:gridCol w:w="553"/>
        <w:gridCol w:w="556"/>
        <w:gridCol w:w="134"/>
        <w:gridCol w:w="134"/>
        <w:gridCol w:w="136"/>
        <w:gridCol w:w="724"/>
        <w:gridCol w:w="724"/>
        <w:gridCol w:w="1027"/>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June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Wesley R. Edens</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Wesley R. Edens</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Christopher S. Guinta,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10-K/A of New Fortress Energy Inc. (the “registrant”);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58" w:type="dxa"/>
        <w:jc w:val="left"/>
        <w:tblInd w:w="0" w:type="dxa"/>
        <w:tblLayout w:type="fixed"/>
        <w:tblCellMar>
          <w:top w:w="28" w:type="dxa"/>
          <w:left w:w="28" w:type="dxa"/>
          <w:bottom w:w="28" w:type="dxa"/>
          <w:right w:w="28" w:type="dxa"/>
        </w:tblCellMar>
      </w:tblPr>
      <w:tblGrid>
        <w:gridCol w:w="630"/>
        <w:gridCol w:w="553"/>
        <w:gridCol w:w="556"/>
        <w:gridCol w:w="134"/>
        <w:gridCol w:w="134"/>
        <w:gridCol w:w="136"/>
        <w:gridCol w:w="705"/>
        <w:gridCol w:w="705"/>
        <w:gridCol w:w="1005"/>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June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Christopher S. Guinta</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 OXLEY ACT OF 2002, 18 U.S.C. § 1350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10-K/A of New Fortress Energy Inc. (the “Company”) for the annual period ended December 31, 2024, as filed with the Securities and Exchange Commission on the date hereof (the “Report”), Wesley R. Edens, as Chief Executive Officer of the Company, hereby certifies, pursuant to 18 U.S.C. Section 1350, as adopted pursuant to Section 906 of the Sarbanes-Oxley Act of 2002, that, to his knowledge: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619"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724"/>
        <w:gridCol w:w="724"/>
        <w:gridCol w:w="102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June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Wesley R. Edens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Wesley R. Edens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 OXLEY ACT OF 2002, 18 U.S.C. § 1350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10-K/A of New Fortress Energy Inc. (the “Company”) for the annual period ended December 31, 2024, as filed with the Securities and Exchange Commission on the date hereof (the “Report”), Christopher S. Guinta, as Chief Financial Officer of the Company, certifies, pursuant to 18 U.S.C. Section 1350, as adopted pursuant to Section 906 of the Sarbanes-Oxley Act of 2002, that, to his knowledge: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559"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705"/>
        <w:gridCol w:w="705"/>
        <w:gridCol w:w="100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June 27,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Christopher S. Guinta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9723/000114036120017367/brhc10013767_ex99-2.htm" TargetMode="External"/><Relationship Id="rId3" Type="http://schemas.openxmlformats.org/officeDocument/2006/relationships/hyperlink" Target="https://www.sec.gov/Archives/edgar/data/1749723/000114036120017367/brhc10013767_ex99-3.htm" TargetMode="External"/><Relationship Id="rId4" Type="http://schemas.openxmlformats.org/officeDocument/2006/relationships/hyperlink" Target="https://www.sec.gov/Archives/edgar/data/1749723/000174972324000022/nfe-certificateofdesigna.htm" TargetMode="External"/><Relationship Id="rId5" Type="http://schemas.openxmlformats.org/officeDocument/2006/relationships/hyperlink" Target="https://www.sec.gov/Archives/edgar/data/1749723/000174972324000092/exhibit31-certificateofd.htm" TargetMode="External"/><Relationship Id="rId6" Type="http://schemas.openxmlformats.org/officeDocument/2006/relationships/hyperlink" Target="https://www.sec.gov/Archives/edgar/data/1749723/000114036120017367/brhc10013767_ex99-4.htm" TargetMode="External"/><Relationship Id="rId7" Type="http://schemas.openxmlformats.org/officeDocument/2006/relationships/hyperlink" Target="https://www.sec.gov/Archives/edgar/data/1749723/000114036118045661/s002392x8_ex10-4.htm" TargetMode="External"/><Relationship Id="rId8" Type="http://schemas.openxmlformats.org/officeDocument/2006/relationships/hyperlink" Target="https://www.sec.gov/Archives/edgar/data/1749723/000174972322000028/exhibit6_psu.htm" TargetMode="External"/><Relationship Id="rId9" Type="http://schemas.openxmlformats.org/officeDocument/2006/relationships/hyperlink" Target="https://www.sec.gov/Archives/edgar/data/1749723/000114036119002493/s002392x20_ex4-1.htm" TargetMode="External"/><Relationship Id="rId10" Type="http://schemas.openxmlformats.org/officeDocument/2006/relationships/hyperlink" Target="https://www.sec.gov/Archives/edgar/data/1749723/000114036119002493/s002392x20_ex10-3.htm" TargetMode="External"/><Relationship Id="rId11" Type="http://schemas.openxmlformats.org/officeDocument/2006/relationships/hyperlink" Target="https://www.sec.gov/Archives/edgar/data/1749723/000114036119002493/s002392x20_ex10-4.htm" TargetMode="External"/><Relationship Id="rId12" Type="http://schemas.openxmlformats.org/officeDocument/2006/relationships/hyperlink" Target="https://www.sec.gov/Archives/edgar/data/1749723/000114036119002493/s002392x20_ex10-5.htm" TargetMode="External"/><Relationship Id="rId13" Type="http://schemas.openxmlformats.org/officeDocument/2006/relationships/hyperlink" Target="https://www.sec.gov/Archives/edgar/data/1749723/000114036119002493/s002392x20_ex10-7.htm" TargetMode="External"/><Relationship Id="rId14" Type="http://schemas.openxmlformats.org/officeDocument/2006/relationships/hyperlink" Target="https://www.sec.gov/Archives/edgar/data/1749723/000114036119002493/s002392x20_ex10-8.htm" TargetMode="External"/><Relationship Id="rId15" Type="http://schemas.openxmlformats.org/officeDocument/2006/relationships/hyperlink" Target="https://www.sec.gov/Archives/edgar/data/1749723/000114036119002493/s002392x20_ex10-9.htm" TargetMode="External"/><Relationship Id="rId16" Type="http://schemas.openxmlformats.org/officeDocument/2006/relationships/hyperlink" Target="https://www.sec.gov/Archives/edgar/data/1749723/000114036119002493/s002392x20_ex10-10.htm" TargetMode="External"/><Relationship Id="rId17" Type="http://schemas.openxmlformats.org/officeDocument/2006/relationships/hyperlink" Target="https://www.sec.gov/Archives/edgar/data/1749723/000114036119002493/s002392x20_ex10-11.htm" TargetMode="External"/><Relationship Id="rId18" Type="http://schemas.openxmlformats.org/officeDocument/2006/relationships/hyperlink" Target="https://www.sec.gov/Archives/edgar/data/1749723/000114036119002493/s002392x20_ex10-12.htm" TargetMode="External"/><Relationship Id="rId19" Type="http://schemas.openxmlformats.org/officeDocument/2006/relationships/hyperlink" Target="https://www.sec.gov/Archives/edgar/data/1749723/000174972323000030/indemnificationagreement.htm" TargetMode="External"/><Relationship Id="rId20" Type="http://schemas.openxmlformats.org/officeDocument/2006/relationships/hyperlink" Target="https://www.sec.gov/Archives/edgar/data/1749723/000114036119005657/s002752x1_ex10-29.htm" TargetMode="External"/><Relationship Id="rId21" Type="http://schemas.openxmlformats.org/officeDocument/2006/relationships/hyperlink" Target="https://www.sec.gov/Archives/edgar/data/0001749723/000114036120010751/ex10_3.htm" TargetMode="External"/><Relationship Id="rId22" Type="http://schemas.openxmlformats.org/officeDocument/2006/relationships/hyperlink" Target="https://www.sec.gov/Archives/edgar/data/1749723/000174972323000010/a1017-christopherguintaxof.htm" TargetMode="External"/><Relationship Id="rId23" Type="http://schemas.openxmlformats.org/officeDocument/2006/relationships/hyperlink" Target="https://www.sec.gov/Archives/edgar/data/0001749723/000114036121012455/brhc10022997_ex4-1.htm" TargetMode="External"/><Relationship Id="rId24" Type="http://schemas.openxmlformats.org/officeDocument/2006/relationships/hyperlink" Target="https://www.sec.gov/Archives/edgar/data/0001749723/000114036121012455/brhc10022997_ex4-2.htm" TargetMode="External"/><Relationship Id="rId25" Type="http://schemas.openxmlformats.org/officeDocument/2006/relationships/hyperlink" Target="https://www.sec.gov/Archives/edgar/data/1749723/000174972323000010/a1029-2026notesxfirstsuppl.htm" TargetMode="External"/><Relationship Id="rId26" Type="http://schemas.openxmlformats.org/officeDocument/2006/relationships/hyperlink" Target="https://www.sec.gov/Archives/edgar/data/1749723/000174972323000010/a1030-2026notesxsecondsupp.htm" TargetMode="External"/><Relationship Id="rId27" Type="http://schemas.openxmlformats.org/officeDocument/2006/relationships/hyperlink" Target="https://www.sec.gov/Archives/edgar/data/1749723/000174972323000010/a1031-2026notesxthirdsuppl.htm" TargetMode="External"/><Relationship Id="rId28" Type="http://schemas.openxmlformats.org/officeDocument/2006/relationships/hyperlink" Target="https://www.sec.gov/Archives/edgar/data/1749723/000174972323000010/a1032-2026notesxfourthsupp.htm" TargetMode="External"/><Relationship Id="rId29" Type="http://schemas.openxmlformats.org/officeDocument/2006/relationships/hyperlink" Target="https://www.sec.gov/Archives/edgar/data/1749723/000174972323000010/a1033-2026notesxfifthsuppl.htm" TargetMode="External"/><Relationship Id="rId30" Type="http://schemas.openxmlformats.org/officeDocument/2006/relationships/hyperlink" Target="https://www.sec.gov/Archives/edgar/data/1749723/000174972325000029/nfe-sixthsupplementalind.htm" TargetMode="External"/><Relationship Id="rId31" Type="http://schemas.openxmlformats.org/officeDocument/2006/relationships/hyperlink" Target="https://www.sec.gov/Archives/edgar/data/1749723/000174972325000029/nfe-seventhsupplementalinda.htm" TargetMode="External"/><Relationship Id="rId32" Type="http://schemas.openxmlformats.org/officeDocument/2006/relationships/hyperlink" Target="https://www.sec.gov/Archives/edgar/data/0001749723/000114036121013692/brhc10023371_ex10-2.htm" TargetMode="External"/><Relationship Id="rId33" Type="http://schemas.openxmlformats.org/officeDocument/2006/relationships/hyperlink" Target="https://www.sec.gov/Archives/edgar/data/0001749723/000114036122007364/brhc10034476_ex10-30.htm" TargetMode="External"/><Relationship Id="rId34" Type="http://schemas.openxmlformats.org/officeDocument/2006/relationships/hyperlink" Target="https://www.sec.gov/Archives/edgar/data/0001749723/000114036122007364/brhc10034476_ex10-31.htm" TargetMode="External"/><Relationship Id="rId35" Type="http://schemas.openxmlformats.org/officeDocument/2006/relationships/hyperlink" Target="https://www.sec.gov/Archives/edgar/data/0001749723/000174972322000010/third_amendmentxtoxrcfxcre.htm" TargetMode="External"/><Relationship Id="rId36" Type="http://schemas.openxmlformats.org/officeDocument/2006/relationships/hyperlink" Target="https://www.sec.gov/Archives/edgar/data/1749723/000174972323000010/a1038-fourthamendmenttorcf.htm" TargetMode="External"/><Relationship Id="rId37" Type="http://schemas.openxmlformats.org/officeDocument/2006/relationships/hyperlink" Target="https://www.sec.gov/Archives/edgar/data/1749723/000174972323000057/a001-amendmentno5torcf10.htm" TargetMode="External"/><Relationship Id="rId38" Type="http://schemas.openxmlformats.org/officeDocument/2006/relationships/hyperlink" Target="https://www.sec.gov/Archives/edgar/data/1749723/000174972324000011/rcfupsize-sixthamendment.htm" TargetMode="External"/><Relationship Id="rId39" Type="http://schemas.openxmlformats.org/officeDocument/2006/relationships/hyperlink" Target="https://www.sec.gov/Archives/edgar/data/1749723/000174972324000072/nfe-rcfx7thamendment.htm" TargetMode="External"/><Relationship Id="rId40" Type="http://schemas.openxmlformats.org/officeDocument/2006/relationships/hyperlink" Target="https://www.sec.gov/Archives/edgar/data/1749723/000174972324000116/a01nfe-rcfaramendmentno8.htm" TargetMode="External"/><Relationship Id="rId41" Type="http://schemas.openxmlformats.org/officeDocument/2006/relationships/hyperlink" Target="https://www.sec.gov/Archives/edgar/data/1749723/000174972325000029/nfe-conformedcreditagreeme.htm" TargetMode="External"/><Relationship Id="rId42" Type="http://schemas.openxmlformats.org/officeDocument/2006/relationships/hyperlink" Target="https://www.sec.gov/Archives/edgar/data/1749723/000174972325000029/nfe-rcfx10thamendment.htm" TargetMode="External"/><Relationship Id="rId43" Type="http://schemas.openxmlformats.org/officeDocument/2006/relationships/hyperlink" Target="https://www.sec.gov/Archives/edgar/data/1749723/000174972322000028/exhibit40_apolloepca.htm" TargetMode="External"/><Relationship Id="rId44" Type="http://schemas.openxmlformats.org/officeDocument/2006/relationships/hyperlink" Target="https://www.sec.gov/Archives/edgar/data/1749723/000174972322000028/exhibit41_natixisamendme.htm" TargetMode="External"/><Relationship Id="rId45" Type="http://schemas.openxmlformats.org/officeDocument/2006/relationships/hyperlink" Target="https://www.sec.gov/Archives/edgar/data/1749723/000174972322000028/exhibit41_natixisamendme.htm" TargetMode="External"/><Relationship Id="rId46" Type="http://schemas.openxmlformats.org/officeDocument/2006/relationships/hyperlink" Target="https://www.sec.gov/Archives/edgar/data/1749723/000174972323000010/a1045-incrementaljoinderto.htm" TargetMode="External"/><Relationship Id="rId47" Type="http://schemas.openxmlformats.org/officeDocument/2006/relationships/hyperlink" Target="https://www.sec.gov/Archives/edgar/data/1749723/000174972324000011/nfeincrementaljoindertou.htm" TargetMode="External"/><Relationship Id="rId48" Type="http://schemas.openxmlformats.org/officeDocument/2006/relationships/hyperlink" Target="https://www.sec.gov/Archives/edgar/data/1749723/000174972324000072/nfenatixisamendment3-exe.htm" TargetMode="External"/><Relationship Id="rId49" Type="http://schemas.openxmlformats.org/officeDocument/2006/relationships/hyperlink" Target="https://www.sec.gov/Archives/edgar/data/1749723/000174972324000116/a06nfeulcaamendment4comp.htm" TargetMode="External"/><Relationship Id="rId50" Type="http://schemas.openxmlformats.org/officeDocument/2006/relationships/hyperlink" Target="https://www.sec.gov/Archives/edgar/data/1749723/000174972325000029/nfeulca-fifthamendmentagre.htm" TargetMode="External"/><Relationship Id="rId51" Type="http://schemas.openxmlformats.org/officeDocument/2006/relationships/hyperlink" Target="https://www.sec.gov/Archives/edgar/data/1749723/000174972325000029/nfeulcasixthamendmentagr.htm" TargetMode="External"/><Relationship Id="rId52" Type="http://schemas.openxmlformats.org/officeDocument/2006/relationships/hyperlink" Target="https://www.sec.gov/Archives/edgar/data/1749723/000174972324000011/nfe-tlbxcreditagreemente.htm" TargetMode="External"/><Relationship Id="rId53" Type="http://schemas.openxmlformats.org/officeDocument/2006/relationships/hyperlink" Target="https://www.sec.gov/Archives/edgar/data/1749723/000174972324000019/nfe-indenture.htm" TargetMode="External"/><Relationship Id="rId54" Type="http://schemas.openxmlformats.org/officeDocument/2006/relationships/hyperlink" Target="https://www.sec.gov/Archives/edgar/data/1749723/000174972325000029/nfe-firstsupplementalind.htm" TargetMode="External"/><Relationship Id="rId55" Type="http://schemas.openxmlformats.org/officeDocument/2006/relationships/hyperlink" Target="https://www.sec.gov/Archives/edgar/data/1749723/000174972325000029/nfe-secondsupplementalindea.htm" TargetMode="External"/><Relationship Id="rId56" Type="http://schemas.openxmlformats.org/officeDocument/2006/relationships/hyperlink" Target="https://www.sec.gov/Archives/edgar/data/1749723/000174972324000019/nfe-2029bondsxpledgeands.htm" TargetMode="External"/><Relationship Id="rId57" Type="http://schemas.openxmlformats.org/officeDocument/2006/relationships/hyperlink" Target="https://www.sec.gov/Archives/edgar/data/1749723/000174972324000072/a001-nfexflng2creditagre.htm" TargetMode="External"/><Relationship Id="rId58" Type="http://schemas.openxmlformats.org/officeDocument/2006/relationships/hyperlink" Target="https://www.sec.gov/Archives/edgar/data/1749723/000174972325000029/chisr02a-1256466xv4xnfe_xx.htm" TargetMode="External"/><Relationship Id="rId59" Type="http://schemas.openxmlformats.org/officeDocument/2006/relationships/hyperlink" Target="https://www.sec.gov/Archives/edgar/data/1749723/000174972325000029/nfe-tlaamendmentno2.htm" TargetMode="External"/><Relationship Id="rId60" Type="http://schemas.openxmlformats.org/officeDocument/2006/relationships/hyperlink" Target="https://www.sec.gov/Archives/edgar/data/1749723/000174972325000029/nfe-tlaamendmentno3.htm" TargetMode="External"/><Relationship Id="rId61" Type="http://schemas.openxmlformats.org/officeDocument/2006/relationships/hyperlink" Target="https://www.sec.gov/Archives/edgar/data/1749723/000174972325000029/chisr01a-1152838xv7xnfe_se.htm" TargetMode="External"/><Relationship Id="rId62" Type="http://schemas.openxmlformats.org/officeDocument/2006/relationships/hyperlink" Target="https://www.sec.gov/Archives/edgar/data/1749723/000174972325000029/zs_temp-43513200xv1x001xxx.htm" TargetMode="External"/><Relationship Id="rId63" Type="http://schemas.openxmlformats.org/officeDocument/2006/relationships/hyperlink" Target="https://www.sec.gov/Archives/edgar/data/1749723/000174972325000029/chisr02a-1257162xv16xnfe_x.htm" TargetMode="External"/><Relationship Id="rId64" Type="http://schemas.openxmlformats.org/officeDocument/2006/relationships/hyperlink" Target="https://www.sec.gov/Archives/edgar/data/1749723/000174972325000029/nfe-transactionsupportag.htm" TargetMode="External"/><Relationship Id="rId65" Type="http://schemas.openxmlformats.org/officeDocument/2006/relationships/hyperlink" Target="https://www.sec.gov/Archives/edgar/data/1749723/000174972325000029/nfe-firstamendmenttotsa.htm" TargetMode="External"/><Relationship Id="rId66" Type="http://schemas.openxmlformats.org/officeDocument/2006/relationships/hyperlink" Target="https://www.sec.gov/Archives/edgar/data/1749723/000174972325000029/nfe-secondamendmenttotsa.htm" TargetMode="External"/><Relationship Id="rId67" Type="http://schemas.openxmlformats.org/officeDocument/2006/relationships/hyperlink" Target="https://www.sec.gov/Archives/edgar/data/1749723/000174972325000029/nfe-formofexchangeandsub.htm" TargetMode="External"/><Relationship Id="rId68" Type="http://schemas.openxmlformats.org/officeDocument/2006/relationships/hyperlink" Target="https://www.sec.gov/Archives/edgar/data/1749723/000174972325000029/nfe-formoffirstamendment.htm" TargetMode="External"/><Relationship Id="rId69" Type="http://schemas.openxmlformats.org/officeDocument/2006/relationships/hyperlink" Target="https://www.sec.gov/Archives/edgar/data/1749723/000174972325000029/nfe-newcoindenturexexecuti.htm" TargetMode="External"/><Relationship Id="rId70" Type="http://schemas.openxmlformats.org/officeDocument/2006/relationships/hyperlink" Target="https://www.sec.gov/Archives/edgar/data/1749723/000174972325000029/nferegistrationrightsagr.htm" TargetMode="External"/><Relationship Id="rId71" Type="http://schemas.openxmlformats.org/officeDocument/2006/relationships/hyperlink" Target="https://www.sec.gov/Archives/edgar/data/1749723/000174972325000029/nfe-firstamendmenttorra.htm" TargetMode="External"/><Relationship Id="rId72" Type="http://schemas.openxmlformats.org/officeDocument/2006/relationships/hyperlink" Target="https://www.sec.gov/Archives/edgar/data/1749723/000174972325000029/nfe-secondamendmenttorra.htm" TargetMode="External"/><Relationship Id="rId73" Type="http://schemas.openxmlformats.org/officeDocument/2006/relationships/hyperlink" Target="https://www.sec.gov/Archives/edgar/data/1749723/000174972325000029/insider-tradingxpolicyxn.htm" TargetMode="External"/><Relationship Id="rId74" Type="http://schemas.openxmlformats.org/officeDocument/2006/relationships/hyperlink" Target="https://www.sec.gov/Archives/edgar/data/1749723/000174972325000029/listofsubsidiariesofnewf.htm" TargetMode="External"/><Relationship Id="rId75" Type="http://schemas.openxmlformats.org/officeDocument/2006/relationships/hyperlink" Target="https://www.sec.gov/Archives/edgar/data/1749723/000174972324000011/nfe_-xclawbackxpolicyxdf.htm" TargetMode="External"/><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73304</Words>
  <Characters>407716</Characters>
  <CharactersWithSpaces>478829</CharactersWithSpaces>
  <Paragraphs>3993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