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color w:val="auto"/>
        </w:rPr>
        <w:t>SCHEDULE 13D</w:t>
      </w:r>
    </w:p>
    <w:p>
      <w:pPr>
        <w:spacing w:after="0" w:line="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jc w:val="center"/>
        <w:ind w:right="-79"/>
        <w:spacing w:after="0"/>
        <w:rPr>
          <w:sz w:val="20"/>
          <w:szCs w:val="20"/>
          <w:color w:val="auto"/>
        </w:rPr>
      </w:pPr>
      <w:r>
        <w:rPr>
          <w:rFonts w:ascii="Times New Roman" w:cs="Times New Roman" w:eastAsia="Times New Roman" w:hAnsi="Times New Roman"/>
          <w:sz w:val="22"/>
          <w:szCs w:val="22"/>
          <w:color w:val="auto"/>
        </w:rPr>
        <w:t>(Amendment No. 1)*</w:t>
      </w:r>
    </w:p>
    <w:p>
      <w:pPr>
        <w:spacing w:after="0" w:line="18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(Name of Issuer)</w:t>
      </w:r>
    </w:p>
    <w:p>
      <w:pPr>
        <w:spacing w:after="0" w:line="2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Class A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(CUSIP Number)</w:t>
      </w:r>
    </w:p>
    <w:p>
      <w:pPr>
        <w:spacing w:after="0" w:line="2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Mi Hong Yoon</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2nd Floor, S.E. Pearman Building</w:t>
      </w:r>
    </w:p>
    <w:p>
      <w:pPr>
        <w:jc w:val="center"/>
        <w:ind w:right="-79"/>
        <w:spacing w:after="0" w:line="230" w:lineRule="auto"/>
        <w:rPr>
          <w:sz w:val="20"/>
          <w:szCs w:val="20"/>
          <w:color w:val="auto"/>
        </w:rPr>
      </w:pPr>
      <w:r>
        <w:rPr>
          <w:rFonts w:ascii="Times New Roman" w:cs="Times New Roman" w:eastAsia="Times New Roman" w:hAnsi="Times New Roman"/>
          <w:sz w:val="22"/>
          <w:szCs w:val="22"/>
          <w:b w:val="1"/>
          <w:bCs w:val="1"/>
          <w:color w:val="auto"/>
        </w:rPr>
        <w:t>9 Par-la-Ville Road</w:t>
      </w:r>
    </w:p>
    <w:p>
      <w:pPr>
        <w:jc w:val="center"/>
        <w:ind w:right="-79"/>
        <w:spacing w:after="0" w:line="231" w:lineRule="auto"/>
        <w:rPr>
          <w:sz w:val="20"/>
          <w:szCs w:val="20"/>
          <w:color w:val="auto"/>
        </w:rPr>
      </w:pPr>
      <w:r>
        <w:rPr>
          <w:rFonts w:ascii="Times New Roman" w:cs="Times New Roman" w:eastAsia="Times New Roman" w:hAnsi="Times New Roman"/>
          <w:sz w:val="22"/>
          <w:szCs w:val="22"/>
          <w:b w:val="1"/>
          <w:bCs w:val="1"/>
          <w:color w:val="auto"/>
        </w:rPr>
        <w:t>Hamilton, HM 11</w:t>
      </w:r>
    </w:p>
    <w:p>
      <w:pPr>
        <w:jc w:val="center"/>
        <w:ind w:right="-79"/>
        <w:spacing w:after="0" w:line="230" w:lineRule="auto"/>
        <w:rPr>
          <w:sz w:val="20"/>
          <w:szCs w:val="20"/>
          <w:color w:val="auto"/>
        </w:rPr>
      </w:pPr>
      <w:r>
        <w:rPr>
          <w:rFonts w:ascii="Times New Roman" w:cs="Times New Roman" w:eastAsia="Times New Roman" w:hAnsi="Times New Roman"/>
          <w:sz w:val="22"/>
          <w:szCs w:val="22"/>
          <w:b w:val="1"/>
          <w:bCs w:val="1"/>
          <w:color w:val="auto"/>
        </w:rPr>
        <w:t>Bermuda</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+1 (441) 295-4705</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i w:val="1"/>
          <w:iCs w:val="1"/>
          <w:color w:val="auto"/>
        </w:rPr>
        <w:t>with a copy to:</w:t>
      </w:r>
    </w:p>
    <w:p>
      <w:pPr>
        <w:spacing w:after="0" w:line="2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David P. Oelman</w:t>
      </w:r>
    </w:p>
    <w:p>
      <w:pPr>
        <w:spacing w:after="0" w:line="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Jessica M. Lewis</w:t>
      </w:r>
    </w:p>
    <w:p>
      <w:pPr>
        <w:jc w:val="center"/>
        <w:ind w:right="-79"/>
        <w:spacing w:after="0" w:line="230" w:lineRule="auto"/>
        <w:rPr>
          <w:sz w:val="20"/>
          <w:szCs w:val="20"/>
          <w:color w:val="auto"/>
        </w:rPr>
      </w:pPr>
      <w:r>
        <w:rPr>
          <w:rFonts w:ascii="Times New Roman" w:cs="Times New Roman" w:eastAsia="Times New Roman" w:hAnsi="Times New Roman"/>
          <w:sz w:val="22"/>
          <w:szCs w:val="22"/>
          <w:color w:val="auto"/>
        </w:rPr>
        <w:t>Vinson &amp; Elkins L.L.P.</w:t>
      </w:r>
    </w:p>
    <w:p>
      <w:pPr>
        <w:jc w:val="center"/>
        <w:ind w:right="-79"/>
        <w:spacing w:after="0" w:line="231" w:lineRule="auto"/>
        <w:rPr>
          <w:sz w:val="20"/>
          <w:szCs w:val="20"/>
          <w:color w:val="auto"/>
        </w:rPr>
      </w:pPr>
      <w:r>
        <w:rPr>
          <w:rFonts w:ascii="Times New Roman" w:cs="Times New Roman" w:eastAsia="Times New Roman" w:hAnsi="Times New Roman"/>
          <w:sz w:val="22"/>
          <w:szCs w:val="22"/>
          <w:color w:val="auto"/>
        </w:rPr>
        <w:t>845 Texas Avenue, Suite 4700</w:t>
      </w:r>
    </w:p>
    <w:p>
      <w:pPr>
        <w:jc w:val="center"/>
        <w:ind w:right="-79"/>
        <w:spacing w:after="0" w:line="230" w:lineRule="auto"/>
        <w:rPr>
          <w:sz w:val="20"/>
          <w:szCs w:val="20"/>
          <w:color w:val="auto"/>
        </w:rPr>
      </w:pPr>
      <w:r>
        <w:rPr>
          <w:rFonts w:ascii="Times New Roman" w:cs="Times New Roman" w:eastAsia="Times New Roman" w:hAnsi="Times New Roman"/>
          <w:sz w:val="22"/>
          <w:szCs w:val="22"/>
          <w:color w:val="auto"/>
        </w:rPr>
        <w:t>Houston, Texas 77002</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(713) 758-2222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22"/>
          <w:szCs w:val="22"/>
          <w:color w:val="auto"/>
        </w:rPr>
        <w:t>(Name, Address and Telephone Number of Person Authorized to Receive Notices and Communications)</w:t>
      </w:r>
    </w:p>
    <w:p>
      <w:pPr>
        <w:spacing w:after="0" w:line="2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April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21" w:lineRule="exact"/>
        <w:rPr>
          <w:sz w:val="24"/>
          <w:szCs w:val="24"/>
          <w:color w:val="auto"/>
        </w:rPr>
      </w:pPr>
    </w:p>
    <w:p>
      <w:pPr>
        <w:ind w:right="80"/>
        <w:spacing w:after="0" w:line="280" w:lineRule="exact"/>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21"/>
          <w:szCs w:val="21"/>
          <w:color w:val="auto"/>
        </w:rPr>
        <w:t>☐</w:t>
      </w:r>
    </w:p>
    <w:p>
      <w:pPr>
        <w:spacing w:after="0" w:line="179" w:lineRule="exact"/>
        <w:rPr>
          <w:sz w:val="24"/>
          <w:szCs w:val="24"/>
          <w:color w:val="auto"/>
        </w:rPr>
      </w:pPr>
    </w:p>
    <w:p>
      <w:pPr>
        <w:ind w:right="220"/>
        <w:spacing w:after="0" w:line="262" w:lineRule="auto"/>
        <w:rPr>
          <w:sz w:val="20"/>
          <w:szCs w:val="20"/>
          <w:color w:val="auto"/>
        </w:rPr>
      </w:pPr>
      <w:r>
        <w:rPr>
          <w:rFonts w:ascii="Times New Roman" w:cs="Times New Roman" w:eastAsia="Times New Roman" w:hAnsi="Times New Roman"/>
          <w:sz w:val="22"/>
          <w:szCs w:val="22"/>
          <w:i w:val="1"/>
          <w:iCs w:val="1"/>
          <w:color w:val="auto"/>
        </w:rPr>
        <w:t>Note</w:t>
      </w:r>
      <w:r>
        <w:rPr>
          <w:rFonts w:ascii="Times New Roman" w:cs="Times New Roman" w:eastAsia="Times New Roman" w:hAnsi="Times New Roman"/>
          <w:sz w:val="22"/>
          <w:szCs w:val="22"/>
          <w:color w:val="auto"/>
        </w:rPr>
        <w:t>. Schedules filed in paper format shall include a signed original and five copies of the schedule, including all exhibits.</w:t>
      </w:r>
      <w:r>
        <w:rPr>
          <w:rFonts w:ascii="Times New Roman" w:cs="Times New Roman" w:eastAsia="Times New Roman" w:hAnsi="Times New Roman"/>
          <w:sz w:val="22"/>
          <w:szCs w:val="22"/>
          <w:i w:val="1"/>
          <w:iCs w:val="1"/>
          <w:color w:val="auto"/>
        </w:rPr>
        <w:t xml:space="preserve"> See </w:t>
      </w:r>
      <w:r>
        <w:rPr>
          <w:rFonts w:ascii="Times New Roman" w:cs="Times New Roman" w:eastAsia="Times New Roman" w:hAnsi="Times New Roman"/>
          <w:sz w:val="22"/>
          <w:szCs w:val="22"/>
          <w:color w:val="auto"/>
        </w:rPr>
        <w:t>Rule 13d-7 for other parties to whom copies are to be sent.</w:t>
      </w:r>
    </w:p>
    <w:p>
      <w:pPr>
        <w:spacing w:after="0" w:line="181" w:lineRule="exact"/>
        <w:rPr>
          <w:sz w:val="24"/>
          <w:szCs w:val="24"/>
          <w:color w:val="auto"/>
        </w:rPr>
      </w:pPr>
    </w:p>
    <w:p>
      <w:pPr>
        <w:ind w:firstLine="8"/>
        <w:spacing w:after="0" w:line="244"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jc w:val="both"/>
        <w:ind w:right="140"/>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as amended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29" w:right="4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CUSIP No. 644393100</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380" w:type="dxa"/>
            <w:vAlign w:val="bottom"/>
            <w:tcBorders>
              <w:top w:val="single" w:sz="8" w:color="auto"/>
              <w:left w:val="single" w:sz="8" w:color="auto"/>
              <w:right w:val="single" w:sz="8" w:color="auto"/>
            </w:tcBorders>
          </w:tcPr>
          <w:p>
            <w:pPr>
              <w:spacing w:after="0"/>
              <w:rPr>
                <w:sz w:val="22"/>
                <w:szCs w:val="22"/>
                <w:color w:val="auto"/>
              </w:rPr>
            </w:pPr>
          </w:p>
        </w:tc>
        <w:tc>
          <w:tcPr>
            <w:tcW w:w="934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 OF REPORTING PERSON</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93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Golar LNG Limited</w:t>
            </w: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934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934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80" w:type="dxa"/>
            <w:vAlign w:val="bottom"/>
            <w:tcBorders>
              <w:left w:val="single" w:sz="8" w:color="auto"/>
              <w:right w:val="single" w:sz="8" w:color="auto"/>
            </w:tcBorders>
          </w:tcPr>
          <w:p>
            <w:pPr>
              <w:spacing w:after="0"/>
              <w:rPr>
                <w:sz w:val="21"/>
                <w:szCs w:val="21"/>
                <w:color w:val="auto"/>
              </w:rPr>
            </w:pPr>
          </w:p>
        </w:tc>
        <w:tc>
          <w:tcPr>
            <w:tcW w:w="9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2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140" w:type="dxa"/>
            <w:vAlign w:val="bottom"/>
            <w:shd w:val="clear" w:color="auto" w:fill="BFBFBF"/>
          </w:tcPr>
          <w:p>
            <w:pPr>
              <w:spacing w:after="0"/>
              <w:rPr>
                <w:sz w:val="23"/>
                <w:szCs w:val="23"/>
                <w:color w:val="auto"/>
              </w:rPr>
            </w:pPr>
          </w:p>
        </w:tc>
        <w:tc>
          <w:tcPr>
            <w:tcW w:w="540" w:type="dxa"/>
            <w:vAlign w:val="bottom"/>
            <w:tcBorders>
              <w:right w:val="single" w:sz="8" w:color="BFBFBF"/>
            </w:tcBorders>
            <w:shd w:val="clear" w:color="auto" w:fill="BFBFBF"/>
          </w:tcPr>
          <w:p>
            <w:pPr>
              <w:spacing w:after="0"/>
              <w:rPr>
                <w:sz w:val="23"/>
                <w:szCs w:val="23"/>
                <w:color w:val="auto"/>
              </w:rPr>
            </w:pPr>
          </w:p>
        </w:tc>
        <w:tc>
          <w:tcPr>
            <w:tcW w:w="8020" w:type="dxa"/>
            <w:vAlign w:val="bottom"/>
            <w:shd w:val="clear" w:color="auto" w:fill="BFBFBF"/>
          </w:tcPr>
          <w:p>
            <w:pPr>
              <w:spacing w:after="0"/>
              <w:rPr>
                <w:sz w:val="23"/>
                <w:szCs w:val="23"/>
                <w:color w:val="auto"/>
              </w:rPr>
            </w:pPr>
          </w:p>
        </w:tc>
        <w:tc>
          <w:tcPr>
            <w:tcW w:w="300" w:type="dxa"/>
            <w:vAlign w:val="bottom"/>
            <w:shd w:val="clear" w:color="auto" w:fill="BFBFBF"/>
          </w:tcPr>
          <w:p>
            <w:pPr>
              <w:spacing w:after="0"/>
              <w:rPr>
                <w:sz w:val="23"/>
                <w:szCs w:val="23"/>
                <w:color w:val="auto"/>
              </w:rPr>
            </w:pPr>
          </w:p>
        </w:tc>
        <w:tc>
          <w:tcPr>
            <w:tcW w:w="220" w:type="dxa"/>
            <w:vAlign w:val="bottom"/>
            <w:tcBorders>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680" w:type="dxa"/>
            <w:vAlign w:val="bottom"/>
            <w:tcBorders>
              <w:bottom w:val="single" w:sz="8" w:color="auto"/>
              <w:right w:val="single" w:sz="8" w:color="BFBFBF"/>
            </w:tcBorders>
            <w:gridSpan w:val="2"/>
            <w:shd w:val="clear" w:color="auto" w:fill="BFBFBF"/>
          </w:tcPr>
          <w:p>
            <w:pPr>
              <w:spacing w:after="0"/>
              <w:rPr>
                <w:sz w:val="24"/>
                <w:szCs w:val="24"/>
                <w:color w:val="auto"/>
              </w:rPr>
            </w:pPr>
          </w:p>
        </w:tc>
        <w:tc>
          <w:tcPr>
            <w:tcW w:w="8020" w:type="dxa"/>
            <w:vAlign w:val="bottom"/>
            <w:tcBorders>
              <w:bottom w:val="single" w:sz="8" w:color="auto"/>
            </w:tcBorders>
            <w:shd w:val="clear" w:color="auto" w:fill="BFBFBF"/>
          </w:tcPr>
          <w:p>
            <w:pPr>
              <w:spacing w:after="0"/>
              <w:rPr>
                <w:sz w:val="24"/>
                <w:szCs w:val="24"/>
                <w:color w:val="auto"/>
              </w:rPr>
            </w:pPr>
          </w:p>
        </w:tc>
        <w:tc>
          <w:tcPr>
            <w:tcW w:w="300" w:type="dxa"/>
            <w:vAlign w:val="bottom"/>
            <w:tcBorders>
              <w:bottom w:val="single" w:sz="8" w:color="auto"/>
            </w:tcBorders>
            <w:shd w:val="clear" w:color="auto" w:fill="BFBFBF"/>
          </w:tcPr>
          <w:p>
            <w:pPr>
              <w:spacing w:after="0"/>
              <w:rPr>
                <w:sz w:val="24"/>
                <w:szCs w:val="24"/>
                <w:color w:val="auto"/>
              </w:rPr>
            </w:pPr>
          </w:p>
        </w:tc>
        <w:tc>
          <w:tcPr>
            <w:tcW w:w="22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54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934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3"/>
                <w:szCs w:val="23"/>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9340" w:type="dxa"/>
            <w:vAlign w:val="bottom"/>
            <w:tcBorders>
              <w:bottom w:val="single" w:sz="8" w:color="auto"/>
            </w:tcBorders>
            <w:gridSpan w:val="4"/>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Bermuda</w:t>
            </w:r>
          </w:p>
        </w:tc>
        <w:tc>
          <w:tcPr>
            <w:tcW w:w="54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8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12,427,451</w:t>
            </w: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0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8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0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80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80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8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12,427,451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80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0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12,427,451*</w:t>
            </w: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380" w:type="dxa"/>
            <w:vAlign w:val="bottom"/>
            <w:tcBorders>
              <w:left w:val="single" w:sz="8" w:color="auto"/>
              <w:right w:val="single" w:sz="8" w:color="auto"/>
            </w:tcBorders>
          </w:tcPr>
          <w:p>
            <w:pPr>
              <w:spacing w:after="0"/>
              <w:rPr>
                <w:sz w:val="18"/>
                <w:szCs w:val="18"/>
                <w:color w:val="auto"/>
              </w:rPr>
            </w:pPr>
          </w:p>
        </w:tc>
        <w:tc>
          <w:tcPr>
            <w:tcW w:w="9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380" w:type="dxa"/>
            <w:vAlign w:val="bottom"/>
            <w:tcBorders>
              <w:left w:val="single" w:sz="8" w:color="auto"/>
              <w:right w:val="single" w:sz="8" w:color="auto"/>
            </w:tcBorders>
          </w:tcPr>
          <w:p>
            <w:pPr>
              <w:spacing w:after="0"/>
              <w:rPr>
                <w:sz w:val="13"/>
                <w:szCs w:val="13"/>
                <w:color w:val="auto"/>
              </w:rPr>
            </w:pPr>
          </w:p>
        </w:tc>
        <w:tc>
          <w:tcPr>
            <w:tcW w:w="93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934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vMerge w:val="continue"/>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6.01%*</w:t>
            </w: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CO</w:t>
            </w:r>
          </w:p>
        </w:tc>
        <w:tc>
          <w:tcPr>
            <w:tcW w:w="54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right="26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of percentage based on a total of 206,863,242 Class A Common Shares (as defined in Item 1) issued and outstanding as of February 24, 2022.</w:t>
      </w:r>
    </w:p>
    <w:p>
      <w:pPr>
        <w:sectPr>
          <w:pgSz w:w="11900" w:h="16838" w:orient="portrait"/>
          <w:cols w:equalWidth="0" w:num="1">
            <w:col w:w="11240"/>
          </w:cols>
          <w:pgMar w:left="320" w:top="108" w:right="3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color w:val="auto"/>
        </w:rPr>
        <w:t>CUSIP No. 644393100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Explanatory Note</w:t>
      </w:r>
    </w:p>
    <w:p>
      <w:pPr>
        <w:spacing w:after="0" w:line="237" w:lineRule="exact"/>
        <w:rPr>
          <w:sz w:val="20"/>
          <w:szCs w:val="20"/>
          <w:color w:val="auto"/>
        </w:rPr>
      </w:pPr>
    </w:p>
    <w:p>
      <w:pPr>
        <w:ind w:right="620" w:firstLine="324"/>
        <w:spacing w:after="0" w:line="239" w:lineRule="auto"/>
        <w:rPr>
          <w:sz w:val="20"/>
          <w:szCs w:val="20"/>
          <w:color w:val="auto"/>
        </w:rPr>
      </w:pPr>
      <w:r>
        <w:rPr>
          <w:rFonts w:ascii="Times New Roman" w:cs="Times New Roman" w:eastAsia="Times New Roman" w:hAnsi="Times New Roman"/>
          <w:sz w:val="22"/>
          <w:szCs w:val="22"/>
          <w:color w:val="auto"/>
        </w:rPr>
        <w:t>This Amendment No. 1 to Schedule 13D relates to the Class A common stock, par value $0.01 per share (the “Class A Common Stock”), of New Fortress Energy Inc., a Delaware corporation (the “Issuer”) and amends and supplements the information set forth in the Schedule 13D filed by the Reporting Person with the United States Securities and Exchange Commission on April 23, 2021 (the “Original Schedule 13D” and as so amended, the “Schedule 13D”).</w:t>
      </w:r>
    </w:p>
    <w:p>
      <w:pPr>
        <w:spacing w:after="0" w:line="207"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2"/>
          <w:szCs w:val="22"/>
          <w:color w:val="auto"/>
        </w:rPr>
        <w:t>Except as set forth herein, this Amendment No. 1 does not modify any of the information previously reported in the Original Schedule 13D. All capitalized terms contained herein but not otherwise defined shall have the meanings ascribed to such terms in the Original Schedule 13D.</w:t>
      </w:r>
    </w:p>
    <w:p>
      <w:pPr>
        <w:spacing w:after="0" w:line="2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w:t>
      </w:r>
    </w:p>
    <w:p>
      <w:pPr>
        <w:spacing w:after="0" w:line="24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22"/>
          <w:szCs w:val="22"/>
          <w:color w:val="auto"/>
        </w:rPr>
        <w:t>(a., b., c. and f.) This Schedule 13D is being filed on behalf of Golar LNG Limited, a Bermuda corporation (“</w:t>
      </w:r>
      <w:r>
        <w:rPr>
          <w:rFonts w:ascii="Times New Roman" w:cs="Times New Roman" w:eastAsia="Times New Roman" w:hAnsi="Times New Roman"/>
          <w:sz w:val="22"/>
          <w:szCs w:val="22"/>
          <w:u w:val="single" w:color="auto"/>
          <w:color w:val="auto"/>
        </w:rPr>
        <w:t>Golar</w:t>
      </w:r>
      <w:r>
        <w:rPr>
          <w:rFonts w:ascii="Times New Roman" w:cs="Times New Roman" w:eastAsia="Times New Roman" w:hAnsi="Times New Roman"/>
          <w:sz w:val="22"/>
          <w:szCs w:val="22"/>
          <w:color w:val="auto"/>
        </w:rPr>
        <w:t>”). Golar is referred to as the “</w:t>
      </w:r>
      <w:r>
        <w:rPr>
          <w:rFonts w:ascii="Times New Roman" w:cs="Times New Roman" w:eastAsia="Times New Roman" w:hAnsi="Times New Roman"/>
          <w:sz w:val="22"/>
          <w:szCs w:val="22"/>
          <w:u w:val="single" w:color="auto"/>
          <w:color w:val="auto"/>
        </w:rPr>
        <w:t>Reporting Person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160" w:firstLine="332"/>
        <w:spacing w:after="0" w:line="253" w:lineRule="auto"/>
        <w:tabs>
          <w:tab w:leader="none" w:pos="106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Golar</w:t>
      </w:r>
      <w:r>
        <w:rPr>
          <w:rFonts w:ascii="Times New Roman" w:cs="Times New Roman" w:eastAsia="Times New Roman" w:hAnsi="Times New Roman"/>
          <w:sz w:val="21"/>
          <w:szCs w:val="21"/>
          <w:color w:val="auto"/>
        </w:rPr>
        <w:t>: The address of Golar’s principal place of business is 2nd Floor, S.E. Pearman Building, 9 Par-la-Ville Road,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Hamilton HM 11, Bermuda. The principal business of Golar is to provide infrastructure for the liquefaction, transportation and regasification of liquefied natural gas (“</w:t>
      </w:r>
      <w:r>
        <w:rPr>
          <w:rFonts w:ascii="Times New Roman" w:cs="Times New Roman" w:eastAsia="Times New Roman" w:hAnsi="Times New Roman"/>
          <w:sz w:val="21"/>
          <w:szCs w:val="21"/>
          <w:u w:val="single" w:color="auto"/>
          <w:color w:val="auto"/>
        </w:rPr>
        <w:t>LNG</w:t>
      </w:r>
      <w:r>
        <w:rPr>
          <w:rFonts w:ascii="Times New Roman" w:cs="Times New Roman" w:eastAsia="Times New Roman" w:hAnsi="Times New Roman"/>
          <w:sz w:val="21"/>
          <w:szCs w:val="21"/>
          <w:color w:val="auto"/>
        </w:rPr>
        <w:t>”). Golar is engaged in the acquisition, ownership, operation and chartering of floating liquefaction vessels, floating storage and regasification units and LNG carriers. Golar also operates external vessels, under management agreements, comprising fourteen vessels for the Issuer and one vessel for LNG Hrvatska.</w:t>
      </w:r>
    </w:p>
    <w:p>
      <w:pPr>
        <w:spacing w:after="0" w:line="191" w:lineRule="exact"/>
        <w:rPr>
          <w:sz w:val="20"/>
          <w:szCs w:val="20"/>
          <w:color w:val="auto"/>
        </w:rPr>
      </w:pPr>
    </w:p>
    <w:p>
      <w:pPr>
        <w:ind w:right="180" w:firstLine="324"/>
        <w:spacing w:after="0" w:line="238" w:lineRule="auto"/>
        <w:rPr>
          <w:sz w:val="20"/>
          <w:szCs w:val="20"/>
          <w:color w:val="auto"/>
        </w:rPr>
      </w:pPr>
      <w:r>
        <w:rPr>
          <w:rFonts w:ascii="Times New Roman" w:cs="Times New Roman" w:eastAsia="Times New Roman" w:hAnsi="Times New Roman"/>
          <w:sz w:val="22"/>
          <w:szCs w:val="22"/>
          <w:color w:val="auto"/>
        </w:rPr>
        <w:t>The name, citizenship, residence or business address and present principal occupation of each director and executive officer of Golar and the name, principal business and address of any corporation or other organization in which their employment is conducted is set forth below. Unless otherwise indicated, the present principal occupation of each person is with Golar. If no business address is given, the director’s or executive officer’s business address is 2nd Floor, S.E. Pearman Building, 9 Par-la-Ville Road, Hamilton HM 11, Bermuda.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Tor Olav Trøim</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Chairman</w:t>
            </w:r>
          </w:p>
        </w:tc>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Mr. Trøim is a citizen of Norway.</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Daniel Rabun</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Mr. Rabun is a citizen of the United States of America.</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Thorleif Egeli</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Mr. Egeli is a citizen of Norway.</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Carl Steen</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Mr. Steen also serves as a director of Wilhemsen Holding ASA</w:t>
            </w:r>
          </w:p>
        </w:tc>
      </w:tr>
      <w:tr>
        <w:trPr>
          <w:trHeight w:val="216"/>
        </w:trPr>
        <w:tc>
          <w:tcPr>
            <w:tcW w:w="19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RS Platou ASA. Mr. Steen is a citizen of Norway.</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Niels Stolt-Nielsen</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Mr. Stolt-Nielsen is also the director and chief executive officer</w:t>
            </w:r>
          </w:p>
        </w:tc>
      </w:tr>
      <w:tr>
        <w:trPr>
          <w:trHeight w:val="216"/>
        </w:trPr>
        <w:tc>
          <w:tcPr>
            <w:tcW w:w="19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Stolt-Nielsen Limited and is the Chairman and founding</w:t>
            </w:r>
          </w:p>
        </w:tc>
      </w:tr>
      <w:tr>
        <w:trPr>
          <w:trHeight w:val="216"/>
        </w:trPr>
        <w:tc>
          <w:tcPr>
            <w:tcW w:w="19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investor of Avance Gas. Mr. Stolt Nielsen is a citizen of Norway.</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Lori Wheeler Naess</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Ms. Wheeler Naess is a citizen of the United States of America.</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Georgina Sousa</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Ms. Sousa is a citizen of the United Kingdom.</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Karl Fredrik Staubo</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Chief Executive Officer of Golar Management</w:t>
            </w:r>
          </w:p>
        </w:tc>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Mr. Staubo is a citizen of Norway.</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Eduardo Maranhão</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Chief Financial Officer of Golar Management</w:t>
            </w:r>
          </w:p>
        </w:tc>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Mr. Maranhão is a citizen of Brazil.</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Øistein Dahl</w:t>
            </w:r>
          </w:p>
        </w:tc>
        <w:tc>
          <w:tcPr>
            <w:tcW w:w="9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Chief Operating Officer and Managing Director of GolarMr. Dahl is a citizen of Norway.</w:t>
            </w:r>
          </w:p>
        </w:tc>
      </w:tr>
      <w:tr>
        <w:trPr>
          <w:trHeight w:val="216"/>
        </w:trPr>
        <w:tc>
          <w:tcPr>
            <w:tcW w:w="1920" w:type="dxa"/>
            <w:vAlign w:val="bottom"/>
          </w:tcPr>
          <w:p>
            <w:pPr>
              <w:spacing w:after="0"/>
              <w:rPr>
                <w:sz w:val="18"/>
                <w:szCs w:val="18"/>
                <w:color w:val="auto"/>
              </w:rPr>
            </w:pP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Management Norway AS</w:t>
            </w:r>
          </w:p>
        </w:tc>
        <w:tc>
          <w:tcPr>
            <w:tcW w:w="4740" w:type="dxa"/>
            <w:vAlign w:val="bottom"/>
          </w:tcPr>
          <w:p>
            <w:pPr>
              <w:spacing w:after="0"/>
              <w:rPr>
                <w:sz w:val="18"/>
                <w:szCs w:val="18"/>
                <w:color w:val="auto"/>
              </w:rPr>
            </w:pP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Olve Skjeggedal</w:t>
            </w: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Chief Technical Officer of Golar Management Norway</w:t>
            </w:r>
          </w:p>
        </w:tc>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Mr. Skjeggedal is a citizen of Norway.</w:t>
            </w:r>
          </w:p>
        </w:tc>
      </w:tr>
    </w:tbl>
    <w:p>
      <w:pPr>
        <w:spacing w:after="0" w:line="216"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22"/>
          <w:szCs w:val="22"/>
          <w:color w:val="auto"/>
        </w:rPr>
        <w:t>(d. and e.) To the best knowledge of the Reporting Person, none of the entities or persons identified in this Item 2, has, during the past five years, been convicted of any criminal proceeding (excluding traffic violations or similar misdemeanors), nor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type w:val="continuous"/>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47" w:lineRule="exact"/>
        <w:rPr>
          <w:sz w:val="20"/>
          <w:szCs w:val="20"/>
          <w:color w:val="auto"/>
        </w:rPr>
      </w:pPr>
    </w:p>
    <w:p>
      <w:pPr>
        <w:ind w:right="100" w:firstLine="324"/>
        <w:spacing w:after="0" w:line="244" w:lineRule="auto"/>
        <w:rPr>
          <w:sz w:val="20"/>
          <w:szCs w:val="20"/>
          <w:color w:val="auto"/>
        </w:rPr>
      </w:pPr>
      <w:r>
        <w:rPr>
          <w:rFonts w:ascii="Times New Roman" w:cs="Times New Roman" w:eastAsia="Times New Roman" w:hAnsi="Times New Roman"/>
          <w:sz w:val="22"/>
          <w:szCs w:val="22"/>
          <w:color w:val="auto"/>
        </w:rPr>
        <w:t>(a.) – (b.) The aggregate number and percentage of Class A Common Shares beneficially owned by the Reporting Person (on the basis of a total of 206,863,242 Class A Common Shares outstanding as of February 24, 2022 as reported by the Issuer in its Annual Report on Form 20-F for the year ended December 31, 2021), are as follows: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(a.)</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Amount beneficially owned: 12,427,451</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Percentage: 6.01%</w:t>
      </w:r>
    </w:p>
    <w:p>
      <w:pPr>
        <w:spacing w:after="0" w:line="200" w:lineRule="exact"/>
        <w:rPr>
          <w:sz w:val="20"/>
          <w:szCs w:val="20"/>
          <w:color w:val="auto"/>
        </w:rPr>
      </w:pPr>
    </w:p>
    <w:p>
      <w:pPr>
        <w:sectPr>
          <w:pgSz w:w="11900" w:h="16838" w:orient="portrait"/>
          <w:cols w:equalWidth="0" w:num="3">
            <w:col w:w="620" w:space="540"/>
            <w:col w:w="3500" w:space="540"/>
            <w:col w:w="6040"/>
          </w:cols>
          <w:pgMar w:left="320" w:top="117" w:right="339" w:bottom="1440" w:gutter="0" w:footer="0" w:header="0"/>
          <w:type w:val="continuous"/>
        </w:sectPr>
      </w:pP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(b.)</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Number of Class A Common Shares to which the Reporting Person have:</w:t>
      </w:r>
    </w:p>
    <w:p>
      <w:pPr>
        <w:spacing w:after="0" w:line="200" w:lineRule="exact"/>
        <w:rPr>
          <w:sz w:val="20"/>
          <w:szCs w:val="20"/>
          <w:color w:val="auto"/>
        </w:rPr>
      </w:pPr>
    </w:p>
    <w:p>
      <w:pPr>
        <w:sectPr>
          <w:pgSz w:w="11900" w:h="16838" w:orient="portrait"/>
          <w:cols w:equalWidth="0" w:num="2">
            <w:col w:w="640" w:space="540"/>
            <w:col w:w="10060"/>
          </w:cols>
          <w:pgMar w:left="320" w:top="117" w:right="339" w:bottom="1440" w:gutter="0" w:footer="0" w:header="0"/>
          <w:type w:val="continuous"/>
        </w:sectPr>
      </w:pPr>
    </w:p>
    <w:p>
      <w:pPr>
        <w:spacing w:after="0" w:line="45" w:lineRule="exact"/>
        <w:rPr>
          <w:sz w:val="20"/>
          <w:szCs w:val="20"/>
          <w:color w:val="auto"/>
        </w:rPr>
      </w:pPr>
    </w:p>
    <w:p>
      <w:pPr>
        <w:ind w:left="1420" w:hanging="764"/>
        <w:spacing w:after="0"/>
        <w:tabs>
          <w:tab w:leader="none" w:pos="14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12,427,451</w:t>
      </w:r>
    </w:p>
    <w:p>
      <w:pPr>
        <w:spacing w:after="0" w:line="233" w:lineRule="exact"/>
        <w:rPr>
          <w:rFonts w:ascii="Times New Roman" w:cs="Times New Roman" w:eastAsia="Times New Roman" w:hAnsi="Times New Roman"/>
          <w:sz w:val="22"/>
          <w:szCs w:val="22"/>
          <w:color w:val="auto"/>
        </w:rPr>
      </w:pPr>
    </w:p>
    <w:p>
      <w:pPr>
        <w:ind w:left="1420" w:hanging="764"/>
        <w:spacing w:after="0"/>
        <w:tabs>
          <w:tab w:leader="none" w:pos="14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w:t>
      </w:r>
    </w:p>
    <w:p>
      <w:pPr>
        <w:spacing w:after="0" w:line="233" w:lineRule="exact"/>
        <w:rPr>
          <w:rFonts w:ascii="Times New Roman" w:cs="Times New Roman" w:eastAsia="Times New Roman" w:hAnsi="Times New Roman"/>
          <w:sz w:val="22"/>
          <w:szCs w:val="22"/>
          <w:color w:val="auto"/>
        </w:rPr>
      </w:pPr>
    </w:p>
    <w:p>
      <w:pPr>
        <w:ind w:left="1440" w:hanging="784"/>
        <w:spacing w:after="0"/>
        <w:tabs>
          <w:tab w:leader="none" w:pos="14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12,427,451</w:t>
      </w:r>
    </w:p>
    <w:p>
      <w:pPr>
        <w:spacing w:after="0" w:line="233" w:lineRule="exact"/>
        <w:rPr>
          <w:rFonts w:ascii="Times New Roman" w:cs="Times New Roman" w:eastAsia="Times New Roman" w:hAnsi="Times New Roman"/>
          <w:sz w:val="22"/>
          <w:szCs w:val="22"/>
          <w:color w:val="auto"/>
        </w:rPr>
      </w:pPr>
    </w:p>
    <w:p>
      <w:pPr>
        <w:ind w:left="1400" w:hanging="744"/>
        <w:spacing w:after="0"/>
        <w:tabs>
          <w:tab w:leader="none" w:pos="14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w:t>
      </w:r>
    </w:p>
    <w:p>
      <w:pPr>
        <w:spacing w:after="0" w:line="233"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22"/>
          <w:szCs w:val="22"/>
          <w:color w:val="auto"/>
        </w:rPr>
        <w:t>(c.) To the best knowledge of the Reporting Person, no transactions were effected by the Reporting Person during the past 60 days other than the transactions described herein.</w:t>
      </w:r>
    </w:p>
    <w:p>
      <w:pPr>
        <w:spacing w:after="0" w:line="185" w:lineRule="exact"/>
        <w:rPr>
          <w:sz w:val="20"/>
          <w:szCs w:val="20"/>
          <w:color w:val="auto"/>
        </w:rPr>
      </w:pPr>
    </w:p>
    <w:p>
      <w:pPr>
        <w:ind w:left="340"/>
        <w:spacing w:after="0"/>
        <w:tabs>
          <w:tab w:leader="none" w:pos="116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No other person is known to have the right to receive or the power to direct the receipt of dividends from, or the</w:t>
      </w:r>
    </w:p>
    <w:p>
      <w:pPr>
        <w:spacing w:after="0" w:line="14"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proceeds from the sale of, any of the Class A Common Shares beneficially owned by the Reporting Person, other than as described herein.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w:t>
            </w:r>
          </w:p>
        </w:tc>
        <w:tc>
          <w:tcPr>
            <w:tcW w:w="10340" w:type="dxa"/>
            <w:vAlign w:val="bottom"/>
          </w:tcPr>
          <w:p>
            <w:pPr>
              <w:jc w:val="right"/>
              <w:ind w:right="867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572"/>
        </w:trPr>
        <w:tc>
          <w:tcPr>
            <w:tcW w:w="900" w:type="dxa"/>
            <w:vAlign w:val="bottom"/>
          </w:tcPr>
          <w:p>
            <w:pPr>
              <w:spacing w:after="0"/>
              <w:rPr>
                <w:sz w:val="24"/>
                <w:szCs w:val="24"/>
                <w:color w:val="auto"/>
              </w:rPr>
            </w:pPr>
          </w:p>
        </w:tc>
        <w:tc>
          <w:tcPr>
            <w:tcW w:w="10340" w:type="dxa"/>
            <w:vAlign w:val="bottom"/>
          </w:tcPr>
          <w:p>
            <w:pPr>
              <w:jc w:val="right"/>
              <w:ind w:right="5490"/>
              <w:spacing w:after="0"/>
              <w:rPr>
                <w:sz w:val="20"/>
                <w:szCs w:val="20"/>
                <w:color w:val="auto"/>
              </w:rPr>
            </w:pPr>
            <w:r>
              <w:rPr>
                <w:rFonts w:ascii="Times New Roman" w:cs="Times New Roman" w:eastAsia="Times New Roman" w:hAnsi="Times New Roman"/>
                <w:sz w:val="14"/>
                <w:szCs w:val="14"/>
                <w:color w:val="auto"/>
              </w:rPr>
              <w:t>4</w:t>
            </w:r>
          </w:p>
        </w:tc>
      </w:tr>
      <w:tr>
        <w:trPr>
          <w:trHeight w:val="44"/>
        </w:trPr>
        <w:tc>
          <w:tcPr>
            <w:tcW w:w="900" w:type="dxa"/>
            <w:vAlign w:val="bottom"/>
            <w:tcBorders>
              <w:bottom w:val="single" w:sz="8" w:color="auto"/>
            </w:tcBorders>
          </w:tcPr>
          <w:p>
            <w:pPr>
              <w:spacing w:after="0"/>
              <w:rPr>
                <w:sz w:val="3"/>
                <w:szCs w:val="3"/>
                <w:color w:val="auto"/>
              </w:rPr>
            </w:pPr>
          </w:p>
        </w:tc>
        <w:tc>
          <w:tcPr>
            <w:tcW w:w="103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the undersigned certifies that the information set forth in this statement is true, complete and correct.</w:t>
      </w:r>
    </w:p>
    <w:p>
      <w:pPr>
        <w:spacing w:after="0" w:line="19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April 6, 2022</w:t>
      </w:r>
      <w:r>
        <w:rPr>
          <w:sz w:val="20"/>
          <w:szCs w:val="20"/>
          <w:color w:val="auto"/>
        </w:rPr>
        <w:tab/>
      </w:r>
      <w:r>
        <w:rPr>
          <w:rFonts w:ascii="Times New Roman" w:cs="Times New Roman" w:eastAsia="Times New Roman" w:hAnsi="Times New Roman"/>
          <w:sz w:val="17"/>
          <w:szCs w:val="17"/>
          <w:b w:val="1"/>
          <w:bCs w:val="1"/>
          <w:color w:val="auto"/>
        </w:rPr>
        <w:t>GOLAR LNG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Eduardo Maranhão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Eduardo Maranhão</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2022-04-07T05:18:07Z</dcterms:created>
  <dcterms:modified xsi:type="dcterms:W3CDTF">2022-04-07T05:18:07Z</dcterms:modified>
</cp:coreProperties>
</file>