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3561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Wesley R. Edens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NFE Financial Holdings LLC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 W. 19th Street, 8th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  <w:tab/>
        <w:t>NFE Financial Holdings LLC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1 to Draft Registration Statement on Form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S-1</w:t>
      </w:r>
    </w:p>
    <w:p>
      <w:pPr>
        <w:ind w:left="2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October 5, 2018</w:t>
      </w:r>
    </w:p>
    <w:p>
      <w:pPr>
        <w:ind w:left="2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000179723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Edens: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Model, page 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166"/>
        <w:spacing w:after="0" w:line="235" w:lineRule="auto"/>
        <w:tabs>
          <w:tab w:leader="none" w:pos="147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6 that you have contracts, letters of intent or expect to secure contracts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near term to sell LNG volumes in excess of 8.3 million gallons per day.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the amount of LNG volumes for which you are currently contractually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committed to deliver, as you do on page 9.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Liquefaction Assets, page 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166"/>
        <w:spacing w:after="0" w:line="235" w:lineRule="auto"/>
        <w:tabs>
          <w:tab w:leader="none" w:pos="147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discussion of your Miami facility. You mention it towards the end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discussion in the context of all of your assets but you do not provide a summary of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Wesley R. Edens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NFE Financial Holdings LLC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25, 2018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facility on a standalone basis. In doing so, please explain the amount of, if any, LNG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volumes you are contractually committed to deliver from this facility.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Illustrative LNG Production and Natural Gas Sale Economics, page 10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324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you are presenting a projection on an MMBtu basis of your anticipated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EBITDA reflecting operations in Jamaica, anticipated developments in Puerto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Rico, Ireland and Mexico and estimated liquefaction of natural gas at the Pennsylvania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Facilities or the Haynesville Facilities to the exclusion of your operations in Miami.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if our understanding is incorrect. We also note your projection is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achieving unit economics in 2022 which is four years in the future. Explain to us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 how projection of a metric (EBITDA) on a per unit basis (MMBtu),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opposed 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traditional projections of revenue, net income and EPS, complies with Item 10(b)(2)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In addition, please explain how you have a reasonable basis to project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four years in the future given your particular circumstances and limited operating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history. Please be detailed in your response.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is dependent upon obtaining substantial additional funding from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various sources...,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324"/>
        <w:spacing w:after="0" w:line="235" w:lineRule="auto"/>
        <w:tabs>
          <w:tab w:leader="none" w:pos="6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11 and your revised disclosure. We further note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a "committed debt financing of $___ million." In the appropriate place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including, but not limited to, your Liquidity and Capital Resources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please provide a description of your "committed debt financing of $___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million."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324"/>
        <w:spacing w:after="0" w:line="235" w:lineRule="auto"/>
        <w:tabs>
          <w:tab w:leader="none" w:pos="6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16 and your revised disclosure. However,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 to your Notes to Consolidated Financial Statements you continue to disclose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"engaged in providing energy, logistical services, and financing capital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to end users worldwide, seeking to convert their operating assets from diesel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heavy fuel oil to Liquefied Natural Gas ("LNG")." Please revise for consistency.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Changes in Members' Equity, page F-5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324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rollforward of the number of member shares outstanding for each 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balance sheet is presented. You may present this information here or in the notes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1919" w:firstLine="52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statements. Refer to Rule 3-04 of Regulation S-X. Wesley R. Edens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NFE Financial Holdings LLC October 25,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324"/>
        <w:spacing w:after="0" w:line="235" w:lineRule="auto"/>
        <w:tabs>
          <w:tab w:leader="none" w:pos="632" w:val="left"/>
        </w:tabs>
        <w:numPr>
          <w:ilvl w:val="1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response to comment 21 regarding the disclosures required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280-10-50-40. Please separately present interest revenue generated from your direct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arrangements and, if applicable, steam revenues.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 Leases, net, page F-16</w:t>
      </w:r>
    </w:p>
    <w:p>
      <w:pPr>
        <w:spacing w:after="0" w:line="20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324"/>
        <w:spacing w:after="0" w:line="235" w:lineRule="auto"/>
        <w:tabs>
          <w:tab w:leader="none" w:pos="632" w:val="left"/>
        </w:tabs>
        <w:numPr>
          <w:ilvl w:val="1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response to comment 22. We note that you appear to account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Terminal Arrangement under ASC 840 for the fixed generation capacity component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under ASC 605 for the variable commodity component. Please clarify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it was appropriate to separately account for the fixed and variable features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two accounting models rather than as a combined arrangement entirely under 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accounting. In doing so, explain why the variable commodity component does not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 contingent rent under ASC 840-10-25-4.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9. We note your response to comment 23. Your analysis with respect to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GSAs seems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address your "planned and expected business," when your analysis should be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your current operations. Please revise your analysis to address whether or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existing GSAs constitute a major part of your current business or file your existing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GSAs as exhibits.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Yong Kim, Staff Accountant, at (202) 551-3323, or Andrew Blume, Staff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Accountant, at (202) 551-3254 if you have questions regarding comments on the financial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Scott Anderegg, Attorney Adviser,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3342, or me at (202) 551-3720 if you have questions regarding the comments.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Mara L. Ransom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Mara L. Ransom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Director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Consumer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9E2A9E3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7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12"/>
    </w:lvl>
    <w:lvl w:ilvl="1">
      <w:lvlJc w:val="left"/>
      <w:lvlText w:val="%2."/>
      <w:numFmt w:val="decimal"/>
      <w:start w:val="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2020-10-07T23:29:57Z</dcterms:created>
  <dcterms:modified xsi:type="dcterms:W3CDTF">2020-10-07T23:29:57Z</dcterms:modified>
</cp:coreProperties>
</file>