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730250</wp:posOffset>
            </wp:positionH>
            <wp:positionV relativeFrom="page">
              <wp:posOffset>812800</wp:posOffset>
            </wp:positionV>
            <wp:extent cx="63119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21" w:lineRule="exact"/>
        <w:rPr>
          <w:sz w:val="24"/>
          <w:szCs w:val="24"/>
          <w:color w:val="auto"/>
        </w:rPr>
      </w:pPr>
    </w:p>
    <w:p>
      <w:pPr>
        <w:ind w:left="440" w:right="40" w:hanging="397"/>
        <w:spacing w:after="0" w:line="273" w:lineRule="auto"/>
        <w:tabs>
          <w:tab w:leader="none" w:pos="4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2023</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81" w:lineRule="exact"/>
        <w:rPr>
          <w:sz w:val="24"/>
          <w:szCs w:val="24"/>
          <w:color w:val="auto"/>
        </w:rPr>
      </w:pPr>
    </w:p>
    <w:p>
      <w:pPr>
        <w:ind w:left="440" w:right="40" w:hanging="397"/>
        <w:spacing w:after="0" w:line="273" w:lineRule="auto"/>
        <w:tabs>
          <w:tab w:leader="none" w:pos="4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to_______</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Commission File Number: 001-38790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266"/>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83-1482060</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443"/>
        </w:trPr>
        <w:tc>
          <w:tcPr>
            <w:tcW w:w="5320" w:type="dxa"/>
            <w:vAlign w:val="bottom"/>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111 W. 19th Street, 8th Floor</w:t>
            </w:r>
          </w:p>
        </w:tc>
        <w:tc>
          <w:tcPr>
            <w:tcW w:w="3460" w:type="dxa"/>
            <w:vAlign w:val="bottom"/>
          </w:tcPr>
          <w:p>
            <w:pPr>
              <w:spacing w:after="0"/>
              <w:rPr>
                <w:sz w:val="24"/>
                <w:szCs w:val="24"/>
                <w:color w:val="auto"/>
              </w:rPr>
            </w:pPr>
          </w:p>
        </w:tc>
      </w:tr>
      <w:tr>
        <w:trPr>
          <w:trHeight w:val="272"/>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46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10011</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46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(516) 268-7400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93"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color w:val="auto"/>
              </w:rPr>
              <w:t>Name of each exchange on which</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20"/>
                <w:szCs w:val="20"/>
                <w:color w:val="auto"/>
              </w:rPr>
              <w:t>registered</w:t>
            </w: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4"/>
          </w:tcPr>
          <w:p>
            <w:pPr>
              <w:jc w:val="center"/>
              <w:ind w:right="620"/>
              <w:spacing w:after="0" w:line="180" w:lineRule="exact"/>
              <w:rPr>
                <w:sz w:val="20"/>
                <w:szCs w:val="20"/>
                <w:color w:val="auto"/>
              </w:rPr>
            </w:pPr>
            <w:r>
              <w:rPr>
                <w:rFonts w:ascii="Times New Roman" w:cs="Times New Roman" w:eastAsia="Times New Roman" w:hAnsi="Times New Roman"/>
                <w:sz w:val="20"/>
                <w:szCs w:val="20"/>
                <w:color w:val="auto"/>
                <w:w w:val="98"/>
              </w:rPr>
              <w:t>on which registered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500" w:type="dxa"/>
            <w:vAlign w:val="bottom"/>
            <w:gridSpan w:val="3"/>
          </w:tcPr>
          <w:p>
            <w:pPr>
              <w:jc w:val="center"/>
              <w:ind w:right="1580"/>
              <w:spacing w:after="0"/>
              <w:rPr>
                <w:sz w:val="20"/>
                <w:szCs w:val="20"/>
                <w:color w:val="auto"/>
              </w:rPr>
            </w:pPr>
            <w:r>
              <w:rPr>
                <w:rFonts w:ascii="Times New Roman" w:cs="Times New Roman" w:eastAsia="Times New Roman" w:hAnsi="Times New Roman"/>
                <w:sz w:val="20"/>
                <w:szCs w:val="20"/>
                <w:b w:val="1"/>
                <w:bCs w:val="1"/>
                <w:color w:val="auto"/>
                <w:w w:val="99"/>
              </w:rPr>
              <w:t>Class A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NFE</w:t>
            </w:r>
          </w:p>
        </w:tc>
        <w:tc>
          <w:tcPr>
            <w:tcW w:w="1180" w:type="dxa"/>
            <w:vAlign w:val="bottom"/>
          </w:tcPr>
          <w:p>
            <w:pPr>
              <w:spacing w:after="0"/>
              <w:rPr>
                <w:sz w:val="24"/>
                <w:szCs w:val="24"/>
                <w:color w:val="auto"/>
              </w:rPr>
            </w:pPr>
          </w:p>
        </w:tc>
        <w:tc>
          <w:tcPr>
            <w:tcW w:w="27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color w:val="auto"/>
        </w:rPr>
        <w:t>None</w:t>
      </w:r>
    </w:p>
    <w:p>
      <w:pPr>
        <w:spacing w:after="0" w:line="254" w:lineRule="exact"/>
        <w:rPr>
          <w:sz w:val="24"/>
          <w:szCs w:val="24"/>
          <w:color w:val="auto"/>
        </w:rPr>
      </w:pPr>
    </w:p>
    <w:p>
      <w:pPr>
        <w:ind w:right="160"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19" w:lineRule="exact"/>
        <w:rPr>
          <w:sz w:val="24"/>
          <w:szCs w:val="24"/>
          <w:color w:val="auto"/>
        </w:rPr>
      </w:pPr>
    </w:p>
    <w:p>
      <w:pPr>
        <w:ind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9" w:lineRule="exact"/>
        <w:rPr>
          <w:sz w:val="24"/>
          <w:szCs w:val="24"/>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48" w:lineRule="exact"/>
        <w:rPr>
          <w:sz w:val="24"/>
          <w:szCs w:val="24"/>
          <w:color w:val="auto"/>
        </w:rPr>
      </w:pPr>
    </w:p>
    <w:p>
      <w:pPr>
        <w:ind w:right="120" w:firstLine="720"/>
        <w:spacing w:after="0" w:line="28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5" w:lineRule="exact"/>
        <w:rPr>
          <w:sz w:val="24"/>
          <w:szCs w:val="24"/>
          <w:color w:val="auto"/>
        </w:rPr>
      </w:pPr>
    </w:p>
    <w:p>
      <w:pPr>
        <w:ind w:right="280" w:firstLine="720"/>
        <w:spacing w:after="0" w:line="286"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880"/>
          </w:cols>
          <w:pgMar w:left="1180" w:top="1440" w:right="1180" w:bottom="513"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306"/>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Large 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p>
        </w:tc>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tc>
      </w:tr>
      <w:tr>
        <w:trPr>
          <w:trHeight w:val="30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Wingdings" w:cs="Wingdings" w:eastAsia="Wingdings" w:hAnsi="Wingdings"/>
                <w:sz w:val="20"/>
                <w:szCs w:val="20"/>
                <w:b w:val="1"/>
                <w:bCs w:val="1"/>
                <w:color w:val="auto"/>
              </w:rPr>
              <w:t>o</w:t>
            </w:r>
          </w:p>
        </w:tc>
        <w:tc>
          <w:tcPr>
            <w:tcW w:w="5020" w:type="dxa"/>
            <w:vAlign w:val="bottom"/>
          </w:tcPr>
          <w:p>
            <w:pPr>
              <w:jc w:val="right"/>
              <w:spacing w:after="0" w:line="231" w:lineRule="exact"/>
              <w:rPr>
                <w:sz w:val="20"/>
                <w:szCs w:val="20"/>
                <w:color w:val="auto"/>
              </w:rPr>
            </w:pPr>
            <w:r>
              <w:rPr>
                <w:rFonts w:ascii="Times New Roman" w:cs="Times New Roman" w:eastAsia="Times New Roman" w:hAnsi="Times New Roman"/>
                <w:sz w:val="20"/>
                <w:szCs w:val="20"/>
                <w:color w:val="auto"/>
              </w:rPr>
              <w:t xml:space="preserve">Smaller reporting company </w:t>
            </w:r>
            <w:r>
              <w:rPr>
                <w:rFonts w:ascii="Arial" w:cs="Arial" w:eastAsia="Arial" w:hAnsi="Arial"/>
                <w:sz w:val="20"/>
                <w:szCs w:val="20"/>
                <w:b w:val="1"/>
                <w:bCs w:val="1"/>
                <w:color w:val="auto"/>
              </w:rPr>
              <w:t xml:space="preserve"> </w:t>
            </w:r>
            <w:r>
              <w:rPr>
                <w:rFonts w:ascii="MS PGothic" w:cs="MS PGothic" w:eastAsia="MS PGothic" w:hAnsi="MS PGothic"/>
                <w:sz w:val="20"/>
                <w:szCs w:val="20"/>
                <w:b w:val="1"/>
                <w:bCs w:val="1"/>
                <w:color w:val="auto"/>
              </w:rPr>
              <w:t>☐</w:t>
            </w:r>
          </w:p>
        </w:tc>
      </w:tr>
      <w:tr>
        <w:trPr>
          <w:trHeight w:val="300"/>
        </w:trPr>
        <w:tc>
          <w:tcPr>
            <w:tcW w:w="4780" w:type="dxa"/>
            <w:vAlign w:val="bottom"/>
          </w:tcPr>
          <w:p>
            <w:pPr>
              <w:spacing w:after="0"/>
              <w:rPr>
                <w:sz w:val="24"/>
                <w:szCs w:val="24"/>
                <w:color w:val="auto"/>
              </w:rPr>
            </w:pPr>
          </w:p>
        </w:tc>
        <w:tc>
          <w:tcPr>
            <w:tcW w:w="5020" w:type="dxa"/>
            <w:vAlign w:val="bottom"/>
          </w:tcPr>
          <w:p>
            <w:pPr>
              <w:jc w:val="right"/>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b w:val="1"/>
                <w:bCs w:val="1"/>
                <w:color w:val="auto"/>
              </w:rPr>
              <w:t>☐</w:t>
            </w:r>
          </w:p>
        </w:tc>
      </w:tr>
    </w:tbl>
    <w:p>
      <w:pPr>
        <w:spacing w:after="0" w:line="273"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8" w:lineRule="exact"/>
        <w:rPr>
          <w:sz w:val="20"/>
          <w:szCs w:val="20"/>
          <w:color w:val="auto"/>
        </w:rPr>
      </w:pPr>
    </w:p>
    <w:p>
      <w:pPr>
        <w:ind w:right="60" w:firstLine="7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9"/>
          <w:szCs w:val="1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9"/>
          <w:szCs w:val="19"/>
          <w:b w:val="1"/>
          <w:bCs w:val="1"/>
          <w:color w:val="auto"/>
        </w:rPr>
        <w:t xml:space="preserve"> </w:t>
      </w:r>
    </w:p>
    <w:p>
      <w:pPr>
        <w:spacing w:after="0"/>
        <w:rPr>
          <w:sz w:val="20"/>
          <w:szCs w:val="20"/>
          <w:color w:val="auto"/>
        </w:rPr>
      </w:pPr>
      <w:r>
        <w:rPr>
          <w:rFonts w:ascii="Wingdings" w:cs="Wingdings" w:eastAsia="Wingdings" w:hAnsi="Wingdings"/>
          <w:sz w:val="20"/>
          <w:szCs w:val="20"/>
          <w:b w:val="1"/>
          <w:bCs w:val="1"/>
          <w:color w:val="auto"/>
        </w:rPr>
        <w:t>o</w:t>
      </w:r>
    </w:p>
    <w:p>
      <w:pPr>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20"/>
          <w:szCs w:val="20"/>
          <w:color w:val="333333"/>
        </w:rPr>
        <w:t>§240.10D-1(b)</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55" w:lineRule="exact"/>
        <w:rPr>
          <w:sz w:val="20"/>
          <w:szCs w:val="20"/>
          <w:color w:val="auto"/>
        </w:rPr>
      </w:pPr>
    </w:p>
    <w:p>
      <w:pPr>
        <w:ind w:right="100"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5" w:lineRule="exact"/>
        <w:rPr>
          <w:sz w:val="20"/>
          <w:szCs w:val="20"/>
          <w:color w:val="auto"/>
        </w:rPr>
      </w:pPr>
    </w:p>
    <w:p>
      <w:pPr>
        <w:ind w:right="240" w:firstLine="720"/>
        <w:spacing w:after="0" w:line="286" w:lineRule="auto"/>
        <w:rPr>
          <w:sz w:val="20"/>
          <w:szCs w:val="20"/>
          <w:color w:val="auto"/>
        </w:rPr>
      </w:pPr>
      <w:r>
        <w:rPr>
          <w:rFonts w:ascii="Times New Roman" w:cs="Times New Roman" w:eastAsia="Times New Roman" w:hAnsi="Times New Roman"/>
          <w:sz w:val="19"/>
          <w:szCs w:val="19"/>
          <w:color w:val="auto"/>
        </w:rPr>
        <w:t>The aggregate market value of the voting and non-voting common equity held by non-affiliates of the registrant computed as of June 30, 2023 (the last business day of the registrant’s most recently completed second fiscal quarter), based on the closing price of the Class A common stock on the Nasdaq Global Select Market, was $2,776.0 million.</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February 26, 2024, the registrant had 205,033,557 shares of Class A common stock outstanding.</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Documents Incorporated by Reference</w:t>
      </w:r>
      <w:r>
        <w:rPr>
          <w:rFonts w:ascii="Times New Roman" w:cs="Times New Roman" w:eastAsia="Times New Roman" w:hAnsi="Times New Roman"/>
          <w:sz w:val="20"/>
          <w:szCs w:val="20"/>
          <w:color w:val="auto"/>
          <w:highlight w:val="white"/>
        </w:rPr>
        <w:t>:</w:t>
      </w:r>
    </w:p>
    <w:p>
      <w:pPr>
        <w:spacing w:after="0" w:line="250"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the registrant’s 2024 annual meeting, to be filed within 120 days after the close of the registrant’s fiscal year, are incorporated by reference into Parts II and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880"/>
          </w:cols>
          <w:pgMar w:left="1180" w:top="913" w:right="11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64"/>
        </w:trPr>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0" w:type="dxa"/>
            <w:vAlign w:val="bottom"/>
            <w:gridSpan w:val="12"/>
          </w:tcPr>
          <w:p>
            <w:pPr>
              <w:ind w:left="1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8"/>
        </w:trPr>
        <w:tc>
          <w:tcPr>
            <w:tcW w:w="20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GLOSSARY OF TERMS</w:t>
            </w:r>
          </w:p>
        </w:tc>
        <w:tc>
          <w:tcPr>
            <w:tcW w:w="6960" w:type="dxa"/>
            <w:vAlign w:val="bottom"/>
            <w:gridSpan w:val="2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0"/>
        </w:trPr>
        <w:tc>
          <w:tcPr>
            <w:tcW w:w="9040" w:type="dxa"/>
            <w:vAlign w:val="bottom"/>
            <w:gridSpan w:val="32"/>
          </w:tcPr>
          <w:p>
            <w:pPr>
              <w:spacing w:after="0"/>
              <w:rPr>
                <w:sz w:val="20"/>
                <w:szCs w:val="20"/>
                <w:color w:val="auto"/>
              </w:rPr>
            </w:pPr>
            <w:r>
              <w:rPr>
                <w:rFonts w:ascii="Times New Roman" w:cs="Times New Roman" w:eastAsia="Times New Roman" w:hAnsi="Times New Roman"/>
                <w:sz w:val="20"/>
                <w:szCs w:val="20"/>
                <w:color w:val="0000FF"/>
              </w:rPr>
              <w:t>CAUTIONARY STATEMENT ON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80"/>
        </w:trPr>
        <w:tc>
          <w:tcPr>
            <w:tcW w:w="6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PART I</w:t>
            </w:r>
          </w:p>
        </w:tc>
        <w:tc>
          <w:tcPr>
            <w:tcW w:w="900" w:type="dxa"/>
            <w:vAlign w:val="bottom"/>
            <w:tcBorders>
              <w:top w:val="single" w:sz="8" w:color="0000FF"/>
            </w:tcBorders>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9040" w:type="dxa"/>
            <w:vAlign w:val="bottom"/>
            <w:gridSpan w:val="32"/>
          </w:tcPr>
          <w:p>
            <w:pPr>
              <w:ind w:left="300"/>
              <w:spacing w:after="0"/>
              <w:rPr>
                <w:sz w:val="20"/>
                <w:szCs w:val="20"/>
                <w:color w:val="auto"/>
              </w:rPr>
            </w:pPr>
            <w:r>
              <w:rPr>
                <w:rFonts w:ascii="Times New Roman" w:cs="Times New Roman" w:eastAsia="Times New Roman" w:hAnsi="Times New Roman"/>
                <w:sz w:val="20"/>
                <w:szCs w:val="20"/>
                <w:color w:val="auto"/>
              </w:rPr>
              <w:t xml:space="preserve">Items 1 and 2. </w:t>
            </w:r>
            <w:r>
              <w:rPr>
                <w:rFonts w:ascii="Times New Roman" w:cs="Times New Roman" w:eastAsia="Times New Roman" w:hAnsi="Times New Roman"/>
                <w:sz w:val="20"/>
                <w:szCs w:val="20"/>
                <w:color w:val="0000FF"/>
              </w:rPr>
              <w:t>Business and 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Risk Factors</w:t>
            </w:r>
          </w:p>
        </w:tc>
        <w:tc>
          <w:tcPr>
            <w:tcW w:w="900" w:type="dxa"/>
            <w:vAlign w:val="bottom"/>
            <w:tcBorders>
              <w:top w:val="single" w:sz="8" w:color="0000FF"/>
            </w:tcBorders>
            <w:gridSpan w:val="5"/>
          </w:tcPr>
          <w:p>
            <w:pPr>
              <w:spacing w:after="0"/>
              <w:rPr>
                <w:sz w:val="24"/>
                <w:szCs w:val="24"/>
                <w:color w:val="auto"/>
              </w:rPr>
            </w:pPr>
          </w:p>
        </w:tc>
        <w:tc>
          <w:tcPr>
            <w:tcW w:w="558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1B.</w:t>
            </w: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16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1C.</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3.</w:t>
            </w:r>
          </w:p>
        </w:tc>
        <w:tc>
          <w:tcPr>
            <w:tcW w:w="1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Legal Proceedings.</w:t>
            </w:r>
          </w:p>
        </w:tc>
        <w:tc>
          <w:tcPr>
            <w:tcW w:w="596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4.</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80"/>
        </w:trPr>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PART II</w:t>
            </w:r>
          </w:p>
        </w:tc>
        <w:tc>
          <w:tcPr>
            <w:tcW w:w="840" w:type="dxa"/>
            <w:vAlign w:val="bottom"/>
            <w:gridSpan w:val="4"/>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275"/>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5.</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Market for the Registrant’s Common Equity, Related Shareholder Matters and Issuer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Purchases of Equity Securities.</w:t>
            </w:r>
          </w:p>
        </w:tc>
        <w:tc>
          <w:tcPr>
            <w:tcW w:w="4360" w:type="dxa"/>
            <w:vAlign w:val="bottom"/>
            <w:tcBorders>
              <w:top w:val="single" w:sz="8" w:color="0000FF"/>
            </w:tcBorders>
            <w:gridSpan w:val="9"/>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6.</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0000FF"/>
              </w:rPr>
              <w:t>Reserved.</w:t>
            </w: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0"/>
        </w:trPr>
        <w:tc>
          <w:tcPr>
            <w:tcW w:w="1540" w:type="dxa"/>
            <w:vAlign w:val="bottom"/>
            <w:gridSpan w:val="6"/>
            <w:vMerge w:val="restart"/>
          </w:tcPr>
          <w:p>
            <w:pPr>
              <w:ind w:left="300"/>
              <w:spacing w:after="0"/>
              <w:rPr>
                <w:sz w:val="20"/>
                <w:szCs w:val="20"/>
                <w:color w:val="auto"/>
              </w:rPr>
            </w:pPr>
            <w:r>
              <w:rPr>
                <w:rFonts w:ascii="Times New Roman" w:cs="Times New Roman" w:eastAsia="Times New Roman" w:hAnsi="Times New Roman"/>
                <w:sz w:val="20"/>
                <w:szCs w:val="20"/>
                <w:color w:val="auto"/>
              </w:rPr>
              <w:t>Item 7.</w:t>
            </w: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40" w:type="dxa"/>
            <w:vAlign w:val="bottom"/>
            <w:gridSpan w:val="6"/>
            <w:vMerge w:val="continue"/>
          </w:tcPr>
          <w:p>
            <w:pPr>
              <w:spacing w:after="0"/>
              <w:rPr>
                <w:sz w:val="24"/>
                <w:szCs w:val="24"/>
                <w:color w:val="auto"/>
              </w:rPr>
            </w:pPr>
          </w:p>
        </w:tc>
        <w:tc>
          <w:tcPr>
            <w:tcW w:w="72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2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7A.</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260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8.</w:t>
            </w:r>
          </w:p>
        </w:tc>
        <w:tc>
          <w:tcPr>
            <w:tcW w:w="3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374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9A.</w:t>
            </w:r>
          </w:p>
        </w:tc>
        <w:tc>
          <w:tcPr>
            <w:tcW w:w="2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546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9B.</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Other Information.</w:t>
            </w:r>
          </w:p>
        </w:tc>
        <w:tc>
          <w:tcPr>
            <w:tcW w:w="5980" w:type="dxa"/>
            <w:vAlign w:val="bottom"/>
            <w:gridSpan w:val="1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9C.</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0"/>
        </w:trPr>
        <w:tc>
          <w:tcPr>
            <w:tcW w:w="15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PART III</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10.</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Executive Compensation</w:t>
            </w:r>
          </w:p>
        </w:tc>
        <w:tc>
          <w:tcPr>
            <w:tcW w:w="2580" w:type="dxa"/>
            <w:vAlign w:val="bottom"/>
            <w:tcBorders>
              <w:top w:val="single" w:sz="8" w:color="0000FF"/>
            </w:tcBorders>
            <w:gridSpan w:val="7"/>
          </w:tcPr>
          <w:p>
            <w:pPr>
              <w:spacing w:after="0"/>
              <w:rPr>
                <w:sz w:val="24"/>
                <w:szCs w:val="24"/>
                <w:color w:val="auto"/>
              </w:rPr>
            </w:pPr>
          </w:p>
        </w:tc>
        <w:tc>
          <w:tcPr>
            <w:tcW w:w="29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75"/>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12.</w:t>
            </w:r>
          </w:p>
        </w:tc>
        <w:tc>
          <w:tcPr>
            <w:tcW w:w="75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180"/>
        </w:trPr>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500" w:type="dxa"/>
            <w:vAlign w:val="bottom"/>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Matters.</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gridSpan w:val="6"/>
            <w:vMerge w:val="restart"/>
          </w:tcPr>
          <w:p>
            <w:pPr>
              <w:ind w:left="300"/>
              <w:spacing w:after="0"/>
              <w:rPr>
                <w:sz w:val="20"/>
                <w:szCs w:val="20"/>
                <w:color w:val="auto"/>
              </w:rPr>
            </w:pPr>
            <w:r>
              <w:rPr>
                <w:rFonts w:ascii="Times New Roman" w:cs="Times New Roman" w:eastAsia="Times New Roman" w:hAnsi="Times New Roman"/>
                <w:sz w:val="20"/>
                <w:szCs w:val="20"/>
                <w:color w:val="auto"/>
              </w:rPr>
              <w:t>Item 13.</w:t>
            </w:r>
          </w:p>
        </w:tc>
        <w:tc>
          <w:tcPr>
            <w:tcW w:w="660" w:type="dxa"/>
            <w:vAlign w:val="bottom"/>
            <w:gridSpan w:val="3"/>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540" w:type="dxa"/>
            <w:vAlign w:val="bottom"/>
            <w:gridSpan w:val="6"/>
            <w:vMerge w:val="continue"/>
          </w:tcPr>
          <w:p>
            <w:pPr>
              <w:spacing w:after="0"/>
              <w:rPr>
                <w:sz w:val="24"/>
                <w:szCs w:val="24"/>
                <w:color w:val="auto"/>
              </w:rPr>
            </w:pPr>
          </w:p>
        </w:tc>
        <w:tc>
          <w:tcPr>
            <w:tcW w:w="6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3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14.</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80"/>
        </w:trPr>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760" w:type="dxa"/>
            <w:vAlign w:val="bottom"/>
            <w:gridSpan w:val="2"/>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15.</w:t>
            </w:r>
          </w:p>
        </w:tc>
        <w:tc>
          <w:tcPr>
            <w:tcW w:w="3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Exhibits, Financial Statement Schedules.</w:t>
            </w:r>
          </w:p>
        </w:tc>
        <w:tc>
          <w:tcPr>
            <w:tcW w:w="422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80"/>
        </w:trPr>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16.</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80"/>
        </w:trPr>
        <w:tc>
          <w:tcPr>
            <w:tcW w:w="15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-5755005</wp:posOffset>
            </wp:positionV>
            <wp:extent cx="6311900" cy="5797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797550"/>
                    </a:xfrm>
                    <a:prstGeom prst="rect">
                      <a:avLst/>
                    </a:prstGeom>
                    <a:noFill/>
                  </pic:spPr>
                </pic:pic>
              </a:graphicData>
            </a:graphic>
          </wp:anchor>
        </w:drawing>
      </w:r>
    </w:p>
    <w:p>
      <w:pPr>
        <w:sectPr>
          <w:pgSz w:w="12240" w:h="15840" w:orient="portrait"/>
          <w:cols w:equalWidth="0" w:num="1">
            <w:col w:w="9800"/>
          </w:cols>
          <w:pgMar w:left="1220" w:top="831" w:right="1220"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commonly used in the liquefied natural gas industry, to the extent applicable and as used in this Annual Report 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10-K (“Annual Report”), the terms listed below have the following meanings:</w:t>
      </w:r>
    </w:p>
    <w:p>
      <w:pPr>
        <w:spacing w:after="0" w:line="318"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ADO</w:t>
      </w:r>
      <w:r>
        <w:rPr>
          <w:sz w:val="20"/>
          <w:szCs w:val="20"/>
          <w:color w:val="auto"/>
        </w:rPr>
        <w:tab/>
      </w:r>
      <w:r>
        <w:rPr>
          <w:rFonts w:ascii="Times New Roman" w:cs="Times New Roman" w:eastAsia="Times New Roman" w:hAnsi="Times New Roman"/>
          <w:sz w:val="20"/>
          <w:szCs w:val="20"/>
          <w:color w:val="auto"/>
        </w:rPr>
        <w:t>automotive diesel oil</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Bcf/yr</w:t>
      </w:r>
      <w:r>
        <w:rPr>
          <w:sz w:val="20"/>
          <w:szCs w:val="20"/>
          <w:color w:val="auto"/>
        </w:rPr>
        <w:tab/>
      </w:r>
      <w:r>
        <w:rPr>
          <w:rFonts w:ascii="Times New Roman" w:cs="Times New Roman" w:eastAsia="Times New Roman" w:hAnsi="Times New Roman"/>
          <w:sz w:val="20"/>
          <w:szCs w:val="20"/>
          <w:color w:val="auto"/>
        </w:rPr>
        <w:t>billion cubic feet per year</w:t>
      </w:r>
    </w:p>
    <w:p>
      <w:pPr>
        <w:spacing w:after="0" w:line="18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Btu</w:t>
      </w:r>
      <w:r>
        <w:rPr>
          <w:sz w:val="20"/>
          <w:szCs w:val="20"/>
          <w:color w:val="auto"/>
        </w:rPr>
        <w:tab/>
      </w:r>
      <w:r>
        <w:rPr>
          <w:rFonts w:ascii="Times New Roman" w:cs="Times New Roman" w:eastAsia="Times New Roman" w:hAnsi="Times New Roman"/>
          <w:sz w:val="20"/>
          <w:szCs w:val="20"/>
          <w:color w:val="auto"/>
        </w:rPr>
        <w:t>the amount of heat required to raise the temperature of one avoirdupois pound of pure water from 59</w:t>
      </w:r>
    </w:p>
    <w:p>
      <w:pPr>
        <w:spacing w:after="0" w:line="18" w:lineRule="exact"/>
        <w:rPr>
          <w:sz w:val="20"/>
          <w:szCs w:val="20"/>
          <w:color w:val="auto"/>
        </w:rPr>
      </w:pPr>
    </w:p>
    <w:p>
      <w:pPr>
        <w:ind w:left="1680"/>
        <w:spacing w:after="0" w:line="228" w:lineRule="auto"/>
        <w:rPr>
          <w:sz w:val="20"/>
          <w:szCs w:val="20"/>
          <w:color w:val="auto"/>
        </w:rPr>
      </w:pPr>
      <w:r>
        <w:rPr>
          <w:rFonts w:ascii="Times New Roman" w:cs="Times New Roman" w:eastAsia="Times New Roman" w:hAnsi="Times New Roman"/>
          <w:sz w:val="20"/>
          <w:szCs w:val="20"/>
          <w:color w:val="auto"/>
        </w:rPr>
        <w:t>degrees Fahrenheit to 60 degrees Fahrenheit at an absolute pressure of 14.696 pounds per square inch gage</w:t>
      </w:r>
    </w:p>
    <w:p>
      <w:pPr>
        <w:spacing w:after="0" w:line="16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CAA</w:t>
      </w:r>
      <w:r>
        <w:rPr>
          <w:sz w:val="20"/>
          <w:szCs w:val="20"/>
          <w:color w:val="auto"/>
        </w:rPr>
        <w:tab/>
      </w:r>
      <w:r>
        <w:rPr>
          <w:rFonts w:ascii="Times New Roman" w:cs="Times New Roman" w:eastAsia="Times New Roman" w:hAnsi="Times New Roman"/>
          <w:sz w:val="20"/>
          <w:szCs w:val="20"/>
          <w:color w:val="auto"/>
        </w:rPr>
        <w:t>Clean Air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CERCLA</w:t>
      </w:r>
      <w:r>
        <w:rPr>
          <w:sz w:val="20"/>
          <w:szCs w:val="20"/>
          <w:color w:val="auto"/>
        </w:rPr>
        <w:tab/>
      </w:r>
      <w:r>
        <w:rPr>
          <w:rFonts w:ascii="Times New Roman" w:cs="Times New Roman" w:eastAsia="Times New Roman" w:hAnsi="Times New Roman"/>
          <w:sz w:val="20"/>
          <w:szCs w:val="20"/>
          <w:color w:val="auto"/>
        </w:rPr>
        <w:t>Comprehensive Environmental Response, Compensation and Liability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CWA</w:t>
      </w:r>
      <w:r>
        <w:rPr>
          <w:sz w:val="20"/>
          <w:szCs w:val="20"/>
          <w:color w:val="auto"/>
        </w:rPr>
        <w:tab/>
      </w:r>
      <w:r>
        <w:rPr>
          <w:rFonts w:ascii="Times New Roman" w:cs="Times New Roman" w:eastAsia="Times New Roman" w:hAnsi="Times New Roman"/>
          <w:sz w:val="20"/>
          <w:szCs w:val="20"/>
          <w:color w:val="auto"/>
        </w:rPr>
        <w:t>Clean Water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DOE</w:t>
      </w:r>
      <w:r>
        <w:rPr>
          <w:sz w:val="20"/>
          <w:szCs w:val="20"/>
          <w:color w:val="auto"/>
        </w:rPr>
        <w:tab/>
      </w:r>
      <w:r>
        <w:rPr>
          <w:rFonts w:ascii="Times New Roman" w:cs="Times New Roman" w:eastAsia="Times New Roman" w:hAnsi="Times New Roman"/>
          <w:sz w:val="20"/>
          <w:szCs w:val="20"/>
          <w:color w:val="auto"/>
        </w:rPr>
        <w:t>U.S. Department of Energy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DOT</w:t>
      </w:r>
      <w:r>
        <w:rPr>
          <w:sz w:val="20"/>
          <w:szCs w:val="20"/>
          <w:color w:val="auto"/>
        </w:rPr>
        <w:tab/>
      </w:r>
      <w:r>
        <w:rPr>
          <w:rFonts w:ascii="Times New Roman" w:cs="Times New Roman" w:eastAsia="Times New Roman" w:hAnsi="Times New Roman"/>
          <w:sz w:val="20"/>
          <w:szCs w:val="20"/>
          <w:color w:val="auto"/>
        </w:rPr>
        <w:t>U.S. Department of Transportation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EPA</w:t>
      </w:r>
      <w:r>
        <w:rPr>
          <w:sz w:val="20"/>
          <w:szCs w:val="20"/>
          <w:color w:val="auto"/>
        </w:rPr>
        <w:tab/>
      </w:r>
      <w:r>
        <w:rPr>
          <w:rFonts w:ascii="Times New Roman" w:cs="Times New Roman" w:eastAsia="Times New Roman" w:hAnsi="Times New Roman"/>
          <w:sz w:val="20"/>
          <w:szCs w:val="20"/>
          <w:color w:val="auto"/>
        </w:rPr>
        <w:t>U.S. Environmental Protection Agency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FTA countries</w:t>
      </w:r>
      <w:r>
        <w:rPr>
          <w:sz w:val="20"/>
          <w:szCs w:val="20"/>
          <w:color w:val="auto"/>
        </w:rPr>
        <w:tab/>
      </w:r>
      <w:r>
        <w:rPr>
          <w:rFonts w:ascii="Times New Roman" w:cs="Times New Roman" w:eastAsia="Times New Roman" w:hAnsi="Times New Roman"/>
          <w:sz w:val="19"/>
          <w:szCs w:val="19"/>
          <w:color w:val="auto"/>
        </w:rPr>
        <w:t>countries with which the United States has a free trade agreement providing for national treatment for</w:t>
      </w:r>
    </w:p>
    <w:p>
      <w:pPr>
        <w:ind w:left="1680"/>
        <w:spacing w:after="0"/>
        <w:rPr>
          <w:sz w:val="20"/>
          <w:szCs w:val="20"/>
          <w:color w:val="auto"/>
        </w:rPr>
      </w:pPr>
      <w:r>
        <w:rPr>
          <w:rFonts w:ascii="Times New Roman" w:cs="Times New Roman" w:eastAsia="Times New Roman" w:hAnsi="Times New Roman"/>
          <w:sz w:val="20"/>
          <w:szCs w:val="20"/>
          <w:color w:val="auto"/>
        </w:rPr>
        <w:t>trade in natural gas</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GAAP</w:t>
      </w:r>
      <w:r>
        <w:rPr>
          <w:sz w:val="20"/>
          <w:szCs w:val="20"/>
          <w:color w:val="auto"/>
        </w:rPr>
        <w:tab/>
      </w:r>
      <w:r>
        <w:rPr>
          <w:rFonts w:ascii="Times New Roman" w:cs="Times New Roman" w:eastAsia="Times New Roman" w:hAnsi="Times New Roman"/>
          <w:sz w:val="20"/>
          <w:szCs w:val="20"/>
          <w:color w:val="auto"/>
        </w:rPr>
        <w:t>generally accepted accounting principles in the United States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GHG</w:t>
      </w:r>
      <w:r>
        <w:rPr>
          <w:sz w:val="20"/>
          <w:szCs w:val="20"/>
          <w:color w:val="auto"/>
        </w:rPr>
        <w:tab/>
      </w:r>
      <w:r>
        <w:rPr>
          <w:rFonts w:ascii="Times New Roman" w:cs="Times New Roman" w:eastAsia="Times New Roman" w:hAnsi="Times New Roman"/>
          <w:sz w:val="20"/>
          <w:szCs w:val="20"/>
          <w:color w:val="auto"/>
        </w:rPr>
        <w:t>greenhouse gases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GSA</w:t>
      </w:r>
      <w:r>
        <w:rPr>
          <w:sz w:val="20"/>
          <w:szCs w:val="20"/>
          <w:color w:val="auto"/>
        </w:rPr>
        <w:tab/>
      </w:r>
      <w:r>
        <w:rPr>
          <w:rFonts w:ascii="Times New Roman" w:cs="Times New Roman" w:eastAsia="Times New Roman" w:hAnsi="Times New Roman"/>
          <w:sz w:val="20"/>
          <w:szCs w:val="20"/>
          <w:color w:val="auto"/>
        </w:rPr>
        <w:t>gas sales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Henry Hub</w:t>
      </w:r>
      <w:r>
        <w:rPr>
          <w:sz w:val="20"/>
          <w:szCs w:val="20"/>
          <w:color w:val="auto"/>
        </w:rPr>
        <w:tab/>
      </w:r>
      <w:r>
        <w:rPr>
          <w:rFonts w:ascii="Times New Roman" w:cs="Times New Roman" w:eastAsia="Times New Roman" w:hAnsi="Times New Roman"/>
          <w:sz w:val="19"/>
          <w:szCs w:val="19"/>
          <w:color w:val="auto"/>
        </w:rPr>
        <w:t>a natural gas pipeline located in Erath, Louisiana that serves as the official delivery location for</w:t>
      </w:r>
    </w:p>
    <w:p>
      <w:pPr>
        <w:ind w:left="1680"/>
        <w:spacing w:after="0"/>
        <w:rPr>
          <w:sz w:val="20"/>
          <w:szCs w:val="20"/>
          <w:color w:val="auto"/>
        </w:rPr>
      </w:pPr>
      <w:r>
        <w:rPr>
          <w:rFonts w:ascii="Times New Roman" w:cs="Times New Roman" w:eastAsia="Times New Roman" w:hAnsi="Times New Roman"/>
          <w:sz w:val="20"/>
          <w:szCs w:val="20"/>
          <w:color w:val="auto"/>
        </w:rPr>
        <w:t>futures contracts on the New York Mercantile Exchange</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ISO container</w:t>
      </w:r>
      <w:r>
        <w:rPr>
          <w:sz w:val="20"/>
          <w:szCs w:val="20"/>
          <w:color w:val="auto"/>
        </w:rPr>
        <w:tab/>
      </w:r>
      <w:r>
        <w:rPr>
          <w:rFonts w:ascii="Times New Roman" w:cs="Times New Roman" w:eastAsia="Times New Roman" w:hAnsi="Times New Roman"/>
          <w:sz w:val="19"/>
          <w:szCs w:val="19"/>
          <w:color w:val="auto"/>
        </w:rPr>
        <w:t>International Organization of Standardization, an intermodal container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LNG</w:t>
      </w:r>
      <w:r>
        <w:rPr>
          <w:sz w:val="20"/>
          <w:szCs w:val="20"/>
          <w:color w:val="auto"/>
        </w:rPr>
        <w:tab/>
      </w:r>
      <w:r>
        <w:rPr>
          <w:rFonts w:ascii="Times New Roman" w:cs="Times New Roman" w:eastAsia="Times New Roman" w:hAnsi="Times New Roman"/>
          <w:sz w:val="20"/>
          <w:szCs w:val="20"/>
          <w:color w:val="auto"/>
        </w:rPr>
        <w:t>natural gas in its liquid state at or below its boiling point at or near atmospheric pressure</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MMBtu</w:t>
      </w:r>
      <w:r>
        <w:rPr>
          <w:sz w:val="20"/>
          <w:szCs w:val="20"/>
          <w:color w:val="auto"/>
        </w:rPr>
        <w:tab/>
      </w:r>
      <w:r>
        <w:rPr>
          <w:rFonts w:ascii="Times New Roman" w:cs="Times New Roman" w:eastAsia="Times New Roman" w:hAnsi="Times New Roman"/>
          <w:sz w:val="20"/>
          <w:szCs w:val="20"/>
          <w:color w:val="auto"/>
        </w:rPr>
        <w:t>one million Btus, which corresponds to approximately 12.1 LNG gallons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mtpa</w:t>
      </w:r>
      <w:r>
        <w:rPr>
          <w:sz w:val="20"/>
          <w:szCs w:val="20"/>
          <w:color w:val="auto"/>
        </w:rPr>
        <w:tab/>
      </w:r>
      <w:r>
        <w:rPr>
          <w:rFonts w:ascii="Times New Roman" w:cs="Times New Roman" w:eastAsia="Times New Roman" w:hAnsi="Times New Roman"/>
          <w:sz w:val="20"/>
          <w:szCs w:val="20"/>
          <w:color w:val="auto"/>
        </w:rPr>
        <w:t>metric tons per year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MW</w:t>
      </w:r>
      <w:r>
        <w:rPr>
          <w:sz w:val="20"/>
          <w:szCs w:val="20"/>
          <w:color w:val="auto"/>
        </w:rPr>
        <w:tab/>
      </w:r>
      <w:r>
        <w:rPr>
          <w:rFonts w:ascii="Times New Roman" w:cs="Times New Roman" w:eastAsia="Times New Roman" w:hAnsi="Times New Roman"/>
          <w:sz w:val="20"/>
          <w:szCs w:val="20"/>
          <w:color w:val="auto"/>
        </w:rPr>
        <w:t>megawatt. We estimate 2,500 LNG gallons would be required to produce one megawatt.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NGA</w:t>
      </w:r>
      <w:r>
        <w:rPr>
          <w:sz w:val="20"/>
          <w:szCs w:val="20"/>
          <w:color w:val="auto"/>
        </w:rPr>
        <w:tab/>
      </w:r>
      <w:r>
        <w:rPr>
          <w:rFonts w:ascii="Times New Roman" w:cs="Times New Roman" w:eastAsia="Times New Roman" w:hAnsi="Times New Roman"/>
          <w:sz w:val="20"/>
          <w:szCs w:val="20"/>
          <w:color w:val="auto"/>
        </w:rPr>
        <w:t>Natural Gas Act of 1938, as amended</w:t>
      </w:r>
    </w:p>
    <w:p>
      <w:pPr>
        <w:spacing w:after="0" w:line="205" w:lineRule="exact"/>
        <w:rPr>
          <w:sz w:val="20"/>
          <w:szCs w:val="20"/>
          <w:color w:val="auto"/>
        </w:rPr>
      </w:pPr>
    </w:p>
    <w:p>
      <w:pPr>
        <w:ind w:left="1680" w:right="180" w:hanging="1634"/>
        <w:spacing w:after="0" w:line="249" w:lineRule="auto"/>
        <w:rPr>
          <w:sz w:val="20"/>
          <w:szCs w:val="20"/>
          <w:color w:val="auto"/>
        </w:rPr>
      </w:pPr>
      <w:r>
        <w:rPr>
          <w:rFonts w:ascii="Times New Roman" w:cs="Times New Roman" w:eastAsia="Times New Roman" w:hAnsi="Times New Roman"/>
          <w:sz w:val="20"/>
          <w:szCs w:val="20"/>
          <w:color w:val="auto"/>
        </w:rPr>
        <w:t>non-FTA countries countries without a free trade agreement with the United States providing for national treatment for trade in natural gas and with which trade is permitted</w:t>
      </w:r>
    </w:p>
    <w:p>
      <w:pPr>
        <w:spacing w:after="0" w:line="15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OPA</w:t>
      </w:r>
      <w:r>
        <w:rPr>
          <w:sz w:val="20"/>
          <w:szCs w:val="20"/>
          <w:color w:val="auto"/>
        </w:rPr>
        <w:tab/>
      </w:r>
      <w:r>
        <w:rPr>
          <w:rFonts w:ascii="Times New Roman" w:cs="Times New Roman" w:eastAsia="Times New Roman" w:hAnsi="Times New Roman"/>
          <w:sz w:val="20"/>
          <w:szCs w:val="20"/>
          <w:color w:val="auto"/>
        </w:rPr>
        <w:t>Oil Pollution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OUR</w:t>
      </w:r>
      <w:r>
        <w:rPr>
          <w:sz w:val="20"/>
          <w:szCs w:val="20"/>
          <w:color w:val="auto"/>
        </w:rPr>
        <w:tab/>
      </w:r>
      <w:r>
        <w:rPr>
          <w:rFonts w:ascii="Times New Roman" w:cs="Times New Roman" w:eastAsia="Times New Roman" w:hAnsi="Times New Roman"/>
          <w:sz w:val="20"/>
          <w:szCs w:val="20"/>
          <w:color w:val="auto"/>
        </w:rPr>
        <w:t>Office of Utilities Regulation (Jamaica)</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PHMSA</w:t>
      </w:r>
      <w:r>
        <w:rPr>
          <w:sz w:val="20"/>
          <w:szCs w:val="20"/>
          <w:color w:val="auto"/>
        </w:rPr>
        <w:tab/>
      </w:r>
      <w:r>
        <w:rPr>
          <w:rFonts w:ascii="Times New Roman" w:cs="Times New Roman" w:eastAsia="Times New Roman" w:hAnsi="Times New Roman"/>
          <w:sz w:val="20"/>
          <w:szCs w:val="20"/>
          <w:color w:val="auto"/>
        </w:rPr>
        <w:t>Pipeline and Hazardous Materials Safety Administration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PPA</w:t>
      </w:r>
      <w:r>
        <w:rPr>
          <w:sz w:val="20"/>
          <w:szCs w:val="20"/>
          <w:color w:val="auto"/>
        </w:rPr>
        <w:tab/>
      </w:r>
      <w:r>
        <w:rPr>
          <w:rFonts w:ascii="Times New Roman" w:cs="Times New Roman" w:eastAsia="Times New Roman" w:hAnsi="Times New Roman"/>
          <w:sz w:val="20"/>
          <w:szCs w:val="20"/>
          <w:color w:val="auto"/>
        </w:rPr>
        <w:t>power purchase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SSA</w:t>
      </w:r>
      <w:r>
        <w:rPr>
          <w:sz w:val="20"/>
          <w:szCs w:val="20"/>
          <w:color w:val="auto"/>
        </w:rPr>
        <w:tab/>
      </w:r>
      <w:r>
        <w:rPr>
          <w:rFonts w:ascii="Times New Roman" w:cs="Times New Roman" w:eastAsia="Times New Roman" w:hAnsi="Times New Roman"/>
          <w:sz w:val="20"/>
          <w:szCs w:val="20"/>
          <w:color w:val="auto"/>
        </w:rPr>
        <w:t>steam supply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TBtu</w:t>
      </w:r>
      <w:r>
        <w:rPr>
          <w:sz w:val="20"/>
          <w:szCs w:val="20"/>
          <w:color w:val="auto"/>
        </w:rPr>
        <w:tab/>
      </w:r>
      <w:r>
        <w:rPr>
          <w:rFonts w:ascii="Times New Roman" w:cs="Times New Roman" w:eastAsia="Times New Roman" w:hAnsi="Times New Roman"/>
          <w:sz w:val="20"/>
          <w:szCs w:val="20"/>
          <w:color w:val="auto"/>
        </w:rPr>
        <w:t>one trillion Btus, which corresponds to approximately 12,100,000 LNG gallons</w:t>
      </w:r>
    </w:p>
    <w:p>
      <w:pPr>
        <w:sectPr>
          <w:pgSz w:w="12240" w:h="15840" w:orient="portrait"/>
          <w:cols w:equalWidth="0" w:num="1">
            <w:col w:w="9800"/>
          </w:cols>
          <w:pgMar w:left="1180" w:top="83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800"/>
          </w:cols>
          <w:pgMar w:left="1180" w:top="831" w:right="1260" w:bottom="0" w:gutter="0" w:footer="0" w:header="0"/>
          <w:type w:val="continuous"/>
        </w:sectPr>
      </w:pPr>
    </w:p>
    <w:bookmarkStart w:id="4" w:name="page5"/>
    <w:bookmarkEnd w:id="4"/>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CAUTIONARY STATEMENT ON FORWARD-LOOKING STATEMENTS</w:t>
      </w:r>
    </w:p>
    <w:p>
      <w:pPr>
        <w:spacing w:after="0" w:line="257" w:lineRule="exact"/>
        <w:rPr>
          <w:sz w:val="20"/>
          <w:szCs w:val="20"/>
          <w:color w:val="auto"/>
        </w:rPr>
      </w:pPr>
    </w:p>
    <w:p>
      <w:pPr>
        <w:ind w:left="10" w:right="120" w:firstLine="360"/>
        <w:spacing w:after="0" w:line="253" w:lineRule="auto"/>
        <w:rPr>
          <w:sz w:val="20"/>
          <w:szCs w:val="20"/>
          <w:color w:val="auto"/>
        </w:rPr>
      </w:pPr>
      <w:r>
        <w:rPr>
          <w:rFonts w:ascii="Times New Roman" w:cs="Times New Roman" w:eastAsia="Times New Roman" w:hAnsi="Times New Roman"/>
          <w:sz w:val="20"/>
          <w:szCs w:val="20"/>
          <w:color w:val="auto"/>
        </w:rPr>
        <w:t>This Annual Report on Form 10-K for the year ended December 31, 2023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13" w:lineRule="exact"/>
        <w:rPr>
          <w:sz w:val="20"/>
          <w:szCs w:val="20"/>
          <w:color w:val="auto"/>
        </w:rPr>
      </w:pPr>
    </w:p>
    <w:p>
      <w:pPr>
        <w:ind w:left="370" w:right="4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subsidiaries, affiliates, joint ventures and special purpose entities in which we invest and their ability to make dividends or distributions to us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operational risks related to our facilities and assets, including cost overruns and delays;</w:t>
      </w:r>
    </w:p>
    <w:p>
      <w:pPr>
        <w:spacing w:after="0" w:line="250" w:lineRule="exact"/>
        <w:rPr>
          <w:rFonts w:ascii="Times New Roman" w:cs="Times New Roman" w:eastAsia="Times New Roman" w:hAnsi="Times New Roman"/>
          <w:sz w:val="20"/>
          <w:szCs w:val="20"/>
          <w:color w:val="auto"/>
        </w:rPr>
      </w:pPr>
    </w:p>
    <w:p>
      <w:pPr>
        <w:ind w:left="370" w:right="36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or natural gas to be a competitive source of energy in the markets in which we operate, and seek to operate;</w:t>
      </w:r>
    </w:p>
    <w:p>
      <w:pPr>
        <w:spacing w:after="0" w:line="181" w:lineRule="exact"/>
        <w:rPr>
          <w:rFonts w:ascii="Times New Roman" w:cs="Times New Roman" w:eastAsia="Times New Roman" w:hAnsi="Times New Roman"/>
          <w:sz w:val="20"/>
          <w:szCs w:val="20"/>
          <w:color w:val="auto"/>
        </w:rPr>
      </w:pPr>
    </w:p>
    <w:p>
      <w:pPr>
        <w:jc w:val="both"/>
        <w:ind w:left="370" w:right="64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failure to obtain and maintain approvals and permits from governmental and regulatory agencies;</w:t>
      </w:r>
    </w:p>
    <w:p>
      <w:pPr>
        <w:spacing w:after="0" w:line="250" w:lineRule="exact"/>
        <w:rPr>
          <w:rFonts w:ascii="Times New Roman" w:cs="Times New Roman" w:eastAsia="Times New Roman" w:hAnsi="Times New Roman"/>
          <w:sz w:val="20"/>
          <w:szCs w:val="20"/>
          <w:color w:val="auto"/>
        </w:rPr>
      </w:pPr>
    </w:p>
    <w:p>
      <w:pPr>
        <w:ind w:left="370" w:right="1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 return on our investments for the development of our projects and assets and the implementation of our business strategy;</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for the development and operation of our business and assets;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convert our customer pipeline into actual sales;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asset, geographic or customer diversification, including loss of one or more of our customers;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third parties in our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w:t>
      </w:r>
    </w:p>
    <w:p>
      <w:pPr>
        <w:spacing w:after="0" w:line="250" w:lineRule="exact"/>
        <w:rPr>
          <w:rFonts w:ascii="Times New Roman" w:cs="Times New Roman" w:eastAsia="Times New Roman" w:hAnsi="Times New Roman"/>
          <w:sz w:val="20"/>
          <w:szCs w:val="20"/>
          <w:color w:val="auto"/>
        </w:rPr>
      </w:pPr>
    </w:p>
    <w:p>
      <w:pPr>
        <w:ind w:left="370" w:right="5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procure LNG at necessary quantities or at favorable prices to meet customer demand, or otherwise to manage LNG supply and price risks, including hedging arrangements;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develop and implement our technological solutions;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service our debt and comply with our covenant restrictions;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additional financing to effect our strategy;</w:t>
      </w:r>
    </w:p>
    <w:p>
      <w:pPr>
        <w:spacing w:after="0" w:line="250"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complete mergers, sales, divestments or similar transactions related to our businesses or assets or to integrate such businesses or assets and realize the anticipated benefits;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and other risks related to the jurisdictions in which we do, or seek to do,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future pandemic or any other major health and safety incident;</w:t>
      </w:r>
    </w:p>
    <w:p>
      <w:pPr>
        <w:sectPr>
          <w:pgSz w:w="12240" w:h="15840" w:orient="portrait"/>
          <w:cols w:equalWidth="0" w:num="1">
            <w:col w:w="9850"/>
          </w:cols>
          <w:pgMar w:left="1170" w:top="831" w:right="12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850"/>
          </w:cols>
          <w:pgMar w:left="1170" w:top="831" w:right="1220" w:bottom="0" w:gutter="0" w:footer="0" w:header="0"/>
          <w:type w:val="continuous"/>
        </w:sectPr>
      </w:pPr>
    </w:p>
    <w:bookmarkStart w:id="5" w:name="page6"/>
    <w:bookmarkEnd w:id="5"/>
    <w:p>
      <w:pPr>
        <w:ind w:left="370" w:right="24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labor costs, disputes or strikes, and the unavailability of skilled workers or our failure to attract and retain qualified personnel;</w:t>
      </w:r>
    </w:p>
    <w:p>
      <w:pPr>
        <w:spacing w:after="0" w:line="181" w:lineRule="exact"/>
        <w:rPr>
          <w:rFonts w:ascii="Times New Roman" w:cs="Times New Roman" w:eastAsia="Times New Roman" w:hAnsi="Times New Roman"/>
          <w:sz w:val="20"/>
          <w:szCs w:val="20"/>
          <w:color w:val="auto"/>
        </w:rPr>
      </w:pPr>
    </w:p>
    <w:p>
      <w:pPr>
        <w:ind w:left="370" w:right="62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treatment of, or changes in tax laws applicable to, us or our business or of an investment in our Class A common stock; and</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described in the “Risk Factors” section of this Annual Report.</w:t>
      </w:r>
    </w:p>
    <w:p>
      <w:pPr>
        <w:spacing w:after="0" w:line="250" w:lineRule="exact"/>
        <w:rPr>
          <w:sz w:val="20"/>
          <w:szCs w:val="20"/>
          <w:color w:val="auto"/>
        </w:rPr>
      </w:pPr>
    </w:p>
    <w:p>
      <w:pPr>
        <w:ind w:left="10" w:firstLine="360"/>
        <w:spacing w:after="0" w:line="255" w:lineRule="auto"/>
        <w:rPr>
          <w:sz w:val="20"/>
          <w:szCs w:val="20"/>
          <w:color w:val="auto"/>
        </w:rPr>
      </w:pPr>
      <w:r>
        <w:rPr>
          <w:rFonts w:ascii="Times New Roman" w:cs="Times New Roman" w:eastAsia="Times New Roman" w:hAnsi="Times New Roman"/>
          <w:sz w:val="20"/>
          <w:szCs w:val="20"/>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pgSz w:w="12240" w:h="15840" w:orient="portrait"/>
          <w:cols w:equalWidth="0" w:num="1">
            <w:col w:w="9830"/>
          </w:cols>
          <w:pgMar w:left="1170" w:top="83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30"/>
          </w:cols>
          <w:pgMar w:left="1170" w:top="838" w:right="124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Items 1 and 2.</w:t>
      </w:r>
      <w:r>
        <w:rPr>
          <w:sz w:val="20"/>
          <w:szCs w:val="20"/>
          <w:color w:val="auto"/>
        </w:rPr>
        <w:tab/>
      </w:r>
      <w:r>
        <w:rPr>
          <w:rFonts w:ascii="Times New Roman" w:cs="Times New Roman" w:eastAsia="Times New Roman" w:hAnsi="Times New Roman"/>
          <w:sz w:val="19"/>
          <w:szCs w:val="19"/>
          <w:b w:val="1"/>
          <w:bCs w:val="1"/>
          <w:color w:val="auto"/>
        </w:rPr>
        <w:t>Business and Properties</w:t>
      </w:r>
    </w:p>
    <w:p>
      <w:pPr>
        <w:spacing w:after="0" w:line="253"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below under “Sustainability—Toward a Low Carbon Future.”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deliver targeted energy solutions by employing an integrated LNG supply and delivery model:</w:t>
      </w:r>
    </w:p>
    <w:p>
      <w:pPr>
        <w:spacing w:after="0" w:line="246"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LNG and Natural Gas Supply and Liquefaction </w:t>
      </w:r>
      <w:r>
        <w:rPr>
          <w:rFonts w:ascii="Times New Roman" w:cs="Times New Roman" w:eastAsia="Times New Roman" w:hAnsi="Times New Roman"/>
          <w:sz w:val="20"/>
          <w:szCs w:val="20"/>
          <w:color w:val="auto"/>
        </w:rPr>
        <w:t>– We supply LNG and natural gas to our own power plants and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We typically supply LNG and natural gas regasified from LNG to our customers by entering into long-term supply contracts, which are generally based on an index such as Henry Hub plus a fixed fee component. We acquire our LNG from third party suppliers in open market purchases and long-term supply agreements; we also manufacture LNG at our liquefaction and storage facility in Miami, Florida (the “Miami Facility”). Beginning in 2024, we expect to deploy our first offshore liquefaction facility, "Fast LNG" or "FLNG," to provide a source of low-cost supply of LNG.</w:t>
      </w:r>
    </w:p>
    <w:p>
      <w:pPr>
        <w:spacing w:after="0" w:line="202" w:lineRule="exact"/>
        <w:rPr>
          <w:sz w:val="20"/>
          <w:szCs w:val="20"/>
          <w:color w:val="auto"/>
        </w:rPr>
      </w:pPr>
    </w:p>
    <w:p>
      <w:pPr>
        <w:jc w:val="both"/>
        <w:ind w:right="46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Shipping </w:t>
      </w:r>
      <w:r>
        <w:rPr>
          <w:rFonts w:ascii="Times New Roman" w:cs="Times New Roman" w:eastAsia="Times New Roman" w:hAnsi="Times New Roman"/>
          <w:sz w:val="20"/>
          <w:szCs w:val="20"/>
          <w:color w:val="auto"/>
        </w:rPr>
        <w:t>– We lease, own or operate a fleet of seven regasification units (“FSRUs”) and 13 liquefied natural gas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carriers (“LNGCs”) and floating storage units (“FSUs”). Ten vessels are owned by our joint venture affiliate, Energos Infrastructure ("Energos"). We also charter vessels to and from third parties as well as from Energos.</w:t>
      </w:r>
    </w:p>
    <w:p>
      <w:pPr>
        <w:spacing w:after="0" w:line="190"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Facilities </w:t>
      </w:r>
      <w:r>
        <w:rPr>
          <w:rFonts w:ascii="Times New Roman" w:cs="Times New Roman" w:eastAsia="Times New Roman" w:hAnsi="Times New Roman"/>
          <w:sz w:val="20"/>
          <w:szCs w:val="20"/>
          <w:color w:val="auto"/>
        </w:rPr>
        <w:t>– Through our network of current and planned downstream facilities and logistics assets, we are strategically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positioned to deliver gas and power solutions to our customers seeking either to transition from environmentally dirtier distillate fuels such as automotive diesel oil (“ADO”) and heavy fuel oil (“HFO”) or to purchase natural gas to meet their current fuel needs.</w:t>
      </w:r>
    </w:p>
    <w:p>
      <w:pPr>
        <w:spacing w:after="0" w:line="200"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57" w:lineRule="exact"/>
        <w:rPr>
          <w:sz w:val="20"/>
          <w:szCs w:val="20"/>
          <w:color w:val="auto"/>
        </w:rPr>
      </w:pPr>
    </w:p>
    <w:p>
      <w:pPr>
        <w:ind w:right="220" w:firstLine="360"/>
        <w:spacing w:after="0" w:line="254" w:lineRule="auto"/>
        <w:rPr>
          <w:sz w:val="20"/>
          <w:szCs w:val="20"/>
          <w:color w:val="auto"/>
        </w:rPr>
      </w:pPr>
      <w:r>
        <w:rPr>
          <w:rFonts w:ascii="Times New Roman" w:cs="Times New Roman" w:eastAsia="Times New Roman" w:hAnsi="Times New Roman"/>
          <w:sz w:val="20"/>
          <w:szCs w:val="20"/>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currently conduct our operations at the following facilities:</w:t>
      </w:r>
    </w:p>
    <w:p>
      <w:pPr>
        <w:spacing w:after="0" w:line="250"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storage and regasification facility at the Port of Montego Bay, Jamaica (the “Montego Bay Facility”),</w:t>
      </w:r>
    </w:p>
    <w:p>
      <w:pPr>
        <w:spacing w:after="0" w:line="250"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marine LNG storage and regasification facility in Old Harbour, Jamaica (the “Old Harbour Facility”, together with the Montego Bay Facility, the “Jamaica Facilities”),</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880"/>
          </w:cols>
          <w:pgMar w:left="1180" w:top="831" w:right="1180" w:bottom="0" w:gutter="0" w:footer="0" w:header="0"/>
          <w:type w:val="continuous"/>
        </w:sectPr>
      </w:pPr>
    </w:p>
    <w:bookmarkStart w:id="7" w:name="page8"/>
    <w:bookmarkEnd w:id="7"/>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dual-fired combined heat and power ("CHP") facility in Clarendon, Jamaica (the "CHP Plant"),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landed micro-fuel handling facility in San Juan, Puerto Rico (the “San Juan Facility”),</w:t>
      </w:r>
    </w:p>
    <w:p>
      <w:pPr>
        <w:spacing w:after="0" w:line="25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receiving facility (the “La Paz Facility”) and gas-fired power plant (the "La Paz Power Plant") at the Port of Pichilingue in Baja California Sur, Mexico,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Miami Facility.</w:t>
      </w:r>
    </w:p>
    <w:p>
      <w:pPr>
        <w:spacing w:after="0" w:line="250"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Facilities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We look to build facilities in locations where the need for natural gas is significant. We design and construct natural gas and power facilities to meet the supply and demand specifications of our current and potential future customers in an applicable region. In these markets, we first seek to identify and establish “beachhead” target markets for the sale of LNG, natural gas or natural gas-fired power, and we then seek to supply natural gas or power under long-term downstream contracts. Finally, our goal is to expand within the market and supply natural gas or power to additional industrial and transportation customers.</w:t>
      </w:r>
    </w:p>
    <w:p>
      <w:pPr>
        <w:spacing w:after="0" w:line="20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facilities position us to acquire and supply LNG to customers and natural gas-fired power in a number of attractive markets around the world. Downstream, we have thirteen facilities that are either operational or under active development. We currently have four operational LNG terminal facilities and four under active development, as well as two operational power plant facilities and three power plant facilities under active development, as described below. Our LNG facilities currently operating or under development are expected to be capable of receiving up to one million MMBtu from LNG per day depending upon the needs of our customers and potential demand in the region.</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additional detail regarding each of our LNG and power facilities:</w:t>
      </w:r>
    </w:p>
    <w:p>
      <w:pPr>
        <w:spacing w:after="0" w:line="246"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Montego Bay, Jamaica </w:t>
      </w:r>
      <w:r>
        <w:rPr>
          <w:rFonts w:ascii="Times New Roman" w:cs="Times New Roman" w:eastAsia="Times New Roman" w:hAnsi="Times New Roman"/>
          <w:sz w:val="20"/>
          <w:szCs w:val="20"/>
          <w:color w:val="auto"/>
        </w:rPr>
        <w:t>– Our Montego Bay Facility commenced commercial operations in October 2016.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Montego Bay Facility is capable of processing up to 60,000 MMBtu from LNG per day and features approximately 7,000 cubic meters of onsite storage. It supplies natural gas to the 145MW power plant (the “Bogue Power Plant”) operated by Jamaica Public Service Company Limited (“JPS”) pursuant to a long-term contract for natural gas equivalent to approximately 25,000 MMBtu from LNG per day. The Montego Bay Facility also supplies numerous on-island industrial users with natural gas or LNG pursuant to offtake contracts of various durations. We have total aggregate contracted volumes of approximately 29,000 MMBtu from LNG per day at our Montego Bay Facility with a weighted average remaining contract length of 16 years as of December 31, 2023. We have the ability to service other potential customers with the excess capacity of the Montego Bay Facility, and we are seeking to enter into long-term contracts with new customers for such purposes.</w:t>
      </w:r>
    </w:p>
    <w:p>
      <w:pPr>
        <w:spacing w:after="0" w:line="206"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Old Harbour, Jamaica </w:t>
      </w:r>
      <w:r>
        <w:rPr>
          <w:rFonts w:ascii="Times New Roman" w:cs="Times New Roman" w:eastAsia="Times New Roman" w:hAnsi="Times New Roman"/>
          <w:sz w:val="20"/>
          <w:szCs w:val="20"/>
          <w:color w:val="auto"/>
        </w:rPr>
        <w:t>– Our Old Harbour Facility commenced commercial operations in June 2019. The Old Harbour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Facility is an offshore facility with storage and regasification equipment provided via FSRU. The offshore design eliminates the need for onshore infrastructure and storage tanks. It is capable of processing up to 750,000 MMBtu from LNG per day. The Old Harbour Facility is supplying gas to a 190MW gas-fired power plant (the “Old Harbour Power Plant”) owned and operated by South Jamaica Power Company Limited (“SJPC”) pursuant to a long-term contract for natural gas equivalent to approximately 30,000 MMBtu from LNG per day, and back-up ADO, for 20 years.</w:t>
      </w:r>
    </w:p>
    <w:p>
      <w:pPr>
        <w:spacing w:after="0" w:line="206"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Old Harbour Facility is also supplying gas to our 100MW CHP Plant, which we constructed, and which commenced commercial operations in March 2020. The CHP Plant is fueled by natural gas, with the ability to run on ADO as a backup fuel source. We have executed a suite of agreements in connection with the CHP Plant, including a 20-year agreement to supply steam to an alumina refinery joint venture between affiliates of Century Aluminum Company, and the Government of Jamaica, and we have a 20-year agreement to supply electricity to JPS.</w:t>
      </w:r>
    </w:p>
    <w:p>
      <w:pPr>
        <w:spacing w:after="0" w:line="204" w:lineRule="exact"/>
        <w:rPr>
          <w:sz w:val="20"/>
          <w:szCs w:val="20"/>
          <w:color w:val="auto"/>
        </w:rPr>
      </w:pPr>
    </w:p>
    <w:p>
      <w:pPr>
        <w:ind w:right="100" w:firstLine="360"/>
        <w:spacing w:after="0" w:line="309" w:lineRule="auto"/>
        <w:rPr>
          <w:sz w:val="20"/>
          <w:szCs w:val="20"/>
          <w:color w:val="auto"/>
        </w:rPr>
      </w:pPr>
      <w:r>
        <w:rPr>
          <w:rFonts w:ascii="Times New Roman" w:cs="Times New Roman" w:eastAsia="Times New Roman" w:hAnsi="Times New Roman"/>
          <w:sz w:val="19"/>
          <w:szCs w:val="19"/>
          <w:color w:val="auto"/>
        </w:rPr>
        <w:t>We have total aggregate contracted volumes of approximately 58,000 MMBtu from LNG per day at our Old Harbour Facility with a weighted average contract length of 16 years as of December 31, 2023. We have the ability to service other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80"/>
          </w:cols>
          <w:pgMar w:left="1180" w:top="838" w:right="1180" w:bottom="0" w:gutter="0" w:footer="0" w:header="0"/>
          <w:type w:val="continuous"/>
        </w:sectPr>
      </w:pPr>
    </w:p>
    <w:bookmarkStart w:id="8" w:name="page9"/>
    <w:bookmarkEnd w:id="8"/>
    <w:p>
      <w:pPr>
        <w:ind w:right="620"/>
        <w:spacing w:after="0" w:line="281" w:lineRule="auto"/>
        <w:rPr>
          <w:sz w:val="20"/>
          <w:szCs w:val="20"/>
          <w:color w:val="auto"/>
        </w:rPr>
      </w:pPr>
      <w:r>
        <w:rPr>
          <w:rFonts w:ascii="Times New Roman" w:cs="Times New Roman" w:eastAsia="Times New Roman" w:hAnsi="Times New Roman"/>
          <w:sz w:val="20"/>
          <w:szCs w:val="20"/>
          <w:color w:val="auto"/>
        </w:rPr>
        <w:t>potential customers with the excess capacity of the Old Harbour Facility, and we are seeking to enter into long-term contracts with new customers for such purposes.</w:t>
      </w:r>
    </w:p>
    <w:p>
      <w:pPr>
        <w:spacing w:after="0" w:line="178"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 Juan, Puerto Rico </w:t>
      </w:r>
      <w:r>
        <w:rPr>
          <w:rFonts w:ascii="Times New Roman" w:cs="Times New Roman" w:eastAsia="Times New Roman" w:hAnsi="Times New Roman"/>
          <w:sz w:val="20"/>
          <w:szCs w:val="20"/>
          <w:color w:val="auto"/>
        </w:rPr>
        <w:t>– Our San Juan Facility became fully operational in July 2020. It is designed as a landed micro-fuel handling facility located in the Port of San Juan, Puerto Rico. The San Juan Facility has multiple truck loading bays to provide LNG to on-island industrial users. The San Juan Facility is near the Puerto Rico Electric Power Authority ("PREPA") San Juan Power Plant and serves as our supply hub for the PREPA San Juan Power Plant and other industrial end-user customers in Puerto Rico.</w:t>
      </w:r>
    </w:p>
    <w:p>
      <w:pPr>
        <w:spacing w:after="0" w:line="203" w:lineRule="exact"/>
        <w:rPr>
          <w:sz w:val="20"/>
          <w:szCs w:val="20"/>
          <w:color w:val="auto"/>
        </w:rPr>
      </w:pPr>
    </w:p>
    <w:p>
      <w:pPr>
        <w:jc w:val="both"/>
        <w:ind w:right="160" w:firstLine="360"/>
        <w:spacing w:after="0" w:line="256" w:lineRule="auto"/>
        <w:rPr>
          <w:sz w:val="20"/>
          <w:szCs w:val="20"/>
          <w:color w:val="auto"/>
        </w:rPr>
      </w:pPr>
      <w:r>
        <w:rPr>
          <w:rFonts w:ascii="Times New Roman" w:cs="Times New Roman" w:eastAsia="Times New Roman" w:hAnsi="Times New Roman"/>
          <w:sz w:val="20"/>
          <w:szCs w:val="20"/>
          <w:color w:val="auto"/>
        </w:rPr>
        <w:t>In the first and second quarters of 2023, we entered into agreements with Weston Solutions, Inc. ("Weston") for the installation and operation of approximately 350MW of power to be generated at the Palo Seco Power Plant and San Juan Power Plant in Puerto Rico as well as the supply of natural gas and ADO. Weston has been contracted by the U.S. Army Corps of Engineers to support the island’s grid stabilization project with additional power capacity to enable maintenance and repair work on Puerto Rico’s power system and grid. We commissioned 150MW of duel-fuel power generation using our gas supply in May 2023, and the remaining 200MW was commissioned in September 2023.</w:t>
      </w:r>
    </w:p>
    <w:p>
      <w:pPr>
        <w:spacing w:after="0" w:line="208"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the first quarter of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beginning after the service period under the contract commenced on July 1, 2023.</w:t>
      </w:r>
    </w:p>
    <w:p>
      <w:pPr>
        <w:spacing w:after="0" w:line="200"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 Paz, Baja California Sur, Mexico </w:t>
      </w:r>
      <w:r>
        <w:rPr>
          <w:rFonts w:ascii="Times New Roman" w:cs="Times New Roman" w:eastAsia="Times New Roman" w:hAnsi="Times New Roman"/>
          <w:sz w:val="20"/>
          <w:szCs w:val="20"/>
          <w:color w:val="auto"/>
        </w:rPr>
        <w:t>– Our La Paz Facility commenced operations in the fourth quarter of 2021. It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LNG receiving facility located at the Port of Pichilingue in Baja California Sur, Mexico, receiving LNG via ISO containers on an offshore supply vehicle from a nearby vessel. In March 2021, we entered into a gas sales agreement with CFEnergia ("CFE"), a subsidiary of Federal Electricity Commission (</w:t>
      </w:r>
      <w:r>
        <w:rPr>
          <w:rFonts w:ascii="Times New Roman" w:cs="Times New Roman" w:eastAsia="Times New Roman" w:hAnsi="Times New Roman"/>
          <w:sz w:val="20"/>
          <w:szCs w:val="20"/>
          <w:b w:val="1"/>
          <w:bCs w:val="1"/>
          <w:i w:val="1"/>
          <w:iCs w:val="1"/>
          <w:color w:val="auto"/>
        </w:rPr>
        <w:t>Comisión Federal de Electricidad</w:t>
      </w:r>
      <w:r>
        <w:rPr>
          <w:rFonts w:ascii="Times New Roman" w:cs="Times New Roman" w:eastAsia="Times New Roman" w:hAnsi="Times New Roman"/>
          <w:sz w:val="20"/>
          <w:szCs w:val="20"/>
          <w:color w:val="auto"/>
        </w:rPr>
        <w:t>), Mexico’s power utility, for the supply of natural gas to power plants located at Punta Prieta and Coromuel in the State of Baja California Sur ("CFE Plants"), and in the fourth quarter of 2022, we reached an agreement to expand and extend our supply of natural gas to multiple CFE power generation facilities in Baja California Sur. Under an amended gas sales agreement with CFE, we expect to sell approximately 38,000 MMBtu from LNG per day.</w:t>
      </w:r>
    </w:p>
    <w:p>
      <w:pPr>
        <w:spacing w:after="0" w:line="209"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20"/>
          <w:szCs w:val="20"/>
          <w:color w:val="auto"/>
        </w:rPr>
        <w:t>The La Paz Facility also supplies our gas-fired power units located adjacent to the La Paz Facility (the “La Paz Power Plant”) and could have a maximum capacity of up to 135MW of power. We placed the La Paz Power Plant into service in the third quarter of 2023.</w:t>
      </w:r>
    </w:p>
    <w:p>
      <w:pPr>
        <w:spacing w:after="0" w:line="192"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Puerto Sandino, Nicaragua </w:t>
      </w:r>
      <w:r>
        <w:rPr>
          <w:rFonts w:ascii="Times New Roman" w:cs="Times New Roman" w:eastAsia="Times New Roman" w:hAnsi="Times New Roman"/>
          <w:sz w:val="20"/>
          <w:szCs w:val="20"/>
          <w:color w:val="auto"/>
        </w:rPr>
        <w:t>– We are developing an offshore liquefied natural gas receiving and storage facility off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coast of Puerto Sandino, Nicaragua, as well as an onshore regasification facility (the “Puerto Sandino Facility”). The Puerto Sandino Facility is expected to supply gas to our new approximately 300MW natural gas-fired power plant in Puerto Sandino, Nicaragua (the “Nicaragua Power Plant”) that we will own and operate. We have entered into a 25-year power purchase agreement with Nicaragua’s electricity distribution companies. We expect to utilize approximately 57,000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209" w:lineRule="exact"/>
        <w:rPr>
          <w:sz w:val="20"/>
          <w:szCs w:val="20"/>
          <w:color w:val="auto"/>
        </w:rPr>
      </w:pPr>
    </w:p>
    <w:p>
      <w:pPr>
        <w:ind w:right="140" w:firstLine="36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Barcarena, Brazil </w:t>
      </w:r>
      <w:r>
        <w:rPr>
          <w:rFonts w:ascii="Times New Roman" w:cs="Times New Roman" w:eastAsia="Times New Roman" w:hAnsi="Times New Roman"/>
          <w:sz w:val="19"/>
          <w:szCs w:val="19"/>
          <w:color w:val="auto"/>
        </w:rPr>
        <w:t>– Our terminal in the State of Pará, Brazil (the “Barcarena Facility”) consists of an FSRU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associated infrastructure, including mooring and offshore and onshore pipelines. The Barcarena Facility is capable of processing over one million MMBtu from LNG per day and storing up to 160,000 cubic meters of LNG. 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in the first half of 2024.</w:t>
      </w:r>
    </w:p>
    <w:p>
      <w:pPr>
        <w:spacing w:after="0" w:line="193"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Construction of the Barcarena Power Plant was greater than 43% complete as of December 31, 2023. We expect to complete the Barcarena Power Plant and begin delivering power to nine committed offtakers for 25 years beginning in 2025.</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880"/>
          </w:cols>
          <w:pgMar w:left="1180" w:top="838" w:right="1180" w:bottom="0" w:gutter="0" w:footer="0" w:header="0"/>
          <w:type w:val="continuous"/>
        </w:sectPr>
      </w:pPr>
    </w:p>
    <w:bookmarkStart w:id="9" w:name="page10"/>
    <w:bookmarkEnd w:id="9"/>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In the fourth quarter of 2023, we entered into an agreement to acquire a 1.6GW PPA in exchange for newly issued 5% NFE redeemable Series A Convertible Preferred Stock (the "Series A Convertible Preferred Stock"), closing of which remains subject to customary closing conditions, including regulatory approval for the transfer of the PPA (the “Barcarena PPA Exchange”). NFE has applied to transfer the 1.6 GW PPA to a site owned by NFE that is adjacent to the Barcarena Facility, where NFE will build a power plant to supply the PPA using gas from the Barcarena Facility. We expect to begin delivering electricity under the acquired PPA in July 2026.</w:t>
      </w:r>
    </w:p>
    <w:p>
      <w:pPr>
        <w:spacing w:after="0" w:line="204"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Santa Catarina, Brazil </w:t>
      </w:r>
      <w:r>
        <w:rPr>
          <w:rFonts w:ascii="Times New Roman" w:cs="Times New Roman" w:eastAsia="Times New Roman" w:hAnsi="Times New Roman"/>
          <w:sz w:val="20"/>
          <w:szCs w:val="20"/>
          <w:color w:val="auto"/>
        </w:rPr>
        <w:t>– Our facility in Santa Catarina, Brazil (the “Santa Catarina Facility” and, together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Barcarena Facility, the "Brazil Facilities") is located on the southern coast of Brazil and consists of an FSRU with a processing capacity of approximately 500,000 MMBtu from LNG per day and LNG storage capacity of up to 138,000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the first half of 2024.</w:t>
      </w:r>
    </w:p>
    <w:p>
      <w:pPr>
        <w:spacing w:after="0" w:line="205"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 xml:space="preserve">Shannon, Ireland </w:t>
      </w:r>
      <w:r>
        <w:rPr>
          <w:rFonts w:ascii="Times New Roman" w:cs="Times New Roman" w:eastAsia="Times New Roman" w:hAnsi="Times New Roman"/>
          <w:sz w:val="19"/>
          <w:szCs w:val="19"/>
          <w:color w:val="auto"/>
        </w:rPr>
        <w:t>– We intend to develop and operate an LNG facility (the “Ireland Facility” and, together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Jamaica Facilities, the San Juan Facility, the Brazil Facilities, the La Paz Facility and the Puerto Sandino Facility, our “LNG Facilities”) and a power plant on the Shannon Estuary, near Tarbert, Ireland (the “Ireland Power Plant” and, together with the CHP Plant, La Paz Power Plant, Nicaragua Power Plant, Barcarena Power Plant, the “Power Plants,” and together with the LNG Facilities, the “Facilities”).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In the third quarter of 2023, An Bord Pleanála, Ireland's planning commission, denied our application for the development of an LNG terminal and power plant. We are challenging this decision. The continued development of this project is uncertain and there are multiple risks, including regulatory risks, that could preclude the development of this project</w:t>
      </w:r>
      <w:r>
        <w:rPr>
          <w:rFonts w:ascii="Times New Roman" w:cs="Times New Roman" w:eastAsia="Times New Roman" w:hAnsi="Times New Roman"/>
          <w:sz w:val="19"/>
          <w:szCs w:val="19"/>
          <w:b w:val="1"/>
          <w:bCs w:val="1"/>
          <w:i w:val="1"/>
          <w:iCs w:val="1"/>
          <w:color w:val="auto"/>
        </w:rPr>
        <w:t>.</w:t>
      </w:r>
    </w:p>
    <w:p>
      <w:pPr>
        <w:spacing w:after="0" w:line="191" w:lineRule="exact"/>
        <w:rPr>
          <w:sz w:val="20"/>
          <w:szCs w:val="20"/>
          <w:color w:val="auto"/>
        </w:rPr>
      </w:pPr>
    </w:p>
    <w:p>
      <w:pPr>
        <w:ind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ZeroParks </w:t>
      </w:r>
      <w:r>
        <w:rPr>
          <w:rFonts w:ascii="Times New Roman" w:cs="Times New Roman" w:eastAsia="Times New Roman" w:hAnsi="Times New Roman"/>
          <w:sz w:val="20"/>
          <w:szCs w:val="20"/>
          <w:color w:val="auto"/>
        </w:rPr>
        <w:t>- In 2020, we formed our Zero division to develop and operate facilities that produce clean hydrogen in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203"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the first half of 2025. Additionally, we have secured a binding offtake commitment for the clean hydrogen produced at ZeroPark I. Once completed, we expect our Beaumont Facility to be the largest green hydrogen plant in the 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LNG Supply</w:t>
      </w:r>
    </w:p>
    <w:p>
      <w:pPr>
        <w:spacing w:after="0" w:line="25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that we plan to satisfy through the following sources: 1) our current contractual supply commitments; 2) additional LNG supply contracts expected to commence in 2027 through 2029; 3) our Miami Facility; and 4) our own Fast LNG production. We have secured commitments to purchase and receive physical delivery of LNG volumes for 100% of our committed volumes for each of our downstream terminals inclusive of our Montego Bay Facility, Old Harbour Facility, San Juan Facility, La Paz Facility, Puerto Sandino Facility, Barcarena Facility and Santa Catarina Facility. Additionally, we have a binding contract for LNG volumes from a U.S. LNG facility with a 20-year term, that is expected to commence in 2027 and another 20 year contract with a separate U.S. facility, subject to that facility's FID, expected to commence in 2029. Finally, we plan to commence production from our own Fast LNG facilities in 2024. We plan to expand that capacity when additional Fast LNG units come online.</w:t>
      </w:r>
    </w:p>
    <w:p>
      <w:pPr>
        <w:spacing w:after="0" w:line="216"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9"/>
          <w:szCs w:val="19"/>
          <w:color w:val="auto"/>
        </w:rPr>
        <w:t>Geopolitical events have substantially impacted and may continue to impact the natural gas and LNG markets, which have experienced significant volatility in recent years. The majority of our LNG supply contracts are based on a natural gas-based index, Henry Hub, plus a contractual spread. We limit our exposure to fluctuations in natural gas prices as our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880"/>
          </w:cols>
          <w:pgMar w:left="1180" w:top="838" w:right="1180" w:bottom="0" w:gutter="0" w:footer="0" w:header="0"/>
          <w:type w:val="continuous"/>
        </w:sectPr>
      </w:pPr>
    </w:p>
    <w:bookmarkStart w:id="10" w:name="page11"/>
    <w:bookmarkEnd w:id="10"/>
    <w:p>
      <w:pPr>
        <w:ind w:right="320"/>
        <w:spacing w:after="0" w:line="260" w:lineRule="auto"/>
        <w:rPr>
          <w:sz w:val="20"/>
          <w:szCs w:val="20"/>
          <w:color w:val="auto"/>
        </w:rPr>
      </w:pPr>
      <w:r>
        <w:rPr>
          <w:rFonts w:ascii="Times New Roman" w:cs="Times New Roman" w:eastAsia="Times New Roman" w:hAnsi="Times New Roman"/>
          <w:sz w:val="20"/>
          <w:szCs w:val="20"/>
          <w:color w:val="auto"/>
        </w:rPr>
        <w:t>pricing in contracts with customers is largely based on the Henry Hub index price plus a fixed fee component. Additionally, with our own Fast LNG production, we plan to further mitigate our exposure to variability in LNG prices, and our long-term strategy is to sell substantially all cargos produced to customers on a long-term, take-or-pay basis through our downstream terminals.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Liquefaction Assets</w:t>
      </w:r>
    </w:p>
    <w:p>
      <w:pPr>
        <w:spacing w:after="0" w:line="254" w:lineRule="exact"/>
        <w:rPr>
          <w:sz w:val="20"/>
          <w:szCs w:val="20"/>
          <w:color w:val="auto"/>
        </w:rPr>
      </w:pPr>
    </w:p>
    <w:p>
      <w:pPr>
        <w:ind w:right="320" w:firstLine="360"/>
        <w:spacing w:after="0" w:line="260" w:lineRule="auto"/>
        <w:rPr>
          <w:sz w:val="20"/>
          <w:szCs w:val="20"/>
          <w:color w:val="auto"/>
        </w:rPr>
      </w:pPr>
      <w:r>
        <w:rPr>
          <w:rFonts w:ascii="Times New Roman" w:cs="Times New Roman" w:eastAsia="Times New Roman" w:hAnsi="Times New Roman"/>
          <w:sz w:val="20"/>
          <w:szCs w:val="20"/>
          <w:color w:val="auto"/>
        </w:rPr>
        <w:t>We constructed the Miami Facility, which commenced full commercial operations in 2016. The Miami Facility has one liquefaction train with liquefaction production capacity of approximately 8,300 MMBtu from LNG per day. The Miami Facility also has three LNG storage tanks with total capacity of approximately 1,000 cubic meters. The Miami Facility also includes two separate LNG transfer areas capable of serving both truck and rail.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 (FLNG)</w:t>
      </w:r>
    </w:p>
    <w:p>
      <w:pPr>
        <w:spacing w:after="0" w:line="254"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first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will provide LNG storage alongside the floating liquefaction infrastructure, which can be deployed anywhere there is abundant and stranded natural gas. We are also in discussions with CFE to utilize our FLNG design in an onshore application.</w:t>
      </w:r>
    </w:p>
    <w:p>
      <w:pPr>
        <w:spacing w:after="0" w:line="213" w:lineRule="exact"/>
        <w:rPr>
          <w:sz w:val="20"/>
          <w:szCs w:val="20"/>
          <w:color w:val="auto"/>
        </w:rPr>
      </w:pPr>
    </w:p>
    <w:p>
      <w:pPr>
        <w:ind w:right="380" w:firstLine="360"/>
        <w:spacing w:after="0" w:line="266" w:lineRule="auto"/>
        <w:rPr>
          <w:sz w:val="20"/>
          <w:szCs w:val="20"/>
          <w:color w:val="auto"/>
        </w:rPr>
      </w:pPr>
      <w:r>
        <w:rPr>
          <w:rFonts w:ascii="Times New Roman" w:cs="Times New Roman" w:eastAsia="Times New Roman" w:hAnsi="Times New Roman"/>
          <w:sz w:val="20"/>
          <w:szCs w:val="20"/>
          <w:color w:val="auto"/>
        </w:rPr>
        <w:t>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spacing w:after="0" w:line="195"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Fast LNG solutions are also flexible from a commercial standpoint, as they can act as tolling facilities (where third parties are the offtaker of the LNG), manufacturing facilities (where we are the offtaker), or a combination of the two. This flexibility enables us to take advantage of numerous opportunities around the world and present the most optimal commercial arrangements for us and our counterparties.</w:t>
      </w:r>
    </w:p>
    <w:p>
      <w:pPr>
        <w:spacing w:after="0" w:line="203"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Our initial Fast LNG unit was constructed at the Kiewit Offshore Services shipyard near Corpus Christi, Texas and our new projects are being constructed there as well. The Kiewit facility specializes in the fabrication and integration of offshore projects. In partnership with Kiewit, we believe we have established an efficient and repeatable process to reduce cost and time to build incremental liquefaction capacity. Our first Fast LNG unit has been deployed offshore in Altamira, Mexico, and we expect to deploy additional units over the next two years.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Shipping Assets</w:t>
      </w:r>
    </w:p>
    <w:p>
      <w:pPr>
        <w:spacing w:after="0" w:line="25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shipping assets include: Floating Storage and Regasification Units ("FSRUs"), Floating Storage Units ("FSUs") and LNG carriers ("LNGCs"), which are either leased to customers under long-term or spot arrangements or commercially operated by us.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LNGC's are vessels that transport LNG and are compatible with many LNG loading and receiving terminals globally.</w:t>
      </w:r>
    </w:p>
    <w:p>
      <w:pPr>
        <w:spacing w:after="0" w:line="210" w:lineRule="exact"/>
        <w:rPr>
          <w:sz w:val="20"/>
          <w:szCs w:val="20"/>
          <w:color w:val="auto"/>
        </w:rPr>
      </w:pPr>
    </w:p>
    <w:p>
      <w:pPr>
        <w:ind w:right="140" w:firstLine="360"/>
        <w:spacing w:after="0" w:line="262" w:lineRule="auto"/>
        <w:rPr>
          <w:sz w:val="20"/>
          <w:szCs w:val="20"/>
          <w:color w:val="auto"/>
        </w:rPr>
      </w:pPr>
      <w:r>
        <w:rPr>
          <w:rFonts w:ascii="Times New Roman" w:cs="Times New Roman" w:eastAsia="Times New Roman" w:hAnsi="Times New Roman"/>
          <w:sz w:val="20"/>
          <w:szCs w:val="20"/>
          <w:color w:val="auto"/>
        </w:rPr>
        <w:t>Our shipping assets are included in our two operating segments, Ships and Terminals and Infrastructure. Vessels currently chartered to third parties are included in our Ships segment, and vessels we operate at our Facilities are included in our Terminals and Infrastructure segment. At the expiration of third-party charters of vessels owned by Energos, a joint venture that we formed in 2022 and describe in more detail below, we charter these vessels for our own use through the periods described below in various capacities. We exclude these vessels from our Ships segment and include them in our Terminals and Infrastructure segment once we begin to use the vessels for our own operational purposes. We maintain flexibility to deploy vessels in our Terminals and Infrastructure segment as needed to operate our LNG supply chain and serve our downstream customers.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880"/>
          </w:cols>
          <w:pgMar w:left="1180" w:top="838" w:right="1180" w:bottom="0" w:gutter="0" w:footer="0" w:header="0"/>
          <w:type w:val="continuous"/>
        </w:sectPr>
      </w:pPr>
    </w:p>
    <w:bookmarkStart w:id="11" w:name="page12"/>
    <w:bookmarkEnd w:id="11"/>
    <w:p>
      <w:pPr>
        <w:ind w:right="20" w:firstLine="360"/>
        <w:spacing w:after="0" w:line="270" w:lineRule="auto"/>
        <w:rPr>
          <w:sz w:val="20"/>
          <w:szCs w:val="20"/>
          <w:color w:val="auto"/>
        </w:rPr>
      </w:pPr>
      <w:r>
        <w:rPr>
          <w:rFonts w:ascii="Times New Roman" w:cs="Times New Roman" w:eastAsia="Times New Roman" w:hAnsi="Times New Roman"/>
          <w:sz w:val="19"/>
          <w:szCs w:val="19"/>
          <w:color w:val="auto"/>
        </w:rPr>
        <w:t>In August 2022, we completed a transaction (the “Energos Formation Transaction”) with an affiliate of Apollo Global Management, Inc., pursuant to which we transferred ownership of 11 vessels, including six FSRUs, three FSUs and two LNGCs, to Energos in exchange for approximately $1.85 billion in cash and a 20% equity interest in Energos. In connection with the Energos Formation Transaction, we entered into long-term time charter agreements for periods of up to 20 years in respect of ten of the Energos vessels, the terms of which will commence upon the expiration of each vessel’s existing third-party charter. As a result of this arrangement, when existing third-party charters expire between April 2023 and August 2027, those vessels will then be chartered to us by Energos for up to 20-year terms expiring between December 2027 and August 2042. In February 2024, we sold substantially all of our stake in Energos to our joint venture partner.</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tables containing additional detail regarding each vessel in our operating segments: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Ships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189865</wp:posOffset>
                </wp:positionV>
                <wp:extent cx="60579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95pt" to="494.5pt,14.95pt" o:allowincell="f" strokecolor="#000000" strokeweight="1pt"/>
            </w:pict>
          </mc:Fallback>
        </mc:AlternateContent>
      </w: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194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90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9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19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900" w:type="dxa"/>
            <w:vAlign w:val="bottom"/>
            <w:vMerge w:val="continue"/>
          </w:tcPr>
          <w:p>
            <w:pPr>
              <w:spacing w:after="0"/>
              <w:rPr>
                <w:sz w:val="13"/>
                <w:szCs w:val="13"/>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9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Igloo</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Netherlands</w:t>
            </w:r>
          </w:p>
        </w:tc>
        <w:tc>
          <w:tcPr>
            <w:tcW w:w="0" w:type="dxa"/>
            <w:vAlign w:val="bottom"/>
          </w:tcPr>
          <w:p>
            <w:pPr>
              <w:spacing w:after="0"/>
              <w:rPr>
                <w:sz w:val="1"/>
                <w:szCs w:val="1"/>
                <w:color w:val="auto"/>
              </w:rPr>
            </w:pPr>
          </w:p>
        </w:tc>
      </w:tr>
      <w:tr>
        <w:trPr>
          <w:trHeight w:val="300"/>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Eskimo</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Kingdom of Jordan</w:t>
            </w:r>
          </w:p>
        </w:tc>
        <w:tc>
          <w:tcPr>
            <w:tcW w:w="0" w:type="dxa"/>
            <w:vAlign w:val="bottom"/>
          </w:tcPr>
          <w:p>
            <w:pPr>
              <w:spacing w:after="0"/>
              <w:rPr>
                <w:sz w:val="1"/>
                <w:szCs w:val="1"/>
                <w:color w:val="auto"/>
              </w:rPr>
            </w:pPr>
          </w:p>
        </w:tc>
      </w:tr>
      <w:tr>
        <w:trPr>
          <w:trHeight w:val="300"/>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Maria</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40"/>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Mazo</w:t>
            </w:r>
            <w:r>
              <w:rPr>
                <w:rFonts w:ascii="Times New Roman" w:cs="Times New Roman" w:eastAsia="Times New Roman" w:hAnsi="Times New Roman"/>
                <w:sz w:val="26"/>
                <w:szCs w:val="26"/>
                <w:color w:val="auto"/>
                <w:vertAlign w:val="superscript"/>
              </w:rPr>
              <w:t>1</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60% NFE / 40% CPC</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Nusantara Regas Satu</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-956310</wp:posOffset>
            </wp:positionV>
            <wp:extent cx="6083300" cy="977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83300" cy="977900"/>
                    </a:xfrm>
                    <a:prstGeom prst="rect">
                      <a:avLst/>
                    </a:prstGeom>
                    <a:noFill/>
                  </pic:spPr>
                </pic:pic>
              </a:graphicData>
            </a:graphic>
          </wp:anchor>
        </w:drawing>
      </w:r>
    </w:p>
    <w:p>
      <w:pPr>
        <w:spacing w:after="0" w:line="268" w:lineRule="exact"/>
        <w:rPr>
          <w:sz w:val="20"/>
          <w:szCs w:val="20"/>
          <w:color w:val="auto"/>
        </w:rPr>
      </w:pPr>
    </w:p>
    <w:p>
      <w:pPr>
        <w:ind w:left="360" w:right="360" w:hanging="10"/>
        <w:spacing w:after="0" w:line="228" w:lineRule="auto"/>
        <w:tabs>
          <w:tab w:leader="none" w:pos="475" w:val="left"/>
        </w:tabs>
        <w:numPr>
          <w:ilvl w:val="0"/>
          <w:numId w:val="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 xml:space="preserve">In December 2023, we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 million; the sale closed in the first quarter of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189865</wp:posOffset>
                </wp:positionV>
                <wp:extent cx="60579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95pt" to="494.5pt,14.95pt" o:allowincell="f" strokecolor="#000000" strokeweight="1pt"/>
            </w:pict>
          </mc:Fallback>
        </mc:AlternateContent>
      </w: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6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18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20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60" w:type="dxa"/>
            <w:vAlign w:val="bottom"/>
            <w:vMerge w:val="continue"/>
          </w:tcPr>
          <w:p>
            <w:pPr>
              <w:spacing w:after="0"/>
              <w:rPr>
                <w:sz w:val="13"/>
                <w:szCs w:val="13"/>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Orion Sea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JP Morgan</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35"/>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Cobia LNG</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Cheniere / TMS</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20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Cardiff Gas</w:t>
            </w:r>
          </w:p>
        </w:tc>
        <w:tc>
          <w:tcPr>
            <w:tcW w:w="118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Hoegh Gallant</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Hoegh LNG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Jamaica</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Celsius</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NFE Penguin</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Gaslog Singapore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Gaslog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Grand</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Winter</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Princess</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Freeze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Encanto</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CNTIC Vpower Global</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28,000</w:t>
            </w:r>
          </w:p>
        </w:tc>
        <w:tc>
          <w:tcPr>
            <w:tcW w:w="16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CNTIC Vpower</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20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Holdings</w:t>
            </w:r>
          </w:p>
        </w:tc>
        <w:tc>
          <w:tcPr>
            <w:tcW w:w="118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Titan Unikum</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Titan LNG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Avenir Accolade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Avenir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Anthelia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-3089910</wp:posOffset>
            </wp:positionV>
            <wp:extent cx="6083300" cy="3111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083300" cy="3111500"/>
                    </a:xfrm>
                    <a:prstGeom prst="rect">
                      <a:avLst/>
                    </a:prstGeom>
                    <a:noFill/>
                  </pic:spPr>
                </pic:pic>
              </a:graphicData>
            </a:graphic>
          </wp:anchor>
        </w:drawing>
      </w:r>
    </w:p>
    <w:p>
      <w:pPr>
        <w:spacing w:after="0" w:line="271"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We also lease, own and operate various operating service vessels, tugboats and other vessels to support our global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Customers</w:t>
      </w:r>
    </w:p>
    <w:p>
      <w:pPr>
        <w:spacing w:after="0" w:line="257" w:lineRule="exact"/>
        <w:rPr>
          <w:sz w:val="20"/>
          <w:szCs w:val="20"/>
          <w:color w:val="auto"/>
        </w:rPr>
      </w:pPr>
    </w:p>
    <w:p>
      <w:pPr>
        <w:ind w:right="320" w:firstLine="360"/>
        <w:spacing w:after="0" w:line="309" w:lineRule="auto"/>
        <w:rPr>
          <w:sz w:val="20"/>
          <w:szCs w:val="20"/>
          <w:color w:val="auto"/>
        </w:rPr>
      </w:pPr>
      <w:r>
        <w:rPr>
          <w:rFonts w:ascii="Times New Roman" w:cs="Times New Roman" w:eastAsia="Times New Roman" w:hAnsi="Times New Roman"/>
          <w:sz w:val="19"/>
          <w:szCs w:val="19"/>
          <w:color w:val="auto"/>
        </w:rPr>
        <w:t>Our downstream customers are, and we expect future customers to be, a mix of power, transportation and industrial users of natural gas and LNG, as well as local power generation, distribution companies, including private and</w:t>
      </w:r>
    </w:p>
    <w:p>
      <w:pPr>
        <w:sectPr>
          <w:pgSz w:w="12240" w:h="15840" w:orient="portrait"/>
          <w:cols w:equalWidth="0" w:num="1">
            <w:col w:w="9900"/>
          </w:cols>
          <w:pgMar w:left="1180" w:top="838" w:right="1160" w:bottom="0" w:gutter="0" w:footer="0" w:header="0"/>
        </w:sect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900"/>
          </w:cols>
          <w:pgMar w:left="1180" w:top="838" w:right="1160" w:bottom="0" w:gutter="0" w:footer="0" w:header="0"/>
          <w:type w:val="continuous"/>
        </w:sectPr>
      </w:pPr>
    </w:p>
    <w:bookmarkStart w:id="12" w:name="page13"/>
    <w:bookmarkEnd w:id="12"/>
    <w:p>
      <w:pPr>
        <w:ind w:right="20"/>
        <w:spacing w:after="0" w:line="260" w:lineRule="auto"/>
        <w:rPr>
          <w:sz w:val="20"/>
          <w:szCs w:val="20"/>
          <w:color w:val="auto"/>
        </w:rPr>
      </w:pPr>
      <w:r>
        <w:rPr>
          <w:rFonts w:ascii="Times New Roman" w:cs="Times New Roman" w:eastAsia="Times New Roman" w:hAnsi="Times New Roman"/>
          <w:sz w:val="20"/>
          <w:szCs w:val="20"/>
          <w:color w:val="auto"/>
        </w:rPr>
        <w:t>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203" w:lineRule="exact"/>
        <w:rPr>
          <w:sz w:val="20"/>
          <w:szCs w:val="20"/>
          <w:color w:val="auto"/>
        </w:rPr>
      </w:pPr>
    </w:p>
    <w:p>
      <w:pPr>
        <w:ind w:right="540" w:firstLine="360"/>
        <w:spacing w:after="0" w:line="266" w:lineRule="auto"/>
        <w:rPr>
          <w:sz w:val="20"/>
          <w:szCs w:val="20"/>
          <w:color w:val="auto"/>
        </w:rPr>
      </w:pPr>
      <w:r>
        <w:rPr>
          <w:rFonts w:ascii="Times New Roman" w:cs="Times New Roman" w:eastAsia="Times New Roman" w:hAnsi="Times New Roman"/>
          <w:sz w:val="20"/>
          <w:szCs w:val="20"/>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95" w:lineRule="exact"/>
        <w:rPr>
          <w:sz w:val="20"/>
          <w:szCs w:val="20"/>
          <w:color w:val="auto"/>
        </w:rPr>
      </w:pPr>
    </w:p>
    <w:p>
      <w:pPr>
        <w:ind w:right="340" w:firstLine="360"/>
        <w:spacing w:after="0" w:line="260" w:lineRule="auto"/>
        <w:rPr>
          <w:sz w:val="20"/>
          <w:szCs w:val="20"/>
          <w:color w:val="auto"/>
        </w:rPr>
      </w:pPr>
      <w:r>
        <w:rPr>
          <w:rFonts w:ascii="Times New Roman" w:cs="Times New Roman" w:eastAsia="Times New Roman" w:hAnsi="Times New Roman"/>
          <w:sz w:val="20"/>
          <w:szCs w:val="20"/>
          <w:color w:val="auto"/>
        </w:rPr>
        <w:t>We continue to have significant concentrations in revenue. Revenue from two customers constituted 47% of total revenue in 2023; no other customers comprised more than 10% of our revenue. For the year ended December 31, 2022, revenue from two significant customers constituted 42% of our total revenue. For the year ended December 31, 2021, revenue from three significant customers constituted 48% of our total revenue.</w:t>
      </w:r>
    </w:p>
    <w:p>
      <w:pPr>
        <w:spacing w:after="0" w:line="20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have several contracts with government-affiliated entities in the countries in which we operate. In Jamaica, we have gas sales agreements with JPS and SJPC, which have remaining terms of approximately 15 and 16 years, respectively, with mutual options to extend, subject to certain conditions. The Jamaica gas sales agreements represent approximately 50% of Jamaica’s installed power capacity and sales of approximately 79,000 MMBtu from LNG per day at full commercial operations. The aggregate minimum quantities we are required to deliver, and our counterparties are required to purchase, under the Jamaica gas sales agreements initially, total approximately 56,000 MMBtu per day.</w:t>
      </w:r>
    </w:p>
    <w:p>
      <w:pPr>
        <w:spacing w:after="0" w:line="208"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In Puerto Rico, we have entered into a fuel sale and purchase agreement with PREPA, pursuant to which we expect PREPA to purchase approximately 68,000 MMBtu from LNG per day in connection with the operation of both Units 5 and 6 of the PREPA San Juan Power Plant. Additionally, starting in 2023 and continuing through the 10-year contractual term, Genera operates and maintains PREPA's thermal generation assets. We receive an annual management fee and are eligible for performance-based incentive fees.</w:t>
      </w:r>
    </w:p>
    <w:p>
      <w:pPr>
        <w:spacing w:after="0" w:line="20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Mexico, we have entered into a gas sales agreement with CFEnergia for the supply of natural gas to CFE Plants.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right="220" w:firstLine="360"/>
        <w:spacing w:after="0" w:line="286" w:lineRule="auto"/>
        <w:rPr>
          <w:sz w:val="20"/>
          <w:szCs w:val="20"/>
          <w:color w:val="auto"/>
        </w:rPr>
      </w:pPr>
      <w:r>
        <w:rPr>
          <w:rFonts w:ascii="Times New Roman" w:cs="Times New Roman" w:eastAsia="Times New Roman" w:hAnsi="Times New Roman"/>
          <w:sz w:val="19"/>
          <w:szCs w:val="19"/>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79" w:lineRule="exact"/>
        <w:rPr>
          <w:sz w:val="20"/>
          <w:szCs w:val="20"/>
          <w:color w:val="auto"/>
        </w:rPr>
      </w:pPr>
    </w:p>
    <w:p>
      <w:pPr>
        <w:ind w:left="1080" w:right="140" w:hanging="370"/>
        <w:spacing w:after="0" w:line="28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integrated marketers whose advantages include large amounts of capital and the ability to offer a wide range of services and market numerous products other than natural gas;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producer marketers who sell natural gas they produce or which is produced by an affiliated company;</w:t>
      </w:r>
    </w:p>
    <w:p>
      <w:pPr>
        <w:spacing w:after="0" w:line="250" w:lineRule="exact"/>
        <w:rPr>
          <w:rFonts w:ascii="Times New Roman" w:cs="Times New Roman" w:eastAsia="Times New Roman" w:hAnsi="Times New Roman"/>
          <w:sz w:val="20"/>
          <w:szCs w:val="20"/>
          <w:color w:val="auto"/>
        </w:rPr>
      </w:pPr>
    </w:p>
    <w:p>
      <w:pPr>
        <w:ind w:left="1080" w:right="460" w:hanging="370"/>
        <w:spacing w:after="0" w:line="28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small geographically focused marketers who focus their marketing on the geographic area in which their affiliated distributor operates; and</w:t>
      </w:r>
    </w:p>
    <w:p>
      <w:pPr>
        <w:spacing w:after="0" w:line="181" w:lineRule="exact"/>
        <w:rPr>
          <w:rFonts w:ascii="Times New Roman" w:cs="Times New Roman" w:eastAsia="Times New Roman" w:hAnsi="Times New Roman"/>
          <w:sz w:val="20"/>
          <w:szCs w:val="20"/>
          <w:color w:val="auto"/>
        </w:rPr>
      </w:pPr>
    </w:p>
    <w:p>
      <w:pPr>
        <w:jc w:val="both"/>
        <w:ind w:left="1080" w:right="140" w:hanging="370"/>
        <w:spacing w:after="0" w:line="309" w:lineRule="auto"/>
        <w:tabs>
          <w:tab w:leader="none" w:pos="10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aggregators who gather small volumes of natural gas from various sources, combine them and sell the larger volumes for more favorable prices and terms than would be possible selling the smaller volumes separately.</w:t>
      </w:r>
    </w:p>
    <w:p>
      <w:pPr>
        <w:spacing w:after="0" w:line="157"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880"/>
          </w:cols>
          <w:pgMar w:left="1180" w:top="838" w:right="1180" w:bottom="0" w:gutter="0" w:footer="0" w:header="0"/>
          <w:type w:val="continuous"/>
        </w:sectPr>
      </w:pPr>
    </w:p>
    <w:bookmarkStart w:id="13" w:name="page14"/>
    <w:bookmarkEnd w:id="13"/>
    <w:p>
      <w:pPr>
        <w:ind w:left="360"/>
        <w:spacing w:after="0"/>
        <w:rPr>
          <w:sz w:val="20"/>
          <w:szCs w:val="20"/>
          <w:color w:val="auto"/>
        </w:rPr>
      </w:pPr>
      <w:r>
        <w:rPr>
          <w:rFonts w:ascii="Times New Roman" w:cs="Times New Roman" w:eastAsia="Times New Roman" w:hAnsi="Times New Roman"/>
          <w:sz w:val="20"/>
          <w:szCs w:val="20"/>
          <w:color w:val="auto"/>
        </w:rPr>
        <w:t>In purchasing LNG, we compete for supplies of LNG with:</w:t>
      </w:r>
    </w:p>
    <w:p>
      <w:pPr>
        <w:spacing w:after="0" w:line="250" w:lineRule="exact"/>
        <w:rPr>
          <w:sz w:val="20"/>
          <w:szCs w:val="20"/>
          <w:color w:val="auto"/>
        </w:rPr>
      </w:pPr>
    </w:p>
    <w:p>
      <w:pPr>
        <w:ind w:left="1080" w:right="140" w:hanging="370"/>
        <w:spacing w:after="0" w:line="309" w:lineRule="auto"/>
        <w:tabs>
          <w:tab w:leader="none" w:pos="10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 multinational and national companies with longer operating histories, more development experience, greater name recognition, larger staffs and substantially greater financial, technical and marketing resources;</w:t>
      </w:r>
    </w:p>
    <w:p>
      <w:pPr>
        <w:spacing w:after="0" w:line="157" w:lineRule="exact"/>
        <w:rPr>
          <w:rFonts w:ascii="Times New Roman" w:cs="Times New Roman" w:eastAsia="Times New Roman" w:hAnsi="Times New Roman"/>
          <w:sz w:val="19"/>
          <w:szCs w:val="19"/>
          <w:color w:val="auto"/>
        </w:rPr>
      </w:pPr>
    </w:p>
    <w:p>
      <w:pPr>
        <w:ind w:left="1080" w:hanging="370"/>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oil and gas producers who sell or control LNG derived from their international oil and gas properties; and</w:t>
      </w:r>
    </w:p>
    <w:p>
      <w:pPr>
        <w:spacing w:after="0" w:line="250" w:lineRule="exact"/>
        <w:rPr>
          <w:rFonts w:ascii="Times New Roman" w:cs="Times New Roman" w:eastAsia="Times New Roman" w:hAnsi="Times New Roman"/>
          <w:sz w:val="20"/>
          <w:szCs w:val="20"/>
          <w:color w:val="auto"/>
        </w:rPr>
      </w:pPr>
    </w:p>
    <w:p>
      <w:pPr>
        <w:ind w:left="1080" w:right="80" w:hanging="370"/>
        <w:spacing w:after="0" w:line="281"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located in other countries where prevailing market prices can be substantially different from those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DOE Export</w:t>
      </w:r>
    </w:p>
    <w:p>
      <w:pPr>
        <w:spacing w:after="0" w:line="259" w:lineRule="exact"/>
        <w:rPr>
          <w:sz w:val="20"/>
          <w:szCs w:val="20"/>
          <w:color w:val="auto"/>
        </w:rPr>
      </w:pPr>
    </w:p>
    <w:p>
      <w:pPr>
        <w:ind w:right="180" w:firstLine="360"/>
        <w:spacing w:after="0" w:line="253" w:lineRule="auto"/>
        <w:rPr>
          <w:sz w:val="20"/>
          <w:szCs w:val="20"/>
          <w:color w:val="auto"/>
        </w:rPr>
      </w:pPr>
      <w:r>
        <w:rPr>
          <w:rFonts w:ascii="Times New Roman" w:cs="Times New Roman" w:eastAsia="Times New Roman" w:hAnsi="Times New Roman"/>
          <w:sz w:val="20"/>
          <w:szCs w:val="20"/>
          <w:color w:val="auto"/>
        </w:rPr>
        <w:t>The Department of Energy (“DOE”) issued orders authorizing us, through our subsidiary, American LNG Marketing LLC or its designee, to export up to a combined total of the equivalent of 60,000 mtpa (approximately 3.02 Bcf/yr) of domestically produced LNG by tanker from the Miami Facility to Free Trade Agreement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213"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which we did in 2022 and will start the process of renewing it again in 2024. NFEnergía LLC must renew its authorization every two years. Imports of LNG are deemed to be consistent with the public interest under Section 3 of the Natural Gas Act (“NGA”) and applications for such imports must be granted without modification or delay.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FERC Authorization</w:t>
      </w:r>
    </w:p>
    <w:p>
      <w:pPr>
        <w:spacing w:after="0" w:line="25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216"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880"/>
          </w:cols>
          <w:pgMar w:left="1180" w:top="838" w:right="1180" w:bottom="0" w:gutter="0" w:footer="0" w:header="0"/>
          <w:type w:val="continuous"/>
        </w:sectPr>
      </w:pPr>
    </w:p>
    <w:bookmarkStart w:id="14" w:name="page15"/>
    <w:bookmarkEnd w:id="14"/>
    <w:p>
      <w:pPr>
        <w:ind w:right="500"/>
        <w:spacing w:after="0" w:line="281" w:lineRule="auto"/>
        <w:rPr>
          <w:sz w:val="20"/>
          <w:szCs w:val="20"/>
          <w:color w:val="auto"/>
        </w:rPr>
      </w:pPr>
      <w:r>
        <w:rPr>
          <w:rFonts w:ascii="Times New Roman" w:cs="Times New Roman" w:eastAsia="Times New Roman" w:hAnsi="Times New Roman"/>
          <w:sz w:val="20"/>
          <w:szCs w:val="20"/>
          <w:color w:val="auto"/>
        </w:rPr>
        <w:t>take action to prevent the construction and operation of the pipeline and interconnect and on January 30, 2024, FERC reaffirmed the order allowing the construction and operation to continue.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and Hazardous Materials Safety Administration</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213"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In December 2019, PHMSA granted a special permit to one of our subsidiaries to ship LNG by rail, which would allow us to transport the LNG produced by the Pennsylvania Facility to a port for transloading onto marine vessels. . This special permit expired on November 30, 2021, at which time our subsidiary applied for its renewal. On April 24, 2023, PHMSA issued a decision denying this special permit renewal request.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In September 2023, DOT promulgated a rule that suspends authorization of LNG transportation by rail pending the earlier of either completion of a rulemaking evaluating potential modifications to requirements governing tank car transportation of LNG under the Hazardous Materials Regulations at 49 C.F.R. Parts 171-180 or by June 30, 2025, whichever is earlier. We have the ability to transport LNG from our Pennsylvania Facility via truck, and this logistical solution is available to us should we be unable to transport by rail.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213"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Other local laws and regulations, including local zoning laws, critical infrastructure regulations and fire protection codes, may also affect where and how we operate.</w:t>
      </w:r>
    </w:p>
    <w:p>
      <w:pPr>
        <w:spacing w:after="0" w:line="181" w:lineRule="exact"/>
        <w:rPr>
          <w:sz w:val="20"/>
          <w:szCs w:val="20"/>
          <w:color w:val="auto"/>
        </w:rPr>
      </w:pPr>
    </w:p>
    <w:p>
      <w:pPr>
        <w:ind w:right="280" w:firstLine="360"/>
        <w:spacing w:after="0" w:line="281" w:lineRule="auto"/>
        <w:rPr>
          <w:sz w:val="20"/>
          <w:szCs w:val="20"/>
          <w:color w:val="auto"/>
        </w:rPr>
      </w:pPr>
      <w:r>
        <w:rPr>
          <w:rFonts w:ascii="Times New Roman" w:cs="Times New Roman" w:eastAsia="Times New Roman" w:hAnsi="Times New Roman"/>
          <w:sz w:val="20"/>
          <w:szCs w:val="20"/>
          <w:color w:val="auto"/>
        </w:rPr>
        <w:t>The costs of compliance with these requirements are not expected to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Mexico</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Mexican law comprehensively regulates all aspects of the receipt, delivery, importation, exportation, storage commercialization, liquefaction, and regasification of LNG as well as the generation and transmission of electricity in Mexico. Various federal agencies in Mexico regulate these activities including, among others, Ministry of Energy, Ministry of the Navy, the Department of Environment and Natural Resources, Ministry of Infrastructure, Communication and Transportation, the Energy Regulatory Commission, and the Agency for Safety, Energy &amp; Environment, which issues permits for all activities performed by or in connection with the Mexican hydrocarbon sector. State and local agencies also regulate these activities, issuing permits and authorizing the use of property for such purposes. In order to be able to obtain various permits for construction and operations under Mexican law, the project must first complete environmental and social impact assessments according to the requirements of Mexican law. Each such impact assessment is subject to further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880"/>
          </w:cols>
          <w:pgMar w:left="1180" w:top="838" w:right="1180" w:bottom="0" w:gutter="0" w:footer="0" w:header="0"/>
          <w:type w:val="continuous"/>
        </w:sectPr>
      </w:pPr>
    </w:p>
    <w:bookmarkStart w:id="15" w:name="page16"/>
    <w:bookmarkEnd w:id="15"/>
    <w:p>
      <w:pPr>
        <w:ind w:right="220"/>
        <w:spacing w:after="0" w:line="260" w:lineRule="auto"/>
        <w:rPr>
          <w:sz w:val="20"/>
          <w:szCs w:val="20"/>
          <w:color w:val="auto"/>
        </w:rPr>
      </w:pPr>
      <w:r>
        <w:rPr>
          <w:rFonts w:ascii="Times New Roman" w:cs="Times New Roman" w:eastAsia="Times New Roman" w:hAnsi="Times New Roman"/>
          <w:sz w:val="20"/>
          <w:szCs w:val="20"/>
          <w:color w:val="auto"/>
        </w:rPr>
        <w:t>evaluation and appeal. Moreover, all hydrocarbon projects must include an environmental risk assessment, which derives from a thorough risk analysis before each different stage, in order to identify potential design and operational hazards. Mexican law allows the governmental entities and, in certain cases, individuals to pursue claims against violators of environmental laws or permits issued pursuant to such laws.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Jamaica</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Nicaragua</w:t>
      </w:r>
    </w:p>
    <w:p>
      <w:pPr>
        <w:spacing w:after="0" w:line="25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Ireland</w:t>
      </w:r>
    </w:p>
    <w:p>
      <w:pPr>
        <w:spacing w:after="0" w:line="25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spacing w:after="0" w:line="210"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Brazil</w:t>
      </w:r>
    </w:p>
    <w:p>
      <w:pPr>
        <w:spacing w:after="0" w:line="259" w:lineRule="exact"/>
        <w:rPr>
          <w:sz w:val="20"/>
          <w:szCs w:val="20"/>
          <w:color w:val="auto"/>
        </w:rPr>
      </w:pPr>
    </w:p>
    <w:p>
      <w:pPr>
        <w:ind w:right="300" w:firstLine="360"/>
        <w:spacing w:after="0" w:line="253" w:lineRule="auto"/>
        <w:rPr>
          <w:sz w:val="20"/>
          <w:szCs w:val="20"/>
          <w:color w:val="auto"/>
        </w:rPr>
      </w:pPr>
      <w:r>
        <w:rPr>
          <w:rFonts w:ascii="Times New Roman" w:cs="Times New Roman" w:eastAsia="Times New Roman" w:hAnsi="Times New Roman"/>
          <w:sz w:val="20"/>
          <w:szCs w:val="20"/>
          <w:color w:val="auto"/>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other authorizations may be required by environmental authorities on a local (municipal), state and federal level, including, but not limited to, permits to suppress vegetation, authorization for fauna management, and permission to address and/or otherwise mitigate impacts on affected communities, and others.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Puerto Rico</w:t>
      </w:r>
    </w:p>
    <w:p>
      <w:pPr>
        <w:spacing w:after="0" w:line="25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0"/>
          <w:szCs w:val="20"/>
          <w:color w:val="auto"/>
        </w:rPr>
        <w:t>Our operations in Puerto Rico are subject to various Puerto Rico laws and regulations relating to the protection of the environment, natural resources and human health. Puerto Rico has enacted a number of different statutes and regulations in order to implement the requirements of federal environmental laws on operations on the island. Environmental statutes and regulations are largely implemented by the Puerto Rico Department of Environment and Natural Resources. As part of its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900"/>
          </w:cols>
          <w:pgMar w:left="1180" w:top="838" w:right="1160" w:bottom="0" w:gutter="0" w:footer="0" w:header="0"/>
          <w:type w:val="continuous"/>
        </w:sectPr>
      </w:pPr>
    </w:p>
    <w:bookmarkStart w:id="16" w:name="page17"/>
    <w:bookmarkEnd w:id="16"/>
    <w:p>
      <w:pPr>
        <w:jc w:val="both"/>
        <w:spacing w:after="0" w:line="244" w:lineRule="auto"/>
        <w:rPr>
          <w:sz w:val="20"/>
          <w:szCs w:val="20"/>
          <w:color w:val="auto"/>
        </w:rPr>
      </w:pPr>
      <w:r>
        <w:rPr>
          <w:rFonts w:ascii="Times New Roman" w:cs="Times New Roman" w:eastAsia="Times New Roman" w:hAnsi="Times New Roman"/>
          <w:sz w:val="20"/>
          <w:szCs w:val="20"/>
          <w:color w:val="auto"/>
        </w:rPr>
        <w:t>operations, our San Juan Facility is required to comply with Clean Water Act requirements for stormwater and Clean Air Act requirements for facility emission sources. These laws and their related regulations require permits for the operation of the facilities and the implementation of mitigation measures to address environmental impacts of facility operations. Additionally, our operations in Puerto Rico are subject to regulation by the Department of Transportation and Public Works (“DTOP”). DTOP has been delegated authority from DOT to regulate both the distribution of natural gas through road transportation and facilities that operate natural gas pipelines. All deliveries of LNG by truck in Puerto Rico are subject to federal requirements for the ISO containers that hold the LNG and for the transport of the LNG by truck. Any expansion or increased stringency of these requirements may increase compliance costs for our operations in Puerto Rico.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and International Maritime Regulations of LNG Vessels</w:t>
      </w:r>
    </w:p>
    <w:p>
      <w:pPr>
        <w:spacing w:after="0" w:line="24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204"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we cannot with any certainty predict what additional regulations, if any, may be passed by the IMO and what effect, if any, such regulation may have on our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Import and Export Control Laws and Regulations</w:t>
      </w:r>
    </w:p>
    <w:p>
      <w:pPr>
        <w:spacing w:after="0" w:line="30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Anti-corruption Laws and Regulations</w:t>
      </w:r>
    </w:p>
    <w:p>
      <w:pPr>
        <w:spacing w:after="0" w:line="259"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19"/>
          <w:szCs w:val="19"/>
          <w:color w:val="auto"/>
        </w:rPr>
        <w:t>We are also subject to anti-corruption laws and regulations, including the U.S. Foreign Corrupt Practices Act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900"/>
          </w:cols>
          <w:pgMar w:left="1180" w:top="838" w:right="1160" w:bottom="0" w:gutter="0" w:footer="0" w:header="0"/>
          <w:type w:val="continuous"/>
        </w:sectPr>
      </w:pPr>
    </w:p>
    <w:bookmarkStart w:id="17" w:name="page18"/>
    <w:bookmarkEnd w:id="17"/>
    <w:p>
      <w:pPr>
        <w:ind w:right="20"/>
        <w:spacing w:after="0" w:line="253" w:lineRule="auto"/>
        <w:rPr>
          <w:sz w:val="20"/>
          <w:szCs w:val="20"/>
          <w:color w:val="auto"/>
        </w:rPr>
      </w:pPr>
      <w:r>
        <w:rPr>
          <w:rFonts w:ascii="Times New Roman" w:cs="Times New Roman" w:eastAsia="Times New Roman" w:hAnsi="Times New Roman"/>
          <w:sz w:val="20"/>
          <w:szCs w:val="20"/>
          <w:color w:val="auto"/>
        </w:rPr>
        <w:t>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and implementing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Suppliers and Working Capital</w:t>
      </w:r>
    </w:p>
    <w:p>
      <w:pPr>
        <w:spacing w:after="0" w:line="257"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We expect to continue to supply our downstream customers with LNG and natural gas sourced from a combination of long-term, LNG contracts with attractive terms, purchases on the open market, from our Miami Facility, and when completed, our Fast LNG solutions and Pennsylvania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120" w:firstLine="360"/>
        <w:spacing w:after="0" w:line="267" w:lineRule="auto"/>
        <w:rPr>
          <w:sz w:val="20"/>
          <w:szCs w:val="20"/>
          <w:color w:val="auto"/>
        </w:rPr>
      </w:pPr>
      <w:r>
        <w:rPr>
          <w:rFonts w:ascii="Times New Roman" w:cs="Times New Roman" w:eastAsia="Times New Roman" w:hAnsi="Times New Roman"/>
          <w:sz w:val="19"/>
          <w:szCs w:val="19"/>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to dispatch more or less based on the amount of the rainfall during any period. Due to these seasonal fluctuations, results of operations for individual quarterly periods may not be indicative of the results that may be realized on an annual basis.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Insurance Coverage</w:t>
      </w:r>
    </w:p>
    <w:p>
      <w:pPr>
        <w:spacing w:after="0" w:line="257" w:lineRule="exact"/>
        <w:rPr>
          <w:sz w:val="20"/>
          <w:szCs w:val="20"/>
          <w:color w:val="auto"/>
        </w:rPr>
      </w:pPr>
    </w:p>
    <w:p>
      <w:pPr>
        <w:ind w:right="200" w:firstLine="360"/>
        <w:spacing w:after="0" w:line="258" w:lineRule="auto"/>
        <w:rPr>
          <w:sz w:val="20"/>
          <w:szCs w:val="20"/>
          <w:color w:val="auto"/>
        </w:rPr>
      </w:pPr>
      <w:r>
        <w:rPr>
          <w:rFonts w:ascii="Times New Roman" w:cs="Times New Roman" w:eastAsia="Times New Roman" w:hAnsi="Times New Roman"/>
          <w:sz w:val="20"/>
          <w:szCs w:val="20"/>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including policies related to property, equipment, automobile, marine, pollution liability, general liability and the portion of workers’ compensation not covered under a governmental program.</w:t>
      </w:r>
    </w:p>
    <w:p>
      <w:pPr>
        <w:spacing w:after="0" w:line="204"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We maintain property insurance, including named windstorm and flood, related to the operation of the Miami Facility, San Juan Facility, the La Paz Facility, and the Jamaica Facilities and builders risk insurance at our Facilities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had 677 NFE full-time employees and 713 Genera full-time employees as of December 31, 2023.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95" w:lineRule="exact"/>
        <w:rPr>
          <w:sz w:val="20"/>
          <w:szCs w:val="20"/>
          <w:color w:val="auto"/>
        </w:rPr>
      </w:pPr>
    </w:p>
    <w:p>
      <w:pPr>
        <w:ind w:right="680" w:firstLine="360"/>
        <w:spacing w:after="0" w:line="266" w:lineRule="auto"/>
        <w:rPr>
          <w:sz w:val="20"/>
          <w:szCs w:val="20"/>
          <w:color w:val="auto"/>
        </w:rPr>
      </w:pPr>
      <w:r>
        <w:rPr>
          <w:rFonts w:ascii="Times New Roman" w:cs="Times New Roman" w:eastAsia="Times New Roman" w:hAnsi="Times New Roman"/>
          <w:sz w:val="20"/>
          <w:szCs w:val="20"/>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Diversity and Inclusion</w:t>
      </w:r>
    </w:p>
    <w:p>
      <w:pPr>
        <w:spacing w:after="0" w:line="257" w:lineRule="exact"/>
        <w:rPr>
          <w:sz w:val="20"/>
          <w:szCs w:val="20"/>
          <w:color w:val="auto"/>
        </w:rPr>
      </w:pPr>
    </w:p>
    <w:p>
      <w:pPr>
        <w:ind w:right="140" w:firstLine="360"/>
        <w:spacing w:after="0" w:line="309" w:lineRule="auto"/>
        <w:rPr>
          <w:sz w:val="20"/>
          <w:szCs w:val="20"/>
          <w:color w:val="auto"/>
        </w:rPr>
      </w:pPr>
      <w:r>
        <w:rPr>
          <w:rFonts w:ascii="Times New Roman" w:cs="Times New Roman" w:eastAsia="Times New Roman" w:hAnsi="Times New Roman"/>
          <w:sz w:val="19"/>
          <w:szCs w:val="19"/>
          <w:color w:val="auto"/>
        </w:rPr>
        <w:t>Our employees are critical to the success of our business. We value the diversity of our workplace and are committed to maintaining culture where our employees feel valued, welcomed and can thrive. We are subject to various federal, state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880"/>
          </w:cols>
          <w:pgMar w:left="1180" w:top="838" w:right="1180" w:bottom="0" w:gutter="0" w:footer="0" w:header="0"/>
          <w:type w:val="continuous"/>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20"/>
          <w:szCs w:val="20"/>
          <w:color w:val="auto"/>
        </w:rPr>
        <w:t>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does not cover every legal aspect in each of our locations.</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advancing our commitments to diversity and inclusion through the following actions, among others:</w:t>
      </w:r>
    </w:p>
    <w:p>
      <w:pPr>
        <w:spacing w:after="0" w:line="250"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collecting and analyzing diversity data;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harassment trainings; and</w:t>
      </w:r>
    </w:p>
    <w:p>
      <w:pPr>
        <w:spacing w:after="0" w:line="250"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employee benefits to include additional health programs such as mental health support and medical concierge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Health, Safety and Wellness</w:t>
      </w:r>
    </w:p>
    <w:p>
      <w:pPr>
        <w:spacing w:after="0" w:line="257"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HSSE Strategic Framework operates as a guideline for practices, but is not binding or required. We also have developed and published a contractor safety management handbook for our contractors.</w:t>
      </w:r>
    </w:p>
    <w:p>
      <w:pPr>
        <w:spacing w:after="0" w:line="210" w:lineRule="exact"/>
        <w:rPr>
          <w:sz w:val="20"/>
          <w:szCs w:val="20"/>
          <w:color w:val="auto"/>
        </w:rPr>
      </w:pPr>
    </w:p>
    <w:p>
      <w:pPr>
        <w:ind w:right="620" w:firstLine="360"/>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2023, we achieved zero employee recordable incidents, lost time incidents or fatalities across our operating sites.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w:t>
      </w:r>
    </w:p>
    <w:p>
      <w:pPr>
        <w:spacing w:after="0" w:line="25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lease space for our offices in New York, New York, Houston, Texas, Rio de Janeiro, Brazil, Mexico City, Mexico and San Juan, Puerto Rico, and in other regions in which we operate. We own the properties on which our Pennsylvania Facility will be located. Additionally, the properties on which our Facilities, including the CHP Plant and Miami Facility are located are generally subject to long-term leases and rights-of-way. Our leased properties are subject to various lease terms and expirations.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25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 —we have established four key sustainability goals: (i) protect and preserve the environment, (ii) empower people worldwide, (iii) invest in communities, and (iv) become a leading provider of very-low-carbon energy. Our sustainability initiatives and investments under each of these goals are highlighted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 and Preserve the Environment</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 sustainably-sourced energy future</w:t>
      </w:r>
      <w:r>
        <w:rPr>
          <w:rFonts w:ascii="Times New Roman" w:cs="Times New Roman" w:eastAsia="Times New Roman" w:hAnsi="Times New Roman"/>
          <w:sz w:val="24"/>
          <w:szCs w:val="24"/>
          <w:color w:val="auto"/>
        </w:rPr>
        <w:t>.</w:t>
      </w:r>
    </w:p>
    <w:p>
      <w:pPr>
        <w:sectPr>
          <w:pgSz w:w="12240" w:h="15840" w:orient="portrait"/>
          <w:cols w:equalWidth="0" w:num="1">
            <w:col w:w="9840"/>
          </w:cols>
          <w:pgMar w:left="1180" w:top="83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840"/>
          </w:cols>
          <w:pgMar w:left="1180" w:top="838" w:right="122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i w:val="1"/>
          <w:iCs w:val="1"/>
          <w:color w:val="auto"/>
        </w:rPr>
        <w:t>Empower People Worldwide</w:t>
      </w:r>
    </w:p>
    <w:p>
      <w:pPr>
        <w:spacing w:after="0" w:line="25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 in Communities</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improve lives and support people, especially in the communities where we operate. For example, through our New Fortress Energy Foundation, we seek to strengthen our communities by (i) investing in education to help support the next generation of leaders; (ii) providing industry training programs to help create and sustain a well-equipped workforce; and (iii) giving financially to community causes that enhance quality of life, including reducing poverty, hunger, and inequities. For the year-ended December 31, 2022, we:</w:t>
      </w:r>
    </w:p>
    <w:p>
      <w:pPr>
        <w:spacing w:after="0" w:line="204" w:lineRule="exact"/>
        <w:rPr>
          <w:sz w:val="20"/>
          <w:szCs w:val="20"/>
          <w:color w:val="auto"/>
        </w:rPr>
      </w:pPr>
    </w:p>
    <w:p>
      <w:pPr>
        <w:ind w:left="720" w:right="7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Created 226 jobs with local hires accounting for 89% of new and replacement hires in non-U.S. operating locations;</w:t>
      </w:r>
    </w:p>
    <w:p>
      <w:pPr>
        <w:spacing w:after="0" w:line="181"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Awarded 284 scholarships across five universities in Jamaica and Puerto Rico and covered tuition and exam fees for 100 students in Jamaica;</w:t>
      </w:r>
    </w:p>
    <w:p>
      <w:pPr>
        <w:spacing w:after="0" w:line="181" w:lineRule="exact"/>
        <w:rPr>
          <w:rFonts w:ascii="Times New Roman" w:cs="Times New Roman" w:eastAsia="Times New Roman" w:hAnsi="Times New Roman"/>
          <w:sz w:val="20"/>
          <w:szCs w:val="20"/>
          <w:color w:val="auto"/>
        </w:rPr>
      </w:pPr>
    </w:p>
    <w:p>
      <w:pPr>
        <w:ind w:left="720" w:right="70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Engaged 167 engineering students in tours, internships, and webinars, educating them in LNG and marine transport technology;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school supplies for 3,237 students in countries where we have operational or development projects;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medical and dental exams to 540 children across Jamaica and Brazil;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food and supplies to 900 families across our operational boundaries for the holidays; and</w:t>
      </w:r>
    </w:p>
    <w:p>
      <w:pPr>
        <w:spacing w:after="0" w:line="26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water, food, and supplies to 600 families affected by natural disasters in Brazil and Puerto Ric</w:t>
      </w:r>
      <w:r>
        <w:rPr>
          <w:rFonts w:ascii="Calibri" w:cs="Calibri" w:eastAsia="Calibri" w:hAnsi="Calibri"/>
          <w:sz w:val="20"/>
          <w:szCs w:val="20"/>
          <w:b w:val="1"/>
          <w:bCs w:val="1"/>
          <w:color w:val="535556"/>
        </w:rPr>
        <w:t>o.</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Toward a Low Carbon Future</w:t>
      </w:r>
    </w:p>
    <w:p>
      <w:pPr>
        <w:spacing w:after="0" w:line="259" w:lineRule="exact"/>
        <w:rPr>
          <w:sz w:val="20"/>
          <w:szCs w:val="20"/>
          <w:color w:val="auto"/>
        </w:rPr>
      </w:pPr>
    </w:p>
    <w:p>
      <w:pPr>
        <w:ind w:right="60" w:firstLine="350"/>
        <w:spacing w:after="0" w:line="237" w:lineRule="auto"/>
        <w:rPr>
          <w:sz w:val="20"/>
          <w:szCs w:val="20"/>
          <w:color w:val="auto"/>
        </w:rPr>
      </w:pPr>
      <w:r>
        <w:rPr>
          <w:rFonts w:ascii="Times New Roman" w:cs="Times New Roman" w:eastAsia="Times New Roman" w:hAnsi="Times New Roman"/>
          <w:sz w:val="20"/>
          <w:szCs w:val="20"/>
          <w:color w:val="212121"/>
        </w:rPr>
        <w:t>As we work to reduce greenhouse gas (GHG) emissions for our customers around the world, our goals are to reach net zero carbon emissions by 2030 for Scope 1 and 2 emissions for our initial Facilities and be one of the world’s leading providers of low-carbon energy. We believe that natural gas remains a cost-effective and environmentally-friendly complement for intermittent renewable energy, aiding the growth of these technologies. Over time, we believe that hydrogen will play an increasingly significant role in the decarbonization of hard to abate corners of the global economy supporting renewable development and displacing fossil. To that end, we formed a division, which we call ZeroParks, to evaluate promising technologies and pursue initiatives that will position us to capitalize on this emerging industry. The U.S. government is in the process of seeking comment and feedback on the initial guidance issued by the U.S. Treasury Department in connection with proposed hydrogen production tax credits. The outcome of this consultation process, and the ultimate form of any related legislation, remains uncertain</w:t>
      </w:r>
      <w:r>
        <w:rPr>
          <w:rFonts w:ascii="Times New Roman" w:cs="Times New Roman" w:eastAsia="Times New Roman" w:hAnsi="Times New Roman"/>
          <w:sz w:val="20"/>
          <w:szCs w:val="20"/>
          <w:color w:val="000000"/>
        </w:rPr>
        <w:t>.</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highlight w:val="white"/>
        </w:rPr>
        <w:t>.</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880"/>
          </w:cols>
          <w:pgMar w:left="1180" w:top="829" w:right="1180" w:bottom="0" w:gutter="0" w:footer="0" w:header="0"/>
          <w:type w:val="continuous"/>
        </w:sectPr>
      </w:pPr>
    </w:p>
    <w:bookmarkStart w:id="20" w:name="page21"/>
    <w:bookmarkEnd w:id="20"/>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pacing w:after="0" w:line="1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3"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34" w:lineRule="exact"/>
        <w:rPr>
          <w:sz w:val="20"/>
          <w:szCs w:val="20"/>
          <w:color w:val="auto"/>
        </w:rPr>
      </w:pPr>
    </w:p>
    <w:p>
      <w:pPr>
        <w:ind w:right="20" w:firstLine="360"/>
        <w:spacing w:after="0" w:line="225" w:lineRule="auto"/>
        <w:rPr>
          <w:sz w:val="20"/>
          <w:szCs w:val="20"/>
          <w:color w:val="auto"/>
        </w:rPr>
      </w:pPr>
      <w:r>
        <w:rPr>
          <w:rFonts w:ascii="Times New Roman" w:cs="Times New Roman" w:eastAsia="Times New Roman" w:hAnsi="Times New Roman"/>
          <w:sz w:val="20"/>
          <w:szCs w:val="20"/>
          <w:color w:val="auto"/>
        </w:rPr>
        <w:t>Some of the factors that could materially and adversely affect our business, financial condition, results of operations or prospects include the following</w:t>
      </w:r>
      <w:r>
        <w:rPr>
          <w:rFonts w:ascii="Times New Roman" w:cs="Times New Roman" w:eastAsia="Times New Roman" w:hAnsi="Times New Roman"/>
          <w:sz w:val="24"/>
          <w:szCs w:val="2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w:t>
      </w:r>
    </w:p>
    <w:p>
      <w:pPr>
        <w:spacing w:after="0" w:line="264" w:lineRule="exact"/>
        <w:rPr>
          <w:sz w:val="20"/>
          <w:szCs w:val="20"/>
          <w:color w:val="auto"/>
        </w:rPr>
      </w:pPr>
    </w:p>
    <w:p>
      <w:pPr>
        <w:ind w:left="720" w:right="440" w:hanging="37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strategy may be materially and adversely affected by many known and unknown factors;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various construction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 of our infrastructure, facilities and vessels involves significant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third-party contractors, operators and suppliers;</w:t>
      </w:r>
    </w:p>
    <w:p>
      <w:pPr>
        <w:spacing w:after="0" w:line="10" w:lineRule="exact"/>
        <w:rPr>
          <w:rFonts w:ascii="Times New Roman" w:cs="Times New Roman" w:eastAsia="Times New Roman" w:hAnsi="Times New Roman"/>
          <w:sz w:val="20"/>
          <w:szCs w:val="20"/>
          <w:color w:val="auto"/>
        </w:rPr>
      </w:pPr>
    </w:p>
    <w:p>
      <w:pPr>
        <w:ind w:left="720" w:right="440" w:hanging="370"/>
        <w:spacing w:after="0" w:line="260"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to be a competitive source of energy in the markets in which we operate, and seek to operate, could adversely affect our expansion strategy;</w:t>
      </w:r>
    </w:p>
    <w:p>
      <w:pPr>
        <w:spacing w:after="0" w:line="9" w:lineRule="exact"/>
        <w:rPr>
          <w:rFonts w:ascii="Times New Roman" w:cs="Times New Roman" w:eastAsia="Times New Roman" w:hAnsi="Times New Roman"/>
          <w:sz w:val="20"/>
          <w:szCs w:val="20"/>
          <w:color w:val="auto"/>
        </w:rPr>
      </w:pPr>
    </w:p>
    <w:p>
      <w:pPr>
        <w:ind w:left="720" w:right="60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regulated environment and our operations could be adversely affected by actions by governmental entities or changes to regulations and legislation;</w:t>
      </w:r>
    </w:p>
    <w:p>
      <w:pPr>
        <w:ind w:left="720" w:right="18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permits, approvals and authorizations from governmental and regulatory agencies and third parties on favorable terms could impede operations and construction;</w:t>
      </w:r>
    </w:p>
    <w:p>
      <w:pPr>
        <w:ind w:left="720" w:right="140" w:hanging="370"/>
        <w:spacing w:after="0" w:line="267"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ind w:left="720" w:right="24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could limit our growth and harm our business, financial condition and results of operations;</w:t>
      </w:r>
    </w:p>
    <w:p>
      <w:pPr>
        <w:ind w:left="720" w:right="2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revenues is substantially dependent on our current and future long-term agreements and the performance by customers under such agreements;</w:t>
      </w:r>
    </w:p>
    <w:p>
      <w:pPr>
        <w:ind w:left="720" w:right="24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lack of asset and geographic diversification could have an adverse effect on our business, contracts, financial condition, operating results, cash flow, liquidity and prospects;</w:t>
      </w:r>
    </w:p>
    <w:p>
      <w:pPr>
        <w:ind w:left="720" w:right="12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are currently dependent upon a limited number of customers, the loss of a significant customer could adversely affect our operating results;</w:t>
      </w:r>
    </w:p>
    <w:p>
      <w:pPr>
        <w:ind w:left="72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convert our anticipated customer pipeline into binding long-term contracts, and if we fail to convert potential sales into actual sales, we will not generate the revenues and profits we anticipate;</w:t>
      </w: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contracts with our customers are subject to termination under certain circumstances;</w:t>
      </w:r>
    </w:p>
    <w:p>
      <w:pPr>
        <w:spacing w:after="0" w:line="58" w:lineRule="exact"/>
        <w:rPr>
          <w:rFonts w:ascii="Times New Roman" w:cs="Times New Roman" w:eastAsia="Times New Roman" w:hAnsi="Times New Roman"/>
          <w:sz w:val="20"/>
          <w:szCs w:val="20"/>
          <w:color w:val="auto"/>
        </w:rPr>
      </w:pPr>
    </w:p>
    <w:p>
      <w:pPr>
        <w:ind w:left="720" w:right="2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the LNG industry is intense, and some of our competitors have greater financial, technological and other resources than we currently possess;</w:t>
      </w:r>
    </w:p>
    <w:p>
      <w:pPr>
        <w:ind w:left="720" w:right="180" w:hanging="370"/>
        <w:spacing w:after="0" w:line="275"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 may adversely affect our business and the performance of our customers;</w:t>
      </w:r>
    </w:p>
    <w:p>
      <w:pPr>
        <w:ind w:left="720" w:right="40" w:hanging="370"/>
        <w:spacing w:after="0" w:line="271"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risk management strategies cannot eliminate all LNG price and supply risks. In addition, any non-compliance with our risk management strategies could result in significant financial losses;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use of hedging arrangements may adversely affect our future operating results or liquidity;</w:t>
      </w:r>
    </w:p>
    <w:p>
      <w:pPr>
        <w:spacing w:after="0" w:line="17" w:lineRule="exact"/>
        <w:rPr>
          <w:rFonts w:ascii="Times New Roman" w:cs="Times New Roman" w:eastAsia="Times New Roman" w:hAnsi="Times New Roman"/>
          <w:sz w:val="20"/>
          <w:szCs w:val="20"/>
          <w:color w:val="auto"/>
        </w:rPr>
      </w:pPr>
    </w:p>
    <w:p>
      <w:pPr>
        <w:ind w:left="720" w:right="300" w:hanging="370"/>
        <w:spacing w:after="0" w:line="27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third-party LNG suppliers and the development of our own portfolio is subject to various risks and assumptions;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LNG that is processed and/or stored on FSRUs and transported via pipeline is subject to risk of loss or damage;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880"/>
          </w:cols>
          <w:pgMar w:left="1180" w:top="838" w:right="1180" w:bottom="0" w:gutter="0" w:footer="0" w:header="0"/>
          <w:type w:val="continuous"/>
        </w:sectPr>
      </w:pPr>
    </w:p>
    <w:bookmarkStart w:id="21" w:name="page22"/>
    <w:bookmarkEnd w:id="21"/>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tankers and other vessels outside of our fleet for our LNG transportation and transfer;</w:t>
      </w:r>
    </w:p>
    <w:p>
      <w:pPr>
        <w:spacing w:after="0" w:line="30" w:lineRule="exact"/>
        <w:rPr>
          <w:rFonts w:ascii="Times New Roman" w:cs="Times New Roman" w:eastAsia="Times New Roman" w:hAnsi="Times New Roman"/>
          <w:sz w:val="20"/>
          <w:szCs w:val="20"/>
          <w:color w:val="auto"/>
        </w:rPr>
      </w:pPr>
    </w:p>
    <w:p>
      <w:pPr>
        <w:ind w:left="720" w:right="8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rates for FSRUs and LNG carriers may fluctuate substantially. If rates are lower when we are seeking a new charter, our earnings may decline;</w:t>
      </w:r>
    </w:p>
    <w:p>
      <w:pPr>
        <w:ind w:left="720" w:right="10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operation of our vessels is dependent on our ability to deploy our vessels to an NFE terminal or to long-term charters;</w:t>
      </w:r>
    </w:p>
    <w:p>
      <w:pPr>
        <w:ind w:left="720" w:right="54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Vessel values may fluctuate substantially and, if these values are lower at a time when we are attempting to dispose of vessels, we may incur a loss;</w:t>
      </w: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Maritime claimants could arrest our vessels, which could interrupt our cash flow;</w:t>
      </w:r>
    </w:p>
    <w:p>
      <w:pPr>
        <w:spacing w:after="0" w:line="10" w:lineRule="exact"/>
        <w:rPr>
          <w:rFonts w:ascii="Times New Roman" w:cs="Times New Roman" w:eastAsia="Times New Roman" w:hAnsi="Times New Roman"/>
          <w:sz w:val="20"/>
          <w:szCs w:val="20"/>
          <w:color w:val="auto"/>
        </w:rPr>
      </w:pPr>
    </w:p>
    <w:p>
      <w:pPr>
        <w:ind w:left="720" w:right="240" w:hanging="370"/>
        <w:spacing w:after="0" w:line="250" w:lineRule="auto"/>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seek to develop innovative and new technologies as part of our strategy that are not yet proven and may not realize the time and cost savings we expect to achieve;</w:t>
      </w: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Technological innovation may impair the economic attractiveness of our projects;</w:t>
      </w:r>
    </w:p>
    <w:p>
      <w:pPr>
        <w:spacing w:after="0" w:line="1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Fast LNG technology is not yet proven and we may not be able to implement it as planned or at all;</w:t>
      </w:r>
    </w:p>
    <w:p>
      <w:pPr>
        <w:spacing w:after="0" w:line="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may in the future incur, a significant amount of debt;</w:t>
      </w:r>
    </w:p>
    <w:p>
      <w:pPr>
        <w:spacing w:after="0" w:line="30" w:lineRule="exact"/>
        <w:rPr>
          <w:rFonts w:ascii="Times New Roman" w:cs="Times New Roman" w:eastAsia="Times New Roman" w:hAnsi="Times New Roman"/>
          <w:sz w:val="20"/>
          <w:szCs w:val="20"/>
          <w:color w:val="auto"/>
        </w:rPr>
      </w:pPr>
    </w:p>
    <w:p>
      <w:pPr>
        <w:ind w:left="720" w:right="100" w:hanging="370"/>
        <w:spacing w:after="0" w:line="250" w:lineRule="auto"/>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dependent upon obtaining substantial additional funding from various sources, which may not be available or may only be available on unfavorable terms;</w:t>
      </w:r>
    </w:p>
    <w:p>
      <w:pPr>
        <w:ind w:left="720" w:right="30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entered into, and may in the future enter into or modify existing, joint ventures that might restrict our operational and corporate flexibility or require credit support;</w:t>
      </w:r>
    </w:p>
    <w:p>
      <w:pPr>
        <w:ind w:left="7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numerous governmental export laws, and trade and economic sanctions laws and regulations, and anti-corruption laws and regulation;The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impairments to long-lived assets;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transportation regulations may increase our costs and negatively impact our results of operations;</w:t>
      </w:r>
    </w:p>
    <w:p>
      <w:pPr>
        <w:spacing w:after="0" w:line="10" w:lineRule="exact"/>
        <w:rPr>
          <w:rFonts w:ascii="Times New Roman" w:cs="Times New Roman" w:eastAsia="Times New Roman" w:hAnsi="Times New Roman"/>
          <w:sz w:val="20"/>
          <w:szCs w:val="20"/>
          <w:color w:val="auto"/>
        </w:rPr>
      </w:pPr>
    </w:p>
    <w:p>
      <w:pPr>
        <w:ind w:left="720" w:right="1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chartered vessels operating in certain jurisdictions, including the United States, now or in the future, may be subject to cabotage laws, including the Merchant Marine Act of 1920, as amended (the “Jones Act”);</w:t>
      </w:r>
    </w:p>
    <w:p>
      <w:pPr>
        <w:ind w:left="720" w:right="20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the land on which our projects are located and are subject to leases, rights-of-ways, easements and other property rights for our operations;</w:t>
      </w:r>
    </w:p>
    <w:p>
      <w:pPr>
        <w:ind w:left="720" w:right="28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negatively impacted by environmental, social, and governance (“ESG”) and sustainability-related matters;</w:t>
      </w: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technology failures and cyberattacks could affect us significantly;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may be insufficient to cover losses that may occur to our property or result from our operations.</w:t>
      </w:r>
    </w:p>
    <w:p>
      <w:pPr>
        <w:spacing w:after="0" w:line="10" w:lineRule="exact"/>
        <w:rPr>
          <w:rFonts w:ascii="Times New Roman" w:cs="Times New Roman" w:eastAsia="Times New Roman" w:hAnsi="Times New Roman"/>
          <w:sz w:val="20"/>
          <w:szCs w:val="20"/>
          <w:color w:val="auto"/>
        </w:rPr>
      </w:pPr>
    </w:p>
    <w:p>
      <w:pPr>
        <w:ind w:left="720" w:right="32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depends on key members of our management, the loss of any of whom could disrupt our business operations;</w:t>
      </w:r>
    </w:p>
    <w:p>
      <w:pPr>
        <w:ind w:left="720" w:right="200" w:hanging="370"/>
        <w:spacing w:after="0" w:line="25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could be affected adversely by labor disputes, strikes or work stoppages;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the Jurisdictions in Which We Operate</w:t>
      </w:r>
    </w:p>
    <w:p>
      <w:pPr>
        <w:spacing w:after="0" w:line="286"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economic, political, social and other conditions in the jurisdictions in which we operate;</w:t>
      </w:r>
    </w:p>
    <w:p>
      <w:pPr>
        <w:spacing w:after="0" w:line="37" w:lineRule="exact"/>
        <w:rPr>
          <w:rFonts w:ascii="Times New Roman" w:cs="Times New Roman" w:eastAsia="Times New Roman" w:hAnsi="Times New Roman"/>
          <w:sz w:val="20"/>
          <w:szCs w:val="20"/>
          <w:color w:val="auto"/>
        </w:rPr>
      </w:pPr>
    </w:p>
    <w:p>
      <w:pPr>
        <w:ind w:left="780" w:hanging="430"/>
        <w:spacing w:after="0"/>
        <w:tabs>
          <w:tab w:leader="none" w:pos="7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operating results may be adversely affected by foreign exchange fluctuations;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Ownership of Our Class A Common Stock</w:t>
      </w:r>
    </w:p>
    <w:p>
      <w:pPr>
        <w:spacing w:after="0" w:line="286" w:lineRule="exact"/>
        <w:rPr>
          <w:sz w:val="20"/>
          <w:szCs w:val="20"/>
          <w:color w:val="auto"/>
        </w:rPr>
      </w:pPr>
    </w:p>
    <w:p>
      <w:pPr>
        <w:ind w:left="720" w:right="20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and trading volume of our Class A common stock may be volatile, which could result in rapid and substantial losses for our stockholders;</w:t>
      </w:r>
    </w:p>
    <w:p>
      <w:pPr>
        <w:sectPr>
          <w:pgSz w:w="12240" w:h="15840" w:orient="portrait"/>
          <w:cols w:equalWidth="0" w:num="1">
            <w:col w:w="9840"/>
          </w:cols>
          <w:pgMar w:left="1180" w:top="83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840"/>
          </w:cols>
          <w:pgMar w:left="1180" w:top="838" w:right="1220" w:bottom="0" w:gutter="0" w:footer="0" w:header="0"/>
          <w:type w:val="continuous"/>
        </w:sectPr>
      </w:pPr>
    </w:p>
    <w:bookmarkStart w:id="22" w:name="page23"/>
    <w:bookmarkEnd w:id="22"/>
    <w:p>
      <w:pPr>
        <w:ind w:left="720" w:right="100" w:hanging="370"/>
        <w:spacing w:after="0" w:line="26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“controlled company” within the meaning of Nasdaq rules and, as a result, qualify for and intend to rely on exemptions from certain corporate governance requirements;</w:t>
      </w:r>
    </w:p>
    <w:p>
      <w:pPr>
        <w:spacing w:after="0" w:line="1" w:lineRule="exact"/>
        <w:rPr>
          <w:rFonts w:ascii="Times New Roman" w:cs="Times New Roman" w:eastAsia="Times New Roman" w:hAnsi="Times New Roman"/>
          <w:sz w:val="20"/>
          <w:szCs w:val="20"/>
          <w:color w:val="auto"/>
        </w:rPr>
      </w:pPr>
    </w:p>
    <w:p>
      <w:pPr>
        <w:ind w:left="720" w:right="16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small number of our original investors have the ability to direct the voting of a majority of our stock, and their interests may conflict with those of our other stockholders;</w:t>
      </w:r>
    </w:p>
    <w:p>
      <w:pPr>
        <w:jc w:val="both"/>
        <w:ind w:left="720" w:right="140" w:hanging="370"/>
        <w:spacing w:after="0" w:line="263" w:lineRule="auto"/>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 w:lineRule="exact"/>
        <w:rPr>
          <w:rFonts w:ascii="Times New Roman" w:cs="Times New Roman" w:eastAsia="Times New Roman" w:hAnsi="Times New Roman"/>
          <w:sz w:val="19"/>
          <w:szCs w:val="19"/>
          <w:color w:val="auto"/>
        </w:rPr>
      </w:pPr>
    </w:p>
    <w:p>
      <w:pPr>
        <w:ind w:left="720" w:hanging="370"/>
        <w:spacing w:after="0" w:line="263" w:lineRule="auto"/>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 w:lineRule="exact"/>
        <w:rPr>
          <w:rFonts w:ascii="Times New Roman" w:cs="Times New Roman" w:eastAsia="Times New Roman" w:hAnsi="Times New Roman"/>
          <w:sz w:val="19"/>
          <w:szCs w:val="19"/>
          <w:color w:val="auto"/>
        </w:rPr>
      </w:pPr>
    </w:p>
    <w:p>
      <w:pPr>
        <w:ind w:left="720" w:right="22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 w:lineRule="exact"/>
        <w:rPr>
          <w:rFonts w:ascii="Times New Roman" w:cs="Times New Roman" w:eastAsia="Times New Roman" w:hAnsi="Times New Roman"/>
          <w:sz w:val="20"/>
          <w:szCs w:val="20"/>
          <w:color w:val="auto"/>
        </w:rPr>
      </w:pPr>
    </w:p>
    <w:p>
      <w:pPr>
        <w:ind w:left="720" w:right="180" w:hanging="370"/>
        <w:spacing w:after="0" w:line="263" w:lineRule="auto"/>
        <w:tabs>
          <w:tab w:leader="none" w:pos="7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 w:lineRule="exact"/>
        <w:rPr>
          <w:rFonts w:ascii="Times New Roman" w:cs="Times New Roman" w:eastAsia="Times New Roman" w:hAnsi="Times New Roman"/>
          <w:sz w:val="19"/>
          <w:szCs w:val="19"/>
          <w:color w:val="auto"/>
        </w:rPr>
      </w:pPr>
    </w:p>
    <w:p>
      <w:pPr>
        <w:ind w:left="720" w:right="8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issue preferred stock, the terms of which could adversely affect the voting power or value of our Class A common stock;</w:t>
      </w:r>
    </w:p>
    <w:p>
      <w:pPr>
        <w:ind w:left="720" w:right="18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issuances of our Class A common stock could adversely affect the market price of our Class A common stock;</w:t>
      </w:r>
    </w:p>
    <w:p>
      <w:pPr>
        <w:ind w:left="720" w:right="200" w:hanging="370"/>
        <w:spacing w:after="0" w:line="250"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active, liquid and orderly trading market for our Class A common stock may not be maintained and the price of our Class A common stock may fluctuate significantly;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Risks</w:t>
      </w:r>
    </w:p>
    <w:p>
      <w:pPr>
        <w:spacing w:after="0" w:line="266" w:lineRule="exact"/>
        <w:rPr>
          <w:sz w:val="20"/>
          <w:szCs w:val="20"/>
          <w:color w:val="auto"/>
        </w:rPr>
      </w:pPr>
    </w:p>
    <w:p>
      <w:pPr>
        <w:ind w:left="720" w:right="200" w:hanging="370"/>
        <w:spacing w:after="0" w:line="256"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24"/>
          <w:szCs w:val="24"/>
          <w:color w:val="auto"/>
        </w:rPr>
        <w:t>;</w:t>
      </w:r>
    </w:p>
    <w:p>
      <w:pPr>
        <w:ind w:left="720" w:right="580" w:hanging="370"/>
        <w:spacing w:after="0" w:line="253"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engage in mergers, sales and acquisitions, reorganizations or similar transactions related to our businesses or assets in the future and we may fail to successfully complete such transaction or to realize the expected value;</w:t>
      </w: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tax laws in any country in which we operate could adversely affect us;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been and may be involved in legal proceedings and may experience unfavorable outcomes;</w:t>
      </w:r>
    </w:p>
    <w:p>
      <w:pPr>
        <w:spacing w:after="0" w:line="10" w:lineRule="exact"/>
        <w:rPr>
          <w:rFonts w:ascii="Times New Roman" w:cs="Times New Roman" w:eastAsia="Times New Roman" w:hAnsi="Times New Roman"/>
          <w:sz w:val="20"/>
          <w:szCs w:val="20"/>
          <w:color w:val="auto"/>
        </w:rPr>
      </w:pPr>
    </w:p>
    <w:p>
      <w:pPr>
        <w:jc w:val="both"/>
        <w:ind w:left="720" w:right="160" w:hanging="370"/>
        <w:spacing w:after="0" w:line="263" w:lineRule="auto"/>
        <w:tabs>
          <w:tab w:leader="none" w:pos="7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 w:lineRule="exact"/>
        <w:rPr>
          <w:rFonts w:ascii="Times New Roman" w:cs="Times New Roman" w:eastAsia="Times New Roman" w:hAnsi="Times New Roman"/>
          <w:sz w:val="19"/>
          <w:szCs w:val="19"/>
          <w:color w:val="auto"/>
        </w:rPr>
      </w:pPr>
    </w:p>
    <w:p>
      <w:pPr>
        <w:ind w:left="720" w:right="30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 and</w:t>
      </w:r>
    </w:p>
    <w:p>
      <w:pPr>
        <w:spacing w:after="0" w:line="1" w:lineRule="exact"/>
        <w:rPr>
          <w:rFonts w:ascii="Times New Roman" w:cs="Times New Roman" w:eastAsia="Times New Roman" w:hAnsi="Times New Roman"/>
          <w:sz w:val="20"/>
          <w:szCs w:val="20"/>
          <w:color w:val="auto"/>
        </w:rPr>
      </w:pPr>
    </w:p>
    <w:p>
      <w:pPr>
        <w:ind w:left="720" w:right="40" w:hanging="370"/>
        <w:spacing w:after="0" w:line="25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implement our business strategy may be materially and adversely affected by many known and unknown factors.</w:t>
      </w:r>
    </w:p>
    <w:p>
      <w:pPr>
        <w:spacing w:after="0" w:line="17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208" w:lineRule="exact"/>
        <w:rPr>
          <w:sz w:val="20"/>
          <w:szCs w:val="20"/>
          <w:color w:val="auto"/>
        </w:rPr>
      </w:pPr>
    </w:p>
    <w:p>
      <w:pPr>
        <w:ind w:left="720" w:right="26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our target costs for the purchase, liquefaction and export of natural gas and/or LNG and our target pricing for long-term contracts;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develop strategic relationships;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880"/>
          </w:cols>
          <w:pgMar w:left="1180" w:top="838" w:right="1180" w:bottom="0" w:gutter="0" w:footer="0" w:header="0"/>
          <w:type w:val="continuous"/>
        </w:sectPr>
      </w:pPr>
    </w:p>
    <w:bookmarkStart w:id="23" w:name="page24"/>
    <w:bookmarkEnd w:id="23"/>
    <w:p>
      <w:pPr>
        <w:ind w:left="720" w:right="54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required governmental and regulatory approvals for the construction and operation of these projects and other relevant approvals;</w:t>
      </w:r>
    </w:p>
    <w:p>
      <w:pPr>
        <w:spacing w:after="0" w:line="181" w:lineRule="exact"/>
        <w:rPr>
          <w:rFonts w:ascii="Times New Roman" w:cs="Times New Roman" w:eastAsia="Times New Roman" w:hAnsi="Times New Roman"/>
          <w:sz w:val="20"/>
          <w:szCs w:val="20"/>
          <w:color w:val="auto"/>
        </w:rPr>
      </w:pPr>
    </w:p>
    <w:p>
      <w:pPr>
        <w:ind w:left="720" w:right="66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laws and regulations, changes in laws or unfavorable interpretation or application of laws and regulations; and</w:t>
      </w:r>
    </w:p>
    <w:p>
      <w:pPr>
        <w:spacing w:after="0" w:line="181" w:lineRule="exact"/>
        <w:rPr>
          <w:rFonts w:ascii="Times New Roman" w:cs="Times New Roman" w:eastAsia="Times New Roman" w:hAnsi="Times New Roman"/>
          <w:sz w:val="20"/>
          <w:szCs w:val="20"/>
          <w:color w:val="auto"/>
        </w:rPr>
      </w:pPr>
    </w:p>
    <w:p>
      <w:pPr>
        <w:ind w:left="720" w:right="6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81"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03"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construction risks.</w:t>
      </w:r>
    </w:p>
    <w:p>
      <w:pPr>
        <w:spacing w:after="0" w:line="25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9"/>
          <w:szCs w:val="19"/>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4"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environmental or geological problems;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delays in the delivery of equipment and supplies;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technical specifications or adjustments being required based on testing or commissioning;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accidents that could result in personal injury or loss of life;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 to execute the project;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interference;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860"/>
          </w:cols>
          <w:pgMar w:left="1180" w:top="838" w:right="1200" w:bottom="0" w:gutter="0" w:footer="0" w:header="0"/>
          <w:type w:val="continuous"/>
        </w:sectPr>
      </w:pPr>
    </w:p>
    <w:bookmarkStart w:id="24" w:name="page25"/>
    <w:bookmarkEnd w:id="24"/>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of our infrastructure, facilities and vessels involves significant risks.</w:t>
      </w:r>
    </w:p>
    <w:p>
      <w:pPr>
        <w:spacing w:after="0" w:line="259"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Our existing infrastructure, facilities and vessels and expected future operations and businesses face operational risks, including, but not limited to, the following:</w:t>
      </w:r>
    </w:p>
    <w:p>
      <w:pPr>
        <w:spacing w:after="0" w:line="181" w:lineRule="exact"/>
        <w:rPr>
          <w:sz w:val="20"/>
          <w:szCs w:val="20"/>
          <w:color w:val="auto"/>
        </w:rPr>
      </w:pPr>
    </w:p>
    <w:p>
      <w:pPr>
        <w:ind w:left="720" w:right="34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below expected levels of efficiency or capacity or required changes to specifications for continued operations;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breakdowns or failures of equipment or shortages or delays in the delivery of supplies;</w:t>
      </w:r>
    </w:p>
    <w:p>
      <w:pPr>
        <w:spacing w:after="0" w:line="250" w:lineRule="exact"/>
        <w:rPr>
          <w:rFonts w:ascii="Times New Roman" w:cs="Times New Roman" w:eastAsia="Times New Roman" w:hAnsi="Times New Roman"/>
          <w:sz w:val="20"/>
          <w:szCs w:val="20"/>
          <w:color w:val="auto"/>
        </w:rPr>
      </w:pPr>
    </w:p>
    <w:p>
      <w:pPr>
        <w:ind w:left="720" w:right="6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trucks, including trucking accidents while transporting natural gas, LNG or any other chemical or hazardous substance;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operators and service providers of tankers or tugs used in our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us or any contracted facility, port or other operator of related third-party infrastructure;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the required 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fires, explosions or other events or catastrophes;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weather-related or natural disaster interruptions of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pollution, release of or exposure to toxic substances or environmental contamination affecting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or failure, of any counterparty to any facility-related agreements to perform their contractual obligations;</w:t>
      </w:r>
    </w:p>
    <w:p>
      <w:pPr>
        <w:spacing w:after="0" w:line="26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by our customers;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unplanned power outages or failures to supply due to scheduled or unscheduled maintenance.</w:t>
      </w:r>
    </w:p>
    <w:p>
      <w:pPr>
        <w:spacing w:after="0" w:line="250"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860"/>
          </w:cols>
          <w:pgMar w:left="1180" w:top="838" w:right="1200" w:bottom="0" w:gutter="0" w:footer="0" w:header="0"/>
          <w:type w:val="continuous"/>
        </w:sectPr>
      </w:pPr>
    </w:p>
    <w:bookmarkStart w:id="25" w:name="page26"/>
    <w:bookmarkEnd w:id="25"/>
    <w:p>
      <w:pPr>
        <w:ind w:right="60"/>
        <w:spacing w:after="0" w:line="253" w:lineRule="auto"/>
        <w:rPr>
          <w:sz w:val="20"/>
          <w:szCs w:val="20"/>
          <w:color w:val="auto"/>
        </w:rPr>
      </w:pPr>
      <w:r>
        <w:rPr>
          <w:rFonts w:ascii="Times New Roman" w:cs="Times New Roman" w:eastAsia="Times New Roman" w:hAnsi="Times New Roman"/>
          <w:sz w:val="20"/>
          <w:szCs w:val="20"/>
          <w:color w:val="auto"/>
        </w:rPr>
        <w:t>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13" w:lineRule="exact"/>
        <w:rPr>
          <w:sz w:val="20"/>
          <w:szCs w:val="20"/>
          <w:color w:val="auto"/>
        </w:rPr>
      </w:pPr>
    </w:p>
    <w:p>
      <w:pPr>
        <w:jc w:val="both"/>
        <w:ind w:right="420" w:firstLine="360"/>
        <w:spacing w:after="0" w:line="266" w:lineRule="auto"/>
        <w:rPr>
          <w:sz w:val="20"/>
          <w:szCs w:val="20"/>
          <w:color w:val="auto"/>
        </w:rPr>
      </w:pPr>
      <w:r>
        <w:rPr>
          <w:rFonts w:ascii="Times New Roman" w:cs="Times New Roman" w:eastAsia="Times New Roman" w:hAnsi="Times New Roman"/>
          <w:sz w:val="20"/>
          <w:szCs w:val="20"/>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third-party contractors, operators and suppliers.</w:t>
      </w:r>
    </w:p>
    <w:p>
      <w:pPr>
        <w:spacing w:after="0" w:line="259" w:lineRule="exact"/>
        <w:rPr>
          <w:sz w:val="20"/>
          <w:szCs w:val="20"/>
          <w:color w:val="auto"/>
        </w:rPr>
      </w:pPr>
    </w:p>
    <w:p>
      <w:pPr>
        <w:ind w:right="20" w:firstLine="360"/>
        <w:spacing w:after="0" w:line="251" w:lineRule="auto"/>
        <w:rPr>
          <w:sz w:val="20"/>
          <w:szCs w:val="20"/>
          <w:color w:val="auto"/>
        </w:rPr>
      </w:pPr>
      <w:r>
        <w:rPr>
          <w:rFonts w:ascii="Times New Roman" w:cs="Times New Roman" w:eastAsia="Times New Roman" w:hAnsi="Times New Roman"/>
          <w:sz w:val="20"/>
          <w:szCs w:val="20"/>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spacing w:after="0" w:line="21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of LNG to be a competitive source of energy in the markets in which we operate, and seek to operate, could adversely affect our expansion strategy.</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the COVID-19 pandemic, Russia’s invasion of Ukraine and global inflationary pressures, have generated further energy pricing volatility, which have had and may in the future have an adverse effect on market pricing of LNG and global demand for our products, as well as our ability to remain competitive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880"/>
          </w:cols>
          <w:pgMar w:left="1180" w:top="838" w:right="1180" w:bottom="0" w:gutter="0" w:footer="0" w:header="0"/>
          <w:type w:val="continuous"/>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20"/>
          <w:szCs w:val="20"/>
          <w:color w:val="auto"/>
        </w:rPr>
        <w:t>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204" w:lineRule="exact"/>
        <w:rPr>
          <w:sz w:val="20"/>
          <w:szCs w:val="20"/>
          <w:color w:val="auto"/>
        </w:rPr>
      </w:pPr>
    </w:p>
    <w:p>
      <w:pPr>
        <w:ind w:right="1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environment and our operations could be adversely affected by actions by governmental entities or changes to regulations and legislation</w:t>
      </w:r>
    </w:p>
    <w:p>
      <w:pPr>
        <w:spacing w:after="0" w:line="177"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 w:lineRule="exact"/>
        <w:rPr>
          <w:sz w:val="20"/>
          <w:szCs w:val="20"/>
          <w:color w:val="auto"/>
        </w:rPr>
      </w:pPr>
    </w:p>
    <w:p>
      <w:pPr>
        <w:ind w:right="20" w:firstLine="360"/>
        <w:spacing w:after="0" w:line="234" w:lineRule="auto"/>
        <w:rPr>
          <w:sz w:val="20"/>
          <w:szCs w:val="20"/>
          <w:color w:val="auto"/>
        </w:rPr>
      </w:pPr>
      <w:r>
        <w:rPr>
          <w:rFonts w:ascii="Times New Roman" w:cs="Times New Roman" w:eastAsia="Times New Roman" w:hAnsi="Times New Roman"/>
          <w:sz w:val="20"/>
          <w:szCs w:val="20"/>
          <w:color w:val="auto"/>
        </w:rPr>
        <w:t>In addition, these rules and regulations are assessed, managed, administered and enforced by various governmental agencies and bodies, whose actions and decisions could adversely affect our business or operations. 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For example, in February 2024, the Biden Administration announced a temporary pause on pending approvals of LNG exports to non-FTA countries. While the duration of the pause remains unclear, any restrictions on or delays in approving natural gas exports could negatively impact our business in the future.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880"/>
          </w:cols>
          <w:pgMar w:left="1180" w:top="838" w:right="1180" w:bottom="0" w:gutter="0" w:footer="0" w:header="0"/>
          <w:type w:val="continuous"/>
        </w:sectPr>
      </w:pPr>
    </w:p>
    <w:bookmarkStart w:id="27" w:name="page28"/>
    <w:bookmarkEnd w:id="27"/>
    <w:p>
      <w:pPr>
        <w:ind w:right="60"/>
        <w:spacing w:after="0" w:line="265" w:lineRule="auto"/>
        <w:rPr>
          <w:sz w:val="20"/>
          <w:szCs w:val="20"/>
          <w:color w:val="auto"/>
        </w:rPr>
      </w:pPr>
      <w:r>
        <w:rPr>
          <w:rFonts w:ascii="Times New Roman" w:cs="Times New Roman" w:eastAsia="Times New Roman" w:hAnsi="Times New Roman"/>
          <w:sz w:val="20"/>
          <w:szCs w:val="20"/>
          <w:color w:val="auto"/>
        </w:rPr>
        <w:t>order to comply with the FERC’s directive, on September 15, 2021, we filed an application for authorization to operate the San Juan Facility, which remains pending.</w:t>
      </w:r>
    </w:p>
    <w:p>
      <w:pPr>
        <w:spacing w:after="0" w:line="18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Failure to obtain and maintain permits, approvals and authorizations from governmental and regulatory agencies and third parties on favorable terms could impede operations and construction.</w:t>
      </w:r>
    </w:p>
    <w:p>
      <w:pPr>
        <w:ind w:firstLine="360"/>
        <w:spacing w:after="0" w:line="246" w:lineRule="auto"/>
        <w:rPr>
          <w:sz w:val="20"/>
          <w:szCs w:val="20"/>
          <w:color w:val="auto"/>
        </w:rPr>
      </w:pPr>
      <w:r>
        <w:rPr>
          <w:rFonts w:ascii="Times New Roman" w:cs="Times New Roman" w:eastAsia="Times New Roman" w:hAnsi="Times New Roman"/>
          <w:sz w:val="19"/>
          <w:szCs w:val="19"/>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final approvals for our power plant and permits necessary to operate our terminal. In connection with our application to the U.S. Maritime Administration ("MARAD") related to our FLNG project off the coast of Louisiana (as discussed further below),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stop-clock on February 21, 2023 pending clarification of responses and receipt of additional information. In addition, jurisdiction-specific employment, labor, and subcontracting laws may also affect contracting strategies and impact construction and operations.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make any assurance as to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6" w:lineRule="exact"/>
        <w:rPr>
          <w:sz w:val="20"/>
          <w:szCs w:val="20"/>
          <w:color w:val="auto"/>
        </w:rPr>
      </w:pPr>
    </w:p>
    <w:p>
      <w:pPr>
        <w:jc w:val="both"/>
        <w:ind w:firstLine="360"/>
        <w:spacing w:after="0" w:line="278" w:lineRule="auto"/>
        <w:rPr>
          <w:sz w:val="20"/>
          <w:szCs w:val="20"/>
          <w:color w:val="auto"/>
        </w:rPr>
      </w:pPr>
      <w:r>
        <w:rPr>
          <w:rFonts w:ascii="Times New Roman" w:cs="Times New Roman" w:eastAsia="Times New Roman" w:hAnsi="Times New Roman"/>
          <w:sz w:val="19"/>
          <w:szCs w:val="19"/>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880"/>
          </w:cols>
          <w:pgMar w:left="1180" w:top="838" w:right="1180" w:bottom="0" w:gutter="0" w:footer="0" w:header="0"/>
          <w:type w:val="continuous"/>
        </w:sectPr>
      </w:pPr>
    </w:p>
    <w:bookmarkStart w:id="28" w:name="page29"/>
    <w:bookmarkEnd w:id="28"/>
    <w:p>
      <w:pPr>
        <w:spacing w:after="0" w:line="253" w:lineRule="auto"/>
        <w:rPr>
          <w:sz w:val="20"/>
          <w:szCs w:val="20"/>
          <w:color w:val="auto"/>
        </w:rPr>
      </w:pPr>
      <w:r>
        <w:rPr>
          <w:rFonts w:ascii="Times New Roman" w:cs="Times New Roman" w:eastAsia="Times New Roman" w:hAnsi="Times New Roman"/>
          <w:sz w:val="20"/>
          <w:szCs w:val="20"/>
          <w:color w:val="auto"/>
        </w:rPr>
        <w:t>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sufficient working capital could limit our growth and harm our business, financial condition and results of operations.</w:t>
      </w:r>
    </w:p>
    <w:p>
      <w:pPr>
        <w:ind w:firstLine="360"/>
        <w:spacing w:after="0" w:line="235" w:lineRule="auto"/>
        <w:rPr>
          <w:sz w:val="20"/>
          <w:szCs w:val="20"/>
          <w:color w:val="auto"/>
        </w:rPr>
      </w:pPr>
      <w:r>
        <w:rPr>
          <w:rFonts w:ascii="Times New Roman" w:cs="Times New Roman" w:eastAsia="Times New Roman" w:hAnsi="Times New Roman"/>
          <w:sz w:val="20"/>
          <w:szCs w:val="20"/>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3"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revenues is substantially dependent on our current and future long-term agreements and the performance by customers under such agreements.</w:t>
      </w:r>
    </w:p>
    <w:p>
      <w:pPr>
        <w:spacing w:after="0" w:line="17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impact of a pandemic, such as COVID-19, including governmental and other third-party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w:t>
      </w:r>
    </w:p>
    <w:p>
      <w:pPr>
        <w:sectPr>
          <w:pgSz w:w="12240" w:h="15840" w:orient="portrait"/>
          <w:cols w:equalWidth="0" w:num="1">
            <w:col w:w="9880"/>
          </w:cols>
          <w:pgMar w:left="1180" w:top="838" w:right="118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80"/>
          </w:cols>
          <w:pgMar w:left="1180" w:top="838" w:right="1180" w:bottom="0" w:gutter="0" w:footer="0" w:header="0"/>
          <w:type w:val="continuous"/>
        </w:sectPr>
      </w:pPr>
    </w:p>
    <w:bookmarkStart w:id="29" w:name="page30"/>
    <w:bookmarkEnd w:id="29"/>
    <w:p>
      <w:pPr>
        <w:jc w:val="both"/>
        <w:ind w:right="280"/>
        <w:spacing w:after="0" w:line="266" w:lineRule="auto"/>
        <w:rPr>
          <w:sz w:val="20"/>
          <w:szCs w:val="20"/>
          <w:color w:val="auto"/>
        </w:rPr>
      </w:pPr>
      <w:r>
        <w:rPr>
          <w:rFonts w:ascii="Times New Roman" w:cs="Times New Roman" w:eastAsia="Times New Roman" w:hAnsi="Times New Roman"/>
          <w:sz w:val="20"/>
          <w:szCs w:val="20"/>
          <w:color w:val="auto"/>
        </w:rPr>
        <w:t>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186"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results of operations for the year ended December 31, 2023, include our Montego Bay Facility, Old Harbour Facility, San Juan Facility, certain industrial end-users and our Miami Facility. In addition, we placed a portion of our La Paz Facility into service in the fourth quarter of 2021, and our revenue and results of operations have begun to be impacted by operations in Mexico, including agreements with certain power generation facilities in Baja California Sur. Our results for 2023 exclude 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20"/>
          <w:szCs w:val="20"/>
          <w:b w:val="1"/>
          <w:bCs w:val="1"/>
          <w:i w:val="1"/>
          <w:iCs w:val="1"/>
          <w:color w:val="auto"/>
        </w:rPr>
        <w:t>Risks Related to the Jurisdictions in Which We Operate—We are subject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economic, political, social and other conditions in the jurisdictions in which we operate.</w:t>
      </w:r>
      <w:r>
        <w:rPr>
          <w:rFonts w:ascii="Times New Roman" w:cs="Times New Roman" w:eastAsia="Times New Roman" w:hAnsi="Times New Roman"/>
          <w:sz w:val="20"/>
          <w:szCs w:val="20"/>
          <w:color w:val="auto"/>
        </w:rPr>
        <w:t>” We may also be affected by trade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restrictions, such as tariffs 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201"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we are currently dependent upon a limited number of customers, the loss of a significant customer could adversely affect our operating results.</w:t>
      </w:r>
    </w:p>
    <w:p>
      <w:pPr>
        <w:spacing w:after="0" w:line="177"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Our current results of operations and liquidity are, and will continue to be in the near future, substantially dependent upon a limited number of customers, including JPS, SJPC, CFE and PREPA, which have each entered into long-term GSAs and, in the case of JPS, a PPA in relation to the power produced at the CHP Plant, with us, and Jamalco,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20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77" w:lineRule="exact"/>
        <w:rPr>
          <w:sz w:val="20"/>
          <w:szCs w:val="20"/>
          <w:color w:val="auto"/>
        </w:rPr>
      </w:pPr>
    </w:p>
    <w:p>
      <w:pPr>
        <w:ind w:right="120" w:firstLine="360"/>
        <w:spacing w:after="0" w:line="267" w:lineRule="auto"/>
        <w:rPr>
          <w:sz w:val="20"/>
          <w:szCs w:val="20"/>
          <w:color w:val="auto"/>
        </w:rPr>
      </w:pPr>
      <w:r>
        <w:rPr>
          <w:rFonts w:ascii="Times New Roman" w:cs="Times New Roman" w:eastAsia="Times New Roman" w:hAnsi="Times New Roman"/>
          <w:sz w:val="19"/>
          <w:szCs w:val="19"/>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880"/>
          </w:cols>
          <w:pgMar w:left="1180" w:top="838" w:right="1180" w:bottom="0" w:gutter="0" w:footer="0" w:header="0"/>
          <w:type w:val="continuous"/>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20"/>
          <w:szCs w:val="20"/>
          <w:color w:val="auto"/>
        </w:rPr>
        <w:t>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contracts with our customers are subject to termination under certain circumstances.</w:t>
      </w:r>
    </w:p>
    <w:p>
      <w:pPr>
        <w:spacing w:after="0" w:line="25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20"/>
          <w:szCs w:val="20"/>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95" w:lineRule="exact"/>
        <w:rPr>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events of force majeure;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make available specified scheduled cargo quantities;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payment defaults;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 insolvency event;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material breaches; and</w:t>
      </w:r>
    </w:p>
    <w:p>
      <w:pPr>
        <w:spacing w:after="0" w:line="250" w:lineRule="exact"/>
        <w:rPr>
          <w:sz w:val="20"/>
          <w:szCs w:val="20"/>
          <w:color w:val="auto"/>
        </w:rPr>
      </w:pPr>
    </w:p>
    <w:p>
      <w:pPr>
        <w:ind w:right="340" w:firstLine="360"/>
        <w:spacing w:after="0" w:line="260" w:lineRule="auto"/>
        <w:rPr>
          <w:sz w:val="20"/>
          <w:szCs w:val="20"/>
          <w:color w:val="auto"/>
        </w:rPr>
      </w:pPr>
      <w:r>
        <w:rPr>
          <w:rFonts w:ascii="Times New Roman" w:cs="Times New Roman" w:eastAsia="Times New Roman" w:hAnsi="Times New Roman"/>
          <w:sz w:val="20"/>
          <w:szCs w:val="20"/>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94" w:lineRule="exact"/>
        <w:rPr>
          <w:sz w:val="20"/>
          <w:szCs w:val="20"/>
          <w:color w:val="auto"/>
        </w:rPr>
      </w:pPr>
    </w:p>
    <w:p>
      <w:pPr>
        <w:ind w:right="4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LNG industry is intense, and some of our competitors have greater financial, technological and other resources than we currently possess.</w:t>
      </w:r>
    </w:p>
    <w:p>
      <w:pPr>
        <w:spacing w:after="0" w:line="177"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208"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worldwide LNG production capacity and availability of LNG for market supply;</w:t>
      </w:r>
    </w:p>
    <w:p>
      <w:pPr>
        <w:spacing w:after="0" w:line="250"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demand for natural gas but at levels below those required to maintain current price equilibrium with respect to supply;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natural gas feedstock to our liquefaction projects;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LNG feedstock to our facilities;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cost of competing sources of natural gas, LNG or alternate fuels such as coal, HFO and ADO;</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price of LNG; and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880"/>
          </w:cols>
          <w:pgMar w:left="1180" w:top="838" w:right="1180" w:bottom="0" w:gutter="0" w:footer="0" w:header="0"/>
          <w:type w:val="continuous"/>
        </w:sectPr>
      </w:pPr>
    </w:p>
    <w:bookmarkStart w:id="31" w:name="page32"/>
    <w:bookmarkEnd w:id="31"/>
    <w:p>
      <w:pPr>
        <w:jc w:val="both"/>
        <w:ind w:left="720" w:right="140" w:hanging="370"/>
        <w:spacing w:after="0" w:line="266"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displacement of LNG or fossil fuels more broadly by alternate fuels or energy sources or technologies (including but not limited to nuclear, wind, hydrogen,solar, biofuels and batteries) in locations where access to these energy sources is not currently available or prevalent.</w:t>
      </w:r>
    </w:p>
    <w:p>
      <w:pPr>
        <w:spacing w:after="0" w:line="195"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07"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Cyclical or other changes in the demand for and price of LNG and natural gas may adversely affect our business and the performance of our customers.</w:t>
      </w:r>
    </w:p>
    <w:p>
      <w:pPr>
        <w:spacing w:after="0" w:line="177" w:lineRule="exact"/>
        <w:rPr>
          <w:sz w:val="20"/>
          <w:szCs w:val="20"/>
          <w:color w:val="auto"/>
        </w:rPr>
      </w:pPr>
    </w:p>
    <w:p>
      <w:pPr>
        <w:ind w:right="440" w:firstLine="360"/>
        <w:spacing w:after="0" w:line="260" w:lineRule="auto"/>
        <w:rPr>
          <w:sz w:val="20"/>
          <w:szCs w:val="20"/>
          <w:color w:val="auto"/>
        </w:rPr>
      </w:pPr>
      <w:r>
        <w:rPr>
          <w:rFonts w:ascii="Times New Roman" w:cs="Times New Roman" w:eastAsia="Times New Roman" w:hAnsi="Times New Roman"/>
          <w:sz w:val="20"/>
          <w:szCs w:val="20"/>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3" w:lineRule="exact"/>
        <w:rPr>
          <w:sz w:val="20"/>
          <w:szCs w:val="20"/>
          <w:color w:val="auto"/>
        </w:rPr>
      </w:pPr>
    </w:p>
    <w:p>
      <w:pPr>
        <w:ind w:left="720" w:right="12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competitive regasification capacity in North America, Brazil, Europe, Asia and other markets, which could divert LNG or natural gas from our business;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tariffs by China or any other jurisdiction on imports of LNG from the United States;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or oversupply of natural gas liquefaction or export capacity worldwide;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LNG tanker capacity;</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and natural disasters;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demand and lower prices for natural gas;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natural gas production deliverable by pipelines, which could suppress demand for LNG;</w:t>
      </w:r>
    </w:p>
    <w:p>
      <w:pPr>
        <w:spacing w:after="0" w:line="250" w:lineRule="exact"/>
        <w:rPr>
          <w:rFonts w:ascii="Times New Roman" w:cs="Times New Roman" w:eastAsia="Times New Roman" w:hAnsi="Times New Roman"/>
          <w:sz w:val="20"/>
          <w:szCs w:val="20"/>
          <w:color w:val="auto"/>
        </w:rPr>
      </w:pPr>
    </w:p>
    <w:p>
      <w:pPr>
        <w:ind w:left="720" w:right="4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oil and natural gas exploration activities, including shut-ins and possible proration, which may decrease the production of natural gas;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improvements that allow competitors to offer LNG regasification services at reduced prices;</w:t>
      </w:r>
    </w:p>
    <w:p>
      <w:pPr>
        <w:spacing w:after="0" w:line="250"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supplies of, and prices for, alternative energy sources, such as coal, oil, nuclear, hydroelectric, wind and solar energy, which may reduce the demand for natural gas;</w:t>
      </w:r>
    </w:p>
    <w:p>
      <w:pPr>
        <w:spacing w:after="0" w:line="181" w:lineRule="exact"/>
        <w:rPr>
          <w:rFonts w:ascii="Times New Roman" w:cs="Times New Roman" w:eastAsia="Times New Roman" w:hAnsi="Times New Roman"/>
          <w:sz w:val="20"/>
          <w:szCs w:val="20"/>
          <w:color w:val="auto"/>
        </w:rPr>
      </w:pPr>
    </w:p>
    <w:p>
      <w:pPr>
        <w:ind w:left="720" w:right="400" w:hanging="370"/>
        <w:spacing w:after="0" w:line="309" w:lineRule="auto"/>
        <w:tabs>
          <w:tab w:leader="none" w:pos="7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tax or other governmental policies regarding imported or exported LNG, natural gas or alternative energy sources, which may reduce the demand for imported or exported LNG and/or natural gas;</w:t>
      </w:r>
    </w:p>
    <w:p>
      <w:pPr>
        <w:spacing w:after="0" w:line="157"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conditions in natural gas producing regions;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880"/>
          </w:cols>
          <w:pgMar w:left="1180" w:top="838" w:right="1180" w:bottom="0" w:gutter="0" w:footer="0" w:header="0"/>
          <w:type w:val="continuous"/>
        </w:sectPr>
      </w:pPr>
    </w:p>
    <w:bookmarkStart w:id="32" w:name="page33"/>
    <w:bookmarkEnd w:id="32"/>
    <w:p>
      <w:pPr>
        <w:ind w:left="720" w:right="24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relative demand for LNG compared to other markets, which may decrease LNG imports into or exports from North America;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trends in general business and economic conditions that cause changes in the demand for natural gas.</w:t>
      </w:r>
    </w:p>
    <w:p>
      <w:pPr>
        <w:spacing w:after="0" w:line="250"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880"/>
          </w:cols>
          <w:pgMar w:left="1180" w:top="838" w:right="11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i w:val="1"/>
          <w:iCs w:val="1"/>
          <w:color w:val="auto"/>
        </w:rPr>
        <w:t>Any use of hedging arrangements may adversely affect our future operating results or liquidity.</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04" w:lineRule="exact"/>
        <w:rPr>
          <w:sz w:val="20"/>
          <w:szCs w:val="20"/>
          <w:color w:val="auto"/>
        </w:rPr>
      </w:pPr>
    </w:p>
    <w:p>
      <w:pPr>
        <w:ind w:right="20" w:firstLine="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third-party LNG suppliers and the development of our own portfolio is subject to various risks and assumptions.</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remedial obligations under those agreements. While we have entered into supply agreements for the purchase of LNG between 2024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21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The development of our own portfolio of LNG is subject to various risks and assumptions. In particular, the estimation of proved gas reserves involves subjective judgements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w:t>
      </w:r>
    </w:p>
    <w:p>
      <w:pPr>
        <w:spacing w:after="0" w:line="20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880"/>
          </w:cols>
          <w:pgMar w:left="1180" w:top="829" w:right="11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i w:val="1"/>
          <w:iCs w:val="1"/>
          <w:color w:val="auto"/>
        </w:rPr>
        <w:t>LNG that is processed and/or stored on FSRUs and transported via pipeline is subject to risk of loss or damage.</w:t>
      </w:r>
    </w:p>
    <w:p>
      <w:pPr>
        <w:spacing w:after="0" w:line="25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tankers and other vessels outside of our fleet for our LNG transportation and transfer.</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8" w:lineRule="exact"/>
        <w:rPr>
          <w:sz w:val="20"/>
          <w:szCs w:val="20"/>
          <w:color w:val="auto"/>
        </w:rPr>
      </w:pPr>
    </w:p>
    <w:p>
      <w:pPr>
        <w:ind w:right="20" w:firstLine="360"/>
        <w:spacing w:after="0" w:line="270" w:lineRule="auto"/>
        <w:rPr>
          <w:sz w:val="20"/>
          <w:szCs w:val="20"/>
          <w:color w:val="auto"/>
        </w:rPr>
      </w:pPr>
      <w:r>
        <w:rPr>
          <w:rFonts w:ascii="Times New Roman" w:cs="Times New Roman" w:eastAsia="Times New Roman" w:hAnsi="Times New Roman"/>
          <w:sz w:val="19"/>
          <w:szCs w:val="19"/>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9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Hire rates for FSRUs and LNG carriers may fluctuate substantially. If rates are lower when we are seeking a new charter, our earnings may decline.</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Hire rates for FSRUs and LNG carriers fluctuate over time as a result of changes in the supply-demand balance relating to current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880"/>
          </w:cols>
          <w:pgMar w:left="1180" w:top="829" w:right="11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the capacity of our FSRUs and other facilities.</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spacing w:after="0" w:line="200"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operation of our vessels is dependent on our ability to deploy our vessels to an NFE terminal or to long-term charters.</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w:t>
      </w:r>
    </w:p>
    <w:p>
      <w:pPr>
        <w:spacing w:after="0" w:line="210"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Vessel values may fluctuate substantially and, if these values are lower at a time when we are attempting to dispose of vessels, we may incur a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Vessel values can fluctuate substantially over time due to a number of different factors, including:</w:t>
      </w:r>
    </w:p>
    <w:p>
      <w:pPr>
        <w:spacing w:after="0" w:line="250" w:lineRule="exact"/>
        <w:rPr>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prevailing economic conditions in the natural gas and energy markets;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or extended decline in demand for LNG;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supply of vessel capacity without a commensurate increase in demand;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age of a vessel; and</w:t>
      </w:r>
    </w:p>
    <w:p>
      <w:pPr>
        <w:spacing w:after="0" w:line="250"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19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195"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880"/>
          </w:cols>
          <w:pgMar w:left="1180" w:top="829" w:right="1180" w:bottom="0" w:gutter="0" w:footer="0" w:header="0"/>
          <w:type w:val="continuous"/>
        </w:sectPr>
      </w:pPr>
    </w:p>
    <w:bookmarkStart w:id="36" w:name="page37"/>
    <w:bookmarkEnd w:id="36"/>
    <w:p>
      <w:pPr>
        <w:ind w:firstLine="360"/>
        <w:spacing w:after="0" w:line="272" w:lineRule="auto"/>
        <w:rPr>
          <w:sz w:val="20"/>
          <w:szCs w:val="20"/>
          <w:color w:val="auto"/>
        </w:rPr>
      </w:pPr>
      <w:r>
        <w:rPr>
          <w:rFonts w:ascii="Times New Roman" w:cs="Times New Roman" w:eastAsia="Times New Roman" w:hAnsi="Times New Roman"/>
          <w:sz w:val="19"/>
          <w:szCs w:val="19"/>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Maritime claimants could arrest our vessels, which could interrupt our cash flow.</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pacing w:after="0" w:line="204"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seek to develop innovative and new technologies as part of our strategy that are not yet proven and may not realize the time and cost savings we expect to achieve.</w:t>
      </w:r>
    </w:p>
    <w:p>
      <w:pPr>
        <w:spacing w:after="0" w:line="1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is not yet proven and we may not be able to implement it as planned or at all.”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Technological innovation may impair the economic attractiveness of our projects.</w:t>
      </w:r>
    </w:p>
    <w:p>
      <w:pPr>
        <w:spacing w:after="0" w:line="259"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Fast LNG technology is not yet proven and we may not be able to implement it as planned or at all.</w:t>
      </w:r>
    </w:p>
    <w:p>
      <w:pPr>
        <w:spacing w:after="0" w:line="259" w:lineRule="exact"/>
        <w:rPr>
          <w:sz w:val="20"/>
          <w:szCs w:val="20"/>
          <w:color w:val="auto"/>
        </w:rPr>
      </w:pPr>
    </w:p>
    <w:p>
      <w:pPr>
        <w:ind w:right="240" w:firstLine="360"/>
        <w:spacing w:after="0" w:line="252" w:lineRule="auto"/>
        <w:rPr>
          <w:sz w:val="20"/>
          <w:szCs w:val="20"/>
          <w:color w:val="auto"/>
        </w:rPr>
      </w:pPr>
      <w:r>
        <w:rPr>
          <w:rFonts w:ascii="Times New Roman" w:cs="Times New Roman" w:eastAsia="Times New Roman" w:hAnsi="Times New Roman"/>
          <w:sz w:val="19"/>
          <w:szCs w:val="19"/>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about to finalize construction of our first Fast LNG solution, but we have not yet produced or supplied any LNG from that facility, and are therefore subject to construction risks, risks associated with third-party contracting and service providers, permitting and regulatory risks. We are also developing our first onshore LNG facility and are also therefore subject to construction risks, risks associated with third-party contracting and service providers, permitting and regulatory risks. See “—We are subject to various construction</w:t>
      </w:r>
    </w:p>
    <w:p>
      <w:pPr>
        <w:sectPr>
          <w:pgSz w:w="12240" w:h="15840" w:orient="portrait"/>
          <w:cols w:equalWidth="0" w:num="1">
            <w:col w:w="9880"/>
          </w:cols>
          <w:pgMar w:left="1180" w:top="838" w:right="118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880"/>
          </w:cols>
          <w:pgMar w:left="1180" w:top="838" w:right="1180" w:bottom="0" w:gutter="0" w:footer="0" w:header="0"/>
          <w:type w:val="continuous"/>
        </w:sectPr>
      </w:pPr>
    </w:p>
    <w:bookmarkStart w:id="37" w:name="page38"/>
    <w:bookmarkEnd w:id="37"/>
    <w:p>
      <w:pPr>
        <w:ind w:right="20"/>
        <w:spacing w:after="0" w:line="235" w:lineRule="auto"/>
        <w:rPr>
          <w:sz w:val="20"/>
          <w:szCs w:val="20"/>
          <w:color w:val="auto"/>
        </w:rPr>
      </w:pPr>
      <w:r>
        <w:rPr>
          <w:rFonts w:ascii="Times New Roman" w:cs="Times New Roman" w:eastAsia="Times New Roman" w:hAnsi="Times New Roman"/>
          <w:sz w:val="20"/>
          <w:szCs w:val="20"/>
          <w:color w:val="auto"/>
        </w:rPr>
        <w:t>risks” and “—We depend on third-party contractors, operators and suppliers.” Because our Fast LNG technology has not been previously implemented, tested or 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incurred, and may in the future incur, a significant amount of debt.</w:t>
      </w:r>
    </w:p>
    <w:p>
      <w:pPr>
        <w:spacing w:after="0" w:line="259"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color w:val="auto"/>
        </w:rPr>
        <w:t>On an ongoing basis, we engage with lenders and other financial institutions in an effort to improve our liquidity and capital resources. As of December 31, 2023, we had approximately $6,919.5 million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upon obtaining substantial additional funding from various sources, which may not be available or may only be available on unfavorable terms.</w:t>
      </w:r>
    </w:p>
    <w:p>
      <w:pPr>
        <w:spacing w:after="0" w:line="177" w:lineRule="exact"/>
        <w:rPr>
          <w:sz w:val="20"/>
          <w:szCs w:val="20"/>
          <w:color w:val="auto"/>
        </w:rPr>
      </w:pPr>
    </w:p>
    <w:p>
      <w:pPr>
        <w:ind w:firstLine="360"/>
        <w:spacing w:after="0" w:line="273" w:lineRule="auto"/>
        <w:rPr>
          <w:sz w:val="20"/>
          <w:szCs w:val="20"/>
          <w:color w:val="auto"/>
        </w:rPr>
      </w:pPr>
      <w:r>
        <w:rPr>
          <w:rFonts w:ascii="Times New Roman" w:cs="Times New Roman" w:eastAsia="Times New Roman" w:hAnsi="Times New Roman"/>
          <w:sz w:val="19"/>
          <w:szCs w:val="19"/>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our progress in executing our business strategy and other factors, many of which are beyond our control, including domestic or international economic conditions, increases in key benchmark interest rates and/or credit spreads, the adoption</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880"/>
          </w:cols>
          <w:pgMar w:left="1180" w:top="838" w:right="1180" w:bottom="0" w:gutter="0" w:footer="0" w:header="0"/>
          <w:type w:val="continuous"/>
        </w:sectPr>
      </w:pPr>
    </w:p>
    <w:bookmarkStart w:id="38" w:name="page39"/>
    <w:bookmarkEnd w:id="38"/>
    <w:p>
      <w:pPr>
        <w:ind w:right="20"/>
        <w:spacing w:after="0" w:line="259" w:lineRule="auto"/>
        <w:rPr>
          <w:sz w:val="20"/>
          <w:szCs w:val="20"/>
          <w:color w:val="auto"/>
        </w:rPr>
      </w:pPr>
      <w:r>
        <w:rPr>
          <w:rFonts w:ascii="Times New Roman" w:cs="Times New Roman" w:eastAsia="Times New Roman" w:hAnsi="Times New Roman"/>
          <w:sz w:val="20"/>
          <w:szCs w:val="20"/>
          <w:color w:val="auto"/>
        </w:rPr>
        <w:t>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197"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and may in the future enter into or modify existing, joint ventures that might restrict our operational and corporate flexibility or require credit support.</w:t>
      </w:r>
    </w:p>
    <w:p>
      <w:pPr>
        <w:spacing w:after="0" w:line="17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21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96"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880"/>
          </w:cols>
          <w:pgMar w:left="1180" w:top="838" w:right="1180" w:bottom="0" w:gutter="0" w:footer="0" w:header="0"/>
          <w:type w:val="continuous"/>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20"/>
          <w:szCs w:val="20"/>
          <w:color w:val="auto"/>
        </w:rPr>
        <w:t>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0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05"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Greenhouse Gases/Climate Change</w:t>
      </w:r>
      <w:r>
        <w:rPr>
          <w:rFonts w:ascii="Times New Roman" w:cs="Times New Roman" w:eastAsia="Times New Roman" w:hAnsi="Times New Roman"/>
          <w:sz w:val="20"/>
          <w:szCs w:val="20"/>
          <w:color w:val="auto"/>
        </w:rPr>
        <w:t>. The threat of climate change continues to attract considerable attention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in February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21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880"/>
          </w:cols>
          <w:pgMar w:left="1180" w:top="838" w:right="1180" w:bottom="0" w:gutter="0" w:footer="0" w:header="0"/>
          <w:type w:val="continuous"/>
        </w:sectPr>
      </w:pPr>
    </w:p>
    <w:bookmarkStart w:id="40" w:name="page41"/>
    <w:bookmarkEnd w:id="40"/>
    <w:p>
      <w:pPr>
        <w:spacing w:after="0" w:line="260" w:lineRule="auto"/>
        <w:rPr>
          <w:sz w:val="20"/>
          <w:szCs w:val="20"/>
          <w:color w:val="auto"/>
        </w:rPr>
      </w:pPr>
      <w:r>
        <w:rPr>
          <w:rFonts w:ascii="Times New Roman" w:cs="Times New Roman" w:eastAsia="Times New Roman" w:hAnsi="Times New Roman"/>
          <w:sz w:val="20"/>
          <w:szCs w:val="20"/>
          <w:color w:val="auto"/>
        </w:rPr>
        <w:t>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0"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 xml:space="preserve">Fossil Fuels. </w:t>
      </w:r>
      <w:r>
        <w:rPr>
          <w:rFonts w:ascii="Times New Roman" w:cs="Times New Roman" w:eastAsia="Times New Roman" w:hAnsi="Times New Roman"/>
          <w:sz w:val="20"/>
          <w:szCs w:val="20"/>
          <w:color w:val="auto"/>
        </w:rPr>
        <w:t>Our business activities depend upon a sufficient and reliable supply of natural gas feedstock, and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0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Hydraulic Fracturing. </w:t>
      </w:r>
      <w:r>
        <w:rPr>
          <w:rFonts w:ascii="Times New Roman" w:cs="Times New Roman" w:eastAsia="Times New Roman" w:hAnsi="Times New Roman"/>
          <w:sz w:val="20"/>
          <w:szCs w:val="20"/>
          <w:color w:val="auto"/>
        </w:rPr>
        <w:t>Certain of our suppliers of natural gas and LNG employ hydraulic fracturing techniques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216" w:lineRule="exact"/>
        <w:rPr>
          <w:sz w:val="20"/>
          <w:szCs w:val="20"/>
          <w:color w:val="auto"/>
        </w:rPr>
      </w:pPr>
    </w:p>
    <w:p>
      <w:pPr>
        <w:ind w:right="80" w:firstLine="3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Indigenous Communities</w:t>
      </w:r>
      <w:r>
        <w:rPr>
          <w:rFonts w:ascii="Times New Roman" w:cs="Times New Roman" w:eastAsia="Times New Roman" w:hAnsi="Times New Roman"/>
          <w:sz w:val="19"/>
          <w:szCs w:val="19"/>
          <w:color w:val="auto"/>
        </w:rPr>
        <w:t>. Indigenous communities—including, in Brazil, Afro-indigenous (“Quilombola”)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880"/>
          </w:cols>
          <w:pgMar w:left="1180" w:top="838" w:right="1180" w:bottom="0" w:gutter="0" w:footer="0" w:header="0"/>
          <w:type w:val="continuous"/>
        </w:sectPr>
      </w:pPr>
    </w:p>
    <w:bookmarkStart w:id="41" w:name="page42"/>
    <w:bookmarkEnd w:id="41"/>
    <w:p>
      <w:pPr>
        <w:ind w:right="60"/>
        <w:spacing w:after="0" w:line="254" w:lineRule="auto"/>
        <w:rPr>
          <w:sz w:val="20"/>
          <w:szCs w:val="20"/>
          <w:color w:val="auto"/>
        </w:rPr>
      </w:pPr>
      <w:r>
        <w:rPr>
          <w:rFonts w:ascii="Times New Roman" w:cs="Times New Roman" w:eastAsia="Times New Roman" w:hAnsi="Times New Roman"/>
          <w:sz w:val="20"/>
          <w:szCs w:val="20"/>
          <w:color w:val="auto"/>
        </w:rPr>
        <w:t>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 w:cs="Times New Roman" w:eastAsia="Times New Roman" w:hAnsi="Times New Roman"/>
          <w:sz w:val="20"/>
          <w:szCs w:val="20"/>
          <w:b w:val="1"/>
          <w:bCs w:val="1"/>
          <w:i w:val="1"/>
          <w:iCs w:val="1"/>
          <w:color w:val="auto"/>
        </w:rPr>
        <w:t>Fundação Nacional do Índio</w:t>
      </w:r>
      <w:r>
        <w:rPr>
          <w:rFonts w:ascii="Times New Roman" w:cs="Times New Roman" w:eastAsia="Times New Roman" w:hAnsi="Times New Roman"/>
          <w:sz w:val="20"/>
          <w:szCs w:val="20"/>
          <w:color w:val="auto"/>
        </w:rPr>
        <w:t xml:space="preserve"> or “FUNAI”) (for indigenous people) or Palmares Cultural Foundation (</w:t>
      </w:r>
      <w:r>
        <w:rPr>
          <w:rFonts w:ascii="Times New Roman" w:cs="Times New Roman" w:eastAsia="Times New Roman" w:hAnsi="Times New Roman"/>
          <w:sz w:val="20"/>
          <w:szCs w:val="20"/>
          <w:b w:val="1"/>
          <w:bCs w:val="1"/>
          <w:i w:val="1"/>
          <w:iCs w:val="1"/>
          <w:color w:val="auto"/>
        </w:rPr>
        <w:t>Fundação Cultural Palmares</w:t>
      </w:r>
      <w:r>
        <w:rPr>
          <w:rFonts w:ascii="Times New Roman" w:cs="Times New Roman" w:eastAsia="Times New Roman" w:hAnsi="Times New Roman"/>
          <w:sz w:val="20"/>
          <w:szCs w:val="20"/>
          <w:color w:val="auto"/>
        </w:rPr>
        <w:t>) (for Quilombola communities).</w:t>
      </w:r>
    </w:p>
    <w:p>
      <w:pPr>
        <w:spacing w:after="0" w:line="20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1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20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Offshore operations. </w:t>
      </w:r>
      <w:r>
        <w:rPr>
          <w:rFonts w:ascii="Times New Roman" w:cs="Times New Roman" w:eastAsia="Times New Roman" w:hAnsi="Times New Roman"/>
          <w:sz w:val="20"/>
          <w:szCs w:val="20"/>
          <w:color w:val="auto"/>
        </w:rPr>
        <w:t>Our operations in international waters and in the territorial waters of other countries are regulated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20"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19"/>
          <w:szCs w:val="19"/>
          <w:color w:val="auto"/>
        </w:rPr>
        <w:t>In particular, development of offshore operations of natural gas and LNG are subject to extensive environmental, industry, maritime and social regulations. For example, 1the development and operation of our new FLNG facility off the coast of Altamira, State of Tamaulipas, is subject to regulation by Mexico’s Ministry of Energy (</w:t>
      </w:r>
      <w:r>
        <w:rPr>
          <w:rFonts w:ascii="Times New Roman" w:cs="Times New Roman" w:eastAsia="Times New Roman" w:hAnsi="Times New Roman"/>
          <w:sz w:val="19"/>
          <w:szCs w:val="19"/>
          <w:b w:val="1"/>
          <w:bCs w:val="1"/>
          <w:i w:val="1"/>
          <w:iCs w:val="1"/>
          <w:color w:val="auto"/>
        </w:rPr>
        <w:t>Secretaría de Energía</w:t>
      </w:r>
      <w:r>
        <w:rPr>
          <w:rFonts w:ascii="Times New Roman" w:cs="Times New Roman" w:eastAsia="Times New Roman" w:hAnsi="Times New Roman"/>
          <w:sz w:val="19"/>
          <w:szCs w:val="19"/>
          <w:color w:val="auto"/>
        </w:rPr>
        <w:t>) (“SENER”), Mexico's National Hydrocarbon Commission (“CNH”), the National Agency of Industrial Safety and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880"/>
          </w:cols>
          <w:pgMar w:left="1180" w:top="838" w:right="1180" w:bottom="0" w:gutter="0" w:footer="0" w:header="0"/>
          <w:type w:val="continuous"/>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20"/>
          <w:szCs w:val="20"/>
          <w:color w:val="auto"/>
        </w:rPr>
        <w:t>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20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Moreover, the overall trends are towards more regulations and more stringent requirements which are likely to add to our costs of doing business. For example, IMO regulations limit the sulfur content of fuel oil for ships to 0.5 weight percent starting ,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1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governmental export laws, and trade and economic sanctions laws and regulations, and anti-corruption laws and regulation.</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12"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9"/>
          <w:szCs w:val="19"/>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880"/>
          </w:cols>
          <w:pgMar w:left="1180" w:top="838" w:right="1180" w:bottom="0" w:gutter="0" w:footer="0" w:header="0"/>
          <w:type w:val="continuous"/>
        </w:sectPr>
      </w:pPr>
    </w:p>
    <w:bookmarkStart w:id="43" w:name="page44"/>
    <w:bookmarkEnd w:id="43"/>
    <w:p>
      <w:pPr>
        <w:ind w:right="40"/>
        <w:spacing w:after="0" w:line="259" w:lineRule="auto"/>
        <w:rPr>
          <w:sz w:val="20"/>
          <w:szCs w:val="20"/>
          <w:color w:val="auto"/>
        </w:rPr>
      </w:pPr>
      <w:r>
        <w:rPr>
          <w:rFonts w:ascii="Times New Roman" w:cs="Times New Roman" w:eastAsia="Times New Roman" w:hAnsi="Times New Roman"/>
          <w:sz w:val="20"/>
          <w:szCs w:val="20"/>
          <w:color w:val="auto"/>
        </w:rPr>
        <w:t>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 risk jurisdictions.</w:t>
      </w:r>
    </w:p>
    <w:p>
      <w:pPr>
        <w:spacing w:after="0" w:line="206"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214" w:lineRule="exact"/>
        <w:rPr>
          <w:sz w:val="20"/>
          <w:szCs w:val="20"/>
          <w:color w:val="auto"/>
        </w:rPr>
      </w:pPr>
    </w:p>
    <w:p>
      <w:pPr>
        <w:ind w:right="120" w:firstLine="360"/>
        <w:spacing w:after="0" w:line="241" w:lineRule="auto"/>
        <w:rPr>
          <w:sz w:val="20"/>
          <w:szCs w:val="20"/>
          <w:color w:val="auto"/>
        </w:rPr>
      </w:pPr>
      <w:r>
        <w:rPr>
          <w:rFonts w:ascii="Times New Roman" w:cs="Times New Roman" w:eastAsia="Times New Roman" w:hAnsi="Times New Roman"/>
          <w:sz w:val="20"/>
          <w:szCs w:val="20"/>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9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880"/>
          </w:cols>
          <w:pgMar w:left="1180" w:top="838" w:right="1180" w:bottom="0" w:gutter="0" w:footer="0" w:header="0"/>
          <w:type w:val="continuous"/>
        </w:sectPr>
      </w:pPr>
    </w:p>
    <w:bookmarkStart w:id="44" w:name="page45"/>
    <w:bookmarkEnd w:id="44"/>
    <w:p>
      <w:pPr>
        <w:ind w:right="40"/>
        <w:spacing w:after="0" w:line="260" w:lineRule="auto"/>
        <w:rPr>
          <w:sz w:val="20"/>
          <w:szCs w:val="20"/>
          <w:color w:val="auto"/>
        </w:rPr>
      </w:pPr>
      <w:r>
        <w:rPr>
          <w:rFonts w:ascii="Times New Roman" w:cs="Times New Roman" w:eastAsia="Times New Roman" w:hAnsi="Times New Roman"/>
          <w:sz w:val="20"/>
          <w:szCs w:val="20"/>
          <w:color w:val="auto"/>
        </w:rPr>
        <w:t>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impairments to long-lived assets.</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880"/>
          </w:cols>
          <w:pgMar w:left="1180" w:top="838" w:right="1180" w:bottom="0" w:gutter="0" w:footer="0" w:header="0"/>
          <w:type w:val="continuous"/>
        </w:sectPr>
      </w:pPr>
    </w:p>
    <w:bookmarkStart w:id="45" w:name="page46"/>
    <w:bookmarkEnd w:id="45"/>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9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None of our vessels have called on ports located in countries subject to comprehensive sanctions and embargoes</w:t>
      </w:r>
    </w:p>
    <w:p>
      <w:pPr>
        <w:spacing w:after="0" w:line="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imposed by the U.S. government or 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transportation regulations may increase our costs and negatively impact our results of operations.</w:t>
      </w:r>
    </w:p>
    <w:p>
      <w:pPr>
        <w:spacing w:after="0" w:line="25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04"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202"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own the land on which our projects are located and are subject to leases, rights-of-ways, easements and other property rights for our operations.</w:t>
      </w:r>
    </w:p>
    <w:p>
      <w:pPr>
        <w:spacing w:after="0" w:line="17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w:t>
      </w:r>
    </w:p>
    <w:p>
      <w:pPr>
        <w:sectPr>
          <w:pgSz w:w="12240" w:h="15840" w:orient="portrait"/>
          <w:cols w:equalWidth="0" w:num="1">
            <w:col w:w="9860"/>
          </w:cols>
          <w:pgMar w:left="1180" w:top="829" w:right="1200" w:bottom="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860"/>
          </w:cols>
          <w:pgMar w:left="1180" w:top="829" w:right="1200" w:bottom="0" w:gutter="0" w:footer="0" w:header="0"/>
          <w:type w:val="continuous"/>
        </w:sectPr>
      </w:pPr>
    </w:p>
    <w:bookmarkStart w:id="46" w:name="page47"/>
    <w:bookmarkEnd w:id="46"/>
    <w:p>
      <w:pPr>
        <w:ind w:right="160"/>
        <w:spacing w:after="0" w:line="258" w:lineRule="auto"/>
        <w:rPr>
          <w:sz w:val="20"/>
          <w:szCs w:val="20"/>
          <w:color w:val="auto"/>
        </w:rPr>
      </w:pPr>
      <w:r>
        <w:rPr>
          <w:rFonts w:ascii="Times New Roman" w:cs="Times New Roman" w:eastAsia="Times New Roman" w:hAnsi="Times New Roman"/>
          <w:sz w:val="20"/>
          <w:szCs w:val="20"/>
          <w:color w:val="auto"/>
        </w:rPr>
        <w:t>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negatively impacted by environmental, social, and governance (“ESG”) and sustainability-related matters.</w:t>
      </w:r>
    </w:p>
    <w:p>
      <w:pPr>
        <w:spacing w:after="0" w:line="25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210"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cyberattacks could affect us significantly.</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20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may be insufficient to cover losses that may occur to our property or result from our operations.</w:t>
      </w:r>
    </w:p>
    <w:p>
      <w:pPr>
        <w:spacing w:after="0" w:line="259" w:lineRule="exact"/>
        <w:rPr>
          <w:sz w:val="20"/>
          <w:szCs w:val="20"/>
          <w:color w:val="auto"/>
        </w:rPr>
      </w:pPr>
    </w:p>
    <w:p>
      <w:pPr>
        <w:ind w:right="120" w:firstLine="360"/>
        <w:spacing w:after="0" w:line="272" w:lineRule="auto"/>
        <w:rPr>
          <w:sz w:val="20"/>
          <w:szCs w:val="20"/>
          <w:color w:val="auto"/>
        </w:rPr>
      </w:pPr>
      <w:r>
        <w:rPr>
          <w:rFonts w:ascii="Times New Roman" w:cs="Times New Roman" w:eastAsia="Times New Roman" w:hAnsi="Times New Roman"/>
          <w:sz w:val="19"/>
          <w:szCs w:val="19"/>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880"/>
          </w:cols>
          <w:pgMar w:left="1180" w:top="838" w:right="1180" w:bottom="0" w:gutter="0" w:footer="0" w:header="0"/>
          <w:type w:val="continuous"/>
        </w:sectPr>
      </w:pPr>
    </w:p>
    <w:bookmarkStart w:id="47" w:name="page48"/>
    <w:bookmarkEnd w:id="47"/>
    <w:p>
      <w:pPr>
        <w:ind w:right="40"/>
        <w:spacing w:after="0" w:line="267" w:lineRule="auto"/>
        <w:rPr>
          <w:sz w:val="20"/>
          <w:szCs w:val="20"/>
          <w:color w:val="auto"/>
        </w:rPr>
      </w:pPr>
      <w:r>
        <w:rPr>
          <w:rFonts w:ascii="Times New Roman" w:cs="Times New Roman" w:eastAsia="Times New Roman" w:hAnsi="Times New Roman"/>
          <w:sz w:val="19"/>
          <w:szCs w:val="19"/>
          <w:color w:val="auto"/>
        </w:rPr>
        <w:t>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91"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key members of our management, the loss of any of whom could disrupt our business operations.</w:t>
      </w:r>
    </w:p>
    <w:p>
      <w:pPr>
        <w:spacing w:after="0" w:line="177"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20"/>
          <w:szCs w:val="20"/>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9"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ind w:firstLine="360"/>
        <w:spacing w:after="0" w:line="235" w:lineRule="auto"/>
        <w:rPr>
          <w:sz w:val="20"/>
          <w:szCs w:val="20"/>
          <w:color w:val="auto"/>
        </w:rPr>
      </w:pPr>
      <w:r>
        <w:rPr>
          <w:rFonts w:ascii="Times New Roman" w:cs="Times New Roman" w:eastAsia="Times New Roman" w:hAnsi="Times New Roman"/>
          <w:sz w:val="20"/>
          <w:szCs w:val="20"/>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w:t>
      </w:r>
    </w:p>
    <w:p>
      <w:pPr>
        <w:spacing w:after="0" w:line="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condition. In addition, jurisdiction-specific employment, labor, and subcontracting laws may affect contracting strategies and impact 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affected adversely by labor disputes, strikes or work stoppages.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880"/>
          </w:cols>
          <w:pgMar w:left="1180" w:top="838" w:right="11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Risks Related to the Jurisdictions in Which We Operate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economic, political, social and other conditions in the jurisdictions in which we operate.</w:t>
      </w:r>
    </w:p>
    <w:p>
      <w:pPr>
        <w:spacing w:after="0" w:line="259"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22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its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operating results may be adversely affected by foreign exchange fluctuations.</w:t>
      </w:r>
    </w:p>
    <w:p>
      <w:pPr>
        <w:spacing w:after="0" w:line="259" w:lineRule="exact"/>
        <w:rPr>
          <w:sz w:val="20"/>
          <w:szCs w:val="20"/>
          <w:color w:val="auto"/>
        </w:rPr>
      </w:pPr>
    </w:p>
    <w:p>
      <w:pPr>
        <w:ind w:right="120" w:firstLine="360"/>
        <w:spacing w:after="0" w:line="272" w:lineRule="auto"/>
        <w:rPr>
          <w:sz w:val="20"/>
          <w:szCs w:val="20"/>
          <w:color w:val="auto"/>
        </w:rPr>
      </w:pPr>
      <w:r>
        <w:rPr>
          <w:rFonts w:ascii="Times New Roman" w:cs="Times New Roman" w:eastAsia="Times New Roman" w:hAnsi="Times New Roman"/>
          <w:sz w:val="19"/>
          <w:szCs w:val="19"/>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880"/>
          </w:cols>
          <w:pgMar w:left="1180" w:top="831" w:right="1180" w:bottom="0" w:gutter="0" w:footer="0" w:header="0"/>
          <w:type w:val="continuous"/>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20"/>
          <w:szCs w:val="20"/>
          <w:color w:val="auto"/>
        </w:rPr>
        <w:t>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8"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Class A common stock may be volatile, which could result in rapid and substantial losses for our stockholders.</w:t>
      </w:r>
    </w:p>
    <w:p>
      <w:pPr>
        <w:spacing w:after="0" w:line="177"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08"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shift in our investor base;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those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investments, acquisitions or dispositions;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our Class A common stock;</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share price performance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markets and market sectors in which we participate.</w:t>
      </w:r>
    </w:p>
    <w:p>
      <w:pPr>
        <w:spacing w:after="0" w:line="250"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86"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Nasdaq rules and, as a result, qualify for and intend to rely on exemptions from certain corporate governance requirements.</w:t>
      </w:r>
    </w:p>
    <w:p>
      <w:pPr>
        <w:spacing w:after="0" w:line="177" w:lineRule="exact"/>
        <w:rPr>
          <w:sz w:val="20"/>
          <w:szCs w:val="20"/>
          <w:color w:val="auto"/>
        </w:rPr>
      </w:pPr>
    </w:p>
    <w:p>
      <w:pPr>
        <w:ind w:right="40" w:firstLine="360"/>
        <w:spacing w:after="0" w:line="309" w:lineRule="auto"/>
        <w:rPr>
          <w:sz w:val="20"/>
          <w:szCs w:val="20"/>
          <w:color w:val="auto"/>
        </w:rPr>
      </w:pPr>
      <w:r>
        <w:rPr>
          <w:rFonts w:ascii="Times New Roman" w:cs="Times New Roman" w:eastAsia="Times New Roman" w:hAnsi="Times New Roman"/>
          <w:sz w:val="19"/>
          <w:szCs w:val="19"/>
          <w:color w:val="auto"/>
        </w:rPr>
        <w:t>Affiliates of certain entities controlled by Wesley R. Edens, Randal A. Nardone and affiliates of Fortress Investment Group LLC (“Founder Entities”), together with affiliates of Energy Transition Holdings LLC, hold a majority of the voting</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880"/>
          </w:cols>
          <w:pgMar w:left="1180" w:top="838" w:right="1180" w:bottom="0" w:gutter="0" w:footer="0" w:header="0"/>
          <w:type w:val="continuous"/>
        </w:sectPr>
      </w:pPr>
    </w:p>
    <w:bookmarkStart w:id="50" w:name="page51"/>
    <w:bookmarkEnd w:id="50"/>
    <w:p>
      <w:pPr>
        <w:ind w:right="20"/>
        <w:spacing w:after="0" w:line="253" w:lineRule="auto"/>
        <w:rPr>
          <w:sz w:val="20"/>
          <w:szCs w:val="20"/>
          <w:color w:val="auto"/>
        </w:rPr>
      </w:pPr>
      <w:r>
        <w:rPr>
          <w:rFonts w:ascii="Times New Roman" w:cs="Times New Roman" w:eastAsia="Times New Roman" w:hAnsi="Times New Roman"/>
          <w:sz w:val="20"/>
          <w:szCs w:val="20"/>
          <w:color w:val="auto"/>
        </w:rPr>
        <w:t>power of our stock. In addition, pursuant to the Shareholders’ Agreement, dated as of February 4, 2019, by and among the 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December 31, 2023 hold approximately 12.5%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13"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board of directors consist of independent directors as defined under the rules of Nasdaq;</w:t>
      </w:r>
    </w:p>
    <w:p>
      <w:pPr>
        <w:spacing w:after="0" w:line="25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nominating and governance committee be composed entirely of independent directors with a written charter addressing the committee’s purpose and responsibilities; and</w:t>
      </w:r>
    </w:p>
    <w:p>
      <w:pPr>
        <w:spacing w:after="0" w:line="181"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committee be composed entirely of independent directors with a written charter addressing the committee’s purpose and responsibilities.</w:t>
      </w:r>
    </w:p>
    <w:p>
      <w:pPr>
        <w:spacing w:after="0" w:line="181"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95" w:lineRule="exact"/>
        <w:rPr>
          <w:sz w:val="20"/>
          <w:szCs w:val="20"/>
          <w:color w:val="auto"/>
        </w:rPr>
      </w:pPr>
    </w:p>
    <w:p>
      <w:pPr>
        <w:ind w:right="66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small number of our original investors have the ability to direct the voting of a majority of our stock, and their interests may conflict with those of our other stockholders.</w:t>
      </w:r>
    </w:p>
    <w:p>
      <w:pPr>
        <w:spacing w:after="0" w:line="17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2023, affiliates of the Founder Entities own an aggregate of approximately 87,136,768 shares of Class A common stock, representing approximately 42.5% of our voting power, and affiliates of Energy Transition Holdings LLC, party to the Shareholders' Agreement, own an aggregate of approximately 25,559,846 shares of our Class A common stock, representing approximately 12.5%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13"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880"/>
          </w:cols>
          <w:pgMar w:left="1180" w:top="838" w:right="1180" w:bottom="0" w:gutter="0" w:footer="0" w:header="0"/>
          <w:type w:val="continuous"/>
        </w:sectPr>
      </w:pPr>
    </w:p>
    <w:bookmarkStart w:id="51" w:name="page52"/>
    <w:bookmarkEnd w:id="51"/>
    <w:p>
      <w:pPr>
        <w:ind w:right="340" w:firstLine="2"/>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2" w:lineRule="exact"/>
        <w:rPr>
          <w:sz w:val="20"/>
          <w:szCs w:val="20"/>
          <w:color w:val="auto"/>
        </w:rPr>
      </w:pPr>
    </w:p>
    <w:p>
      <w:pPr>
        <w:ind w:firstLine="360"/>
        <w:spacing w:after="0" w:line="236" w:lineRule="auto"/>
        <w:rPr>
          <w:sz w:val="20"/>
          <w:szCs w:val="20"/>
          <w:color w:val="auto"/>
        </w:rPr>
      </w:pPr>
      <w:r>
        <w:rPr>
          <w:rFonts w:ascii="Times New Roman" w:cs="Times New Roman" w:eastAsia="Times New Roman" w:hAnsi="Times New Roman"/>
          <w:sz w:val="20"/>
          <w:szCs w:val="20"/>
          <w:color w:val="auto"/>
        </w:rPr>
        <w:t>Our Certificate of Incorporation and By-Laws authorize our board of directors to issue preferred stock (including the Series A Convertible Preferred Stock to be issued upon closing of the Barcarena PPA Exchange)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06"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dividing our board of directors into three classes of directors, with each class serving staggered three-year terms;</w:t>
      </w:r>
    </w:p>
    <w:p>
      <w:pPr>
        <w:spacing w:after="0" w:line="250" w:lineRule="exact"/>
        <w:rPr>
          <w:rFonts w:ascii="Times New Roman" w:cs="Times New Roman" w:eastAsia="Times New Roman" w:hAnsi="Times New Roman"/>
          <w:sz w:val="20"/>
          <w:szCs w:val="20"/>
          <w:color w:val="auto"/>
        </w:rPr>
      </w:pPr>
    </w:p>
    <w:p>
      <w:pPr>
        <w:jc w:val="both"/>
        <w:ind w:left="720" w:right="40" w:hanging="366"/>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95" w:lineRule="exact"/>
        <w:rPr>
          <w:rFonts w:ascii="Times New Roman" w:cs="Times New Roman" w:eastAsia="Times New Roman" w:hAnsi="Times New Roman"/>
          <w:sz w:val="20"/>
          <w:szCs w:val="20"/>
          <w:color w:val="auto"/>
        </w:rPr>
      </w:pPr>
    </w:p>
    <w:p>
      <w:pPr>
        <w:jc w:val="both"/>
        <w:ind w:left="720" w:right="40" w:hanging="366"/>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9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cumulative voting in the election of directors;</w:t>
      </w:r>
    </w:p>
    <w:p>
      <w:pPr>
        <w:spacing w:after="0" w:line="250" w:lineRule="exact"/>
        <w:rPr>
          <w:rFonts w:ascii="Times New Roman" w:cs="Times New Roman" w:eastAsia="Times New Roman" w:hAnsi="Times New Roman"/>
          <w:sz w:val="20"/>
          <w:szCs w:val="20"/>
          <w:color w:val="auto"/>
        </w:rPr>
      </w:pPr>
    </w:p>
    <w:p>
      <w:pPr>
        <w:ind w:left="720" w:right="360" w:hanging="366"/>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provisions for stockholder proposals and nominations for elections to the board of directors to be acted upon at meetings of the stockholders; and</w:t>
      </w:r>
    </w:p>
    <w:p>
      <w:pPr>
        <w:spacing w:after="0" w:line="181" w:lineRule="exact"/>
        <w:rPr>
          <w:rFonts w:ascii="Times New Roman" w:cs="Times New Roman" w:eastAsia="Times New Roman" w:hAnsi="Times New Roman"/>
          <w:sz w:val="20"/>
          <w:szCs w:val="20"/>
          <w:color w:val="auto"/>
        </w:rPr>
      </w:pPr>
    </w:p>
    <w:p>
      <w:pPr>
        <w:ind w:left="720" w:right="60" w:hanging="366"/>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the board of directors is expressly authorized to adopt, or to alter or repeal certain provisions of our organizational documents to the extent permitted by law.</w:t>
      </w:r>
    </w:p>
    <w:p>
      <w:pPr>
        <w:spacing w:after="0" w:line="181"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9"/>
          <w:szCs w:val="19"/>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87" w:lineRule="exact"/>
        <w:rPr>
          <w:sz w:val="20"/>
          <w:szCs w:val="20"/>
          <w:color w:val="auto"/>
        </w:rPr>
      </w:pPr>
    </w:p>
    <w:p>
      <w:pPr>
        <w:ind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w:t>
      </w:r>
    </w:p>
    <w:p>
      <w:pPr>
        <w:sectPr>
          <w:pgSz w:w="12240" w:h="15840" w:orient="portrait"/>
          <w:cols w:equalWidth="0" w:num="1">
            <w:col w:w="9880"/>
          </w:cols>
          <w:pgMar w:left="1180" w:top="829" w:right="118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880"/>
          </w:cols>
          <w:pgMar w:left="1180" w:top="829" w:right="1180" w:bottom="0" w:gutter="0" w:footer="0" w:header="0"/>
          <w:type w:val="continuous"/>
        </w:sectPr>
      </w:pPr>
    </w:p>
    <w:bookmarkStart w:id="52" w:name="page53"/>
    <w:bookmarkEnd w:id="52"/>
    <w:p>
      <w:pPr>
        <w:ind w:right="320"/>
        <w:spacing w:after="0" w:line="281" w:lineRule="auto"/>
        <w:rPr>
          <w:sz w:val="20"/>
          <w:szCs w:val="20"/>
          <w:color w:val="auto"/>
        </w:rPr>
      </w:pPr>
      <w:r>
        <w:rPr>
          <w:rFonts w:ascii="Times New Roman" w:cs="Times New Roman" w:eastAsia="Times New Roman" w:hAnsi="Times New Roman"/>
          <w:sz w:val="20"/>
          <w:szCs w:val="20"/>
          <w:color w:val="auto"/>
        </w:rPr>
        <w:t>or proceedings, we may incur additional costs associated with resolving such matters in other jurisdictions, which could adversely affect our business, financial condition, results of operations or prospects.</w:t>
      </w:r>
    </w:p>
    <w:p>
      <w:pPr>
        <w:spacing w:after="0" w:line="172" w:lineRule="exact"/>
        <w:rPr>
          <w:sz w:val="20"/>
          <w:szCs w:val="20"/>
          <w:color w:val="auto"/>
        </w:rPr>
      </w:pPr>
    </w:p>
    <w:p>
      <w:pPr>
        <w:ind w:right="12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9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04" w:lineRule="exact"/>
        <w:rPr>
          <w:sz w:val="20"/>
          <w:szCs w:val="20"/>
          <w:color w:val="auto"/>
        </w:rPr>
      </w:pPr>
    </w:p>
    <w:p>
      <w:pPr>
        <w:ind w:right="200" w:firstLine="2"/>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01"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have incurred and may in the future incur or issue debt or issue equity or equity-related securities to finance our operations, acquisitions or investments. Upon our liquidation, lenders and holders of our debt and holders of our preferred stock, such as the Series A Convertible Preferred Stock to be issued upon closing of the Barcarena PPA Exchange,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such as the Series A Convertible Preferred Stock,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and the Series A Convertible Preferred Stock will, have a preference on distribution payments, periodically or upon liquidation, which could eliminate or otherwise limit our ability to make distributions to Class A common stockholders. Because our decision to incur or issue additional debt or equity or equity-related securities (other than the Series A Convertible Preferred Stock, which will be issued upon satisfaction of the closing conditions for the Barcarena PPA Exchange)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04" w:lineRule="exact"/>
        <w:rPr>
          <w:sz w:val="20"/>
          <w:szCs w:val="20"/>
          <w:color w:val="auto"/>
        </w:rPr>
      </w:pPr>
    </w:p>
    <w:p>
      <w:pPr>
        <w:ind w:right="64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preferred stock, the terms of which could adversely affect the voting power or value of our Class A common stock.</w:t>
      </w:r>
    </w:p>
    <w:p>
      <w:pPr>
        <w:spacing w:after="0" w:line="177" w:lineRule="exact"/>
        <w:rPr>
          <w:sz w:val="20"/>
          <w:szCs w:val="20"/>
          <w:color w:val="auto"/>
        </w:rPr>
      </w:pPr>
    </w:p>
    <w:p>
      <w:pPr>
        <w:ind w:right="80" w:firstLine="720"/>
        <w:spacing w:after="0" w:line="237" w:lineRule="auto"/>
        <w:rPr>
          <w:sz w:val="20"/>
          <w:szCs w:val="20"/>
          <w:color w:val="auto"/>
        </w:rPr>
      </w:pPr>
      <w:r>
        <w:rPr>
          <w:rFonts w:ascii="Times New Roman" w:cs="Times New Roman" w:eastAsia="Times New Roman" w:hAnsi="Times New Roman"/>
          <w:sz w:val="20"/>
          <w:szCs w:val="20"/>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As part of the Barcarena PPA Exchange, we agreed to issue approximately 125,000 shares of the Series A Convertible Preferred Stock upon the satisfaction of the closing conditions for the Barcarena PPA Exchange. The terms of the Series A Convertible Preferred Stock or one or more classes or series of other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 For example, each share of the Series A Convertible Preferred Stock will, if issued, have a liquidation preference of $1,000.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or issuances of our Class A common stock could adversely affect the market price of our Class A common stock.</w:t>
      </w:r>
    </w:p>
    <w:p>
      <w:pPr>
        <w:spacing w:after="0" w:line="259" w:lineRule="exact"/>
        <w:rPr>
          <w:sz w:val="20"/>
          <w:szCs w:val="20"/>
          <w:color w:val="auto"/>
        </w:rPr>
      </w:pPr>
    </w:p>
    <w:p>
      <w:pPr>
        <w:ind w:firstLine="360"/>
        <w:spacing w:after="0" w:line="309" w:lineRule="auto"/>
        <w:rPr>
          <w:sz w:val="20"/>
          <w:szCs w:val="20"/>
          <w:color w:val="auto"/>
        </w:rPr>
      </w:pPr>
      <w:r>
        <w:rPr>
          <w:rFonts w:ascii="Times New Roman" w:cs="Times New Roman" w:eastAsia="Times New Roman" w:hAnsi="Times New Roman"/>
          <w:sz w:val="19"/>
          <w:szCs w:val="19"/>
          <w:color w:val="auto"/>
        </w:rPr>
        <w:t>Sales of substantial amounts of our Class A common stock in the public market, or the perception that such sales might occur, could adversely affect the market price of our Class A common stock. The issuance of our Class A common stock in</w:t>
      </w:r>
    </w:p>
    <w:p>
      <w:pPr>
        <w:sectPr>
          <w:pgSz w:w="12240" w:h="15840" w:orient="portrait"/>
          <w:cols w:equalWidth="0" w:num="1">
            <w:col w:w="9880"/>
          </w:cols>
          <w:pgMar w:left="1180" w:top="838" w:right="1180" w:bottom="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880"/>
          </w:cols>
          <w:pgMar w:left="1180" w:top="838" w:right="1180" w:bottom="0" w:gutter="0" w:footer="0" w:header="0"/>
          <w:type w:val="continuous"/>
        </w:sectPr>
      </w:pPr>
    </w:p>
    <w:bookmarkStart w:id="53" w:name="page54"/>
    <w:bookmarkEnd w:id="53"/>
    <w:p>
      <w:pPr>
        <w:ind w:right="180"/>
        <w:spacing w:after="0" w:line="281" w:lineRule="auto"/>
        <w:rPr>
          <w:sz w:val="20"/>
          <w:szCs w:val="20"/>
          <w:color w:val="auto"/>
        </w:rPr>
      </w:pPr>
      <w:r>
        <w:rPr>
          <w:rFonts w:ascii="Times New Roman" w:cs="Times New Roman" w:eastAsia="Times New Roman" w:hAnsi="Times New Roman"/>
          <w:sz w:val="20"/>
          <w:szCs w:val="20"/>
          <w:color w:val="auto"/>
        </w:rPr>
        <w:t>connection with property, portfolio or business acquisitions or the exercise of outstanding options or otherwise could also have an adverse effect on the market price of our Class A common stock.</w:t>
      </w:r>
    </w:p>
    <w:p>
      <w:pPr>
        <w:spacing w:after="0" w:line="172" w:lineRule="exact"/>
        <w:rPr>
          <w:sz w:val="20"/>
          <w:szCs w:val="20"/>
          <w:color w:val="auto"/>
        </w:rPr>
      </w:pPr>
    </w:p>
    <w:p>
      <w:pPr>
        <w:ind w:right="10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active, liquid and orderly trading market for our Class A common stock may not be maintained and the price of our Class A common stock may fluctuate significantly.</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48" w:lineRule="exact"/>
        <w:rPr>
          <w:sz w:val="20"/>
          <w:szCs w:val="20"/>
          <w:color w:val="auto"/>
        </w:rPr>
      </w:pPr>
    </w:p>
    <w:p>
      <w:pPr>
        <w:ind w:right="22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204" w:lineRule="exact"/>
        <w:rPr>
          <w:sz w:val="20"/>
          <w:szCs w:val="20"/>
          <w:color w:val="auto"/>
        </w:rPr>
      </w:pPr>
    </w:p>
    <w:p>
      <w:pPr>
        <w:jc w:val="both"/>
        <w:ind w:right="24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96"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in tax laws in any country in which we operate could adversely affect us.</w:t>
      </w:r>
    </w:p>
    <w:p>
      <w:pPr>
        <w:spacing w:after="0" w:line="259"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19"/>
          <w:szCs w:val="19"/>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w:t>
      </w:r>
    </w:p>
    <w:p>
      <w:pPr>
        <w:sectPr>
          <w:pgSz w:w="12240" w:h="15840" w:orient="portrait"/>
          <w:cols w:equalWidth="0" w:num="1">
            <w:col w:w="9880"/>
          </w:cols>
          <w:pgMar w:left="1180" w:top="838" w:right="1180" w:bottom="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880"/>
          </w:cols>
          <w:pgMar w:left="1180" w:top="838" w:right="1180" w:bottom="0" w:gutter="0" w:footer="0" w:header="0"/>
          <w:type w:val="continuous"/>
        </w:sectPr>
      </w:pPr>
    </w:p>
    <w:bookmarkStart w:id="54" w:name="page55"/>
    <w:bookmarkEnd w:id="54"/>
    <w:p>
      <w:pPr>
        <w:ind w:right="60"/>
        <w:spacing w:after="0" w:line="241" w:lineRule="auto"/>
        <w:rPr>
          <w:sz w:val="20"/>
          <w:szCs w:val="20"/>
          <w:color w:val="auto"/>
        </w:rPr>
      </w:pPr>
      <w:r>
        <w:rPr>
          <w:rFonts w:ascii="Times New Roman" w:cs="Times New Roman" w:eastAsia="Times New Roman" w:hAnsi="Times New Roman"/>
          <w:sz w:val="20"/>
          <w:szCs w:val="20"/>
          <w:color w:val="auto"/>
        </w:rPr>
        <w:t>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been and may be involved in legal proceedings and may experience unfavorable outcomes.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have been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200" w:lineRule="exact"/>
        <w:rPr>
          <w:sz w:val="20"/>
          <w:szCs w:val="20"/>
          <w:color w:val="auto"/>
        </w:rPr>
      </w:pPr>
    </w:p>
    <w:p>
      <w:pPr>
        <w:ind w:right="8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9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04"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96" w:lineRule="exact"/>
        <w:rPr>
          <w:sz w:val="20"/>
          <w:szCs w:val="20"/>
          <w:color w:val="auto"/>
        </w:rPr>
      </w:pPr>
    </w:p>
    <w:p>
      <w:pPr>
        <w:ind w:firstLine="270"/>
        <w:spacing w:after="0" w:line="260"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94" w:lineRule="exact"/>
        <w:rPr>
          <w:sz w:val="20"/>
          <w:szCs w:val="20"/>
          <w:color w:val="auto"/>
        </w:rPr>
      </w:pPr>
    </w:p>
    <w:p>
      <w:pPr>
        <w:jc w:val="both"/>
        <w:ind w:right="26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unable to predict the extent to which global pandemics and health crises will negatively affect our operations, financial performance, nor our ability to achieve our strategic objectives. We are also unable to predict how a global pandemic may affect our customers and suppliers.</w:t>
      </w:r>
    </w:p>
    <w:p>
      <w:pPr>
        <w:spacing w:after="0" w:line="19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COVID-19 pandemic caused economic disruptions in various regions, disruptions in global supply chains, significant volatility and disruption of financial markets and in the price of oil and other commodities.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may be taken in response to the pandemic (including restrictions on travel and transport 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w:t>
      </w:r>
    </w:p>
    <w:p>
      <w:pPr>
        <w:sectPr>
          <w:pgSz w:w="12240" w:h="15840" w:orient="portrait"/>
          <w:cols w:equalWidth="0" w:num="1">
            <w:col w:w="9880"/>
          </w:cols>
          <w:pgMar w:left="1180" w:top="838" w:right="1180" w:bottom="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880"/>
          </w:cols>
          <w:pgMar w:left="1180" w:top="838" w:right="1180" w:bottom="0" w:gutter="0" w:footer="0" w:header="0"/>
          <w:type w:val="continuous"/>
        </w:sectPr>
      </w:pPr>
    </w:p>
    <w:bookmarkStart w:id="55" w:name="page56"/>
    <w:bookmarkEnd w:id="55"/>
    <w:p>
      <w:pPr>
        <w:spacing w:after="0" w:line="252" w:lineRule="auto"/>
        <w:rPr>
          <w:sz w:val="20"/>
          <w:szCs w:val="20"/>
          <w:color w:val="auto"/>
        </w:rPr>
      </w:pPr>
      <w:r>
        <w:rPr>
          <w:rFonts w:ascii="Times New Roman" w:cs="Times New Roman" w:eastAsia="Times New Roman" w:hAnsi="Times New Roman"/>
          <w:sz w:val="20"/>
          <w:szCs w:val="20"/>
          <w:color w:val="auto"/>
        </w:rPr>
        <w:t>recovery when the pandemic or crisis subsides. Our operations, financial performance and financial condition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0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Company assesses risks from cybersecurity threats, monitors its information systems for potential vulnerabilities and tests those systems pursuant to the Company’s cybersecurity standards, processes and practices, which are integrated into the Company’s overall risk management processes. To protect the Company’s information systems from cybersecurity threats, including those related to third-party service providers, the Company uses various security tools, such as third party vendors that help the Company identify, escalate, investigate, resolve and recover from security incidents in a timely manner. The Company’s cybersecurity procedures and standards are reviewed and overseen by the Company’s cybersecurity group.</w:t>
      </w:r>
    </w:p>
    <w:p>
      <w:pPr>
        <w:spacing w:after="0" w:line="21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cybersecurity group holds periodic meetings and reviews metrics it deems appropriate, including any incidents and threats, and the current state of cybersecurity issues and threats in the industry. These efforts include developing a threat model that assesses potential damage to the Company’s business and the likelihood of threat. We test the risk prioritization rankings of our threat model with external data about breaches and incidents reported by governmental agencies, including the Cybersecurity and Infrastructure Security Agency and National Security Agency. The Company partners with third parties to assess the effectiveness of our cybersecurity prevention and response systems and processes as needed.</w:t>
      </w:r>
    </w:p>
    <w:p>
      <w:pPr>
        <w:spacing w:after="0" w:line="210"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For high priority incidents, the cybersecurity group will manage a risk-appropriate response, which may include the use of third-party vendors to support any investigation, response, and remediation efforts. Updates regarding any incidents are provided to management as appropriate.</w:t>
      </w:r>
    </w:p>
    <w:p>
      <w:pPr>
        <w:spacing w:after="0" w:line="195"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2023, the Company is not aware of any cybersecurity incidents or threats that materially affected our business,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ind w:right="40" w:firstLine="270"/>
        <w:spacing w:after="0" w:line="255" w:lineRule="auto"/>
        <w:rPr>
          <w:sz w:val="20"/>
          <w:szCs w:val="20"/>
          <w:color w:val="auto"/>
        </w:rPr>
      </w:pPr>
      <w:r>
        <w:rPr>
          <w:rFonts w:ascii="Times New Roman" w:cs="Times New Roman" w:eastAsia="Times New Roman" w:hAnsi="Times New Roman"/>
          <w:sz w:val="20"/>
          <w:szCs w:val="20"/>
          <w:color w:val="auto"/>
        </w:rPr>
        <w:t>Management oversees the Company’s risk management process, including cybersecurity risks, and receives updates regarding any cybersecurity incidents directly from the cybersecurity group as appropriate. The cybersecurity group is led by the Chief Technology Officer, who has over 15 years of experience in information security. Management will evaluate any cybersecurity risks, concerns and issues and determine whether to escalate such issues to the Board or any of its committees. Our Board is responsible for the oversight of management as well as the business and affairs of the Company. In carrying out this responsibility, the Board discusses and receives regular updates on a wide variety of matters affecting the Company.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880"/>
          </w:cols>
          <w:pgMar w:left="1180" w:top="838" w:right="11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Risks</w:t>
      </w:r>
    </w:p>
    <w:p>
      <w:pPr>
        <w:spacing w:after="0" w:line="257"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Please see the risk factor captioned "Information technology failures and cyberattacks could affect us significantly” in Part I, Item 1A. “Risk Factors” for additional description of cybersecurity risks and potential related impacts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40"/>
          </w:cols>
          <w:pgMar w:left="1180" w:top="83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840"/>
          </w:cols>
          <w:pgMar w:left="1180" w:top="831" w:right="1220" w:bottom="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360" w:right="60" w:hanging="359"/>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Shareholder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“NFE.” On February 26, 2024, there were eight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declared and paid quarterly dividends of $0.10 per share totaling $81,976 during the year ended December 31, 2023. Additionally, on December 12, 2022, our Board of Directors approved an update to our dividend policy. In connection with the dividend policy update, the Board declared a dividend of $626.3 million, representing $3.00 per Class A share, which was paid in January 2023.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 In the third quarter of 2023, our Board of Directors reinstated a dividend policy targeting a quarterly dividend of $0.10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Performance Graph</w:t>
      </w:r>
    </w:p>
    <w:p>
      <w:pPr>
        <w:spacing w:after="0" w:line="257" w:lineRule="exact"/>
        <w:rPr>
          <w:sz w:val="20"/>
          <w:szCs w:val="20"/>
          <w:color w:val="auto"/>
        </w:rPr>
      </w:pPr>
    </w:p>
    <w:p>
      <w:pPr>
        <w:ind w:right="40" w:firstLine="236"/>
        <w:spacing w:after="0" w:line="254" w:lineRule="auto"/>
        <w:rPr>
          <w:sz w:val="20"/>
          <w:szCs w:val="20"/>
          <w:color w:val="auto"/>
        </w:rPr>
      </w:pPr>
      <w:r>
        <w:rPr>
          <w:rFonts w:ascii="Times New Roman" w:cs="Times New Roman" w:eastAsia="Times New Roman" w:hAnsi="Times New Roman"/>
          <w:sz w:val="20"/>
          <w:szCs w:val="20"/>
          <w:color w:val="auto"/>
        </w:rPr>
        <w:t>The following graph compares the cumulative total return to shareholders on our Class A common stock relative to the S&amp;P 500, iShares Global Clean Energy ETF Index (“ICLN”), Vanguard Energy ETF (“VDE”), Energy Select Sector SPDR Fund ("XLE"), including reinvestment of dividends. The addition of XLE reflects that as a global energy infrastructure company, our common stock can trade in correlation with global oil, gas and consumable fuel companies, and such companies are the components of XLE.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213"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19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880"/>
          </w:cols>
          <w:pgMar w:left="1180" w:top="831" w:right="1180" w:bottom="0" w:gutter="0" w:footer="0" w:header="0"/>
          <w:type w:val="continuous"/>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730250</wp:posOffset>
            </wp:positionH>
            <wp:positionV relativeFrom="page">
              <wp:posOffset>571500</wp:posOffset>
            </wp:positionV>
            <wp:extent cx="6950075" cy="5172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950075" cy="517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Cumulative Total Return Percentage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2644775</wp:posOffset>
                </wp:positionH>
                <wp:positionV relativeFrom="paragraph">
                  <wp:posOffset>23495</wp:posOffset>
                </wp:positionV>
                <wp:extent cx="0" cy="12795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25pt,1.85pt" to="208.2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3359150</wp:posOffset>
                </wp:positionH>
                <wp:positionV relativeFrom="paragraph">
                  <wp:posOffset>23495</wp:posOffset>
                </wp:positionV>
                <wp:extent cx="0" cy="127952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5pt,1.85pt" to="264.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23495</wp:posOffset>
                </wp:positionV>
                <wp:extent cx="0" cy="127952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1.85pt" to="320.7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4787900</wp:posOffset>
                </wp:positionH>
                <wp:positionV relativeFrom="paragraph">
                  <wp:posOffset>23495</wp:posOffset>
                </wp:positionV>
                <wp:extent cx="0" cy="127952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1.85pt" to="377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23495</wp:posOffset>
                </wp:positionV>
                <wp:extent cx="0" cy="12795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1.85pt" to="433.2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6216650</wp:posOffset>
                </wp:positionH>
                <wp:positionV relativeFrom="paragraph">
                  <wp:posOffset>23495</wp:posOffset>
                </wp:positionV>
                <wp:extent cx="0" cy="127952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5pt,1.85pt" to="489.5pt,102.6pt" o:allowincell="f" strokecolor="#000000" strokeweight="0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Borders>
              <w:top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Company / Index</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January 31,</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4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auto"/>
              <w:right w:val="single" w:sz="8" w:color="auto"/>
            </w:tcBorders>
            <w:gridSpan w:val="2"/>
            <w:vMerge w:val="continue"/>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0"/>
                <w:szCs w:val="20"/>
                <w:color w:val="auto"/>
                <w:w w:val="89"/>
              </w:rPr>
              <w:t>2019</w:t>
            </w:r>
            <w:r>
              <w:rPr>
                <w:rFonts w:ascii="Times New Roman" w:cs="Times New Roman" w:eastAsia="Times New Roman" w:hAnsi="Times New Roman"/>
                <w:sz w:val="26"/>
                <w:szCs w:val="26"/>
                <w:color w:val="auto"/>
                <w:w w:val="89"/>
                <w:vertAlign w:val="superscript"/>
              </w:rPr>
              <w:t>(1)</w:t>
            </w:r>
          </w:p>
        </w:tc>
        <w:tc>
          <w:tcPr>
            <w:tcW w:w="112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2019</w:t>
            </w:r>
            <w:r>
              <w:rPr>
                <w:rFonts w:ascii="Times New Roman" w:cs="Times New Roman" w:eastAsia="Times New Roman" w:hAnsi="Times New Roman"/>
                <w:sz w:val="26"/>
                <w:szCs w:val="26"/>
                <w:color w:val="auto"/>
                <w:vertAlign w:val="superscript"/>
              </w:rPr>
              <w:t>(2)</w:t>
            </w:r>
          </w:p>
        </w:tc>
        <w:tc>
          <w:tcPr>
            <w:tcW w:w="114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2020</w:t>
            </w:r>
            <w:r>
              <w:rPr>
                <w:rFonts w:ascii="Times New Roman" w:cs="Times New Roman" w:eastAsia="Times New Roman" w:hAnsi="Times New Roman"/>
                <w:sz w:val="26"/>
                <w:szCs w:val="26"/>
                <w:color w:val="auto"/>
                <w:vertAlign w:val="superscript"/>
              </w:rPr>
              <w:t>(2)</w:t>
            </w:r>
          </w:p>
        </w:tc>
        <w:tc>
          <w:tcPr>
            <w:tcW w:w="112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2021</w:t>
            </w:r>
            <w:r>
              <w:rPr>
                <w:rFonts w:ascii="Times New Roman" w:cs="Times New Roman" w:eastAsia="Times New Roman" w:hAnsi="Times New Roman"/>
                <w:sz w:val="26"/>
                <w:szCs w:val="26"/>
                <w:color w:val="auto"/>
                <w:vertAlign w:val="superscript"/>
              </w:rPr>
              <w:t>(2)</w:t>
            </w:r>
          </w:p>
        </w:tc>
        <w:tc>
          <w:tcPr>
            <w:tcW w:w="112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2022</w:t>
            </w:r>
            <w:r>
              <w:rPr>
                <w:rFonts w:ascii="Times New Roman" w:cs="Times New Roman" w:eastAsia="Times New Roman" w:hAnsi="Times New Roman"/>
                <w:sz w:val="26"/>
                <w:szCs w:val="26"/>
                <w:color w:val="auto"/>
                <w:vertAlign w:val="superscript"/>
              </w:rPr>
              <w:t>(2)</w:t>
            </w:r>
          </w:p>
        </w:tc>
        <w:tc>
          <w:tcPr>
            <w:tcW w:w="1120" w:type="dxa"/>
            <w:vAlign w:val="bottom"/>
            <w:tcBorders>
              <w:bottom w:val="single" w:sz="8" w:color="auto"/>
            </w:tcBorders>
          </w:tcPr>
          <w:p>
            <w:pPr>
              <w:jc w:val="right"/>
              <w:ind w:right="200"/>
              <w:spacing w:after="0" w:line="263" w:lineRule="exact"/>
              <w:rPr>
                <w:sz w:val="20"/>
                <w:szCs w:val="20"/>
                <w:color w:val="auto"/>
              </w:rPr>
            </w:pPr>
            <w:r>
              <w:rPr>
                <w:rFonts w:ascii="Times New Roman" w:cs="Times New Roman" w:eastAsia="Times New Roman" w:hAnsi="Times New Roman"/>
                <w:sz w:val="20"/>
                <w:szCs w:val="20"/>
                <w:color w:val="auto"/>
              </w:rPr>
              <w:t>2023</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NFE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19.9%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312.4%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88.0%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233.6%</w:t>
            </w: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225.4%</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S&amp;P 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21.7%</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44.1%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85.4%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51.8%</w:t>
            </w: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91.7%</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iShares Global Clean Energy ETF Index ("ICLN")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25.6%</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203.8%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130.3%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117.9%</w:t>
            </w: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73.5%</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Energy Select Sector SPDR Fund ("XLE")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4.0%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70.7%</w:t>
            </w: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69.6%</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Vanguard Energy ETF ("VDE")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(34.5)%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66.6%</w:t>
            </w: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417"/>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Date of the IPO</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78"/>
              </w:rPr>
              <w:t>(2)</w:t>
            </w: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Last trading day of the month</w:t>
            </w:r>
          </w:p>
        </w:tc>
        <w:tc>
          <w:tcPr>
            <w:tcW w:w="0" w:type="dxa"/>
            <w:vAlign w:val="bottom"/>
          </w:tcPr>
          <w:p>
            <w:pPr>
              <w:spacing w:after="0"/>
              <w:rPr>
                <w:sz w:val="1"/>
                <w:szCs w:val="1"/>
                <w:color w:val="auto"/>
              </w:rPr>
            </w:pPr>
          </w:p>
        </w:tc>
      </w:tr>
      <w:tr>
        <w:trPr>
          <w:trHeight w:val="97"/>
        </w:trPr>
        <w:tc>
          <w:tcPr>
            <w:tcW w:w="24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920"/>
          </w:cols>
          <w:pgMar w:left="1160" w:top="1440" w:right="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10920"/>
          </w:cols>
          <w:pgMar w:left="1160" w:top="1440" w:right="16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99" w:lineRule="exact"/>
        <w:rPr>
          <w:sz w:val="20"/>
          <w:szCs w:val="20"/>
          <w:color w:val="auto"/>
        </w:rPr>
      </w:pPr>
    </w:p>
    <w:p>
      <w:pPr>
        <w:ind w:right="20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96"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comparison of the years ended December 31, 2022 and 2021 can be found in our Annual Report on Form 10-K for the year ended December 31, 2022 located within “Part II, Item 7. Management’s Discussion and Analysis of Financial Condition and Results of Operations.”</w:t>
      </w:r>
    </w:p>
    <w:p>
      <w:pPr>
        <w:spacing w:after="0" w:line="190"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following information should be read in conjunction with our audited consolidated financial statements and accompanying notes included elsewhere in this Annual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202"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this Annual Report, “Items 1 and 2: Business and Properties” under “Sustainability—Toward a Low Carbon Future.”</w:t>
      </w:r>
    </w:p>
    <w:p>
      <w:pPr>
        <w:spacing w:after="0" w:line="209"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Our chief operating decision maker makes resource allocation decisions and assesses performance on the basis of two operating segments, Terminals and Infrastructure and Ships.</w:t>
      </w:r>
    </w:p>
    <w:p>
      <w:pPr>
        <w:spacing w:after="0" w:line="181" w:lineRule="exact"/>
        <w:rPr>
          <w:sz w:val="20"/>
          <w:szCs w:val="20"/>
          <w:color w:val="auto"/>
        </w:rPr>
      </w:pPr>
    </w:p>
    <w:p>
      <w:pPr>
        <w:ind w:right="160" w:firstLine="360"/>
        <w:spacing w:after="0" w:line="270" w:lineRule="auto"/>
        <w:rPr>
          <w:sz w:val="20"/>
          <w:szCs w:val="20"/>
          <w:color w:val="auto"/>
        </w:rPr>
      </w:pPr>
      <w:r>
        <w:rPr>
          <w:rFonts w:ascii="Times New Roman" w:cs="Times New Roman" w:eastAsia="Times New Roman" w:hAnsi="Times New Roman"/>
          <w:sz w:val="19"/>
          <w:szCs w:val="19"/>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Upon the completion of commissioning in 2024, we expect to begin to source a portion of our LNG from our modular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spacing w:after="0" w:line="194"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20"/>
          <w:szCs w:val="20"/>
          <w:color w:val="auto"/>
        </w:rPr>
        <w:t>Our Ships segment includes all vessels which are leased to customers under long-term arrangements. The Company’s investment in Energos (defined below) is also included in the Ships segment. Over time, we expect to utilize these vessels in our own terminal operations as charter agreements for these vessels expire.</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880"/>
          </w:cols>
          <w:pgMar w:left="1180" w:top="831" w:right="11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Our Current Operations – Terminals and Infrastructure</w:t>
      </w:r>
    </w:p>
    <w:p>
      <w:pPr>
        <w:spacing w:after="0" w:line="25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Our management team has successfully employed our strategy to secure long-term contracts with significant customers, including Jamaica Public Service Company Limited (“JPS”), the sole public utility in Jamaica, South Jamaica Power Company Limited (“SJPC”), an affiliate of JPS, Jamalco, a bauxite mining and alumina producer in Jamaica,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Montego Bay Facility</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60,000 MMBtu of LNG per day and features approximately 7,000 cubic meters of onsite storage. The Montego Bay Facility also consists of an ISO loading facility that can transport LNG to numerous on-island industrial users.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Old Harbour Facility</w:t>
      </w:r>
    </w:p>
    <w:p>
      <w:pPr>
        <w:spacing w:after="0" w:line="25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The Old Harbour Facility is an offshore facility consisting of an FSRU that is capable of processing up to 750,000 MMBtus from LNG per day. The Old Harbour Facility commenced commercial operations in June 2019 and supplies natural gas to the 190MW Old Harbour power plant (“Old Harbour Power Plant”) operated by SJPC. The Old Harbour Facility is also supplying natural gas to our dual-fired combined heat and power facility in Clarendon, Jamaica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 Juan Facility</w:t>
      </w:r>
    </w:p>
    <w:p>
      <w:pPr>
        <w:spacing w:after="0" w:line="259"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w:t>
      </w:r>
    </w:p>
    <w:p>
      <w:pPr>
        <w:spacing w:after="0" w:line="20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In the first and second quarters of 2023, we entered into agreements with Weston Solutions, Inc. ("Weston") for the installation and operation of approximately 350MW of additional power to be generated at the Palo Seco Power Plant and San Juan Power Plant in Puerto Rico as well as the supply of natural gas and ADO. Weston has been contracted by the U.S. Army Corps of Engineers to support the island’s grid stabilization project with additional power capacity to enable maintenance and repair work on Puerto Rico’s power system and grid. We commissioned 150MW of duel-fuel power generation using our gas supply in the second quarter of 2023, and the remaining 200MW was commissioned in September 2023.</w:t>
      </w:r>
    </w:p>
    <w:p>
      <w:pPr>
        <w:spacing w:after="0" w:line="210"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the first quarter of 2023, our wholly-owned subsidiary, Genera PR LLC ("Genera"), was awarded a 10-year contract for the operation and maintenance of PREPA’s thermal generation assets with the goal of reducing costs and improving reliability of power generation in Puerto Rico. We receive an annual management fee and are eligible for performance-based incentive fees, beginning after the service period under the contract commenced on July 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 Paz Facility</w:t>
      </w:r>
    </w:p>
    <w:p>
      <w:pPr>
        <w:spacing w:after="0" w:line="25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the fourth quarter of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135MW of power. We placed the La Paz Power Plant into service in the third quarter of 2023.</w:t>
      </w:r>
    </w:p>
    <w:p>
      <w:pPr>
        <w:spacing w:after="0" w:line="20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In the fourth quarter of 2022, we finalized short-form agreements with CFE to expand and extend our supply of natural gas to multiple CFE power generation facilities in Baja California Sur and to sell the La Paz Power Plant to CFE. We executed the final long-form gas sales agreement in the second quarter of 2023, which is subject to certain conditions precedent including the execution of the final agreement to sell the La Paz Power Plant.</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9880"/>
          </w:cols>
          <w:pgMar w:left="1180" w:top="831" w:right="11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i w:val="1"/>
          <w:iCs w:val="1"/>
          <w:color w:val="auto"/>
        </w:rPr>
        <w:t>Miami Facility</w:t>
      </w:r>
    </w:p>
    <w:p>
      <w:pPr>
        <w:spacing w:after="0" w:line="259" w:lineRule="exact"/>
        <w:rPr>
          <w:sz w:val="20"/>
          <w:szCs w:val="20"/>
          <w:color w:val="auto"/>
        </w:rPr>
      </w:pPr>
    </w:p>
    <w:p>
      <w:pPr>
        <w:ind w:right="300" w:firstLine="250"/>
        <w:spacing w:after="0" w:line="260" w:lineRule="auto"/>
        <w:rPr>
          <w:sz w:val="20"/>
          <w:szCs w:val="20"/>
          <w:color w:val="auto"/>
        </w:rPr>
      </w:pPr>
      <w:r>
        <w:rPr>
          <w:rFonts w:ascii="Times New Roman" w:cs="Times New Roman" w:eastAsia="Times New Roman" w:hAnsi="Times New Roman"/>
          <w:sz w:val="20"/>
          <w:szCs w:val="20"/>
          <w:color w:val="auto"/>
        </w:rPr>
        <w:t>Our Miami Facility began operations in April 2016. This facility has liquefaction capacity of approximately 8,300 MMBtu from LNG per day and enables us to produce LNG for sales directly to industrial end-users in southern Florida, including Florida East Coast Railway via our train loading facility, and other customers throughout the Caribbean using ISO containers.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LNG Supply and Cargo Sales</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that we plan to satisfy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through the following sources: 1) our current contractual supply commitments; 2) additional LNG supply contracts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expected to commence in 2027; 3) our Miami Facility; and 4) supply from our own Fast LNG production. We have secured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commitments to purchase and receive physical delivery of LNG volumes for 100% of our expected committed volumes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our downstream terminals inclusive of our Montego Bay Facility, Old Harbour Facility, San Juan Facility, La Paz</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Puerto Sandino Facility, Barcarena Facility and Santa Catarina Facility. Additionally, we have binding contracts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LNG volumes from two separate U.S. LNG facilities, each with a 20-year term, which are expected to commence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2027. Finally, we plan to commence production from our first Fast LNG facility upon the completion of commissioning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We plan to expand that capacity when additional Fast LNG units come online over the next two years.</w:t>
      </w:r>
    </w:p>
    <w:p>
      <w:pPr>
        <w:spacing w:after="0" w:line="230"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Natural gas and LNG markets have experienced unprecedented price volatility in recent years.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we plan to further mitigate our exposure to variability in LNG prices. In 2022 and 2023, our revenue and results of operations have benefited from selling cargos into the global LNG market. As FLNG facilities commence production, our long-term strategy is to sell substantially all cargos produced to customers on a long-term, take-or-pay basis through our downstream terminals.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Ships</w:t>
      </w:r>
    </w:p>
    <w:p>
      <w:pPr>
        <w:spacing w:after="0" w:line="25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Our Ships segment includes Floating Storage and Regasification Units ("FSRUs"), Floating Storage Units ("FSUs") and LNG carriers ("LNGCs"), which are leased to customers under long-term arrangements. At the expiration of third party charters of vessels owned by Energos Infrastructure (“Energos”), an entity formed in 2022 and described in more detail below, we have chartered these vessels for our own operational purposes. The results of operations of vessels utilized in our terminal operations are reflected in the Terminals and Infrastructure segment.</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August 2022, we completed a transaction (the “Energos Formation Transaction”) with an affiliate of Apollo Global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Management, Inc., pursuant to which we transferred ownership of 11 vessels to Energos in exchange for approximately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$1.85 billion in cash and a 20% equity interest in Energos. Ten of the vessels were subject to current or future charters with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NFE and one vessel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was not subject to a future NFE charter. The in-place and future charters to NFE of ten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vessels prevent the recognition of the sale of those vessels to Energos, and the proceeds associated with these vessels have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been treated as a failed sale leaseback. As a result, these ten vessels continue to be recognized on our Consolidated Balance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Sheets as Property, plant and equipment, and the proceeds are recognized as debt. Consistent with this treatment as a failed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 leaseback, (i) the third party charter revenues continue to be recognized by us as Vessel charter revenue; (ii) the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operating the vessels is included in Vessel operating expenses for the remaining terms of the third-party charters and (iii)</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revenues are included as part of debt service for the sale leaseback financing debt and are included in additional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costs within Interest expense, net. In February 2024, we sold substantially all of our stake in Energos.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Projects</w:t>
      </w:r>
    </w:p>
    <w:p>
      <w:pPr>
        <w:spacing w:after="0" w:line="257" w:lineRule="exact"/>
        <w:rPr>
          <w:sz w:val="20"/>
          <w:szCs w:val="20"/>
          <w:color w:val="auto"/>
        </w:rPr>
      </w:pPr>
    </w:p>
    <w:p>
      <w:pPr>
        <w:ind w:right="60" w:firstLine="360"/>
        <w:spacing w:after="0" w:line="271" w:lineRule="auto"/>
        <w:rPr>
          <w:sz w:val="20"/>
          <w:szCs w:val="20"/>
          <w:color w:val="auto"/>
        </w:rPr>
      </w:pPr>
      <w:r>
        <w:rPr>
          <w:rFonts w:ascii="Times New Roman" w:cs="Times New Roman" w:eastAsia="Times New Roman" w:hAnsi="Times New Roman"/>
          <w:sz w:val="19"/>
          <w:szCs w:val="19"/>
          <w:color w:val="auto"/>
        </w:rPr>
        <w:t>Our projects currently under development include our development of a series of modular liquefaction facilities to provide a source of low-cost supply of LNG to customers around the world through our Fast LNG technologies; our LNG terminal facility and power plant in Puerto Sandino, Nicaragua (“Puerto Sandino Facility”); our LNG terminal (“Barcarena Facility”) and power plant (“Barcarena Power Plant”) located in Pará, Brazil; our LNG terminal located on the southern coast of Brazil ("Santa Catarina Terminal"); our LNG terminal (“Ireland Facility”) and power plant in Ireland; and our first green hydrogen project ("ZeroPark I"). We are also in active discussions to develop projects in multiple regions around the world that may have significant demand for additional power, LNG and natural gas, although there can be no assurance</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880"/>
          </w:cols>
          <w:pgMar w:left="1180" w:top="829" w:right="1180" w:bottom="0" w:gutter="0" w:footer="0" w:header="0"/>
          <w:type w:val="continuous"/>
        </w:sectPr>
      </w:pPr>
    </w:p>
    <w:bookmarkStart w:id="62" w:name="page63"/>
    <w:bookmarkEnd w:id="62"/>
    <w:p>
      <w:pPr>
        <w:ind w:right="280"/>
        <w:spacing w:after="0" w:line="281" w:lineRule="auto"/>
        <w:rPr>
          <w:sz w:val="20"/>
          <w:szCs w:val="20"/>
          <w:color w:val="auto"/>
        </w:rPr>
      </w:pPr>
      <w:r>
        <w:rPr>
          <w:rFonts w:ascii="Times New Roman" w:cs="Times New Roman" w:eastAsia="Times New Roman" w:hAnsi="Times New Roman"/>
          <w:sz w:val="20"/>
          <w:szCs w:val="20"/>
          <w:color w:val="auto"/>
        </w:rPr>
        <w:t>that these discussions will result in additional contracts or that we will be able to achieve our target revenue or results of operations.</w:t>
      </w:r>
    </w:p>
    <w:p>
      <w:pPr>
        <w:spacing w:after="0" w:line="181"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describe each of our current development projects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are currently developing multiple modular liquefaction facilities to provide a source of low-cost supply of LNG to customers around the world. We have designed and are constructing liquefaction facilities for our growing customer base that we believe are both faster and more economical to construct than many traditional liquefaction solutions. Our initial “Fast LNG,” or “FLNG,”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(FSUs) will provide LNG storage alongside the floating liquefaction infrastructure, which can be deployed anywhere there is abundant and stranded natural gas. As noted below, we are also in discussions with CFE to utilize our FLNG design in an onshore application.</w:t>
      </w:r>
    </w:p>
    <w:p>
      <w:pPr>
        <w:spacing w:after="0" w:line="21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Our first Fast LNG unit has been deployed offshore to Altamira, Mexico, and we expect to deploy additional units over the next two years.</w:t>
      </w:r>
    </w:p>
    <w:p>
      <w:pPr>
        <w:spacing w:after="0" w:line="204"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We plan to deploy several Fast LNG units at different locations around the world and describe our currently planned projects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Altamira</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the first quarter of 2023, we executed an agreement, which includes conditions to effectiveness that have not been satisfied, with CFE to supply natural gas for one FLNG unit located off the coast of Altamira, Tamaulipas, Mexico. The 1.4 million ton per annum (“MTPA”) FLNG unit will utilize CFE’s firm pipeline transportation capacity on the Sur de Texas-Tuxpan Pipeline to receive feedgas volumes. Our first FLNG unit has been installed and connected to the gas pipeline at Altamira, and we are in the process of commissioning the project.</w:t>
      </w:r>
    </w:p>
    <w:p>
      <w:pPr>
        <w:spacing w:after="0" w:line="204"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We have also entered into a non-binding MOU with CFE to develop and operate an onshore liquefied natural gas terminal with up to four 1.4 MTPA FLNG units. The terminal is to be located at the existing Altamira LNG import facility and would source feedgas from the Sur de Texas-Tuxpan Pipeline. The Altamira onshore LNG facility is a world class import facility that will be converted to export LNG similar to other gulf coast regasification terminals. Existing infrastructure at the facility includes two 150,000m3 storage tanks, deepwater marine berth and access to local gas and power networks.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Louisiana</w:t>
      </w:r>
    </w:p>
    <w:p>
      <w:pPr>
        <w:spacing w:after="0" w:line="254"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color w:val="auto"/>
        </w:rPr>
        <w:t>In addition, we are considering a plan to install up to two FLNG units approximately 16 nautical miles off the southeast coast of Grand Isle, Louisiana. We have filed applications with the U.S. Maritime Administration ("MARAD") and the U.S. Coast Guard to obtain our deepwater port license application for this facility which remain subject to review and approval as described under “</w:t>
      </w:r>
      <w:r>
        <w:rPr>
          <w:rFonts w:ascii="Times New Roman" w:cs="Times New Roman" w:eastAsia="Times New Roman" w:hAnsi="Times New Roman"/>
          <w:sz w:val="20"/>
          <w:szCs w:val="20"/>
          <w:b w:val="1"/>
          <w:bCs w:val="1"/>
          <w:i w:val="1"/>
          <w:iCs w:val="1"/>
          <w:color w:val="auto"/>
        </w:rPr>
        <w:t>Risk Factors—Risks Related to Our Business—Failure to obtain and maintain permits,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approvals and authorizations from governmental and regulatory agencies and third parties on favorable terms could impede operations and construction</w:t>
      </w:r>
      <w:r>
        <w:rPr>
          <w:rFonts w:ascii="Times New Roman" w:cs="Times New Roman" w:eastAsia="Times New Roman" w:hAnsi="Times New Roman"/>
          <w:sz w:val="20"/>
          <w:szCs w:val="20"/>
          <w:color w:val="auto"/>
        </w:rPr>
        <w:t>.” If constructed, the facility would be capable of exporting up to approximately 145</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billion cubic feet of natural gas per year, equivalent to approximately 2.8 MTPA of LNG.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Lakach</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880"/>
          </w:cols>
          <w:pgMar w:left="1180" w:top="838" w:right="1180" w:bottom="0" w:gutter="0" w:footer="0" w:header="0"/>
          <w:type w:val="continuous"/>
        </w:sectPr>
      </w:pPr>
    </w:p>
    <w:bookmarkStart w:id="63" w:name="page64"/>
    <w:bookmarkEnd w:id="63"/>
    <w:p>
      <w:pPr>
        <w:ind w:firstLine="360"/>
        <w:spacing w:after="0" w:line="260" w:lineRule="auto"/>
        <w:rPr>
          <w:sz w:val="20"/>
          <w:szCs w:val="20"/>
          <w:color w:val="auto"/>
        </w:rPr>
      </w:pPr>
      <w:r>
        <w:rPr>
          <w:rFonts w:ascii="Times New Roman" w:cs="Times New Roman" w:eastAsia="Times New Roman" w:hAnsi="Times New Roman"/>
          <w:sz w:val="20"/>
          <w:szCs w:val="20"/>
          <w:color w:val="auto"/>
        </w:rPr>
        <w:t>We have been in discussions with Petróleos Mexicanos (“Pemex”) to form a long-term strategic partnership to develop the Lakach deepwater natural gas field for Pemex to supply natural gas to Mexico's onshore domestic market and for NFE to produce LNG for export to global markets. Our initial agreements were terminated in the fourth quarter of 2023, however, NFE continues to be in active discussions with Pemex to develop or monetize an offshore project.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Puerto Sandino Facility</w:t>
      </w:r>
    </w:p>
    <w:p>
      <w:pPr>
        <w:spacing w:after="0" w:line="25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We are developing an offshore liquefied natural gas receiving and storage facility off the coast of Puerto Sandino, Nicaragua, as well as an onshore regasification facility. We have entered into a 25-year PPA with Nicaragua’s electricity distribution companies, and we expect to utilize approximately 57,000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Facility</w:t>
      </w:r>
    </w:p>
    <w:p>
      <w:pPr>
        <w:spacing w:after="0" w:line="25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Barcarena Facility consists of an FSRU and associated infrastructure, including mooring and offshore and onshore pipelines. The Barcarena Facility is capable of processing over one million MMBtu from LNG per day and storing up to 160,000 cubic meters of LNG. 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in the first half of 2024.</w:t>
      </w:r>
    </w:p>
    <w:p>
      <w:pPr>
        <w:spacing w:after="0" w:line="208" w:lineRule="exact"/>
        <w:rPr>
          <w:sz w:val="20"/>
          <w:szCs w:val="20"/>
          <w:color w:val="auto"/>
        </w:rPr>
      </w:pPr>
    </w:p>
    <w:p>
      <w:pPr>
        <w:ind w:right="240" w:firstLine="360"/>
        <w:spacing w:after="0" w:line="260" w:lineRule="auto"/>
        <w:rPr>
          <w:sz w:val="20"/>
          <w:szCs w:val="20"/>
          <w:color w:val="auto"/>
        </w:rPr>
      </w:pPr>
      <w:r>
        <w:rPr>
          <w:rFonts w:ascii="Times New Roman" w:cs="Times New Roman" w:eastAsia="Times New Roman" w:hAnsi="Times New Roman"/>
          <w:sz w:val="20"/>
          <w:szCs w:val="20"/>
          <w:color w:val="auto"/>
        </w:rPr>
        <w:t>The Barcarena Facility will also supply our new 630MW combined cycle thermal power plant to be located in Pará, Brazil (the “Barcarena Power Plant”). The power plant is fully contracted under multiple 25-year power purchase agreements to supply electricity to the national electricity grid. We expect to complete the Barcarena Power Plant and begin delivering power to nine committed offtakers for 25 years beginning in 2025.</w:t>
      </w:r>
    </w:p>
    <w:p>
      <w:pPr>
        <w:spacing w:after="0" w:line="203"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In the fourth quarter of 2023, we entered into an agreement to acquire a 1.6GW PPA in exchange for newly issued 5% NFE redeemable Series A Convertible Preferred Stock, the closing of which remains subject to customary closing conditions, including regulatory approval for the transfer of the PPA. NFE has applied to transfer the 1.6 GW PPA to a site owned by NFE that is adjacent to the Barcarena Facility, where NFE will build a power plant to supply the PPA using gas from the Barcarena Facility. We expect to begin delivering electricity under the acquired PPA in July 2026.</w:t>
      </w:r>
    </w:p>
    <w:p>
      <w:pPr>
        <w:spacing w:after="0" w:line="204"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We have financed the development of the Barcarena Power Plant pursuant to a financing agreement. For information on this financing agreement, see “—Long-Term Debt and Preferred Stock”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Santa Catarina Facility</w:t>
      </w:r>
    </w:p>
    <w:p>
      <w:pPr>
        <w:spacing w:after="0" w:line="25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The Santa Catarina Facility is located on the southern coast of Brazil and consists of an FSRU with a processing capacity of approximately 500,000 MMBtu from LNG per day and LNG storage capacity of up to 138,000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the first half of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 Facility</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 The power plant is required to be operational by October 2026. In the third quarter of 2023, An Bord Pleanála, Ireland's planning commission, denied our application for the development of an LNG terminal and power plant. We are challenging this decision. The continued development of this project is uncertain and there are multiple risks, including regulatory risks, that could preclude the development of this project, and the results of these risks could have a material effect on our results of operations.</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860"/>
          </w:cols>
          <w:pgMar w:left="1180" w:top="838" w:right="120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ZeroParks</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2020, we formed our Zero division to develop and operate facilities that produce clean hydrogen in an environmentally sustainable manner, and to invest in emerging technologies that enable the production of clean hydrogen to be more efficient and scalable. Our business plan is to build a portfolio of clean hydrogen production sites, each referred to as a ZeroPark, in key regions throughout the United States, utilizing the most efficient and reliable electrolyzer technologies.</w:t>
      </w:r>
    </w:p>
    <w:p>
      <w:pPr>
        <w:spacing w:after="0" w:line="204"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Our first clean hydrogen project, known as ZeroPark I, is located in Beaumont, Texas. The ZeroPark I facility is sited within a 10-mile radius of the two largest refineries in the western hemisphere and numerous petrochemical manufacturers, many of which require significant amounts of hydrogen for their businesses. ZeroPark I, as planned, could use up to 200 MW of power, constructed in two distinct phases, each using 100 MW of electrolysis technology. In total, ZeroPark I is expected to produce up to 86,000 kg of clean hydrogen per day, or approximately 31,000 TPA. We have commenced design, engineering and permitting for ZeroPark I and expect to commence operations on the first phase in the first half of 2025. Additionally, we have secured a binding offtake commitment for the clean hydrogen produced at ZeroPark I. Once completed, we expect our Beaumont Facility to be the largest green hydrogen plant in the 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7"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On February 14, 2024, we completed a transaction to sell substantially all of our stake in Energos, receiving proceeds of approximately $136.4 million. As a result of the transaction, we recognized an other than temporary impairment of our investment in Energos of $5.3 million for the year ended December 31, 2023, and this loss was recognized in Income (loss) from equity method investments in the Consolidated Statements of Operations and Comprehensive Income.</w:t>
      </w:r>
    </w:p>
    <w:p>
      <w:pPr>
        <w:spacing w:after="0" w:line="203"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On February 28, 2024, we entered into a commitment letter for the Company to receive $700 million in financing secured by our onshore FLNG project in Altamira, Mexico as well as the collateral securing the 2025 Notes and the 2026 Notes. The commitment letter is subject to the finalization of a credit agreement and customary closing conditions. The proceeds will be used to complete our onshore FLNG project in Altamira.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5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on June 14, 2022. In order to comply with the FERC’s directive, on September 15, 2021, we filed an application for authorization to operate the San Juan Facility, which remains pending.</w:t>
      </w:r>
    </w:p>
    <w:p>
      <w:pPr>
        <w:spacing w:after="0" w:line="21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Impacting Comparability of Our Financial Results</w:t>
      </w:r>
    </w:p>
    <w:p>
      <w:pPr>
        <w:spacing w:after="0" w:line="257" w:lineRule="exact"/>
        <w:rPr>
          <w:sz w:val="20"/>
          <w:szCs w:val="20"/>
          <w:color w:val="auto"/>
        </w:rPr>
      </w:pPr>
    </w:p>
    <w:p>
      <w:pPr>
        <w:ind w:right="520" w:firstLine="360"/>
        <w:spacing w:after="0" w:line="281" w:lineRule="auto"/>
        <w:rPr>
          <w:sz w:val="20"/>
          <w:szCs w:val="20"/>
          <w:color w:val="auto"/>
        </w:rPr>
      </w:pPr>
      <w:r>
        <w:rPr>
          <w:rFonts w:ascii="Times New Roman" w:cs="Times New Roman" w:eastAsia="Times New Roman" w:hAnsi="Times New Roman"/>
          <w:sz w:val="20"/>
          <w:szCs w:val="20"/>
          <w:color w:val="auto"/>
        </w:rPr>
        <w:t>Our historical results of operations and cash flows are not indicative of results of operations and cash flows to be expected in the future, principally for the following reasons:</w:t>
      </w:r>
    </w:p>
    <w:p>
      <w:pPr>
        <w:spacing w:after="0" w:line="172" w:lineRule="exact"/>
        <w:rPr>
          <w:sz w:val="20"/>
          <w:szCs w:val="20"/>
          <w:color w:val="auto"/>
        </w:rPr>
      </w:pPr>
    </w:p>
    <w:p>
      <w:pPr>
        <w:ind w:left="720" w:hanging="370"/>
        <w:spacing w:after="0" w:line="319" w:lineRule="auto"/>
        <w:tabs>
          <w:tab w:leader="none" w:pos="720" w:val="left"/>
        </w:tabs>
        <w:numPr>
          <w:ilvl w:val="0"/>
          <w:numId w:val="3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Our historical financial results do not reflect our Fast LNG solution that will lower the cost of our LNG supply. </w:t>
      </w:r>
      <w:r>
        <w:rPr>
          <w:rFonts w:ascii="Times New Roman" w:cs="Times New Roman" w:eastAsia="Times New Roman" w:hAnsi="Times New Roman"/>
          <w:sz w:val="19"/>
          <w:szCs w:val="19"/>
          <w:color w:val="auto"/>
        </w:rPr>
        <w:t>We currently purchase the majority of our supply of LNG from third parties, sourcing approximately 99% of our</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880"/>
          </w:cols>
          <w:pgMar w:left="1180" w:top="829" w:right="1180" w:bottom="0" w:gutter="0" w:footer="0" w:header="0"/>
          <w:type w:val="continuous"/>
        </w:sectPr>
      </w:pPr>
    </w:p>
    <w:bookmarkStart w:id="65" w:name="page66"/>
    <w:bookmarkEnd w:id="65"/>
    <w:p>
      <w:pPr>
        <w:ind w:left="730"/>
        <w:spacing w:after="0" w:line="286" w:lineRule="auto"/>
        <w:rPr>
          <w:sz w:val="20"/>
          <w:szCs w:val="20"/>
          <w:color w:val="auto"/>
        </w:rPr>
      </w:pPr>
      <w:r>
        <w:rPr>
          <w:rFonts w:ascii="Times New Roman" w:cs="Times New Roman" w:eastAsia="Times New Roman" w:hAnsi="Times New Roman"/>
          <w:sz w:val="19"/>
          <w:szCs w:val="19"/>
          <w:color w:val="auto"/>
        </w:rPr>
        <w:t>LNG volumes from third parties for the year ended December 31, 2023. We anticipate that the deployment of Fast LNG liquefaction facilities will significantly lower the cost of our LNG supply and reduce our dependence on third-party suppliers. We expect to deploy our first Fast LNG unit upon the completion of commissioning in 2024.</w:t>
      </w:r>
    </w:p>
    <w:p>
      <w:pPr>
        <w:spacing w:after="0" w:line="170" w:lineRule="exact"/>
        <w:rPr>
          <w:sz w:val="20"/>
          <w:szCs w:val="20"/>
          <w:color w:val="auto"/>
        </w:rPr>
      </w:pPr>
    </w:p>
    <w:p>
      <w:pPr>
        <w:ind w:left="730" w:right="60" w:hanging="370"/>
        <w:spacing w:after="0" w:line="255" w:lineRule="auto"/>
        <w:tabs>
          <w:tab w:leader="none" w:pos="730" w:val="left"/>
        </w:tabs>
        <w:numPr>
          <w:ilvl w:val="1"/>
          <w:numId w:val="3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20"/>
          <w:szCs w:val="20"/>
          <w:color w:val="auto"/>
        </w:rPr>
        <w:t>Our results of operations for the year ended December 31, 2023 include our Montego Bay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Facility, Old Harbour Facility, San Juan Facility, certain industrial end-users and our Miami Facility. We have placed our La Paz Facility in service in 2021, and in the third quarter of 2023, we placed the La Paz Power Plant into service. We have executed agreements to extend and amend our supply of natural gas to multiple CFE power generation facilities in Baja California Sur, and as such, our revenue and results of operations have begun to be impacted by our operations in Mexico. We are also continuing to develop our Puerto Sandino Facility, Barcarena Facility, Santa Catarina Facility and Ireland Facility, and our current results do not include revenue and operating results from these projects.</w:t>
      </w:r>
    </w:p>
    <w:p>
      <w:pPr>
        <w:spacing w:after="0" w:line="210" w:lineRule="exact"/>
        <w:rPr>
          <w:rFonts w:ascii="Times New Roman" w:cs="Times New Roman" w:eastAsia="Times New Roman" w:hAnsi="Times New Roman"/>
          <w:sz w:val="20"/>
          <w:szCs w:val="20"/>
          <w:b w:val="1"/>
          <w:bCs w:val="1"/>
          <w:i w:val="1"/>
          <w:iCs w:val="1"/>
          <w:color w:val="auto"/>
        </w:rPr>
      </w:pPr>
    </w:p>
    <w:p>
      <w:pPr>
        <w:ind w:left="730"/>
        <w:spacing w:after="0" w:line="275"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9"/>
          <w:szCs w:val="19"/>
          <w:color w:val="auto"/>
        </w:rPr>
        <w:t>Additionally, we began to deliver power to the Puerto Rican grid from the Palo Seco Power Plant as part of the grid stabilization project in the second quarter of 2023. At the end of September 2023, we placed additional power generation assets in service at the San Juan Power Plant. We expect that our power generation assets at both the Palo Seco Power Plant and at the San Juan Power Plant will operate at full capacity, and we expect that our revenue and results of operations will benefit from significant gas consumption required to operate these assets.</w:t>
      </w:r>
    </w:p>
    <w:p>
      <w:pPr>
        <w:spacing w:after="0" w:line="179" w:lineRule="exact"/>
        <w:rPr>
          <w:rFonts w:ascii="Times New Roman" w:cs="Times New Roman" w:eastAsia="Times New Roman" w:hAnsi="Times New Roman"/>
          <w:sz w:val="20"/>
          <w:szCs w:val="20"/>
          <w:b w:val="1"/>
          <w:bCs w:val="1"/>
          <w:i w:val="1"/>
          <w:iCs w:val="1"/>
          <w:color w:val="auto"/>
        </w:rPr>
      </w:pPr>
    </w:p>
    <w:p>
      <w:pPr>
        <w:ind w:left="730" w:right="60" w:hanging="730"/>
        <w:spacing w:after="0" w:line="271" w:lineRule="auto"/>
        <w:tabs>
          <w:tab w:leader="none" w:pos="730" w:val="left"/>
        </w:tabs>
        <w:numPr>
          <w:ilvl w:val="0"/>
          <w:numId w:val="3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Our historical financial results include the results from our investments in the common units of Hilli LLC and CELSEPAR. </w:t>
      </w:r>
      <w:r>
        <w:rPr>
          <w:rFonts w:ascii="Times New Roman" w:cs="Times New Roman" w:eastAsia="Times New Roman" w:hAnsi="Times New Roman"/>
          <w:sz w:val="19"/>
          <w:szCs w:val="19"/>
          <w:color w:val="auto"/>
        </w:rPr>
        <w:t>On March 15, 2023, we completed a transaction with Golar LNG Limited (“GLNG”) for the sale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our investment in the common units of Hilli LLC (“Hilli Common Units”), disponent owner and operator of the </w:t>
      </w:r>
      <w:r>
        <w:rPr>
          <w:rFonts w:ascii="Times New Roman" w:cs="Times New Roman" w:eastAsia="Times New Roman" w:hAnsi="Times New Roman"/>
          <w:sz w:val="19"/>
          <w:szCs w:val="19"/>
          <w:b w:val="1"/>
          <w:bCs w:val="1"/>
          <w:i w:val="1"/>
          <w:iCs w:val="1"/>
          <w:color w:val="auto"/>
        </w:rPr>
        <w:t xml:space="preserve">Hilli Episeyo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Hilli</w:t>
      </w:r>
      <w:r>
        <w:rPr>
          <w:rFonts w:ascii="Times New Roman" w:cs="Times New Roman" w:eastAsia="Times New Roman" w:hAnsi="Times New Roman"/>
          <w:sz w:val="19"/>
          <w:szCs w:val="19"/>
          <w:color w:val="auto"/>
        </w:rPr>
        <w:t>”) through its subsidiary Golar Hilli Corporation, in exchange for approximately 4.1</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million NFE shares and $100 million in cash (the "Hilli Exchange"). In the fourth quarter of 2022, we sold our interest in Centrais Elétricas de Sergipe Participações S.A. (“CELSEPAR”), the indirect owner of the Sergipe Power Plant in Brazil. As a result of these transactions, we no longer have any ownership interest in either the </w:t>
      </w:r>
      <w:r>
        <w:rPr>
          <w:rFonts w:ascii="Times New Roman" w:cs="Times New Roman" w:eastAsia="Times New Roman" w:hAnsi="Times New Roman"/>
          <w:sz w:val="19"/>
          <w:szCs w:val="19"/>
          <w:b w:val="1"/>
          <w:bCs w:val="1"/>
          <w:i w:val="1"/>
          <w:iCs w:val="1"/>
          <w:color w:val="auto"/>
        </w:rPr>
        <w:t xml:space="preserve">Hilli </w:t>
      </w:r>
      <w:r>
        <w:rPr>
          <w:rFonts w:ascii="Times New Roman" w:cs="Times New Roman" w:eastAsia="Times New Roman" w:hAnsi="Times New Roman"/>
          <w:sz w:val="19"/>
          <w:szCs w:val="19"/>
          <w:color w:val="auto"/>
        </w:rPr>
        <w:t>or the Sergipe Power Plant, and their results will no longer be included in NFE's results of operations.</w:t>
      </w:r>
    </w:p>
    <w:p>
      <w:pPr>
        <w:sectPr>
          <w:pgSz w:w="12240" w:h="15840" w:orient="portrait"/>
          <w:cols w:equalWidth="0" w:num="1">
            <w:col w:w="9870"/>
          </w:cols>
          <w:pgMar w:left="117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870"/>
          </w:cols>
          <w:pgMar w:left="1170" w:top="838" w:right="1200" w:bottom="0" w:gutter="0" w:footer="0" w:header="0"/>
          <w:type w:val="continuous"/>
        </w:sectPr>
      </w:pPr>
    </w:p>
    <w:bookmarkStart w:id="66" w:name="page67"/>
    <w:bookmarkEnd w:id="66"/>
    <w:p>
      <w:pPr>
        <w:ind w:right="120"/>
        <w:spacing w:after="0" w:line="286" w:lineRule="auto"/>
        <w:rPr>
          <w:sz w:val="20"/>
          <w:szCs w:val="20"/>
          <w:color w:val="auto"/>
        </w:rPr>
      </w:pPr>
      <w:r>
        <w:rPr>
          <w:rFonts w:ascii="Times New Roman" w:cs="Times New Roman" w:eastAsia="Times New Roman" w:hAnsi="Times New Roman"/>
          <w:sz w:val="20"/>
          <w:szCs w:val="20"/>
          <w:b w:val="1"/>
          <w:bCs w:val="1"/>
          <w:color w:val="auto"/>
        </w:rPr>
        <w:t>Results of Operations – Three Months Ended December 31, 2023 compared to Three Months Ended September 30, 2023 and Year Ended December 31, 2023 compared to Year Ended December 31, 2022</w:t>
      </w:r>
    </w:p>
    <w:p>
      <w:pPr>
        <w:spacing w:after="0" w:line="17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20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213"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The tables below present our segment information for the three months ended December 31, 2023 and September 30, 2023, and for the year ended December 31, 2023 and December 31, 2022:</w:t>
      </w:r>
    </w:p>
    <w:p>
      <w:pPr>
        <w:spacing w:after="0" w:line="25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Three Months Ended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9"/>
                <w:szCs w:val="19"/>
                <w:color w:val="auto"/>
              </w:rPr>
            </w:pPr>
          </w:p>
        </w:tc>
        <w:tc>
          <w:tcPr>
            <w:tcW w:w="14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9"/>
                <w:szCs w:val="19"/>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w w:val="94"/>
              </w:rPr>
              <w:t>Ships</w:t>
            </w: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60" w:type="dxa"/>
            <w:vAlign w:val="bottom"/>
          </w:tcPr>
          <w:p>
            <w:pPr>
              <w:spacing w:after="0"/>
              <w:rPr>
                <w:sz w:val="19"/>
                <w:szCs w:val="19"/>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620" w:type="dxa"/>
            <w:vAlign w:val="bottom"/>
            <w:tcBorders>
              <w:bottom w:val="single" w:sz="8" w:color="auto"/>
            </w:tcBorders>
            <w:gridSpan w:val="2"/>
          </w:tcPr>
          <w:p>
            <w:pPr>
              <w:jc w:val="center"/>
              <w:spacing w:after="0" w:line="268" w:lineRule="exact"/>
              <w:rPr>
                <w:sz w:val="20"/>
                <w:szCs w:val="20"/>
                <w:color w:val="auto"/>
              </w:rPr>
            </w:pPr>
            <w:r>
              <w:rPr>
                <w:rFonts w:ascii="Times New Roman" w:cs="Times New Roman" w:eastAsia="Times New Roman" w:hAnsi="Times New Roman"/>
                <w:sz w:val="20"/>
                <w:szCs w:val="20"/>
                <w:b w:val="1"/>
                <w:bCs w:val="1"/>
                <w:color w:val="auto"/>
                <w:w w:val="96"/>
              </w:rPr>
              <w:t>Infrastructure</w:t>
            </w:r>
            <w:r>
              <w:rPr>
                <w:rFonts w:ascii="Times New Roman" w:cs="Times New Roman" w:eastAsia="Times New Roman" w:hAnsi="Times New Roman"/>
                <w:sz w:val="26"/>
                <w:szCs w:val="26"/>
                <w:b w:val="1"/>
                <w:bCs w:val="1"/>
                <w:color w:val="auto"/>
                <w:w w:val="96"/>
                <w:vertAlign w:val="superscript"/>
              </w:rPr>
              <w:t>(1)</w:t>
            </w: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695,068</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63,290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758,358</w:t>
            </w:r>
          </w:p>
        </w:tc>
        <w:tc>
          <w:tcPr>
            <w:tcW w:w="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758,358</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259,976</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259,976</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258,485</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9,092</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9,092</w:t>
            </w:r>
          </w:p>
        </w:tc>
        <w:tc>
          <w:tcPr>
            <w:tcW w:w="46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9,092</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61,938</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61,938</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61,938</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373,154</w:t>
            </w:r>
          </w:p>
        </w:tc>
        <w:tc>
          <w:tcPr>
            <w:tcW w:w="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54,198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427,352</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1,491</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428,843</w:t>
            </w:r>
          </w:p>
        </w:tc>
        <w:tc>
          <w:tcPr>
            <w:tcW w:w="0" w:type="dxa"/>
            <w:vAlign w:val="bottom"/>
          </w:tcPr>
          <w:p>
            <w:pPr>
              <w:spacing w:after="0"/>
              <w:rPr>
                <w:sz w:val="1"/>
                <w:szCs w:val="1"/>
                <w:color w:val="auto"/>
              </w:rPr>
            </w:pPr>
          </w:p>
        </w:tc>
      </w:tr>
      <w:tr>
        <w:trPr>
          <w:trHeight w:val="937"/>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Three Months Ended December 31, 2023</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366,679</w:t>
            </w:r>
          </w:p>
        </w:tc>
        <w:tc>
          <w:tcPr>
            <w:tcW w:w="0" w:type="dxa"/>
            <w:vAlign w:val="bottom"/>
          </w:tcPr>
          <w:p>
            <w:pPr>
              <w:spacing w:after="0"/>
              <w:rPr>
                <w:sz w:val="1"/>
                <w:szCs w:val="1"/>
                <w:color w:val="auto"/>
              </w:rPr>
            </w:pPr>
          </w:p>
        </w:tc>
      </w:tr>
      <w:tr>
        <w:trPr>
          <w:trHeight w:val="298"/>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62,164</w:t>
            </w:r>
          </w:p>
        </w:tc>
        <w:tc>
          <w:tcPr>
            <w:tcW w:w="0" w:type="dxa"/>
            <w:vAlign w:val="bottom"/>
          </w:tcPr>
          <w:p>
            <w:pPr>
              <w:spacing w:after="0"/>
              <w:rPr>
                <w:sz w:val="1"/>
                <w:szCs w:val="1"/>
                <w:color w:val="auto"/>
              </w:rPr>
            </w:pPr>
          </w:p>
        </w:tc>
      </w:tr>
      <w:tr>
        <w:trPr>
          <w:trHeight w:val="288"/>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428,843</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2023</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7"/>
                <w:szCs w:val="17"/>
                <w:color w:val="auto"/>
              </w:rPr>
            </w:pPr>
          </w:p>
        </w:tc>
        <w:tc>
          <w:tcPr>
            <w:tcW w:w="1440" w:type="dxa"/>
            <w:vAlign w:val="bottom"/>
          </w:tcPr>
          <w:p>
            <w:pPr>
              <w:jc w:val="center"/>
              <w:ind w:right="80"/>
              <w:spacing w:after="0" w:line="20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7"/>
                <w:szCs w:val="17"/>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w w:val="94"/>
              </w:rPr>
              <w:t>Ships</w:t>
            </w: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60" w:type="dxa"/>
            <w:vAlign w:val="bottom"/>
          </w:tcPr>
          <w:p>
            <w:pPr>
              <w:spacing w:after="0"/>
              <w:rPr>
                <w:sz w:val="17"/>
                <w:szCs w:val="17"/>
                <w:color w:val="auto"/>
              </w:rPr>
            </w:pPr>
          </w:p>
        </w:tc>
        <w:tc>
          <w:tcPr>
            <w:tcW w:w="1100" w:type="dxa"/>
            <w:vAlign w:val="bottom"/>
          </w:tcPr>
          <w:p>
            <w:pPr>
              <w:jc w:val="center"/>
              <w:ind w:right="140"/>
              <w:spacing w:after="0" w:line="20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620" w:type="dxa"/>
            <w:vAlign w:val="bottom"/>
            <w:tcBorders>
              <w:bottom w:val="single" w:sz="8" w:color="auto"/>
            </w:tcBorders>
            <w:gridSpan w:val="2"/>
          </w:tcPr>
          <w:p>
            <w:pPr>
              <w:jc w:val="center"/>
              <w:spacing w:after="0" w:line="268" w:lineRule="exact"/>
              <w:rPr>
                <w:sz w:val="20"/>
                <w:szCs w:val="20"/>
                <w:color w:val="auto"/>
              </w:rPr>
            </w:pPr>
            <w:r>
              <w:rPr>
                <w:rFonts w:ascii="Times New Roman" w:cs="Times New Roman" w:eastAsia="Times New Roman" w:hAnsi="Times New Roman"/>
                <w:sz w:val="20"/>
                <w:szCs w:val="20"/>
                <w:b w:val="1"/>
                <w:bCs w:val="1"/>
                <w:color w:val="auto"/>
                <w:w w:val="96"/>
              </w:rPr>
              <w:t>Infrastructure</w:t>
            </w:r>
            <w:r>
              <w:rPr>
                <w:rFonts w:ascii="Times New Roman" w:cs="Times New Roman" w:eastAsia="Times New Roman" w:hAnsi="Times New Roman"/>
                <w:sz w:val="26"/>
                <w:szCs w:val="26"/>
                <w:b w:val="1"/>
                <w:bCs w:val="1"/>
                <w:color w:val="auto"/>
                <w:w w:val="96"/>
                <w:vertAlign w:val="superscript"/>
              </w:rPr>
              <w:t>(1)</w:t>
            </w: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447,905</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66,557</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514,462</w:t>
            </w:r>
          </w:p>
        </w:tc>
        <w:tc>
          <w:tcPr>
            <w:tcW w:w="4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514,462</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208,683</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208,683</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208,260</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11,613</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11,613</w:t>
            </w:r>
          </w:p>
        </w:tc>
        <w:tc>
          <w:tcPr>
            <w:tcW w:w="46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11,613</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44,479</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44,479</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44,479</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194,743</w:t>
            </w:r>
          </w:p>
        </w:tc>
        <w:tc>
          <w:tcPr>
            <w:tcW w:w="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54,944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249,687</w:t>
            </w: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423</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250,110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-3967480</wp:posOffset>
            </wp:positionV>
            <wp:extent cx="6311900" cy="968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-2235835</wp:posOffset>
            </wp:positionV>
            <wp:extent cx="6311900" cy="577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-961390</wp:posOffset>
            </wp:positionV>
            <wp:extent cx="6311900" cy="968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311900" cy="96837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900"/>
          </w:cols>
          <w:pgMar w:left="1180" w:top="831" w:right="1160" w:bottom="0" w:gutter="0" w:footer="0" w:header="0"/>
          <w:type w:val="continuous"/>
        </w:sectPr>
      </w:pPr>
    </w:p>
    <w:bookmarkStart w:id="67" w:name="page68"/>
    <w:bookmarkEnd w:id="67"/>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201,440</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48,670</w:t>
            </w:r>
          </w:p>
        </w:tc>
        <w:tc>
          <w:tcPr>
            <w:tcW w:w="0" w:type="dxa"/>
            <w:vAlign w:val="bottom"/>
          </w:tcPr>
          <w:p>
            <w:pPr>
              <w:spacing w:after="0"/>
              <w:rPr>
                <w:sz w:val="1"/>
                <w:szCs w:val="1"/>
                <w:color w:val="auto"/>
              </w:rPr>
            </w:pPr>
          </w:p>
        </w:tc>
      </w:tr>
      <w:tr>
        <w:trPr>
          <w:trHeight w:val="265"/>
        </w:trPr>
        <w:tc>
          <w:tcPr>
            <w:tcW w:w="48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250,110</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2023</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80" w:type="dxa"/>
            <w:vAlign w:val="bottom"/>
          </w:tcPr>
          <w:p>
            <w:pPr>
              <w:spacing w:after="0"/>
              <w:rPr>
                <w:sz w:val="18"/>
                <w:szCs w:val="18"/>
                <w:color w:val="auto"/>
              </w:rPr>
            </w:pPr>
          </w:p>
        </w:tc>
        <w:tc>
          <w:tcPr>
            <w:tcW w:w="100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260" w:type="dxa"/>
            <w:vAlign w:val="bottom"/>
          </w:tcPr>
          <w:p>
            <w:pPr>
              <w:spacing w:after="0"/>
              <w:rPr>
                <w:sz w:val="18"/>
                <w:szCs w:val="18"/>
                <w:color w:val="auto"/>
              </w:rPr>
            </w:pPr>
          </w:p>
        </w:tc>
        <w:tc>
          <w:tcPr>
            <w:tcW w:w="1100" w:type="dxa"/>
            <w:vAlign w:val="bottom"/>
          </w:tcPr>
          <w:p>
            <w:pPr>
              <w:jc w:val="center"/>
              <w:ind w:right="140"/>
              <w:spacing w:after="0" w:line="21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88"/>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8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(4)</w:t>
            </w:r>
          </w:p>
        </w:tc>
        <w:tc>
          <w:tcPr>
            <w:tcW w:w="132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2,434,690</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(21,394)</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2,413,296</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54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112,623</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877,451</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1,451,690</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(128,069)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c>
          <w:tcPr>
            <w:tcW w:w="0" w:type="dxa"/>
            <w:vAlign w:val="bottom"/>
          </w:tcPr>
          <w:p>
            <w:pPr>
              <w:spacing w:after="0"/>
              <w:rPr>
                <w:sz w:val="1"/>
                <w:szCs w:val="1"/>
                <w:color w:val="auto"/>
              </w:rPr>
            </w:pPr>
          </w:p>
        </w:tc>
      </w:tr>
      <w:tr>
        <w:trPr>
          <w:trHeight w:val="626"/>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1,136,297</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0" w:type="dxa"/>
            <w:vAlign w:val="bottom"/>
          </w:tcPr>
          <w:p>
            <w:pPr>
              <w:spacing w:after="0"/>
              <w:rPr>
                <w:sz w:val="1"/>
                <w:szCs w:val="1"/>
                <w:color w:val="auto"/>
              </w:rPr>
            </w:pPr>
          </w:p>
        </w:tc>
      </w:tr>
      <w:tr>
        <w:trPr>
          <w:trHeight w:val="265"/>
        </w:trPr>
        <w:tc>
          <w:tcPr>
            <w:tcW w:w="48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line="21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80" w:type="dxa"/>
            <w:vAlign w:val="bottom"/>
          </w:tcPr>
          <w:p>
            <w:pPr>
              <w:spacing w:after="0"/>
              <w:rPr>
                <w:sz w:val="18"/>
                <w:szCs w:val="18"/>
                <w:color w:val="auto"/>
              </w:rPr>
            </w:pPr>
          </w:p>
        </w:tc>
        <w:tc>
          <w:tcPr>
            <w:tcW w:w="100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260" w:type="dxa"/>
            <w:vAlign w:val="bottom"/>
          </w:tcPr>
          <w:p>
            <w:pPr>
              <w:spacing w:after="0"/>
              <w:rPr>
                <w:sz w:val="18"/>
                <w:szCs w:val="18"/>
                <w:color w:val="auto"/>
              </w:rPr>
            </w:pPr>
          </w:p>
        </w:tc>
        <w:tc>
          <w:tcPr>
            <w:tcW w:w="1100" w:type="dxa"/>
            <w:vAlign w:val="bottom"/>
          </w:tcPr>
          <w:p>
            <w:pPr>
              <w:jc w:val="center"/>
              <w:ind w:right="140"/>
              <w:spacing w:after="0" w:line="21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88"/>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8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(4)</w:t>
            </w:r>
          </w:p>
        </w:tc>
        <w:tc>
          <w:tcPr>
            <w:tcW w:w="132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3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2,613,181</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(244,909)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(131,946)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1,250,293</w:t>
            </w: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(61,767)</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1,045,886</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0" w:type="dxa"/>
            <w:vAlign w:val="bottom"/>
          </w:tcPr>
          <w:p>
            <w:pPr>
              <w:spacing w:after="0"/>
              <w:rPr>
                <w:sz w:val="1"/>
                <w:szCs w:val="1"/>
                <w:color w:val="auto"/>
              </w:rPr>
            </w:pPr>
          </w:p>
        </w:tc>
      </w:tr>
      <w:tr>
        <w:trPr>
          <w:trHeight w:val="265"/>
        </w:trPr>
        <w:tc>
          <w:tcPr>
            <w:tcW w:w="482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-6177915</wp:posOffset>
            </wp:positionV>
            <wp:extent cx="6311900" cy="577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-4895215</wp:posOffset>
            </wp:positionV>
            <wp:extent cx="6311900" cy="968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-3374390</wp:posOffset>
            </wp:positionV>
            <wp:extent cx="6311900" cy="577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-2091690</wp:posOffset>
            </wp:positionV>
            <wp:extent cx="6311900" cy="968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-570865</wp:posOffset>
            </wp:positionV>
            <wp:extent cx="6311900" cy="577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extLst>
                    </a:blip>
                    <a:srcRect/>
                    <a:stretch>
                      <a:fillRect/>
                    </a:stretch>
                  </pic:blipFill>
                  <pic:spPr bwMode="auto">
                    <a:xfrm>
                      <a:off x="0" y="0"/>
                      <a:ext cx="6311900" cy="577850"/>
                    </a:xfrm>
                    <a:prstGeom prst="rect">
                      <a:avLst/>
                    </a:prstGeom>
                    <a:noFill/>
                  </pic:spPr>
                </pic:pic>
              </a:graphicData>
            </a:graphic>
          </wp:anchor>
        </w:drawing>
      </w:r>
    </w:p>
    <w:p>
      <w:pPr>
        <w:spacing w:after="0" w:line="249" w:lineRule="exact"/>
        <w:rPr>
          <w:sz w:val="20"/>
          <w:szCs w:val="20"/>
          <w:color w:val="auto"/>
        </w:rPr>
      </w:pPr>
    </w:p>
    <w:p>
      <w:pPr>
        <w:ind w:left="370" w:right="80" w:hanging="370"/>
        <w:spacing w:after="0" w:line="241" w:lineRule="auto"/>
        <w:tabs>
          <w:tab w:leader="none" w:pos="370" w:val="left"/>
        </w:tabs>
        <w:numPr>
          <w:ilvl w:val="0"/>
          <w:numId w:val="33"/>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20"/>
          <w:szCs w:val="20"/>
          <w:color w:val="auto"/>
        </w:rPr>
        <w:t>Prior to the completion of the sale of our ownership interest in CELSEPAR, Terminals and Infrastructure included our effective share of revenues, expenses and operating margin attributable to our 50% ownership of CELSEPAR. Terminals and Infrastructure does not include the unrealized mark-to-market gains on derivative instruments of $1.5 million and $0.4 million for the three months ended December 31, 2023 and September 30, 2023, respectively. The segment measure also excludes losses and gains of $106.4 million and $106.1 million for the years ended December 31, 2023 and 2022, respectively, reported in Cost of sales.</w:t>
      </w:r>
    </w:p>
    <w:p>
      <w:pPr>
        <w:spacing w:after="0" w:line="5" w:lineRule="exact"/>
        <w:rPr>
          <w:rFonts w:ascii="Times New Roman" w:cs="Times New Roman" w:eastAsia="Times New Roman" w:hAnsi="Times New Roman"/>
          <w:sz w:val="26"/>
          <w:szCs w:val="26"/>
          <w:b w:val="1"/>
          <w:bCs w:val="1"/>
          <w:i w:val="1"/>
          <w:iCs w:val="1"/>
          <w:color w:val="auto"/>
          <w:vertAlign w:val="superscript"/>
        </w:rPr>
      </w:pPr>
    </w:p>
    <w:p>
      <w:pPr>
        <w:ind w:left="370" w:right="60" w:hanging="370"/>
        <w:spacing w:after="0" w:line="217" w:lineRule="auto"/>
        <w:tabs>
          <w:tab w:leader="none" w:pos="370"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to the Hilli Exchange, Ships included our effective share of revenues, expenses and operating margin attributable to our 50% ownership of the Hilli Common Units.</w:t>
      </w:r>
    </w:p>
    <w:p>
      <w:pPr>
        <w:spacing w:after="0" w:line="1" w:lineRule="exact"/>
        <w:rPr>
          <w:rFonts w:ascii="Times New Roman" w:cs="Times New Roman" w:eastAsia="Times New Roman" w:hAnsi="Times New Roman"/>
          <w:sz w:val="26"/>
          <w:szCs w:val="26"/>
          <w:color w:val="auto"/>
          <w:vertAlign w:val="superscript"/>
        </w:rPr>
      </w:pPr>
    </w:p>
    <w:p>
      <w:pPr>
        <w:ind w:left="370" w:right="80" w:hanging="370"/>
        <w:spacing w:after="0" w:line="232" w:lineRule="auto"/>
        <w:tabs>
          <w:tab w:leader="none" w:pos="370"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Consolidation and Other adjusts for the inclusion of the effective share of revenues, expenses and operating margin attributable to our 50% ownership of CELSEPAR and Hilli Common Units in our segment measure prior to the disposition of these investments, the exclusion of the unrealized mark-to-market gain or loss on derivative instruments and the exclusion of non-capitalizable contract acquisition costs.</w:t>
      </w:r>
    </w:p>
    <w:p>
      <w:pPr>
        <w:sectPr>
          <w:pgSz w:w="12240" w:h="15840" w:orient="portrait"/>
          <w:cols w:equalWidth="0" w:num="1">
            <w:col w:w="9910"/>
          </w:cols>
          <w:pgMar w:left="1170" w:top="116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910"/>
          </w:cols>
          <w:pgMar w:left="1170" w:top="1164" w:right="1160" w:bottom="0" w:gutter="0" w:footer="0" w:header="0"/>
          <w:type w:val="continuous"/>
        </w:sectPr>
      </w:pPr>
    </w:p>
    <w:bookmarkStart w:id="68" w:name="page69"/>
    <w:bookmarkEnd w:id="68"/>
    <w:p>
      <w:pPr>
        <w:ind w:left="370" w:right="100" w:hanging="370"/>
        <w:spacing w:after="0" w:line="226" w:lineRule="auto"/>
        <w:tabs>
          <w:tab w:leader="none" w:pos="370"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Income.</w:t>
      </w:r>
    </w:p>
    <w:p>
      <w:pPr>
        <w:spacing w:after="0" w:line="2" w:lineRule="exact"/>
        <w:rPr>
          <w:rFonts w:ascii="Times New Roman" w:cs="Times New Roman" w:eastAsia="Times New Roman" w:hAnsi="Times New Roman"/>
          <w:sz w:val="26"/>
          <w:szCs w:val="26"/>
          <w:color w:val="auto"/>
          <w:vertAlign w:val="superscript"/>
        </w:rPr>
      </w:pPr>
    </w:p>
    <w:p>
      <w:pPr>
        <w:ind w:left="370" w:right="120" w:hanging="370"/>
        <w:spacing w:after="0" w:line="217" w:lineRule="auto"/>
        <w:tabs>
          <w:tab w:leader="none" w:pos="370" w:val="left"/>
        </w:tabs>
        <w:numPr>
          <w:ilvl w:val="0"/>
          <w:numId w:val="3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Operations and maintenance and Vessel operating expenses are directly attributable to revenue-producing activities of our terminals and vessels and are included in the calculation of Gross margin as defined under GAAP.</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Terminals and Infrastructure Segment</w:t>
      </w:r>
    </w:p>
    <w:p>
      <w:pPr>
        <w:spacing w:after="0" w:line="327" w:lineRule="exact"/>
        <w:rPr>
          <w:sz w:val="20"/>
          <w:szCs w:val="20"/>
          <w:color w:val="auto"/>
        </w:rPr>
      </w:pPr>
    </w:p>
    <w:p>
      <w:pPr>
        <w:ind w:left="711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September</w:t>
            </w:r>
          </w:p>
        </w:tc>
        <w:tc>
          <w:tcPr>
            <w:tcW w:w="24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30, 2023</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695,068</w:t>
            </w:r>
          </w:p>
        </w:tc>
        <w:tc>
          <w:tcPr>
            <w:tcW w:w="2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447,905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247,163</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259,976</w:t>
            </w:r>
          </w:p>
        </w:tc>
        <w:tc>
          <w:tcPr>
            <w:tcW w:w="22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208,683</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51,293</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61,938</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44,479</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17,459</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373,154</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194,743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178,411</w:t>
            </w:r>
          </w:p>
        </w:tc>
        <w:tc>
          <w:tcPr>
            <w:tcW w:w="0" w:type="dxa"/>
            <w:vAlign w:val="bottom"/>
          </w:tcPr>
          <w:p>
            <w:pPr>
              <w:spacing w:after="0"/>
              <w:rPr>
                <w:sz w:val="1"/>
                <w:szCs w:val="1"/>
                <w:color w:val="auto"/>
              </w:rPr>
            </w:pPr>
          </w:p>
        </w:tc>
      </w:tr>
      <w:tr>
        <w:trPr>
          <w:trHeight w:val="605"/>
        </w:trPr>
        <w:tc>
          <w:tcPr>
            <w:tcW w:w="6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220" w:type="dxa"/>
            <w:vAlign w:val="bottom"/>
          </w:tcPr>
          <w:p>
            <w:pPr>
              <w:spacing w:after="0"/>
              <w:rPr>
                <w:sz w:val="18"/>
                <w:szCs w:val="18"/>
                <w:color w:val="auto"/>
              </w:rPr>
            </w:pPr>
          </w:p>
        </w:tc>
        <w:tc>
          <w:tcPr>
            <w:tcW w:w="1060" w:type="dxa"/>
            <w:vAlign w:val="bottom"/>
          </w:tcPr>
          <w:p>
            <w:pPr>
              <w:jc w:val="center"/>
              <w:ind w:right="1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24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2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2,168,565</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(27,480)</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22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1,142,374</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(377,546)</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129,970</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36,815</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313,251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-2234565</wp:posOffset>
            </wp:positionV>
            <wp:extent cx="6311900" cy="777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6311900" cy="77787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-783590</wp:posOffset>
            </wp:positionV>
            <wp:extent cx="6337300" cy="803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6337300" cy="803275"/>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left="10" w:right="320" w:firstLine="360"/>
        <w:spacing w:after="0" w:line="260"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increased by $247.2 million for the three months ended December 31, 2023 as compared to the three months ended September 30, 2023. The increase was primarily driven by additional volumes delivered in Puerto Rico, and increases to the Henry Hub index that forms a portion of the pricing to invoice most of our downstream customers in this segment.</w:t>
      </w:r>
    </w:p>
    <w:p>
      <w:pPr>
        <w:spacing w:after="0" w:line="203" w:lineRule="exact"/>
        <w:rPr>
          <w:sz w:val="20"/>
          <w:szCs w:val="20"/>
          <w:color w:val="auto"/>
        </w:rPr>
      </w:pPr>
    </w:p>
    <w:p>
      <w:pPr>
        <w:ind w:left="730" w:right="200" w:hanging="370"/>
        <w:spacing w:after="0" w:line="272" w:lineRule="auto"/>
        <w:tabs>
          <w:tab w:leader="none" w:pos="73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Volumes delivered to downstream terminal customers increased from 20.1 TBtus in the third quarter of 2023 to 22.2 TBtu in the fourth quarter of 2023. We continue to support the grid stabilization project in Puerto Rico, and we recognized a full quarter of operations for our San Juan Power Plant during the fourth quarter; we completed the commissioning of these additional power assets at the San Juan Power Plant in September 2023. We also realize higher margins for volumes delivered at the temporary power plants at Palo Seco and San Juan, and our segment operating margin in the fourth quarter benefited from delivering additional volumes to these projects.</w:t>
      </w:r>
    </w:p>
    <w:p>
      <w:pPr>
        <w:spacing w:after="0" w:line="194" w:lineRule="exact"/>
        <w:rPr>
          <w:rFonts w:ascii="Times New Roman" w:cs="Times New Roman" w:eastAsia="Times New Roman" w:hAnsi="Times New Roman"/>
          <w:sz w:val="19"/>
          <w:szCs w:val="19"/>
          <w:color w:val="auto"/>
        </w:rPr>
      </w:pPr>
    </w:p>
    <w:p>
      <w:pPr>
        <w:ind w:left="730" w:right="200" w:hanging="370"/>
        <w:spacing w:after="0" w:line="281" w:lineRule="auto"/>
        <w:tabs>
          <w:tab w:leader="none" w:pos="7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Henry Hub index pricing used to invoice our downstream customers increased by 13% for the three months ended December 31, 2023 as compared to the three months ended September 30, 2023.</w:t>
      </w:r>
    </w:p>
    <w:p>
      <w:pPr>
        <w:spacing w:after="0" w:line="181" w:lineRule="exact"/>
        <w:rPr>
          <w:sz w:val="20"/>
          <w:szCs w:val="20"/>
          <w:color w:val="auto"/>
        </w:rPr>
      </w:pPr>
    </w:p>
    <w:p>
      <w:pPr>
        <w:ind w:left="10" w:right="60" w:firstLine="360"/>
        <w:spacing w:after="0" w:line="258"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decreased by $27.5 million for the year ended December 31, 2023 as compared to the year ended December 31, 2022. The decrease was primarily driven by lower LNG cargo sales, no pro rata share of revenue from our former investment in CELSEPAR and a reduction in the Henry Hub index that forms a portion of the pricing to invoice most of our customers in this segment. The decrease in revenue was partially offset by increased revenue from sales to downstream terminal customers.</w:t>
      </w:r>
    </w:p>
    <w:p>
      <w:pPr>
        <w:spacing w:after="0" w:line="204" w:lineRule="exact"/>
        <w:rPr>
          <w:sz w:val="20"/>
          <w:szCs w:val="20"/>
          <w:color w:val="auto"/>
        </w:rPr>
      </w:pPr>
    </w:p>
    <w:p>
      <w:pPr>
        <w:ind w:left="10" w:right="220" w:firstLine="360"/>
        <w:spacing w:after="0" w:line="281" w:lineRule="auto"/>
        <w:rPr>
          <w:sz w:val="20"/>
          <w:szCs w:val="20"/>
          <w:color w:val="auto"/>
        </w:rPr>
      </w:pPr>
      <w:r>
        <w:rPr>
          <w:rFonts w:ascii="Times New Roman" w:cs="Times New Roman" w:eastAsia="Times New Roman" w:hAnsi="Times New Roman"/>
          <w:sz w:val="20"/>
          <w:szCs w:val="20"/>
          <w:color w:val="auto"/>
        </w:rPr>
        <w:t>The decrease in revenue in the year ended December 31, 2023 when compared to the year ended December 31, 2022 was primarily attributable to the following:</w:t>
      </w:r>
    </w:p>
    <w:p>
      <w:pPr>
        <w:spacing w:after="0" w:line="181" w:lineRule="exact"/>
        <w:rPr>
          <w:sz w:val="20"/>
          <w:szCs w:val="20"/>
          <w:color w:val="auto"/>
        </w:rPr>
      </w:pPr>
    </w:p>
    <w:p>
      <w:pPr>
        <w:jc w:val="both"/>
        <w:ind w:left="730" w:right="200" w:hanging="370"/>
        <w:spacing w:after="0" w:line="309" w:lineRule="auto"/>
        <w:tabs>
          <w:tab w:leader="none" w:pos="73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LNG cargo sales to third parties decreased by $557.4 million for the year ended December 31, 2023, decreasing from $1,175.9 million for the year ended December 31, 2022 to $618.5 million for the year ended December 31,</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9910"/>
          </w:cols>
          <w:pgMar w:left="1170" w:top="838" w:right="1160" w:bottom="0" w:gutter="0" w:footer="0" w:header="0"/>
          <w:type w:val="continuous"/>
        </w:sectPr>
      </w:pPr>
    </w:p>
    <w:bookmarkStart w:id="69" w:name="page70"/>
    <w:bookmarkEnd w:id="69"/>
    <w:p>
      <w:pPr>
        <w:ind w:left="720" w:right="80"/>
        <w:spacing w:after="0" w:line="281" w:lineRule="auto"/>
        <w:rPr>
          <w:sz w:val="20"/>
          <w:szCs w:val="20"/>
          <w:color w:val="auto"/>
        </w:rPr>
      </w:pPr>
      <w:r>
        <w:rPr>
          <w:rFonts w:ascii="Times New Roman" w:cs="Times New Roman" w:eastAsia="Times New Roman" w:hAnsi="Times New Roman"/>
          <w:sz w:val="20"/>
          <w:szCs w:val="20"/>
          <w:color w:val="auto"/>
        </w:rPr>
        <w:t>2023. In the second half of 2023, we utilized all LNG purchased under our long-term supply contracts for sales to our downstream terminal customers.</w:t>
      </w:r>
    </w:p>
    <w:p>
      <w:pPr>
        <w:spacing w:after="0" w:line="181" w:lineRule="exact"/>
        <w:rPr>
          <w:sz w:val="20"/>
          <w:szCs w:val="20"/>
          <w:color w:val="auto"/>
        </w:rPr>
      </w:pPr>
    </w:p>
    <w:p>
      <w:pPr>
        <w:ind w:left="720" w:right="40" w:hanging="370"/>
        <w:spacing w:after="0" w:line="260"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completion of the sale of our investment in CELSEPAR in the fourth quarter of 2022, we no longer recognize revenue from this investment in our segment measure. Our share of revenue from CELSEPAR was $148.3 million for the year ended December 31, 2022, which was primarily comprised of fixed capacity payments received under related PPAs.</w:t>
      </w:r>
    </w:p>
    <w:p>
      <w:pPr>
        <w:spacing w:after="0" w:line="203"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Henry Hub index pricing used to invoice our downstream customers decreased by 59% for the year ended December 31, 2023 as compared to the year ended December 31, 2022.</w:t>
      </w:r>
    </w:p>
    <w:p>
      <w:pPr>
        <w:spacing w:after="0" w:line="181" w:lineRule="exact"/>
        <w:rPr>
          <w:sz w:val="20"/>
          <w:szCs w:val="20"/>
          <w:color w:val="auto"/>
        </w:rPr>
      </w:pPr>
    </w:p>
    <w:p>
      <w:pPr>
        <w:ind w:right="360" w:firstLine="360"/>
        <w:spacing w:after="0" w:line="281" w:lineRule="auto"/>
        <w:rPr>
          <w:sz w:val="20"/>
          <w:szCs w:val="20"/>
          <w:color w:val="auto"/>
        </w:rPr>
      </w:pPr>
      <w:r>
        <w:rPr>
          <w:rFonts w:ascii="Times New Roman" w:cs="Times New Roman" w:eastAsia="Times New Roman" w:hAnsi="Times New Roman"/>
          <w:sz w:val="20"/>
          <w:szCs w:val="20"/>
          <w:color w:val="auto"/>
        </w:rPr>
        <w:t>Such decrease was offset by increases to revenue in the year ended December 31, 2023 when compared to the year ended December 31, 2022, due to the following:</w:t>
      </w:r>
    </w:p>
    <w:p>
      <w:pPr>
        <w:spacing w:after="0" w:line="181" w:lineRule="exact"/>
        <w:rPr>
          <w:sz w:val="20"/>
          <w:szCs w:val="20"/>
          <w:color w:val="auto"/>
        </w:rPr>
      </w:pPr>
    </w:p>
    <w:p>
      <w:pPr>
        <w:ind w:left="720" w:right="100" w:hanging="370"/>
        <w:spacing w:after="0" w:line="26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Volumes delivered to downstream customers were 68.3 TBtu for the year ended December 31, 2023 as compared to 39.5 TBtu for the year ended December 31, 2022, and these increased volumes were primarily attributable to our operations in Puerto Rico, Jamaica and Mexico.</w:t>
      </w:r>
    </w:p>
    <w:p>
      <w:pPr>
        <w:spacing w:after="0" w:line="195" w:lineRule="exact"/>
        <w:rPr>
          <w:rFonts w:ascii="Times New Roman" w:cs="Times New Roman" w:eastAsia="Times New Roman" w:hAnsi="Times New Roman"/>
          <w:sz w:val="20"/>
          <w:szCs w:val="20"/>
          <w:color w:val="auto"/>
        </w:rPr>
      </w:pPr>
    </w:p>
    <w:p>
      <w:pPr>
        <w:ind w:left="720" w:right="160" w:hanging="370"/>
        <w:spacing w:after="0" w:line="256"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prior year, maintenance activities significantly lowered consumption at our facilities; there was no significant maintenance downtime during 2023. The maintenance downtime in the prior year was across our facilities, including downtime at our CHP Plant for unplanned maintenance, downtime at our Montego Bay Facility due to a reconfiguration of our assets required by the Port of Montego Bay and maintenance at PREPA's San Juan Power Plant. Volumes delivered across from these facilities increased by 13.5 TBtu as compared to the year ended December 31, 2022.</w:t>
      </w:r>
    </w:p>
    <w:p>
      <w:pPr>
        <w:spacing w:after="0" w:line="208" w:lineRule="exact"/>
        <w:rPr>
          <w:rFonts w:ascii="Times New Roman" w:cs="Times New Roman" w:eastAsia="Times New Roman" w:hAnsi="Times New Roman"/>
          <w:sz w:val="20"/>
          <w:szCs w:val="20"/>
          <w:color w:val="auto"/>
        </w:rPr>
      </w:pPr>
    </w:p>
    <w:p>
      <w:pPr>
        <w:jc w:val="both"/>
        <w:ind w:left="720" w:right="140" w:hanging="370"/>
        <w:spacing w:after="0" w:line="260" w:lineRule="auto"/>
        <w:tabs>
          <w:tab w:leader="none" w:pos="7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May 2023, we began to support the grid stabilization project in Puerto Rico, commissioning power generation assets at the Palo Seco Power Plant. In September 2023, we finished commissioning additional power generation assets at the San Juan Power Plant. We have delivered 13.3 TBtu at a higher margin at these power plants during the year ended December 31, 2023.</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 Starting in the third quarter of 2023, our subsidiary, Genera, began to provide operations and maintenance services to PREPA's thermal generation assets, and cost to provide these services is included in Cost of sales. Under our contract with PREPA, we pass all of these costs onto PREPA, and such billings are recognized as revenue.</w:t>
      </w:r>
    </w:p>
    <w:p>
      <w:pPr>
        <w:spacing w:after="0" w:line="210"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Cost of sales increased $51.3 million for the three months ended December 31, 2023 as compared to the three months ended September 30, 2023.</w:t>
      </w:r>
    </w:p>
    <w:p>
      <w:pPr>
        <w:spacing w:after="0" w:line="181" w:lineRule="exact"/>
        <w:rPr>
          <w:sz w:val="20"/>
          <w:szCs w:val="20"/>
          <w:color w:val="auto"/>
        </w:rPr>
      </w:pPr>
    </w:p>
    <w:p>
      <w:pPr>
        <w:ind w:left="720" w:hanging="370"/>
        <w:spacing w:after="0" w:line="25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LNG purchased from third parties for sale to our downstream customers increased by $25.7 million for the three months ended December 31, 2023 as compared to the three months ended September 30, 2023. The increase was primarily attributable to a 10% increase in volumes delivered compared to the three months ended September 30, 2023. The weighted-average cost of LNG purchased from third parties for sale to our customers increased from $6.78 per MMBtu for the three months ended September 30, 2023 to $7.08 per MMBtu for the three months ended December 31, 2023</w:t>
      </w:r>
    </w:p>
    <w:p>
      <w:pPr>
        <w:spacing w:after="0" w:line="208" w:lineRule="exact"/>
        <w:rPr>
          <w:rFonts w:ascii="Times New Roman" w:cs="Times New Roman" w:eastAsia="Times New Roman" w:hAnsi="Times New Roman"/>
          <w:sz w:val="20"/>
          <w:szCs w:val="20"/>
          <w:color w:val="auto"/>
        </w:rPr>
      </w:pPr>
    </w:p>
    <w:p>
      <w:pPr>
        <w:ind w:left="720" w:right="500" w:hanging="370"/>
        <w:spacing w:after="0" w:line="266"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incurred additional costs of $19.6 million to make reimbursable improvements to our assets that are utilized as part of the Puerto Rican grid stabilization project. The reimbursement of these costs has been recognized as Other revenue.</w:t>
      </w:r>
    </w:p>
    <w:p>
      <w:pPr>
        <w:spacing w:after="0" w:line="195"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Cost of sales decreased by $377.5 million for the year ended December 31, 2023 as compared to the year ended December 31, 2022.</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880"/>
          </w:cols>
          <w:pgMar w:left="1180" w:top="838" w:right="1180" w:bottom="0" w:gutter="0" w:footer="0" w:header="0"/>
          <w:type w:val="continuous"/>
        </w:sectPr>
      </w:pPr>
    </w:p>
    <w:bookmarkStart w:id="70" w:name="page71"/>
    <w:bookmarkEnd w:id="70"/>
    <w:p>
      <w:pPr>
        <w:ind w:left="720" w:hanging="370"/>
        <w:spacing w:after="0" w:line="28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incurred decreased cost of LNG purchased from third parties for LNG cargo sales of $310.3 million during the year ended December 31, 2023.</w:t>
      </w:r>
    </w:p>
    <w:p>
      <w:pPr>
        <w:spacing w:after="0" w:line="181" w:lineRule="exact"/>
        <w:rPr>
          <w:rFonts w:ascii="Times New Roman" w:cs="Times New Roman" w:eastAsia="Times New Roman" w:hAnsi="Times New Roman"/>
          <w:sz w:val="20"/>
          <w:szCs w:val="20"/>
          <w:color w:val="auto"/>
        </w:rPr>
      </w:pPr>
    </w:p>
    <w:p>
      <w:pPr>
        <w:ind w:left="720" w:right="60" w:hanging="370"/>
        <w:spacing w:after="0" w:line="237" w:lineRule="auto"/>
        <w:tabs>
          <w:tab w:leader="none" w:pos="720" w:val="left"/>
        </w:tabs>
        <w:numPr>
          <w:ilvl w:val="0"/>
          <w:numId w:val="40"/>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20"/>
          <w:szCs w:val="20"/>
          <w:color w:val="auto"/>
        </w:rPr>
        <w:t>During the year ended December 31, 2023, realized gains of $139.1 million from the settlement of commodity swap transactions, entered into as an economic hedge to reduce the market risks associated with commodity prices, were included as reduction of cost of sales. For segment performance measures, unrealized mark to market gains and losses are excluded until settled.</w:t>
      </w:r>
    </w:p>
    <w:p>
      <w:pPr>
        <w:spacing w:after="0" w:line="223" w:lineRule="exact"/>
        <w:rPr>
          <w:rFonts w:ascii="Times New Roman" w:cs="Times New Roman" w:eastAsia="Times New Roman" w:hAnsi="Times New Roman"/>
          <w:sz w:val="26"/>
          <w:szCs w:val="26"/>
          <w:b w:val="1"/>
          <w:bCs w:val="1"/>
          <w:i w:val="1"/>
          <w:iCs w:val="1"/>
          <w:color w:val="auto"/>
          <w:vertAlign w:val="superscript"/>
        </w:rPr>
      </w:pPr>
    </w:p>
    <w:p>
      <w:pPr>
        <w:ind w:left="720" w:right="160" w:hanging="370"/>
        <w:spacing w:after="0" w:line="260"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sales for the year ended December 31, 2022 included $28.6 million of our share of cost of sales from our investment in CELSEPAR, which was primarily comprised of LNG costs to fuel a power plant owned by</w:t>
      </w:r>
    </w:p>
    <w:p>
      <w:pPr>
        <w:spacing w:after="0" w:line="1"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CELSEPAR.</w:t>
      </w:r>
    </w:p>
    <w:p>
      <w:pPr>
        <w:spacing w:after="0" w:line="229" w:lineRule="exact"/>
        <w:rPr>
          <w:rFonts w:ascii="Times New Roman" w:cs="Times New Roman" w:eastAsia="Times New Roman" w:hAnsi="Times New Roman"/>
          <w:sz w:val="20"/>
          <w:szCs w:val="20"/>
          <w:color w:val="auto"/>
        </w:rPr>
      </w:pPr>
    </w:p>
    <w:p>
      <w:pPr>
        <w:ind w:left="720" w:right="40" w:hanging="370"/>
        <w:spacing w:after="0" w:line="256"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incurred increased cost of LNG purchased from third parties for sale to our downstream customers of $48.0 million during the year ended December 31, 2023 due to increased volumes delivered; we delivered 74% more volumes to our downstream terminal customers in the current period as compared to the year ended December 31, 2022. While we delivered significantly more volumes to our downstream customers, our pricing to purchase LNG for delivery to such customers was substantially lower, decreasing to $7.23 per MMBtu for the year ended December 31, 2023 from $10.84 per MMBtu for the year ended December 31, 2022.</w:t>
      </w:r>
    </w:p>
    <w:p>
      <w:pPr>
        <w:spacing w:after="0" w:line="208"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recognized additional payroll and other operating costs of $35.6 million to provide services under Genera's operations and maintenance contract.</w:t>
      </w:r>
    </w:p>
    <w:p>
      <w:pPr>
        <w:spacing w:after="0" w:line="181"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The weighted-average cost of our LNG inventory balance to be used in our operations as of December 31, 2023 and December 31, 2022 was $7.33 per MMBtu and $10.42 per MMBtu,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and maintenance</w:t>
      </w:r>
    </w:p>
    <w:p>
      <w:pPr>
        <w:spacing w:after="0" w:line="254"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includes costs of operating our facilities, exclusive of costs to convert that are reflected in Cost of sales.</w:t>
      </w:r>
    </w:p>
    <w:p>
      <w:pPr>
        <w:spacing w:after="0" w:line="181" w:lineRule="exact"/>
        <w:rPr>
          <w:sz w:val="20"/>
          <w:szCs w:val="20"/>
          <w:color w:val="auto"/>
        </w:rPr>
      </w:pPr>
    </w:p>
    <w:p>
      <w:pPr>
        <w:jc w:val="both"/>
        <w:ind w:firstLine="360"/>
        <w:spacing w:after="0" w:line="260" w:lineRule="auto"/>
        <w:rPr>
          <w:sz w:val="20"/>
          <w:szCs w:val="20"/>
          <w:color w:val="auto"/>
        </w:rPr>
      </w:pPr>
      <w:r>
        <w:rPr>
          <w:rFonts w:ascii="Times New Roman" w:cs="Times New Roman" w:eastAsia="Times New Roman" w:hAnsi="Times New Roman"/>
          <w:sz w:val="20"/>
          <w:szCs w:val="20"/>
          <w:color w:val="auto"/>
        </w:rPr>
        <w:t xml:space="preserve">Operations and maintenance increase by $17.5 million for the three months ended December 31, 2023 as compared to the three months ended September 30, 2023, which was primarily related to additional vessel costs incurred in our terminal operations as costs related to the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Princess</w:t>
      </w:r>
      <w:r>
        <w:rPr>
          <w:rFonts w:ascii="Times New Roman" w:cs="Times New Roman" w:eastAsia="Times New Roman" w:hAnsi="Times New Roman"/>
          <w:sz w:val="20"/>
          <w:szCs w:val="20"/>
          <w:color w:val="auto"/>
        </w:rPr>
        <w:t xml:space="preserve"> are recognized in our terminal costs following the conclusion of these vessels long-term charters.</w:t>
      </w:r>
    </w:p>
    <w:p>
      <w:pPr>
        <w:spacing w:after="0" w:line="203" w:lineRule="exact"/>
        <w:rPr>
          <w:sz w:val="20"/>
          <w:szCs w:val="20"/>
          <w:color w:val="auto"/>
        </w:rPr>
      </w:pPr>
    </w:p>
    <w:p>
      <w:pPr>
        <w:jc w:val="both"/>
        <w:ind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increased by $36.8 million for the year ended December 31, 2023 as compared to the year ended December 31, 2022, which was attributable to the following activity:</w:t>
      </w:r>
    </w:p>
    <w:p>
      <w:pPr>
        <w:spacing w:after="0" w:line="181" w:lineRule="exact"/>
        <w:rPr>
          <w:sz w:val="20"/>
          <w:szCs w:val="20"/>
          <w:color w:val="auto"/>
        </w:rPr>
      </w:pPr>
    </w:p>
    <w:p>
      <w:pPr>
        <w:jc w:val="both"/>
        <w:ind w:left="720" w:hanging="370"/>
        <w:spacing w:after="0" w:line="309" w:lineRule="auto"/>
        <w:tabs>
          <w:tab w:leader="none" w:pos="7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2023, we leased turbines to generate power at the Palo Seco Power Plant as part of the grid stabilization project in Puerto Rico. We also undertook activities to ensure that we have LNG supply available for our expanded Puerto</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880"/>
          </w:cols>
          <w:pgMar w:left="1180" w:top="838" w:right="1180" w:bottom="0" w:gutter="0" w:footer="0" w:header="0"/>
          <w:type w:val="continuous"/>
        </w:sectPr>
      </w:pPr>
    </w:p>
    <w:bookmarkStart w:id="71" w:name="page72"/>
    <w:bookmarkEnd w:id="71"/>
    <w:p>
      <w:pPr>
        <w:ind w:left="720" w:right="700"/>
        <w:spacing w:after="0" w:line="281" w:lineRule="auto"/>
        <w:rPr>
          <w:sz w:val="20"/>
          <w:szCs w:val="20"/>
          <w:color w:val="auto"/>
        </w:rPr>
      </w:pPr>
      <w:r>
        <w:rPr>
          <w:rFonts w:ascii="Times New Roman" w:cs="Times New Roman" w:eastAsia="Times New Roman" w:hAnsi="Times New Roman"/>
          <w:sz w:val="20"/>
          <w:szCs w:val="20"/>
          <w:color w:val="auto"/>
        </w:rPr>
        <w:t>Rican operations, including leasing berth space to place a storage vessel to service Puerto Rico, increasing operations and maintenance costs when compared to the prior year.</w:t>
      </w:r>
    </w:p>
    <w:p>
      <w:pPr>
        <w:spacing w:after="0" w:line="181" w:lineRule="exact"/>
        <w:rPr>
          <w:sz w:val="20"/>
          <w:szCs w:val="20"/>
          <w:color w:val="auto"/>
        </w:rPr>
      </w:pPr>
    </w:p>
    <w:p>
      <w:pPr>
        <w:ind w:left="720" w:right="320" w:hanging="370"/>
        <w:spacing w:after="0" w:line="266"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increases were partially offset by the exclusion of our share of Operations and maintenance from the investment in CELSEPAR; after the sale of our investment in CELSEPAR in the fourth quarter of 2022, we do not include these costs during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Ships Segment</w:t>
      </w:r>
    </w:p>
    <w:p>
      <w:pPr>
        <w:spacing w:after="0" w:line="3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30, 2023</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63,290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(3,267)</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9,092</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(2,521)</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54,198</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54,944</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(746)</w:t>
            </w:r>
          </w:p>
        </w:tc>
        <w:tc>
          <w:tcPr>
            <w:tcW w:w="0" w:type="dxa"/>
            <w:vAlign w:val="bottom"/>
          </w:tcPr>
          <w:p>
            <w:pPr>
              <w:spacing w:after="0"/>
              <w:rPr>
                <w:sz w:val="1"/>
                <w:szCs w:val="1"/>
                <w:color w:val="auto"/>
              </w:rPr>
            </w:pPr>
          </w:p>
        </w:tc>
      </w:tr>
      <w:tr>
        <w:trPr>
          <w:trHeight w:val="605"/>
        </w:trPr>
        <w:tc>
          <w:tcPr>
            <w:tcW w:w="6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8"/>
                <w:szCs w:val="18"/>
                <w:color w:val="auto"/>
              </w:rPr>
            </w:pPr>
          </w:p>
        </w:tc>
        <w:tc>
          <w:tcPr>
            <w:tcW w:w="12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(151,011)</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(39,157)</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(111,854)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-1853565</wp:posOffset>
            </wp:positionV>
            <wp:extent cx="6311900" cy="587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6311900" cy="5873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-593090</wp:posOffset>
            </wp:positionV>
            <wp:extent cx="6337300" cy="612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6337300" cy="612775"/>
                    </a:xfrm>
                    <a:prstGeom prst="rect">
                      <a:avLst/>
                    </a:prstGeom>
                    <a:noFill/>
                  </pic:spPr>
                </pic:pic>
              </a:graphicData>
            </a:graphic>
          </wp:anchor>
        </w:drawing>
      </w:r>
    </w:p>
    <w:p>
      <w:pPr>
        <w:spacing w:after="0" w:line="248"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Revenue in the Ships segment is comprised of operating lease revenue under time charters, fees for positioning and repositioning vessels as well as the reimbursement of certain vessel operating costs. Prior to the completion of the Energos Formation Transaction, we also recognized revenue related to the interest portion of lease payments and the operating and service agreements in connection with the sales-type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We included the interest income earned under sales-type leases as revenue as amounts earned under chartering and operating service agreements represented our ongoing ordinary business operations.</w:t>
      </w:r>
    </w:p>
    <w:p>
      <w:pPr>
        <w:spacing w:after="0" w:line="208"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On March 15, 2023, we completed the "Hilli Exchange. In the fourth quarter of 2022, we recognized a loss on the investment in Hilli LLC of $118.6 million; this loss was recognized in Loss from equity method investments in the Consolidated Statements of Operations and Comprehensive Income. Upon completion of the Hilli Exchange during the first quarter of 2023, we recognized an additional loss on disposal of $37.4 million, which was included in Other expense (income), net. As a result of the Hilli Exchange we no longer have an ownership interest in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NFE shares received from GLNG were cancelled upon the closing of the Hilli Exchange.</w:t>
      </w:r>
    </w:p>
    <w:p>
      <w:pPr>
        <w:spacing w:after="0" w:line="208"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 xml:space="preserve">As of December 31, 2023, three FSRUs and one LNG carrier were leased to customers under long-term arrangements. In July 2023, we sold the vessel </w:t>
      </w:r>
      <w:r>
        <w:rPr>
          <w:rFonts w:ascii="Times New Roman" w:cs="Times New Roman" w:eastAsia="Times New Roman" w:hAnsi="Times New Roman"/>
          <w:sz w:val="20"/>
          <w:szCs w:val="20"/>
          <w:b w:val="1"/>
          <w:bCs w:val="1"/>
          <w:i w:val="1"/>
          <w:iCs w:val="1"/>
          <w:color w:val="auto"/>
        </w:rPr>
        <w:t>Spirit</w:t>
      </w:r>
      <w:r>
        <w:rPr>
          <w:rFonts w:ascii="Times New Roman" w:cs="Times New Roman" w:eastAsia="Times New Roman" w:hAnsi="Times New Roman"/>
          <w:sz w:val="20"/>
          <w:szCs w:val="20"/>
          <w:color w:val="auto"/>
        </w:rPr>
        <w:t xml:space="preserve"> for a total consideration of $15.8 million resulting in a gain of $7.8 million. The gain on sale is included in Gain on sale of assets, net in the Consolidated Statements of Operations and Comprehensive Income. In December 2023, we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 million; the sale closed in the first quarter of 2024, and as such, the vessel has been classified as held for sale as of December 31, 2023. In conjunction with the classification as held for sale, the Company recognized an impairment of $10.9 million within Asset impairment expense in the Consolidated Statements of Operations and Comprehensive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 xml:space="preserve">Total revenue for the Ships segment decreased $3.3 million for the three months ended December 31, 2023 as compared to the three months ended September 30, 2023. Subsequent to the Energos Formation Transaction, we continue to be, for accounting purposes, the owner of vessels included in the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as such, we continue to recognize revenue from the charter of these vessels to third parties. The decrease in revenue was primarily driven by end of third-party charter of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Princess</w:t>
      </w:r>
      <w:r>
        <w:rPr>
          <w:rFonts w:ascii="Times New Roman" w:cs="Times New Roman" w:eastAsia="Times New Roman" w:hAnsi="Times New Roman"/>
          <w:sz w:val="20"/>
          <w:szCs w:val="20"/>
          <w:color w:val="auto"/>
        </w:rPr>
        <w:t xml:space="preserve"> during the fourth quarter of 2023.</w:t>
      </w:r>
    </w:p>
    <w:p>
      <w:pPr>
        <w:spacing w:after="0" w:line="204"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20"/>
          <w:szCs w:val="20"/>
          <w:color w:val="auto"/>
        </w:rPr>
        <w:t xml:space="preserve">Total revenue for the Ships segment decreased by $151.0 million for the year ended December 31, 2023 as compared to the year ended December 31, 2022. The decrease in revenue was primarily the result of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part of the Energos Formation Transaction; we no longer recognize revenue related to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in 2023. After the Hilli</w:t>
      </w:r>
    </w:p>
    <w:p>
      <w:pPr>
        <w:sectPr>
          <w:pgSz w:w="12240" w:h="15840" w:orient="portrait"/>
          <w:cols w:equalWidth="0" w:num="1">
            <w:col w:w="9900"/>
          </w:cols>
          <w:pgMar w:left="1180" w:top="838" w:right="1160" w:bottom="0" w:gutter="0" w:footer="0" w:header="0"/>
        </w:sect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900"/>
          </w:cols>
          <w:pgMar w:left="1180" w:top="838" w:right="1160" w:bottom="0" w:gutter="0" w:footer="0" w:header="0"/>
          <w:type w:val="continuous"/>
        </w:sectPr>
      </w:pPr>
    </w:p>
    <w:bookmarkStart w:id="72" w:name="page73"/>
    <w:bookmarkEnd w:id="72"/>
    <w:p>
      <w:pPr>
        <w:ind w:right="80"/>
        <w:spacing w:after="0" w:line="278" w:lineRule="auto"/>
        <w:rPr>
          <w:sz w:val="20"/>
          <w:szCs w:val="20"/>
          <w:color w:val="auto"/>
        </w:rPr>
      </w:pPr>
      <w:r>
        <w:rPr>
          <w:rFonts w:ascii="Times New Roman" w:cs="Times New Roman" w:eastAsia="Times New Roman" w:hAnsi="Times New Roman"/>
          <w:sz w:val="19"/>
          <w:szCs w:val="19"/>
          <w:color w:val="auto"/>
        </w:rPr>
        <w:t>Exchange at the end of the first quarter of 2023, we no longer recognize revenue from the Hilli, further decreasing revenue in the Ships segment. Additionally the charters for two vessels concluded in the first quarter of 2023 and the charters for another two vessels concluded in the fourth quarter of 2023, lowering vessel revenue for the year ended December 31, 2023. We plan to utilize these vessels in our operations following conversion and other upgrades starting in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prior to the Hilli Exchange discussed above.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10" w:lineRule="exact"/>
        <w:rPr>
          <w:sz w:val="20"/>
          <w:szCs w:val="20"/>
          <w:color w:val="auto"/>
        </w:rPr>
      </w:pPr>
    </w:p>
    <w:p>
      <w:pPr>
        <w:ind w:right="80" w:firstLine="396"/>
        <w:spacing w:after="0" w:line="266" w:lineRule="auto"/>
        <w:rPr>
          <w:sz w:val="20"/>
          <w:szCs w:val="20"/>
          <w:color w:val="auto"/>
        </w:rPr>
      </w:pPr>
      <w:r>
        <w:rPr>
          <w:rFonts w:ascii="Times New Roman" w:cs="Times New Roman" w:eastAsia="Times New Roman" w:hAnsi="Times New Roman"/>
          <w:sz w:val="20"/>
          <w:szCs w:val="20"/>
          <w:color w:val="auto"/>
        </w:rPr>
        <w:t xml:space="preserve">Vessel operating expenses decreased by $2.5 million for the three months ended December 31, 2023, compared to the three months ended September 30, 2023 primarily due to end of third-party charter of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Princess</w:t>
      </w:r>
      <w:r>
        <w:rPr>
          <w:rFonts w:ascii="Times New Roman" w:cs="Times New Roman" w:eastAsia="Times New Roman" w:hAnsi="Times New Roman"/>
          <w:sz w:val="20"/>
          <w:szCs w:val="20"/>
          <w:color w:val="auto"/>
        </w:rPr>
        <w:t xml:space="preserve"> during the fourth quarter of 2023.</w:t>
      </w:r>
    </w:p>
    <w:p>
      <w:pPr>
        <w:spacing w:after="0" w:line="195" w:lineRule="exact"/>
        <w:rPr>
          <w:sz w:val="20"/>
          <w:szCs w:val="20"/>
          <w:color w:val="auto"/>
        </w:rPr>
      </w:pPr>
    </w:p>
    <w:p>
      <w:pPr>
        <w:ind w:right="100" w:firstLine="396"/>
        <w:spacing w:after="0" w:line="255" w:lineRule="auto"/>
        <w:rPr>
          <w:sz w:val="20"/>
          <w:szCs w:val="20"/>
          <w:color w:val="auto"/>
        </w:rPr>
      </w:pPr>
      <w:r>
        <w:rPr>
          <w:rFonts w:ascii="Times New Roman" w:cs="Times New Roman" w:eastAsia="Times New Roman" w:hAnsi="Times New Roman"/>
          <w:sz w:val="20"/>
          <w:szCs w:val="20"/>
          <w:color w:val="auto"/>
        </w:rPr>
        <w:t xml:space="preserve">Vessel operating expenses decreased by $39.2 million for the year ended December 31, 2023 as compared to the year ended December 31, 2022. The decrease in vessel operating expenses was primarily due to lower costs related to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after the Hilli Exchange at the end of the first quarter of 2023. During 2023, the Company started using four vessels that were in the Ships segment in 2022 for its terminal operations, resulting in lower vessel operating costs. The costs also decreased as a result of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part of the Energos Formation Transaction; we recognized vessel operating expenses related to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during 2022 and no longer recognize vessel operating expenses related to the </w:t>
      </w:r>
      <w:r>
        <w:rPr>
          <w:rFonts w:ascii="Times New Roman" w:cs="Times New Roman" w:eastAsia="Times New Roman" w:hAnsi="Times New Roman"/>
          <w:sz w:val="20"/>
          <w:szCs w:val="20"/>
          <w:b w:val="1"/>
          <w:bCs w:val="1"/>
          <w:i w:val="1"/>
          <w:iCs w:val="1"/>
          <w:color w:val="auto"/>
        </w:rPr>
        <w:t xml:space="preserve">Nanook </w:t>
      </w:r>
      <w:r>
        <w:rPr>
          <w:rFonts w:ascii="Times New Roman" w:cs="Times New Roman" w:eastAsia="Times New Roman" w:hAnsi="Times New Roman"/>
          <w:sz w:val="20"/>
          <w:szCs w:val="20"/>
          <w:color w:val="auto"/>
        </w:rPr>
        <w:t>in 2023.</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880"/>
          </w:cols>
          <w:pgMar w:left="1180" w:top="838" w:right="1180" w:bottom="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operating results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198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8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w w:val="96"/>
              </w:rPr>
              <w:t>December</w:t>
            </w:r>
          </w:p>
        </w:tc>
        <w:tc>
          <w:tcPr>
            <w:tcW w:w="126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9"/>
              </w:rPr>
              <w:t>September</w:t>
            </w:r>
          </w:p>
        </w:tc>
        <w:tc>
          <w:tcPr>
            <w:tcW w:w="220" w:type="dxa"/>
            <w:vAlign w:val="bottom"/>
          </w:tcPr>
          <w:p>
            <w:pPr>
              <w:spacing w:after="0"/>
              <w:rPr>
                <w:sz w:val="18"/>
                <w:szCs w:val="18"/>
                <w:color w:val="auto"/>
              </w:rPr>
            </w:pPr>
          </w:p>
        </w:tc>
        <w:tc>
          <w:tcPr>
            <w:tcW w:w="104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14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180" w:type="dxa"/>
            <w:vAlign w:val="bottom"/>
          </w:tcPr>
          <w:p>
            <w:pPr>
              <w:spacing w:after="0"/>
              <w:rPr>
                <w:sz w:val="18"/>
                <w:szCs w:val="18"/>
                <w:color w:val="auto"/>
              </w:rPr>
            </w:pPr>
          </w:p>
        </w:tc>
        <w:tc>
          <w:tcPr>
            <w:tcW w:w="11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31, 2023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30, 2023</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31, 2023</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31, 2022</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color w:val="auto"/>
              </w:rPr>
              <w:t>Selling, general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48,056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49,107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205,104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(30,947)</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administrative</w:t>
            </w:r>
          </w:p>
        </w:tc>
        <w:tc>
          <w:tcPr>
            <w:tcW w:w="16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 and integration</w:t>
            </w:r>
          </w:p>
        </w:tc>
        <w:tc>
          <w:tcPr>
            <w:tcW w:w="160" w:type="dxa"/>
            <w:vAlign w:val="bottom"/>
          </w:tcPr>
          <w:p>
            <w:pPr>
              <w:spacing w:after="0"/>
              <w:rPr>
                <w:sz w:val="20"/>
                <w:szCs w:val="20"/>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2,159</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2,739</w:t>
            </w: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(580)</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6,946</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(14,850)</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w:t>
            </w:r>
          </w:p>
        </w:tc>
        <w:tc>
          <w:tcPr>
            <w:tcW w:w="160" w:type="dxa"/>
            <w:vAlign w:val="bottom"/>
          </w:tcPr>
          <w:p>
            <w:pPr>
              <w:spacing w:after="0"/>
              <w:rPr>
                <w:sz w:val="20"/>
                <w:szCs w:val="20"/>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62,164</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48,670</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13,494</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187,324</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44,684</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10,958</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10,958</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10,958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(39,701)</w:t>
            </w:r>
          </w:p>
        </w:tc>
        <w:tc>
          <w:tcPr>
            <w:tcW w:w="0" w:type="dxa"/>
            <w:vAlign w:val="bottom"/>
          </w:tcPr>
          <w:p>
            <w:pPr>
              <w:spacing w:after="0"/>
              <w:rPr>
                <w:sz w:val="1"/>
                <w:szCs w:val="1"/>
                <w:color w:val="auto"/>
              </w:rPr>
            </w:pPr>
          </w:p>
        </w:tc>
      </w:tr>
      <w:tr>
        <w:trPr>
          <w:trHeight w:val="30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Gain on sale of assets, net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(21,534)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(7,844)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(13,690)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101,803</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92,672</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9,131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380,954</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451,146</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(70,192)</w:t>
            </w:r>
          </w:p>
        </w:tc>
        <w:tc>
          <w:tcPr>
            <w:tcW w:w="0" w:type="dxa"/>
            <w:vAlign w:val="bottom"/>
          </w:tcPr>
          <w:p>
            <w:pPr>
              <w:spacing w:after="0"/>
              <w:rPr>
                <w:sz w:val="1"/>
                <w:szCs w:val="1"/>
                <w:color w:val="auto"/>
              </w:rPr>
            </w:pPr>
          </w:p>
        </w:tc>
      </w:tr>
      <w:tr>
        <w:trPr>
          <w:trHeight w:val="277"/>
        </w:trPr>
        <w:tc>
          <w:tcPr>
            <w:tcW w:w="2500" w:type="dxa"/>
            <w:vAlign w:val="bottom"/>
            <w:gridSpan w:val="2"/>
          </w:tcPr>
          <w:p>
            <w:pPr>
              <w:ind w:left="34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327,040</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157,438</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169,602</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942,667</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737,380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205,287</w:t>
            </w:r>
          </w:p>
        </w:tc>
        <w:tc>
          <w:tcPr>
            <w:tcW w:w="0" w:type="dxa"/>
            <w:vAlign w:val="bottom"/>
          </w:tcPr>
          <w:p>
            <w:pPr>
              <w:spacing w:after="0"/>
              <w:rPr>
                <w:sz w:val="1"/>
                <w:szCs w:val="1"/>
                <w:color w:val="auto"/>
              </w:rPr>
            </w:pPr>
          </w:p>
        </w:tc>
      </w:tr>
      <w:tr>
        <w:trPr>
          <w:trHeight w:val="30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76,951</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64,822</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12,129</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277,842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40,981</w:t>
            </w:r>
          </w:p>
        </w:tc>
        <w:tc>
          <w:tcPr>
            <w:tcW w:w="0" w:type="dxa"/>
            <w:vAlign w:val="bottom"/>
          </w:tcPr>
          <w:p>
            <w:pPr>
              <w:spacing w:after="0"/>
              <w:rPr>
                <w:sz w:val="1"/>
                <w:szCs w:val="1"/>
                <w:color w:val="auto"/>
              </w:rPr>
            </w:pPr>
          </w:p>
        </w:tc>
      </w:tr>
      <w:tr>
        <w:trPr>
          <w:trHeight w:val="49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(13,586)</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5,573</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(19,159)</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10,408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58,452</w:t>
            </w: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extinguishment of</w:t>
            </w:r>
          </w:p>
        </w:tc>
        <w:tc>
          <w:tcPr>
            <w:tcW w:w="160" w:type="dxa"/>
            <w:vAlign w:val="bottom"/>
          </w:tcPr>
          <w:p>
            <w:pPr>
              <w:spacing w:after="0"/>
              <w:rPr>
                <w:sz w:val="24"/>
                <w:szCs w:val="24"/>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0" w:type="dxa"/>
            <w:vAlign w:val="bottom"/>
          </w:tcPr>
          <w:p>
            <w:pPr>
              <w:spacing w:after="0"/>
              <w:rPr>
                <w:sz w:val="1"/>
                <w:szCs w:val="1"/>
                <w:color w:val="auto"/>
              </w:rPr>
            </w:pPr>
          </w:p>
        </w:tc>
      </w:tr>
      <w:tr>
        <w:trPr>
          <w:trHeight w:val="26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debt, net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b w:val="1"/>
                <w:bCs w:val="1"/>
                <w:color w:val="auto"/>
              </w:rPr>
              <w:t>Income before income from</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equity method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investments and income</w:t>
            </w:r>
          </w:p>
        </w:tc>
        <w:tc>
          <w:tcPr>
            <w:tcW w:w="160" w:type="dxa"/>
            <w:vAlign w:val="bottom"/>
          </w:tcPr>
          <w:p>
            <w:pPr>
              <w:spacing w:after="0"/>
              <w:rPr>
                <w:sz w:val="17"/>
                <w:szCs w:val="17"/>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263,675</w:t>
            </w:r>
          </w:p>
        </w:tc>
        <w:tc>
          <w:tcPr>
            <w:tcW w:w="220" w:type="dxa"/>
            <w:vAlign w:val="bottom"/>
          </w:tcPr>
          <w:p>
            <w:pPr>
              <w:spacing w:after="0"/>
              <w:rPr>
                <w:sz w:val="17"/>
                <w:szCs w:val="17"/>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87,043</w:t>
            </w:r>
          </w:p>
        </w:tc>
        <w:tc>
          <w:tcPr>
            <w:tcW w:w="220" w:type="dxa"/>
            <w:vAlign w:val="bottom"/>
          </w:tcPr>
          <w:p>
            <w:pPr>
              <w:spacing w:after="0"/>
              <w:rPr>
                <w:sz w:val="17"/>
                <w:szCs w:val="17"/>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176,632</w:t>
            </w:r>
          </w:p>
        </w:tc>
        <w:tc>
          <w:tcPr>
            <w:tcW w:w="180" w:type="dxa"/>
            <w:vAlign w:val="bottom"/>
          </w:tcPr>
          <w:p>
            <w:pPr>
              <w:spacing w:after="0"/>
              <w:rPr>
                <w:sz w:val="17"/>
                <w:szCs w:val="17"/>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654,417</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533,566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120,851</w:t>
            </w:r>
          </w:p>
        </w:tc>
        <w:tc>
          <w:tcPr>
            <w:tcW w:w="0" w:type="dxa"/>
            <w:vAlign w:val="bottom"/>
          </w:tcPr>
          <w:p>
            <w:pPr>
              <w:spacing w:after="0"/>
              <w:rPr>
                <w:sz w:val="1"/>
                <w:szCs w:val="1"/>
                <w:color w:val="auto"/>
              </w:rPr>
            </w:pPr>
          </w:p>
        </w:tc>
      </w:tr>
      <w:tr>
        <w:trPr>
          <w:trHeight w:val="264"/>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(loss) from equity</w:t>
            </w:r>
          </w:p>
        </w:tc>
        <w:tc>
          <w:tcPr>
            <w:tcW w:w="1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(2,766)</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489</w:t>
            </w: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(3,255)</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9,972</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482,191</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method investments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provision (benefit)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46,037</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25,194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20,843</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115,513</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238,952</w:t>
            </w:r>
          </w:p>
        </w:tc>
        <w:tc>
          <w:tcPr>
            <w:tcW w:w="0" w:type="dxa"/>
            <w:vAlign w:val="bottom"/>
          </w:tcPr>
          <w:p>
            <w:pPr>
              <w:spacing w:after="0"/>
              <w:rPr>
                <w:sz w:val="1"/>
                <w:szCs w:val="1"/>
                <w:color w:val="auto"/>
              </w:rPr>
            </w:pPr>
          </w:p>
        </w:tc>
      </w:tr>
      <w:tr>
        <w:trPr>
          <w:trHeight w:val="28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214,872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62,338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152,534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548,876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-3828415</wp:posOffset>
            </wp:positionV>
            <wp:extent cx="6311900" cy="383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6311900" cy="383540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54"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95" w:lineRule="exact"/>
        <w:rPr>
          <w:sz w:val="20"/>
          <w:szCs w:val="20"/>
          <w:color w:val="auto"/>
        </w:rPr>
      </w:pPr>
    </w:p>
    <w:p>
      <w:pPr>
        <w:ind w:right="620" w:firstLine="360"/>
        <w:spacing w:after="0" w:line="281" w:lineRule="auto"/>
        <w:rPr>
          <w:sz w:val="20"/>
          <w:szCs w:val="20"/>
          <w:color w:val="auto"/>
        </w:rPr>
      </w:pPr>
      <w:r>
        <w:rPr>
          <w:rFonts w:ascii="Times New Roman" w:cs="Times New Roman" w:eastAsia="Times New Roman" w:hAnsi="Times New Roman"/>
          <w:sz w:val="20"/>
          <w:szCs w:val="20"/>
          <w:color w:val="auto"/>
        </w:rPr>
        <w:t>Selling, general and administrative for the three months ended December 31, 2023 decreased by $1.1 million as compared to the three months ended September 30, 2023.</w:t>
      </w:r>
    </w:p>
    <w:p>
      <w:pPr>
        <w:spacing w:after="0" w:line="181"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Selling, general and administrative decreased by $30.9 million for the year ended December 31, 2023, compared to the year ended December 31, 2022. The decreases were primarily due to lower share-based compensation expense, as we did not recognize any cost related to employee performance share units in 2023, as well as lower professional fees and screening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and integration costs</w:t>
      </w:r>
    </w:p>
    <w:p>
      <w:pPr>
        <w:spacing w:after="0" w:line="254"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For the three months ended December 31, 2023, we did not incur significant transaction and integration costs as compared to the prior quarter.</w:t>
      </w:r>
    </w:p>
    <w:p>
      <w:pPr>
        <w:spacing w:after="0" w:line="181"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For the year ended December 31, 2023, we incurred $6.9 million for transaction and integration costs, as compared to $21.8 million for the year ended December 31, 2022. In the prior year, we incurred transaction and integration costs primarily associated with the sale of our investment in CELSEPAR and the Energos Formation Transaction, and there were no such similar significant transactions during the year-ended December 31, 2023.</w:t>
      </w:r>
    </w:p>
    <w:p>
      <w:pPr>
        <w:sectPr>
          <w:pgSz w:w="12240" w:h="15840" w:orient="portrait"/>
          <w:cols w:equalWidth="0" w:num="1">
            <w:col w:w="9900"/>
          </w:cols>
          <w:pgMar w:left="1180" w:top="82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900"/>
          </w:cols>
          <w:pgMar w:left="1180" w:top="822" w:right="11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5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Depreciation and amortization increased by $13.5 million for the three months ended December 31, 2023 as compared to the three months ended September 30, 2023. In September 2023, we placed assets at the San Juan Power Plant in service as part of the grid stabilization project in Puerto Rico. Additionally, in September 2023 we placed our La Paz Power Plant into partial service, and we recognized a full quarter of depreciation in the fourth quarter of 2023.</w:t>
      </w:r>
    </w:p>
    <w:p>
      <w:pPr>
        <w:spacing w:after="0" w:line="203"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20"/>
          <w:szCs w:val="20"/>
          <w:color w:val="auto"/>
        </w:rPr>
        <w:t>Depreciation and amortization increased by $44.7 million for the year ended December 31, 2023 as compared to the year ended December 31, 2022, primarily the result of assets including turbines placed into service as part of the grid stabilization project at the Palo Seco Power Plant and San Juan Power Plant during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impairment expense</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 xml:space="preserve">As a result of our acquisition of Hygo Energy Transition Limited in 2021, we recognized long-lived assets associated with the expansion of the Sergipe Power Plant. During the year ended December 31, 2022, we recognized asset impairment expense of $50.7 million, as the fair value of these assets was less than the carrying value, and the asset group was held for sale. In December 2023, we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 million; the sale closed in the first quarter of 2024. The vessel has been classified as held for sale as of December 31, 2023, and in conjunction with the classification as held for sale, the Company recognized an impairment of $10.9 million.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on sale of assets, net</w:t>
      </w:r>
    </w:p>
    <w:p>
      <w:pPr>
        <w:spacing w:after="0" w:line="254"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In July 2023, we sold the vessel Golar Spirit for a total consideration of $15.8 million resulting in a gain of $7.8 million. In addition, during the fourth quarter of 2023, we completed the sale of 100% of shares of Pecém and Muricy for a total gain of $21.5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220" w:firstLine="360"/>
        <w:spacing w:after="0" w:line="266" w:lineRule="auto"/>
        <w:rPr>
          <w:sz w:val="20"/>
          <w:szCs w:val="20"/>
          <w:color w:val="auto"/>
        </w:rPr>
      </w:pPr>
      <w:r>
        <w:rPr>
          <w:rFonts w:ascii="Times New Roman" w:cs="Times New Roman" w:eastAsia="Times New Roman" w:hAnsi="Times New Roman"/>
          <w:sz w:val="20"/>
          <w:szCs w:val="20"/>
          <w:color w:val="auto"/>
        </w:rPr>
        <w:t>Interest expense increased by $12.1 million for the three months ended December 31, 2023 as compared to the three months ended September 30, 2023. The increase was primarily due to the higher borrowing costs on our Term Loan B (defined below) issued in October 2023 and Barcarena Debentures (defined below) issued in November 2023.</w:t>
      </w:r>
    </w:p>
    <w:p>
      <w:pPr>
        <w:spacing w:after="0" w:line="195"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Interest expense increased by $41.0 million for the year ended December 31, 2023, as compared to the year ended December 31, 2022. The increase was primarily due to an increase in total principal outstanding, including obligations incurred as a result of the Energos Formation Transaction, under which we incur higher borrowing costs. The total principal balance on outstanding facilities was $6.9 billion as of December 31, 2023 as compared to total outstanding debt of $4.6 billion as of December 31, 2022.</w:t>
      </w:r>
    </w:p>
    <w:p>
      <w:pPr>
        <w:sectPr>
          <w:pgSz w:w="12240" w:h="15840" w:orient="portrait"/>
          <w:cols w:equalWidth="0" w:num="1">
            <w:col w:w="9860"/>
          </w:cols>
          <w:pgMar w:left="1180" w:top="83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860"/>
          </w:cols>
          <w:pgMar w:left="1180" w:top="834" w:right="120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54"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20"/>
          <w:szCs w:val="20"/>
          <w:color w:val="auto"/>
        </w:rPr>
        <w:t>Other income, net and other expense, net was $13.6 million and $5.6 million for the three months ended December 31, 2023 and September 30, 2023, respectively. Other expense, net and Other income, net was $10.4 million and $48.0 million for the year ended December 31, 2023 and December 31, 2022, respectively.</w:t>
      </w:r>
    </w:p>
    <w:p>
      <w:pPr>
        <w:spacing w:after="0" w:line="195" w:lineRule="exact"/>
        <w:rPr>
          <w:sz w:val="20"/>
          <w:szCs w:val="20"/>
          <w:color w:val="auto"/>
        </w:rPr>
      </w:pPr>
    </w:p>
    <w:p>
      <w:pPr>
        <w:ind w:right="540" w:firstLine="360"/>
        <w:spacing w:after="0" w:line="281" w:lineRule="auto"/>
        <w:rPr>
          <w:sz w:val="20"/>
          <w:szCs w:val="20"/>
          <w:color w:val="auto"/>
        </w:rPr>
      </w:pPr>
      <w:r>
        <w:rPr>
          <w:rFonts w:ascii="Times New Roman" w:cs="Times New Roman" w:eastAsia="Times New Roman" w:hAnsi="Times New Roman"/>
          <w:sz w:val="20"/>
          <w:szCs w:val="20"/>
          <w:color w:val="auto"/>
        </w:rPr>
        <w:t>Other income, net recognized in the three months ended December 31, 2023 was primarily comprised of interest income and foreign currency remeasurement gains.</w:t>
      </w:r>
    </w:p>
    <w:p>
      <w:pPr>
        <w:spacing w:after="0" w:line="181"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Other expense, net recognized in the year ended December 31, 2023 was primarily comprised of loss on disposal of our equity method investment in Hilli LLC in the Hilli Exchange during the first quarter of 2023. The losses were partially offset by the interest income and gains on certain derivative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w:t>
      </w:r>
    </w:p>
    <w:p>
      <w:pPr>
        <w:spacing w:after="0" w:line="254"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Loss on extinguishment of debt was $15.0 million for the year ended December 31, 2022 as a result of the extinguishment of the certain debt facilities and sale leaseback financing arrangements with VIEs with proceeds from the Energos Formation Transaction. We did not have any such transactions during the 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(loss) from equity method investments</w:t>
      </w:r>
    </w:p>
    <w:p>
      <w:pPr>
        <w:spacing w:after="0" w:line="25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recognized a loss from our investment in Energos of $2.8 million for the three months ended December 31, 2023 as compared to income of $0.5 million and for the three months ended September 30, 2023. We have entered into a Unit Purchase Agreement to sell substantially all of our stake in the Energos, and as a result of the transaction, we recognized an other than temporary impairment ("OTTI") totaling $5.3 million.</w:t>
      </w:r>
    </w:p>
    <w:p>
      <w:pPr>
        <w:spacing w:after="0" w:line="203"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We recognized income from our equity method investments of $10.0 million for the year ended December 31, 2023. For the year ended December 31, 2022, we recognized losses from our equity method investments of $472.2 million. The losses were primarily driven by an other than temporary impairment of the investments in CELSEPAR and Hilli LLC of $487.8 million recognized in connection with the announced sale of these investments, partially offset by income attributable to our investments in Energos.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provision</w:t>
      </w:r>
    </w:p>
    <w:p>
      <w:pPr>
        <w:spacing w:after="0" w:line="254" w:lineRule="exact"/>
        <w:rPr>
          <w:sz w:val="20"/>
          <w:szCs w:val="20"/>
          <w:color w:val="auto"/>
        </w:rPr>
      </w:pPr>
    </w:p>
    <w:p>
      <w:pPr>
        <w:ind w:right="220" w:firstLine="360"/>
        <w:spacing w:after="0" w:line="278" w:lineRule="auto"/>
        <w:rPr>
          <w:sz w:val="20"/>
          <w:szCs w:val="20"/>
          <w:color w:val="auto"/>
        </w:rPr>
      </w:pPr>
      <w:r>
        <w:rPr>
          <w:rFonts w:ascii="Times New Roman" w:cs="Times New Roman" w:eastAsia="Times New Roman" w:hAnsi="Times New Roman"/>
          <w:sz w:val="19"/>
          <w:szCs w:val="19"/>
          <w:color w:val="auto"/>
        </w:rPr>
        <w:t>We recognized a tax provision of $115.5 million for the year ended December 31, 2023 compared to a tax benefit of $123.4 million year ended December 31, 2022. For the year ended December 31, 2023, the tax provision was primarily driven by domestic income tax expense from significant income generated by our foreign operations on our domestic tax expense; this additional U.S. tax expense was partially offset by the tax benefit from the utilization of foreign tax credits.</w:t>
      </w:r>
    </w:p>
    <w:p>
      <w:pPr>
        <w:spacing w:after="0" w:line="18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For the year ended December 31, 2022, we reflected an excess benefit from stock compensation of $24.4 million. Prior to the completion of the sale of our investment in CELSEPAR, our equity method investment in CELSEPAR was directly held by a subsidiary domiciled in the United Kingdom; the investment was previously held by a subsidiary domiciled in Brazil, resulting in a discrete benefit of $76.5 million recognized in the first quarter of 2022. Additionally, in the second and third quarters of 2022, we recognized an impairment on the value of this investment, resulting in a further discrete benefit of $122.4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Our significant capital projects, primarily our first FLNG unit, are nearing completion, and as with many capital projects, a significant portion of the overall capital spending becomes due near the completion of the project.</w:t>
      </w:r>
    </w:p>
    <w:p>
      <w:pPr>
        <w:spacing w:after="0" w:line="204" w:lineRule="exact"/>
        <w:rPr>
          <w:sz w:val="20"/>
          <w:szCs w:val="20"/>
          <w:color w:val="auto"/>
        </w:rPr>
      </w:pPr>
    </w:p>
    <w:p>
      <w:pPr>
        <w:ind w:right="160" w:firstLine="360"/>
        <w:spacing w:after="0" w:line="278" w:lineRule="auto"/>
        <w:rPr>
          <w:sz w:val="20"/>
          <w:szCs w:val="20"/>
          <w:color w:val="auto"/>
        </w:rPr>
      </w:pPr>
      <w:r>
        <w:rPr>
          <w:rFonts w:ascii="Times New Roman" w:cs="Times New Roman" w:eastAsia="Times New Roman" w:hAnsi="Times New Roman"/>
          <w:sz w:val="19"/>
          <w:szCs w:val="19"/>
          <w:color w:val="auto"/>
        </w:rPr>
        <w:t>We expect the current working capital position to improve based on the following: (1) expected cash flows generated from the temporary power project and from sales of our own LNG generated by our first deployed Fast LNG unit; (2) we have fully funded the construction of our Barcarena Power Plant with new long-term financing in Brazil and we have commitments to fund substantially all of the the remaining cost of our onshore FLNG project at Altamira; (3) our credit</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880"/>
          </w:cols>
          <w:pgMar w:left="1180" w:top="834" w:right="1180" w:bottom="0" w:gutter="0" w:footer="0" w:header="0"/>
          <w:type w:val="continuous"/>
        </w:sectPr>
      </w:pPr>
    </w:p>
    <w:bookmarkStart w:id="76" w:name="page77"/>
    <w:bookmarkEnd w:id="76"/>
    <w:p>
      <w:pPr>
        <w:ind w:right="120"/>
        <w:spacing w:after="0" w:line="260" w:lineRule="auto"/>
        <w:rPr>
          <w:sz w:val="20"/>
          <w:szCs w:val="20"/>
          <w:color w:val="auto"/>
        </w:rPr>
      </w:pPr>
      <w:r>
        <w:rPr>
          <w:rFonts w:ascii="Times New Roman" w:cs="Times New Roman" w:eastAsia="Times New Roman" w:hAnsi="Times New Roman"/>
          <w:sz w:val="20"/>
          <w:szCs w:val="20"/>
          <w:color w:val="auto"/>
        </w:rPr>
        <w:t>agreements allow for proceeds from the sale of assets to be reinvested in our business, and we have significant non-core assets that could be used to fund our developments; and (4) our relationships with certain significant vendors constructing our Fast LNG assets have allowed us to extend our payment terms to better align with the expected completion of our first Fast LNG project.</w:t>
      </w:r>
    </w:p>
    <w:p>
      <w:pPr>
        <w:spacing w:after="0" w:line="20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our developments and transactions. From time to time, we may seek to repay, refinance or restructure all or a portion of our debt or to repurchase our outstanding debt through, as applicable, tender offers, exchange offers, open market purchases, privately negotiated transactions or otherwise. Such transactions, if any, will depend on a number of factors, including prevailing market conditions, our liquidity requirements and contractual requirements (including compliance with the terms of our debt agreements), among other factors.</w:t>
      </w:r>
    </w:p>
    <w:p>
      <w:pPr>
        <w:spacing w:after="0" w:line="21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Our remaining committed capital expenditures is approximately $1,365 million and includes remaining expenditures to complete our first Fast LNG project and our onshore liquefaction project at Altamira, as well as committed expenditures necessary to complete the Puerto Sandino Facility, Barcarena Facility, Barcarena Power Plant, Santa Catarina Facility and Beaumont Facility. We have secured financing commitments to continue to develop our onshore Altamira project and the Barcarena Power Plant, which represents approximately $1,072 million of our upcoming committed capital expenditures.</w:t>
      </w:r>
    </w:p>
    <w:p>
      <w:pPr>
        <w:spacing w:after="0" w:line="204"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expect fully completed Fast LNG units to cost between $1.0 billion and $1.6 billion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For example, expected spending for our second and third Fast LNG units that is not currently contracted is excluded from the estimated committed spending.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 We may also enter into other financing arrangements to generate proceeds to fund our developments.</w:t>
      </w:r>
    </w:p>
    <w:p>
      <w:pPr>
        <w:spacing w:after="0" w:line="20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As of December 31, 2023, we have spent approximately $128.6 million to develop the Pennsylvania Facility. Approximately $22.5 million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 project. We intend to apply for updated permits for the Pennsylvania Facility with the aim of obtaining these permits to coincide with the commencement of construction activities.</w:t>
      </w:r>
    </w:p>
    <w:p>
      <w:pPr>
        <w:spacing w:after="0" w:line="210"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On December 12, 2022, our Board of Directors approved an update to our dividend policy. In connection with the dividend policy update, the Board declared a dividend of $626.3 million, representing $3.00 per Class A share, which was paid during the first quarter of 2023. Additionally, we declared and paid quarterly dividends totaling $81,976 during the year ended December 31, 2023, representing $0.10 per Class A share.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 In the third quarter of 2023, our Board of Directors reinstated a dividend policy of targeting a quarterly dividend of $0.10 per share.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880"/>
          </w:cols>
          <w:pgMar w:left="1180" w:top="838" w:right="11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59" w:lineRule="exact"/>
        <w:rPr>
          <w:sz w:val="20"/>
          <w:szCs w:val="20"/>
          <w:color w:val="auto"/>
        </w:rPr>
      </w:pPr>
    </w:p>
    <w:p>
      <w:pPr>
        <w:ind w:right="120" w:firstLine="396"/>
        <w:spacing w:after="0" w:line="281" w:lineRule="auto"/>
        <w:rPr>
          <w:sz w:val="20"/>
          <w:szCs w:val="20"/>
          <w:color w:val="auto"/>
        </w:rPr>
      </w:pPr>
      <w:r>
        <w:rPr>
          <w:rFonts w:ascii="Times New Roman" w:cs="Times New Roman" w:eastAsia="Times New Roman" w:hAnsi="Times New Roman"/>
          <w:sz w:val="20"/>
          <w:szCs w:val="20"/>
          <w:color w:val="auto"/>
        </w:rPr>
        <w:t>We are committed to make cash payments in the future pursuant to certain contracts. The following table summarizes certain contractual obligations in place as of December 31, 2023:</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9"/>
                <w:szCs w:val="19"/>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1</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2 to 3</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4 to 5</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More than 5</w:t>
            </w:r>
          </w:p>
        </w:tc>
        <w:tc>
          <w:tcPr>
            <w:tcW w:w="0" w:type="dxa"/>
            <w:vAlign w:val="bottom"/>
          </w:tcPr>
          <w:p>
            <w:pPr>
              <w:spacing w:after="0"/>
              <w:rPr>
                <w:sz w:val="1"/>
                <w:szCs w:val="1"/>
                <w:color w:val="auto"/>
              </w:rPr>
            </w:pPr>
          </w:p>
        </w:tc>
      </w:tr>
      <w:tr>
        <w:trPr>
          <w:trHeight w:val="263"/>
        </w:trPr>
        <w:tc>
          <w:tcPr>
            <w:tcW w:w="308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obligations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9,789,792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909,103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4,747,337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1,728,806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2,404,546</w:t>
            </w:r>
          </w:p>
        </w:tc>
        <w:tc>
          <w:tcPr>
            <w:tcW w:w="0" w:type="dxa"/>
            <w:vAlign w:val="bottom"/>
          </w:tcPr>
          <w:p>
            <w:pPr>
              <w:spacing w:after="0"/>
              <w:rPr>
                <w:sz w:val="1"/>
                <w:szCs w:val="1"/>
                <w:color w:val="auto"/>
              </w:rPr>
            </w:pPr>
          </w:p>
        </w:tc>
      </w:tr>
      <w:tr>
        <w:trPr>
          <w:trHeight w:val="30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14,526,719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1,744,718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1,605,535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1,422,191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9,754,275</w:t>
            </w:r>
          </w:p>
        </w:tc>
        <w:tc>
          <w:tcPr>
            <w:tcW w:w="0" w:type="dxa"/>
            <w:vAlign w:val="bottom"/>
          </w:tcPr>
          <w:p>
            <w:pPr>
              <w:spacing w:after="0"/>
              <w:rPr>
                <w:sz w:val="1"/>
                <w:szCs w:val="1"/>
                <w:color w:val="auto"/>
              </w:rPr>
            </w:pPr>
          </w:p>
        </w:tc>
      </w:tr>
      <w:tr>
        <w:trPr>
          <w:trHeight w:val="30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759,231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210,212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218,753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155,048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175,218</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25,075,742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2,864,033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6,571,625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3,306,045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12,334,039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 obligations</w:t>
      </w:r>
    </w:p>
    <w:p>
      <w:pPr>
        <w:spacing w:after="0" w:line="254"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For information on our long-term debt obligations, see “—Liquidity and Capital Resources—Long-Term Debt.” The amounts included in the table above are based on the total debt balance, scheduled maturities, and interest rates in effect as of December 31, 2023.</w:t>
      </w:r>
    </w:p>
    <w:p>
      <w:pPr>
        <w:spacing w:after="0" w:line="195"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19"/>
          <w:szCs w:val="19"/>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88"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We entered into the BNDES Credit Agreement and an agreement to issue the Barcarena Debentures (defined below). Proceeds from these new credit arrangements have been or will be used to refinance the Barcarena Term Loan on a long term basis, and as such, these principal balances have been shown as non-current on the Consolidated Balance Sheets as of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54"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2023.</w:t>
      </w:r>
    </w:p>
    <w:p>
      <w:pPr>
        <w:spacing w:after="0" w:line="213"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have construction purchase commitments in connection with our development projects, including our Fast LNG projects, Puerto Sandino Facility, Barcarena Facility, Santa Catarina Facility and Beaumont Facility. Commitments included in the table above include commitments under engineering, procurement and construction contracts where a notice to proceed has been issued.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pacing w:after="0" w:line="254" w:lineRule="exact"/>
        <w:rPr>
          <w:sz w:val="20"/>
          <w:szCs w:val="20"/>
          <w:color w:val="auto"/>
        </w:rPr>
      </w:pPr>
    </w:p>
    <w:p>
      <w:pPr>
        <w:ind w:right="400" w:firstLine="360"/>
        <w:spacing w:after="0" w:line="260" w:lineRule="auto"/>
        <w:rPr>
          <w:sz w:val="20"/>
          <w:szCs w:val="20"/>
          <w:color w:val="auto"/>
        </w:rPr>
      </w:pPr>
      <w:r>
        <w:rPr>
          <w:rFonts w:ascii="Times New Roman" w:cs="Times New Roman" w:eastAsia="Times New Roman" w:hAnsi="Times New Roman"/>
          <w:sz w:val="20"/>
          <w:szCs w:val="20"/>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gas turbines and a land lease.</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900"/>
          </w:cols>
          <w:pgMar w:left="1180" w:top="829" w:right="116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9"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to our cash flows for the year ended December 31, 2023 and 2022, respectively:</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824,756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355,111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469,645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(2,904,143)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(2,821,417)</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1,528,950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321,957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1,206,993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(550,437)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594,342</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(1,144,779)</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operating activities</w:t>
      </w:r>
    </w:p>
    <w:p>
      <w:pPr>
        <w:spacing w:after="0" w:line="254" w:lineRule="exact"/>
        <w:rPr>
          <w:sz w:val="20"/>
          <w:szCs w:val="20"/>
          <w:color w:val="auto"/>
        </w:rPr>
      </w:pPr>
    </w:p>
    <w:p>
      <w:pPr>
        <w:ind w:right="140" w:firstLine="360"/>
        <w:spacing w:after="0" w:line="255" w:lineRule="auto"/>
        <w:rPr>
          <w:sz w:val="20"/>
          <w:szCs w:val="20"/>
          <w:color w:val="auto"/>
        </w:rPr>
      </w:pPr>
      <w:r>
        <w:rPr>
          <w:rFonts w:ascii="Times New Roman" w:cs="Times New Roman" w:eastAsia="Times New Roman" w:hAnsi="Times New Roman"/>
          <w:sz w:val="20"/>
          <w:szCs w:val="20"/>
          <w:color w:val="auto"/>
        </w:rPr>
        <w:t>Our cash flow provided by operating activities was $824.8 million for the year ended December 31, 2023, which increased by $469.6 million from cash provided by operating activities of $355.1 million for the year ended December 31, 2022. Our net income for the year ended December 31, 2023, when adjusted for non-cash items, increased by $175.5 million from the year ended December 31, 2022. The increase in cash provided by operating activities for the year ended December 31, 2023 was also driven by changes in working capital, including improved collection of receivables and the settlement of a significant commodity derivative, as well as significant cash receipts under our temporary power agreements that are required to be deferred as contract liabilities.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254" w:lineRule="exact"/>
        <w:rPr>
          <w:sz w:val="20"/>
          <w:szCs w:val="20"/>
          <w:color w:val="auto"/>
        </w:rPr>
      </w:pPr>
    </w:p>
    <w:p>
      <w:pPr>
        <w:ind w:right="500" w:firstLine="360"/>
        <w:spacing w:after="0" w:line="274" w:lineRule="auto"/>
        <w:rPr>
          <w:sz w:val="20"/>
          <w:szCs w:val="20"/>
          <w:color w:val="auto"/>
        </w:rPr>
      </w:pPr>
      <w:r>
        <w:rPr>
          <w:rFonts w:ascii="Times New Roman" w:cs="Times New Roman" w:eastAsia="Times New Roman" w:hAnsi="Times New Roman"/>
          <w:sz w:val="19"/>
          <w:szCs w:val="19"/>
          <w:color w:val="auto"/>
        </w:rPr>
        <w:t>Our cash flow used in investing activities was $2,904.1 million for the year ended December 31, 2023, which increased by $2,821.4 million from cash used in investing activities of $82.7 million for the year ended December 31,</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2022. Cash outflows from investing activities during the year ended December 31, 2023 were used primarily for continued development of our Fast LNG project and assets to service the grid stabilization project in Puerto Rico. Cash outflows were offset by proceeds of $100.0 million from the sale of our equity method investment in Hilli LLC in the Hilli Exchange, proceeds received from the sale of Pecém and Muricy, as well as proceeds received from the sale of the </w:t>
      </w:r>
      <w:r>
        <w:rPr>
          <w:rFonts w:ascii="Times New Roman" w:cs="Times New Roman" w:eastAsia="Times New Roman" w:hAnsi="Times New Roman"/>
          <w:sz w:val="20"/>
          <w:szCs w:val="20"/>
          <w:b w:val="1"/>
          <w:bCs w:val="1"/>
          <w:i w:val="1"/>
          <w:iCs w:val="1"/>
          <w:color w:val="auto"/>
        </w:rPr>
        <w:t>Spirit</w:t>
      </w:r>
      <w:r>
        <w:rPr>
          <w:rFonts w:ascii="Times New Roman" w:cs="Times New Roman" w:eastAsia="Times New Roman" w:hAnsi="Times New Roman"/>
          <w:sz w:val="20"/>
          <w:szCs w:val="20"/>
          <w:color w:val="auto"/>
        </w:rPr>
        <w:t xml:space="preserve"> and a portion of our investment in equity securities.</w:t>
      </w:r>
    </w:p>
    <w:p>
      <w:pPr>
        <w:spacing w:after="0" w:line="208" w:lineRule="exact"/>
        <w:rPr>
          <w:sz w:val="20"/>
          <w:szCs w:val="20"/>
          <w:color w:val="auto"/>
        </w:rPr>
      </w:pPr>
    </w:p>
    <w:p>
      <w:pPr>
        <w:jc w:val="both"/>
        <w:ind w:right="60" w:firstLine="396"/>
        <w:spacing w:after="0" w:line="286" w:lineRule="auto"/>
        <w:rPr>
          <w:sz w:val="20"/>
          <w:szCs w:val="20"/>
          <w:color w:val="auto"/>
        </w:rPr>
      </w:pPr>
      <w:r>
        <w:rPr>
          <w:rFonts w:ascii="Times New Roman" w:cs="Times New Roman" w:eastAsia="Times New Roman" w:hAnsi="Times New Roman"/>
          <w:sz w:val="19"/>
          <w:szCs w:val="19"/>
          <w:color w:val="auto"/>
        </w:rPr>
        <w:t xml:space="preserve">Cash outflows for investing activities during the year ended December 31, 2022 were used for continued development of our Fast LNG project, Santa Catarina Facility, and Barcarena Facility. Cash outflows were offset by proceeds of $593.0 million from the sale of the finance lease of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xml:space="preserve"> and $500.1 million from selling our investment in CELSEPAR.</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254" w:lineRule="exact"/>
        <w:rPr>
          <w:sz w:val="20"/>
          <w:szCs w:val="20"/>
          <w:color w:val="auto"/>
        </w:rPr>
      </w:pPr>
    </w:p>
    <w:p>
      <w:pPr>
        <w:ind w:right="200" w:firstLine="360"/>
        <w:spacing w:after="0" w:line="253" w:lineRule="auto"/>
        <w:rPr>
          <w:sz w:val="20"/>
          <w:szCs w:val="20"/>
          <w:color w:val="auto"/>
        </w:rPr>
      </w:pPr>
      <w:r>
        <w:rPr>
          <w:rFonts w:ascii="Times New Roman" w:cs="Times New Roman" w:eastAsia="Times New Roman" w:hAnsi="Times New Roman"/>
          <w:sz w:val="20"/>
          <w:szCs w:val="20"/>
          <w:color w:val="auto"/>
        </w:rPr>
        <w:t>Our cash flow provided by financing activities was $1,529.0 million for the year ended December 31, 2023, which increased by $1,207.0 million from cash provided by financing activities of $322.0 million for the year ended December 31, 2022. On December 12, 2022, the Company's Board of Directors approved an update to its dividend policy and declared a dividend of $626,310, representing $3.00 per Class A share, which was paid in January 2023. We have borrowed under our new Term Loan B Agreement, expanded Revolving Facility, Bridge Term Loans, Equipment Notes, Barcarena Debentures, EB-5 Loan, Tugboat Financing, as well as short-term borrowings under repurchase arrangements for total additional borrowings of $3.0 billion. Such borrowings were primarily used to fund the ongoing development of our Fast LNG project and to support our grid stabilization project in Puerto Rico. Increased borrowings during 2023 were offset by repayments of debt totaling $686.5 million, primarily the repayment of the Bridge Term Loans and short-term borrowings under repurchase arrangements.</w:t>
      </w:r>
    </w:p>
    <w:p>
      <w:pPr>
        <w:spacing w:after="0" w:line="216"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December 31, 2022 was due to proceeds from issuance of debt of $2.0 billion, offset by repayments of debt of $1.5 billion, payment of dividends of $99.1 million and payments related to tax withholdings for share-based compensation of $72.6 million.</w:t>
      </w:r>
    </w:p>
    <w:p>
      <w:pPr>
        <w:sectPr>
          <w:pgSz w:w="12240" w:h="15840" w:orient="portrait"/>
          <w:cols w:equalWidth="0" w:num="1">
            <w:col w:w="9900"/>
          </w:cols>
          <w:pgMar w:left="1180" w:top="829"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900"/>
          </w:cols>
          <w:pgMar w:left="1180" w:top="829" w:right="116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Long-Term Debt and Preferred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9"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In September 2020, we issued $1,000.0 million of 6.75% senior secured notes in a private offering pursuant to Rule 144A under the Securities Act (the “2025 Notes”). Interest is payable semi-annually in arrears on March 15 and September 15 of each year; no principal payments are due until maturity on September 15, 2025. We may redeem the 2025 Notes, in whole or in part, at any time prior to maturity, subject to certain make-whole premiums.</w:t>
      </w:r>
    </w:p>
    <w:p>
      <w:pPr>
        <w:spacing w:after="0" w:line="203"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203"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In December 2020, we issued $250.0 million of additional notes on the same terms as the 2025 Notes in a private offering pursuant to Rule 144A under the Securities Act (subsequent to this issuance, these additional notes are included in the definition of 2025 Notes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April 2021, we issued $1,500.0 million of 6.50% senior secured notes in a private offering pursuant to Rule 144A under the Securities Act (the “2026 Notes”). Interest is payable semi-annually in arrears on March 31 and September 30 of each year; no principal payments are due until maturity on September 30, 2026. We may redeem the 2026 Notes, in whole or in part, at any time prior to maturity, subject to certain make-whole premiums.</w:t>
      </w:r>
    </w:p>
    <w:p>
      <w:pPr>
        <w:spacing w:after="0" w:line="20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9"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certain vessels for periods of up to 20 years.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we accounted for the Energos Formation Transaction as a failed sale-leaseback and have recorded a financing obligation for consideration received.</w:t>
      </w:r>
    </w:p>
    <w:p>
      <w:pPr>
        <w:spacing w:after="0" w:line="208"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continue to be the owner for accounting purposes of vessels included in the Energos Formation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as such, we recognize revenue and operating expenses related to vessels under charter to third parties. Revenue recognized from these third-party charters form a portion of the debt service for the financing obligation; the effective interest rate on this financing obligation of approximately 15.9% includes the cash flows that Energos receives from these third-party charters.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9"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In April 2021, we entered into a credit agreement (the "Revolving Credit Agreement") with a bank for $200.0 million senior secured revolving credit facility (the "Revolving Facility"). The borrowings under the Revolving Facility bear interest at a Secured Overnight Financing Rate ("SOFR") based rate plus a margin based upon usage of the Revolving Facility. The Revolving Facility will mature in 2026 if the 2025 Notes are refinanced prior to maturity, with the potential for us to extend the maturity date of the Revolving Facility once for a one-year increment; if not, the Revolving Facility becomes due approximately 60 days prior to the maturity of the 2025 Notes. Borrowings under the Revolving Facility may be prepaid, at our option, at any time without premium.</w:t>
      </w:r>
    </w:p>
    <w:p>
      <w:pPr>
        <w:spacing w:after="0" w:line="210" w:lineRule="exact"/>
        <w:rPr>
          <w:sz w:val="20"/>
          <w:szCs w:val="20"/>
          <w:color w:val="auto"/>
        </w:rPr>
      </w:pPr>
    </w:p>
    <w:p>
      <w:pPr>
        <w:jc w:val="both"/>
        <w:ind w:right="120" w:firstLine="360"/>
        <w:spacing w:after="0" w:line="286" w:lineRule="auto"/>
        <w:rPr>
          <w:sz w:val="20"/>
          <w:szCs w:val="20"/>
          <w:color w:val="auto"/>
        </w:rPr>
      </w:pPr>
      <w:r>
        <w:rPr>
          <w:rFonts w:ascii="Times New Roman" w:cs="Times New Roman" w:eastAsia="Times New Roman" w:hAnsi="Times New Roman"/>
          <w:sz w:val="19"/>
          <w:szCs w:val="19"/>
          <w:color w:val="auto"/>
        </w:rPr>
        <w:t>In 2022, the Revolving Credit Agreement was amended twice to increase the borrowing capacity by a total of $240.0 million, and in the year ended December 31, 2023, we entered into additional amendments which increased the borrowing capacity by $510.0 million, for a total capacity of $950,000.0 million. The amendments did not impact the interest rate or</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880"/>
          </w:cols>
          <w:pgMar w:left="1180" w:top="831" w:right="1180" w:bottom="0" w:gutter="0" w:footer="0" w:header="0"/>
          <w:type w:val="continuous"/>
        </w:sectPr>
      </w:pPr>
    </w:p>
    <w:bookmarkStart w:id="80" w:name="page81"/>
    <w:bookmarkEnd w:id="80"/>
    <w:p>
      <w:pPr>
        <w:ind w:right="40"/>
        <w:spacing w:after="0" w:line="281" w:lineRule="auto"/>
        <w:rPr>
          <w:sz w:val="20"/>
          <w:szCs w:val="20"/>
          <w:color w:val="auto"/>
        </w:rPr>
      </w:pPr>
      <w:r>
        <w:rPr>
          <w:rFonts w:ascii="Times New Roman" w:cs="Times New Roman" w:eastAsia="Times New Roman" w:hAnsi="Times New Roman"/>
          <w:sz w:val="20"/>
          <w:szCs w:val="20"/>
          <w:color w:val="auto"/>
        </w:rPr>
        <w:t>term of the Revolving Facility, and no deferred costs were written off. During the year ended December 31, 2023, we drew $866.6 million from the Revolving Facility, which is outstanding as of December 31, 2023.</w:t>
      </w:r>
    </w:p>
    <w:p>
      <w:pPr>
        <w:spacing w:after="0" w:line="181"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20"/>
          <w:szCs w:val="20"/>
          <w:color w:val="auto"/>
        </w:rPr>
        <w:t>The obligations under the Revolving Facility are guaranteed by certain of our subsidiaries, including those that own the Company's first Fast LNG asset, and are secured by substantially the same collateral as the first lien obligations under the 2025 Notes and 2026 Notes. Additionally the Revolving Facility is secured by assets comprising our first Fast LNG project in Altamira, Mexico. We are required to comply with covenants under the Revolving Facility and Letter of Credit Facility (defined below), including requirements to maintain Debt to Capitalization Ratio of less than 0.7:1.0, and for quarters in which the Revolving Facility is greater than 50% drawn, the Debt to Annualized EBITDA Ratio must be less than 4.0:1.0. We were in compliance with all covenants as of December 31, 2023.</w:t>
      </w:r>
    </w:p>
    <w:p>
      <w:pPr>
        <w:spacing w:after="0" w:line="210"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The Revolving Credit Agreement contains usual and customary representations and warranties, usual and customary affirmative and negative covenants and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9"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In July 2021, we entered into an uncommitted letter of credit and reimbursement agreement (the "Letter of Credit Agreement") with a bank for the issuance of letters of credit for an aggregate amount of up to $75 million (the “Letter of Credit Facility”). In July 2022, the Letter of Credit Facility was upsized to $250 million with the ability to increase the total limit by up to $100 million, subject to satisfaction of certain conditions. In February 2023, the Letter of Credit Facility was upsized to $325 million, and in November 2023, the Letter of Credit Facility was upsized to $350 million. The letters of credit bear interest at a rate equal to a base rate plus 2.75%.</w:t>
      </w:r>
    </w:p>
    <w:p>
      <w:pPr>
        <w:spacing w:after="0" w:line="208" w:lineRule="exact"/>
        <w:rPr>
          <w:sz w:val="20"/>
          <w:szCs w:val="20"/>
          <w:color w:val="auto"/>
        </w:rPr>
      </w:pPr>
    </w:p>
    <w:p>
      <w:pPr>
        <w:jc w:val="both"/>
        <w:ind w:right="220" w:firstLine="360"/>
        <w:spacing w:after="0" w:line="260" w:lineRule="auto"/>
        <w:rPr>
          <w:sz w:val="20"/>
          <w:szCs w:val="20"/>
          <w:color w:val="auto"/>
        </w:rPr>
      </w:pPr>
      <w:r>
        <w:rPr>
          <w:rFonts w:ascii="Times New Roman" w:cs="Times New Roman" w:eastAsia="Times New Roman" w:hAnsi="Times New Roman"/>
          <w:sz w:val="20"/>
          <w:szCs w:val="20"/>
          <w:color w:val="auto"/>
        </w:rPr>
        <w:t>The obligations under the Letter of Credit Facility are guaranteed by certain of our subsidiaries, including those that own the Company's first Fast LNG asset, and are secured by substantially the same collateral as the first lien obligations under the 2025 Notes and 2026 Notes. Additionally the Letter of Credit Facility is secured by assets comprising our first Fast LNG project in Altamira, Mexico.</w:t>
      </w:r>
    </w:p>
    <w:p>
      <w:pPr>
        <w:spacing w:after="0" w:line="203" w:lineRule="exact"/>
        <w:rPr>
          <w:sz w:val="20"/>
          <w:szCs w:val="20"/>
          <w:color w:val="auto"/>
        </w:rPr>
      </w:pPr>
    </w:p>
    <w:p>
      <w:pPr>
        <w:ind w:right="360" w:firstLine="360"/>
        <w:spacing w:after="0" w:line="281" w:lineRule="auto"/>
        <w:rPr>
          <w:sz w:val="20"/>
          <w:szCs w:val="20"/>
          <w:color w:val="auto"/>
        </w:rPr>
      </w:pPr>
      <w:r>
        <w:rPr>
          <w:rFonts w:ascii="Times New Roman" w:cs="Times New Roman" w:eastAsia="Times New Roman" w:hAnsi="Times New Roman"/>
          <w:sz w:val="20"/>
          <w:szCs w:val="20"/>
          <w:color w:val="auto"/>
        </w:rPr>
        <w:t>The Letter of Credit Agreement contains usual and customary representations and warranties, usual and customary affirmative and negative covenants and events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9" w:lineRule="exact"/>
        <w:rPr>
          <w:sz w:val="20"/>
          <w:szCs w:val="20"/>
          <w:color w:val="auto"/>
        </w:rPr>
      </w:pPr>
    </w:p>
    <w:p>
      <w:pPr>
        <w:ind w:right="40" w:firstLine="360"/>
        <w:spacing w:after="0" w:line="278" w:lineRule="auto"/>
        <w:rPr>
          <w:sz w:val="20"/>
          <w:szCs w:val="20"/>
          <w:color w:val="auto"/>
        </w:rPr>
      </w:pPr>
      <w:r>
        <w:rPr>
          <w:rFonts w:ascii="Times New Roman" w:cs="Times New Roman" w:eastAsia="Times New Roman" w:hAnsi="Times New Roman"/>
          <w:sz w:val="19"/>
          <w:szCs w:val="19"/>
          <w:color w:val="auto"/>
        </w:rPr>
        <w:t>On August 3, 2023, we entered into a credit agreement (the “Bridge Term Loan Agreement”) pursuant to which the lenders funded term loans (the “Bridge Term Loans”) to us in an aggregate principal amount of $400.0 million. The Bridge Term Loans were to mature on August 1, 2024 and were payable in full on the maturity date. The Bridge Term Loans bore interest at a per annum rate equal to Adjusted Term SOFR (as defined in the Bridge Term Loan Agreement) plus 3.50%.</w:t>
      </w:r>
    </w:p>
    <w:p>
      <w:pPr>
        <w:spacing w:after="0" w:line="188"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October 30, 2023, we entered into a credit agreement (the “Term Loan B Agreement”) pursuant to which the lenders funded term loans to us in an aggregate principal amount of $856.0 million ("Term Loan B"). Borrowings were issued at a discount, and we received proceeds of $787.5 million. The proceeds from the Term Loan B issuance were used to repay the Bridge Term Loans and may be used for working capital and other general corporate purposes. The Term Loan B will mature on the earliest of (i) October 30, 2028 if the 2025 Notes and 2026 Notes are refinanced in full prior to their maturities, (ii) July 16, 2025, if any of the 2025 Notes remain outstanding as of such date, and (iii) July 31, 2026, if any of the 2026 Notes remain outstanding as of such date. Quarterly principal payments of approximately $2.1 million will be due starting March 2024.</w:t>
      </w:r>
    </w:p>
    <w:p>
      <w:pPr>
        <w:spacing w:after="0" w:line="21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obligations under the Term Loan B are guaranteed by certain of our subsidiaries, including those that own our first Fast LNG project in Altamira, Mexico. The Term Loan B is secured by substantially the same collateral as the first lien obligations under the 2025 Notes and the 2026 Notes, and, in addition, is secured by assets comprising our first Fast LNG project..</w:t>
      </w:r>
    </w:p>
    <w:p>
      <w:pPr>
        <w:spacing w:after="0" w:line="203"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Term SOFR (as defined in the Term Loan B Agreement) plus 5.0%. We may prepay the Term Loan B at our option subject to prepayment premiums until October 2025 and customary break funding costs. We are required to prepay the Term Loan B with the net proceeds of certain asset sales, condemnations, and debt and convertible securities issuances, in each case subject to certain exceptions and thresholds. Additionally, commencing with the fiscal quarter ending December 31, 2024, we will be required to prepay the Term Loan B with our Excess Cash Flow (as defined in the Term Loan B Agreement).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880"/>
          </w:cols>
          <w:pgMar w:left="1180" w:top="838" w:right="1180" w:bottom="0" w:gutter="0" w:footer="0" w:header="0"/>
          <w:type w:val="continuous"/>
        </w:sectPr>
      </w:pPr>
    </w:p>
    <w:bookmarkStart w:id="81" w:name="page82"/>
    <w:bookmarkEnd w:id="81"/>
    <w:p>
      <w:pPr>
        <w:ind w:right="180" w:firstLine="360"/>
        <w:spacing w:after="0" w:line="309" w:lineRule="auto"/>
        <w:rPr>
          <w:sz w:val="20"/>
          <w:szCs w:val="20"/>
          <w:color w:val="auto"/>
        </w:rPr>
      </w:pPr>
      <w:r>
        <w:rPr>
          <w:rFonts w:ascii="Times New Roman" w:cs="Times New Roman" w:eastAsia="Times New Roman" w:hAnsi="Times New Roman"/>
          <w:sz w:val="19"/>
          <w:szCs w:val="19"/>
          <w:color w:val="auto"/>
        </w:rPr>
        <w:t>The Term Loan B Agreement contains usual and customary representations and warranties, and usual and customary affirmative and negative covenants. No financial covenant compliance is required under the Term Loan B Agreement.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In January 2022, NFE South Power Holdings Limited (“South Power”), a wholly owned subsidiary of NFE, entered into an agreement for the issuance of up to $285.0 million secured bonds (“South Power 2029 Bonds”). The South Power 2029 Bonds are secured by, amongst other things, our combined heat and power plant in Clarendon, Jamaica (“CHP Plant”), and NFE has provided a guarantee of the obligations under the South Power 2029 Bonds. As of both December 31, 2023 and 2022, South Power had $221.8 million, respectively, of South Power 2029 Bonds issued and outstanding.</w:t>
      </w:r>
    </w:p>
    <w:p>
      <w:pPr>
        <w:spacing w:after="0" w:line="204" w:lineRule="exact"/>
        <w:rPr>
          <w:sz w:val="20"/>
          <w:szCs w:val="20"/>
          <w:color w:val="auto"/>
        </w:rPr>
      </w:pPr>
    </w:p>
    <w:p>
      <w:pPr>
        <w:ind w:right="580" w:firstLine="36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300" w:firstLine="36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We were in compliance with all covenants as of December 31, 2023 and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Financings</w:t>
      </w: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In the third quarter of 2022, certain of our indirect subsidiaries entered into a financing agreement to borrow up to</w:t>
      </w:r>
    </w:p>
    <w:p>
      <w:pPr>
        <w:spacing w:after="0" w:line="3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$200.0 million due upon maturity in February 2024 (the “Barcarena Term Loan”); proceeds were utilized to fund a portion of the construction of the Barcarena Power Plant. As of December 31, 2022, the loan was fully funded. Interest is due quarterly, and outstanding borrowings bear interest at a rate equal to the Secured Overnight Financing Rate ("SOFR") plus 4.70%.</w:t>
      </w:r>
    </w:p>
    <w:p>
      <w:pPr>
        <w:spacing w:after="0" w:line="210"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our Barcarena Terminal and Barcarena Power Plant, liens on equipment and machinery owned by these entities, and rights to future operating cash flows and receivables under the Barcarena Power Plant's power purchase agreements. We are required to comply with customary affirmative and negative covenants, and the Barcarena Term Loan also provides for customary events of default, prepayment and cure provisions. We were in compliance with all covenants as of December 31, 2023 and 2022.</w:t>
      </w:r>
    </w:p>
    <w:p>
      <w:pPr>
        <w:spacing w:after="0" w:line="21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In October 2023, certain of our Brazilian subsidiaries entered into two long-term financing arrangements, fully funding the construction of the Barcarena Power Plant. Proceeds received will be used to repay the Barcarena Term Loan and to pay for all remaining expected construction costs through the planned completion of the Barcarena Power Plant in 2025. As we have committed financing in place to extinguish the Barcarena Term Loan as of December 31, 2023, the Barcarena Term Loan has been presented as long-term debt on the </w:t>
      </w:r>
      <w:r>
        <w:rPr>
          <w:rFonts w:ascii="Times New Roman" w:cs="Times New Roman" w:eastAsia="Times New Roman" w:hAnsi="Times New Roman"/>
          <w:sz w:val="20"/>
          <w:szCs w:val="20"/>
          <w:b w:val="1"/>
          <w:bCs w:val="1"/>
          <w:color w:val="auto"/>
        </w:rPr>
        <w:t>Consolidated Balance Sheets</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parent of the owner of the Barcarena Power Plant entered into an agreement for the issuance of up to</w:t>
      </w:r>
    </w:p>
    <w:p>
      <w:pPr>
        <w:spacing w:after="0" w:line="3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$200.0 million of convertible debentures maturing in October 2028 ("Barcarena Debentures") and issued $180 million of the Barcarena Debentures prior to December 31, 2023. Interest on the Barcarena Debentures is due quarterly, and interest accrues at an annual rate of 12%, increasing 1.25% each year after the third anniversary of issuance. We are able to prepay the Barcarena Debentures, subject to customary break funding costs, and we are required to utilize certain excess cash flows from our Brazilian operations to prepay principal.</w:t>
      </w:r>
    </w:p>
    <w:p>
      <w:pPr>
        <w:spacing w:after="0" w:line="208"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The Barcarena Debentures are convertible to shares of one of our indirect Brazilian subsidiaries on the maturity date at the creditors' option, based on the current fair value of this subsidiary's equity at the time of conversion.</w:t>
      </w:r>
    </w:p>
    <w:p>
      <w:pPr>
        <w:spacing w:after="0" w:line="181" w:lineRule="exact"/>
        <w:rPr>
          <w:sz w:val="20"/>
          <w:szCs w:val="20"/>
          <w:color w:val="auto"/>
        </w:rPr>
      </w:pPr>
    </w:p>
    <w:p>
      <w:pPr>
        <w:jc w:val="both"/>
        <w:ind w:right="80" w:firstLine="360"/>
        <w:spacing w:after="0" w:line="286" w:lineRule="auto"/>
        <w:rPr>
          <w:sz w:val="20"/>
          <w:szCs w:val="20"/>
          <w:color w:val="auto"/>
        </w:rPr>
      </w:pPr>
      <w:r>
        <w:rPr>
          <w:rFonts w:ascii="Times New Roman" w:cs="Times New Roman" w:eastAsia="Times New Roman" w:hAnsi="Times New Roman"/>
          <w:sz w:val="19"/>
          <w:szCs w:val="19"/>
          <w:color w:val="auto"/>
        </w:rPr>
        <w:t>The obligations under the Barcarena Debentures are guaranteed by certain indirect Brazilian subsidiaries that own the Barcarena Terminal and Santa Catarina Terminal. NFE has also provided a parent company guarantee that will be released once the Barcarena Terminal commences commercial operations. Brazilian subsidiaries guaranteeing these obligations are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880"/>
          </w:cols>
          <w:pgMar w:left="1180" w:top="838" w:right="1180" w:bottom="0" w:gutter="0" w:footer="0" w:header="0"/>
          <w:type w:val="continuous"/>
        </w:sectPr>
      </w:pPr>
    </w:p>
    <w:bookmarkStart w:id="82" w:name="page83"/>
    <w:bookmarkEnd w:id="82"/>
    <w:p>
      <w:pPr>
        <w:ind w:right="340"/>
        <w:spacing w:after="0" w:line="281" w:lineRule="auto"/>
        <w:rPr>
          <w:sz w:val="20"/>
          <w:szCs w:val="20"/>
          <w:color w:val="auto"/>
        </w:rPr>
      </w:pPr>
      <w:r>
        <w:rPr>
          <w:rFonts w:ascii="Times New Roman" w:cs="Times New Roman" w:eastAsia="Times New Roman" w:hAnsi="Times New Roman"/>
          <w:sz w:val="20"/>
          <w:szCs w:val="20"/>
          <w:color w:val="auto"/>
        </w:rPr>
        <w:t>required to comply with customary affirmative and negative covenants, and the Barcarena Debentures also provides for customary events of default, prepayment and cure provisions.</w:t>
      </w:r>
    </w:p>
    <w:p>
      <w:pPr>
        <w:spacing w:after="0" w:line="18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Additionally, the owner of the Barcarena Power Plant entered into a credit agreement with BNDES, the Brazilian Development Bank (the "BNDES Credit Agreement"). We are able to borrow up to R$1.8 billion under the BNDES Credit Agreement, segregated into three tranches based on the use of proceeds ("BNDES Term Loan"); no amounts were funded under the BNDES Credit Agreement as of December 31, 2023. Each tranche bears a different rate of interest ranging from 2.61% to 4.41% plus the fixed rate announced by BNDES. No principal payments are required until April 2026 and are due quarterly thereafter until maturity in 2045.</w:t>
      </w:r>
    </w:p>
    <w:p>
      <w:pPr>
        <w:spacing w:after="0" w:line="20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covenants, and the BNDES Credit Agreement also provides for customary events of default, prepayment and cure provisions.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Notes</w:t>
      </w:r>
    </w:p>
    <w:p>
      <w:pPr>
        <w:spacing w:after="0" w:line="25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In June 2023, we executed a Master Loan and Security Agreement with a lender to borrow up to $200.0 million under promissory notes secured by certain turbines acquired in the first quarter of 2023 to support our grid stabilization project in Puerto Rico (the “Equipment Notes”). During the second and third quarters of 2023, we borrowed the full capacity bearing interest at approximately 7.7%, and the principal is partially repayable in monthly installments over the 36 month term of the loan with the balance due upon maturity in July 2026.</w:t>
      </w:r>
    </w:p>
    <w:p>
      <w:pPr>
        <w:spacing w:after="0" w:line="204" w:lineRule="exact"/>
        <w:rPr>
          <w:sz w:val="20"/>
          <w:szCs w:val="20"/>
          <w:color w:val="auto"/>
        </w:rPr>
      </w:pPr>
    </w:p>
    <w:p>
      <w:pPr>
        <w:ind w:right="460" w:firstLine="360"/>
        <w:spacing w:after="0" w:line="266" w:lineRule="auto"/>
        <w:rPr>
          <w:sz w:val="20"/>
          <w:szCs w:val="20"/>
          <w:color w:val="auto"/>
        </w:rPr>
      </w:pPr>
      <w:r>
        <w:rPr>
          <w:rFonts w:ascii="Times New Roman" w:cs="Times New Roman" w:eastAsia="Times New Roman" w:hAnsi="Times New Roman"/>
          <w:sz w:val="20"/>
          <w:szCs w:val="20"/>
          <w:color w:val="auto"/>
        </w:rPr>
        <w:t>The Equipment Notes contains usual and customary representations and warranties, and usual and customary affirmative and negative covenants. The Equipment Notes do not contain any restrictive financial covenants. NFE has provided a guarantee of the obligations under the Equipment Notes.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In the year ended December 31, 2023, $62.9 million was funded under the EB-5 Loan Agreement.</w:t>
      </w:r>
    </w:p>
    <w:p>
      <w:pPr>
        <w:spacing w:after="0" w:line="210" w:lineRule="exact"/>
        <w:rPr>
          <w:sz w:val="20"/>
          <w:szCs w:val="20"/>
          <w:color w:val="auto"/>
        </w:rPr>
      </w:pPr>
    </w:p>
    <w:p>
      <w:pPr>
        <w:ind w:right="380" w:firstLine="360"/>
        <w:spacing w:after="0" w:line="309" w:lineRule="auto"/>
        <w:rPr>
          <w:sz w:val="20"/>
          <w:szCs w:val="20"/>
          <w:color w:val="auto"/>
        </w:rPr>
      </w:pPr>
      <w:r>
        <w:rPr>
          <w:rFonts w:ascii="Times New Roman" w:cs="Times New Roman" w:eastAsia="Times New Roman" w:hAnsi="Times New Roman"/>
          <w:sz w:val="19"/>
          <w:szCs w:val="19"/>
          <w:color w:val="auto"/>
        </w:rPr>
        <w:t>The EB-5 Loan Agreement contains usual and customary representations and warranties, and usual and customary affirmative and negative covenants. The EB-5 Loan Agreement does not contain any restrictive financial covenants.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We may, from time to time, enter into sales and repurchase agreements with a financial institution, whereby we sell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2023, we had $182.3 million outstanding under these arrangements.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9"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In December 2023, we sold and leased back four tugboat vessels for 15 years receiving proceeds of $46.7 million. ("Tugboat Financing"). The leasebacks of the tugboat vessels were classified as finance leases, and as such, we accounted for the Tugboat Financing as a failed sale-leaseback and have recorded a financing obligation for consideration received. The effective interest rate on this financing obligation is approximately 16.92%.</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880"/>
          </w:cols>
          <w:pgMar w:left="1180" w:top="838" w:right="11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Summary of Critical Accounting Estimates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08"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21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Geopolitical and other macroeconomic events can substantially impact natural gas and LNG markets, leading to volatility in market pricing. The majority of our LNG supply contracts are based on a natural gas-based index, Henry Hub, plus a contractual spread. We primarily operate under long-term contracts with customers, many of which contain fixed minimum volumes that must be purchased on a “take-or-pay” basis. We limit our exposure to fluctuations in natural gas prices as our pricing in contracts with customers is largely based on the Henry Hub index price plus a contractual spread. Based on the long-term nature of our supply and customer contracts, the nature of the pricing in these contracts and the market value of our underlying assets, changes in the price of natural gas or LNG do not indicate that a recoverability assessment of our assets is necessary. Further, with our own LNG production from FLNG facilities expected to commence in 2024, we plan to further mitigate our exposure to variability in LNG and natural gas prices.</w:t>
      </w:r>
    </w:p>
    <w:p>
      <w:pPr>
        <w:spacing w:after="0" w:line="20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We develop the assumptions used in the recoverability assessment based on active contracts, current and future expectations of the global demand for LNG and natural gas, as well as information received from third party industry 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257"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For descriptions of recently issued accounting standards, refer to “Note 3. Adoption of new and revised standards” of our notes to consolidated financial statements included in this Annual Report.</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Risks.</w:t>
      </w:r>
    </w:p>
    <w:p>
      <w:pPr>
        <w:spacing w:after="0" w:line="257" w:lineRule="exact"/>
        <w:rPr>
          <w:sz w:val="20"/>
          <w:szCs w:val="20"/>
          <w:color w:val="auto"/>
        </w:rPr>
      </w:pPr>
    </w:p>
    <w:p>
      <w:pPr>
        <w:ind w:right="820" w:firstLine="360"/>
        <w:spacing w:after="0" w:line="281" w:lineRule="auto"/>
        <w:rPr>
          <w:sz w:val="20"/>
          <w:szCs w:val="20"/>
          <w:color w:val="auto"/>
        </w:rPr>
      </w:pPr>
      <w:r>
        <w:rPr>
          <w:rFonts w:ascii="Times New Roman" w:cs="Times New Roman" w:eastAsia="Times New Roman" w:hAnsi="Times New Roman"/>
          <w:sz w:val="20"/>
          <w:szCs w:val="20"/>
          <w:color w:val="auto"/>
        </w:rPr>
        <w:t>In the normal course of business, the Company encounters several significant types of market risks including commodity and interest rate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Price Risk</w:t>
      </w:r>
    </w:p>
    <w:p>
      <w:pPr>
        <w:spacing w:after="0" w:line="259" w:lineRule="exact"/>
        <w:rPr>
          <w:sz w:val="20"/>
          <w:szCs w:val="20"/>
          <w:color w:val="auto"/>
        </w:rPr>
      </w:pPr>
    </w:p>
    <w:p>
      <w:pPr>
        <w:ind w:right="100" w:firstLine="360"/>
        <w:spacing w:after="0" w:line="286" w:lineRule="auto"/>
        <w:rPr>
          <w:sz w:val="20"/>
          <w:szCs w:val="20"/>
          <w:color w:val="auto"/>
        </w:rPr>
      </w:pPr>
      <w:r>
        <w:rPr>
          <w:rFonts w:ascii="Times New Roman" w:cs="Times New Roman" w:eastAsia="Times New Roman" w:hAnsi="Times New Roman"/>
          <w:sz w:val="19"/>
          <w:szCs w:val="19"/>
          <w:color w:val="auto"/>
        </w:rPr>
        <w:t>Commodity price risk is the risk of loss arising from adverse changes in market rates and prices. Our exposure to market risk associated with LNG price changes may adversely impact our business. We are able to limit our exposure to fluctuations in natural gas prices as our pricing in contracts with downstream customers is largely based on the Henry Hub</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880"/>
          </w:cols>
          <w:pgMar w:left="1180" w:top="831" w:right="1180" w:bottom="0" w:gutter="0" w:footer="0" w:header="0"/>
          <w:type w:val="continuous"/>
        </w:sectPr>
      </w:pPr>
    </w:p>
    <w:bookmarkStart w:id="84" w:name="page85"/>
    <w:bookmarkEnd w:id="84"/>
    <w:p>
      <w:pPr>
        <w:ind w:right="720"/>
        <w:spacing w:after="0" w:line="281" w:lineRule="auto"/>
        <w:rPr>
          <w:sz w:val="20"/>
          <w:szCs w:val="20"/>
          <w:color w:val="auto"/>
        </w:rPr>
      </w:pPr>
      <w:r>
        <w:rPr>
          <w:rFonts w:ascii="Times New Roman" w:cs="Times New Roman" w:eastAsia="Times New Roman" w:hAnsi="Times New Roman"/>
          <w:sz w:val="20"/>
          <w:szCs w:val="20"/>
          <w:color w:val="auto"/>
        </w:rPr>
        <w:t>index price plus a contractual spread. We currently do not have any derivative instruments to mitigate the effect of fluctuations in LNG prices on our operations; in the future we may enter into additional derivative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9" w:lineRule="exact"/>
        <w:rPr>
          <w:sz w:val="20"/>
          <w:szCs w:val="20"/>
          <w:color w:val="auto"/>
        </w:rPr>
      </w:pPr>
    </w:p>
    <w:p>
      <w:pPr>
        <w:ind w:right="280" w:firstLine="360"/>
        <w:spacing w:after="0" w:line="256" w:lineRule="auto"/>
        <w:rPr>
          <w:sz w:val="20"/>
          <w:szCs w:val="20"/>
          <w:color w:val="auto"/>
        </w:rPr>
      </w:pPr>
      <w:r>
        <w:rPr>
          <w:rFonts w:ascii="Times New Roman" w:cs="Times New Roman" w:eastAsia="Times New Roman" w:hAnsi="Times New Roman"/>
          <w:sz w:val="20"/>
          <w:szCs w:val="20"/>
          <w:color w:val="auto"/>
        </w:rPr>
        <w:t>The 2025 Notes, 2026 Notes, Equipment Notes, South Power 2029 Bonds and Barcarena Debentures (each defined above)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$74 million. The sensitivity analysis presented is based on certain simplifying assumptions, including instantaneous change in interest rate and parallel shifts in the yield curve.</w:t>
      </w:r>
    </w:p>
    <w:p>
      <w:pPr>
        <w:spacing w:after="0" w:line="208"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Interest under the Barcarena Term Loan and Term Loan B has a component based on the Secured Overnight Financing Rate ("SOFR"). A 100-basis point increase or decrease in the market interest rate would decrease or increase our annual interest expense by approximately $11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59"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20"/>
          <w:szCs w:val="20"/>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204"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begin on page F-1 of this Annual Report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59"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In accordance with Rules 13a-15(b) of the Securities Exchange Act of 1934, as amended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2023.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2023 at the reasonable assurance level.</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860"/>
          </w:cols>
          <w:pgMar w:left="1180" w:top="838" w:right="120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In the fourth quarter of 2023, we completed an implementation of our core financial systems, including our general ledger and other applications. As part of this implementation, we made certain changes to our processes and procedures, resulting in changes to our internal control over financial reporting. There has been no other changes in our internal control over financial reporting (as defined in Rule 13a-15(f) and Rule 15d-15(f) under the Exchange Act) that occurred during the quarter ended December 31, 2023 that has materially affected, or is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0"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As of December 31, 2023,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determined that we maintained effective internal control over financial reporting as of December 31, 2023.</w:t>
      </w:r>
    </w:p>
    <w:p>
      <w:pPr>
        <w:spacing w:after="0" w:line="203"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2023 has been audited by EY, an independent registered public accounting firm, as stated in their report, which appears herein.</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880"/>
          </w:cols>
          <w:pgMar w:left="1180" w:top="829" w:right="1180" w:bottom="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360"/>
        <w:spacing w:after="0" w:line="241" w:lineRule="auto"/>
        <w:rPr>
          <w:sz w:val="20"/>
          <w:szCs w:val="20"/>
          <w:color w:val="auto"/>
        </w:rPr>
      </w:pPr>
      <w:r>
        <w:rPr>
          <w:rFonts w:ascii="Times New Roman" w:cs="Times New Roman" w:eastAsia="Times New Roman" w:hAnsi="Times New Roman"/>
          <w:sz w:val="20"/>
          <w:szCs w:val="20"/>
          <w:color w:val="auto"/>
        </w:rPr>
        <w:t>The information required by this Item 10 is set forth in the Company’s Proxy Statement to be filed with the SEC within 120 days after December 31, 2023 in connection with our 2024 annual meeting of shareholders (the “2024 Proxy Statement”) under the heading “Proposal No. 1 Election of Directors,” the subheadings “Information Concerning Our Directors, Including the Director Nominees,” “Code of Conduct” and “The Board and its Committees—Audit Committee,” and the headings “Management”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right="10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11 is set forth in the Company’s 2024 Proxy Statement under the headings “Executive Compensation” (other than the information under the subheading “Pay Versus Performance”), “Compensation Committee Report” and “Director Compensation”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257" w:lineRule="exact"/>
        <w:rPr>
          <w:sz w:val="20"/>
          <w:szCs w:val="20"/>
          <w:color w:val="auto"/>
        </w:rPr>
      </w:pPr>
    </w:p>
    <w:p>
      <w:pPr>
        <w:ind w:right="4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12 is set forth in the Company’s 2024 Proxy Statement under the headings “Equity Compensation Plan Information” and “Security Ownership of Management and Certain Beneficial Owners”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right="22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13 is set forth in the Company’s 2024 Proxy Statement under the headings “Certain Relationships and Related Transactions” and “Proposal No. 1 Election of Directors—Determination of Director Independence” and is incorporated herein by reference.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right="180" w:firstLine="36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14 is set forth in the Company’s Proxy Statement under the heading “Proposal No. 2 Approval of Appointment of Ernst &amp; Young LLP as Independent Registered Public Accounting Firm—Principal Accountant Fees and Services” and is incorporated herein by reference.</w:t>
      </w:r>
    </w:p>
    <w:p>
      <w:pPr>
        <w:sectPr>
          <w:pgSz w:w="12240" w:h="15840" w:orient="portrait"/>
          <w:cols w:equalWidth="0" w:num="1">
            <w:col w:w="9860"/>
          </w:cols>
          <w:pgMar w:left="1180" w:top="83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860"/>
          </w:cols>
          <w:pgMar w:left="1180" w:top="831" w:right="1200" w:bottom="0"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financial statements of New Fortress Energy Inc. and consolidated subsidiaries are included in Item 8 of this Form 10-K (Form 10-K). Refer to “Index to Financial Statements” set forth of page F-1.</w:t>
      </w:r>
    </w:p>
    <w:p>
      <w:pPr>
        <w:spacing w:after="0" w:line="18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(2) Financial Statement Schedule.</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Schedule II set forth on page F-</w:t>
      </w:r>
      <w:r>
        <w:rPr>
          <w:rFonts w:ascii="Times New Roman" w:cs="Times New Roman" w:eastAsia="Times New Roman" w:hAnsi="Times New Roman"/>
          <w:sz w:val="20"/>
          <w:szCs w:val="20"/>
          <w:u w:val="single" w:color="auto"/>
          <w:color w:val="0000FF"/>
        </w:rPr>
        <w:t>55</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2171065</wp:posOffset>
                </wp:positionH>
                <wp:positionV relativeFrom="paragraph">
                  <wp:posOffset>-106680</wp:posOffset>
                </wp:positionV>
                <wp:extent cx="190500" cy="11493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14935"/>
                        </a:xfrm>
                        <a:prstGeom prst="rect">
                          <a:avLst/>
                        </a:prstGeom>
                        <a:solidFill>
                          <a:srgbClr val="FFFFFF"/>
                        </a:solidFill>
                      </wps:spPr>
                      <wps:bodyPr/>
                    </wps:wsp>
                  </a:graphicData>
                </a:graphic>
              </wp:anchor>
            </w:drawing>
          </mc:Choice>
          <mc:Fallback>
            <w:pict>
              <v:rect id="Shape 34" o:spid="_x0000_s1059" style="position:absolute;margin-left:170.95pt;margin-top:-8.3999pt;width:15pt;height: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 Exhibits.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exhibits required to be filed by this Item 15(b) are set forth in the Exhibit Index included below.</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640" w:type="dxa"/>
            <w:vAlign w:val="bottom"/>
            <w:vMerge w:val="restart"/>
          </w:tcPr>
          <w:p>
            <w:pPr>
              <w:ind w:left="39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64"/>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8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Conversion of New Fortress Energy Inc. (incorporated by reference to Exhibit 99.2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Incorporation of New Fortress Energy Inc. (incorporated by reference to Exhibit 99.3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Bylaws of New Fortress Energy Inc. (incorporated by reference to Exhibit 99.4 to the Registrant’s</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 Exchange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Act of 1934 (incorporated by reference to Exhibit 4.1 to the Registrant’s Annual Report on Form 10-K,</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filed with the SEC on March 1, 2022).</w:t>
            </w:r>
          </w:p>
        </w:tc>
        <w:tc>
          <w:tcPr>
            <w:tcW w:w="0" w:type="dxa"/>
            <w:vAlign w:val="bottom"/>
          </w:tcPr>
          <w:p>
            <w:pPr>
              <w:spacing w:after="0"/>
              <w:rPr>
                <w:sz w:val="1"/>
                <w:szCs w:val="1"/>
                <w:color w:val="auto"/>
              </w:rPr>
            </w:pPr>
          </w:p>
        </w:tc>
      </w:tr>
      <w:tr>
        <w:trPr>
          <w:trHeight w:val="561"/>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w:t>
            </w: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10-K, filed with the SEC on March 1, 2022).</w:t>
            </w:r>
          </w:p>
        </w:tc>
        <w:tc>
          <w:tcPr>
            <w:tcW w:w="0" w:type="dxa"/>
            <w:vAlign w:val="bottom"/>
          </w:tcPr>
          <w:p>
            <w:pPr>
              <w:spacing w:after="0"/>
              <w:rPr>
                <w:sz w:val="1"/>
                <w:szCs w:val="1"/>
                <w:color w:val="auto"/>
              </w:rPr>
            </w:pPr>
          </w:p>
        </w:tc>
      </w:tr>
      <w:tr>
        <w:trPr>
          <w:trHeight w:val="595"/>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Director Restricted Share Unit Award Agreement (incorporated by reference to Exhibit 10.4 to</w:t>
            </w:r>
          </w:p>
        </w:tc>
        <w:tc>
          <w:tcPr>
            <w:tcW w:w="0" w:type="dxa"/>
            <w:vAlign w:val="bottom"/>
          </w:tcPr>
          <w:p>
            <w:pPr>
              <w:spacing w:after="0"/>
              <w:rPr>
                <w:sz w:val="1"/>
                <w:szCs w:val="1"/>
                <w:color w:val="auto"/>
              </w:rPr>
            </w:pPr>
          </w:p>
        </w:tc>
      </w:tr>
      <w:tr>
        <w:trPr>
          <w:trHeight w:val="240"/>
        </w:trPr>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Registrant’s Registration Statement on Form S-1/A, filed with the SEC on December 24, 2018).</w:t>
            </w:r>
          </w:p>
        </w:tc>
        <w:tc>
          <w:tcPr>
            <w:tcW w:w="0" w:type="dxa"/>
            <w:vAlign w:val="bottom"/>
          </w:tcPr>
          <w:p>
            <w:pPr>
              <w:spacing w:after="0"/>
              <w:rPr>
                <w:sz w:val="1"/>
                <w:szCs w:val="1"/>
                <w:color w:val="auto"/>
              </w:rPr>
            </w:pPr>
          </w:p>
        </w:tc>
      </w:tr>
      <w:tr>
        <w:trPr>
          <w:trHeight w:val="550"/>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3†</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Share Unit Award Agreement under the Amended and Restated New Fortress Energy Inc.</w:t>
            </w:r>
          </w:p>
        </w:tc>
        <w:tc>
          <w:tcPr>
            <w:tcW w:w="0" w:type="dxa"/>
            <w:vAlign w:val="bottom"/>
          </w:tcPr>
          <w:p>
            <w:pPr>
              <w:spacing w:after="0"/>
              <w:rPr>
                <w:sz w:val="1"/>
                <w:szCs w:val="1"/>
                <w:color w:val="auto"/>
              </w:rPr>
            </w:pPr>
          </w:p>
        </w:tc>
      </w:tr>
      <w:tr>
        <w:trPr>
          <w:trHeight w:val="163"/>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2019 Omnibus Incentive Plan (incorporated by reference to Exhibit 10.5 to the Registrant’s Quarterly</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10-Q, filed with the Commission on November 8, 2022).</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Shareholders’ Agreement, dated February 4, 2019, by and among New Fortress Energy LLC, New</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Fortress Energy Holdings LLC, Wesley R. Edens and Randal A. Nardone (incorporated by reference to</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Exhibit 4.1 to the Registrant’s Current Report on Form 8-K, filed with the SEC on February 5, 2019).</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Services Agreement, dated February 4, 2019, by and between New Fortress Intermediate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LLC and FIG LLC (incorporated by reference to Exhibit 10.3 to the Registrant’s Current Report on Form</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 filed with the SEC on February 5, 2019).</w:t>
            </w:r>
          </w:p>
        </w:tc>
        <w:tc>
          <w:tcPr>
            <w:tcW w:w="0" w:type="dxa"/>
            <w:vAlign w:val="bottom"/>
          </w:tcPr>
          <w:p>
            <w:pPr>
              <w:spacing w:after="0"/>
              <w:rPr>
                <w:sz w:val="1"/>
                <w:szCs w:val="1"/>
                <w:color w:val="auto"/>
              </w:rPr>
            </w:pPr>
          </w:p>
        </w:tc>
      </w:tr>
      <w:tr>
        <w:trPr>
          <w:trHeight w:val="576"/>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6†</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Indemnification Agreement (Edens) (incorporated by reference to Exhibit 10.4 to the Registrant’s Current</w:t>
            </w:r>
          </w:p>
        </w:tc>
        <w:tc>
          <w:tcPr>
            <w:tcW w:w="0" w:type="dxa"/>
            <w:vAlign w:val="bottom"/>
          </w:tcPr>
          <w:p>
            <w:pPr>
              <w:spacing w:after="0"/>
              <w:rPr>
                <w:sz w:val="1"/>
                <w:szCs w:val="1"/>
                <w:color w:val="auto"/>
              </w:rPr>
            </w:pPr>
          </w:p>
        </w:tc>
      </w:tr>
      <w:tr>
        <w:trPr>
          <w:trHeight w:val="240"/>
        </w:trPr>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-5552440</wp:posOffset>
            </wp:positionV>
            <wp:extent cx="6311900" cy="556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extLst>
                    </a:blip>
                    <a:srcRect/>
                    <a:stretch>
                      <a:fillRect/>
                    </a:stretch>
                  </pic:blipFill>
                  <pic:spPr bwMode="auto">
                    <a:xfrm>
                      <a:off x="0" y="0"/>
                      <a:ext cx="6311900" cy="5568950"/>
                    </a:xfrm>
                    <a:prstGeom prst="rect">
                      <a:avLst/>
                    </a:prstGeom>
                    <a:noFill/>
                  </pic:spPr>
                </pic:pic>
              </a:graphicData>
            </a:graphic>
          </wp:anchor>
        </w:drawing>
      </w:r>
    </w:p>
    <w:p>
      <w:pPr>
        <w:sectPr>
          <w:pgSz w:w="12240" w:h="15840" w:orient="portrait"/>
          <w:cols w:equalWidth="0" w:num="1">
            <w:col w:w="9860"/>
          </w:cols>
          <w:pgMar w:left="1180" w:top="831" w:right="120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860"/>
          </w:cols>
          <w:pgMar w:left="1180" w:top="831" w:right="120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7†</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(Guinta) (incorporated by reference to Exhibit 10.5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8†</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(Catterall) (incorporated by reference to Exhibit 10.7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9†</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Indemnification Agreement (Grain) (incorporated by reference to Exhibit 10.8 to the Registrant’s Current</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10†</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(Griffin) (incorporated by reference to Exhibit 10.9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11†</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(Mack) (incorporated by reference to Exhibit 10.10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12†</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(Nardone) (incorporated by reference to Exhibit 10.11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13†</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(Wanner) (incorporated by reference to Exhibit 10.12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14†</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(Jay ) (incorporated by reference to Exhibit 10.15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May 4, 2023).</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15†</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dated as of March 17, 2019, by and between New Fortress Energy LLC and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Yunyoung Shin (incorporated by reference to Exhibit 10.29 to the Registrant’s Annual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10-K, filed with the SEC on March 26, 2019).</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16</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Letter Agreement, dated as of December 3, 2019, by and between NFE Management LLC and Yunyoung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Shin. (incorporated by reference to Exhibit 10.3 to the Registrant’s Quarterly Report on Form 10-Q, filed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with the SEC on May 6, 2020).</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17</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March 14, 2017, by and between NFE Management LLC and Christopher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 Guinta (incorporated by reference to Exhibit 10.17 to the Registrant’s Annual Report on Form 10-K,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18</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September 2, 2020, by and among the Company, the subsidiary guarantors from time to</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time party thereto, and U.S. Bank National Association, as trustee and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4.1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September 2, 2020).</w:t>
            </w:r>
          </w:p>
        </w:tc>
      </w:tr>
      <w:tr>
        <w:trPr>
          <w:trHeight w:val="61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19</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September 2, 2020,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September 2, 2020).</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20</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Supplemental Indenture, dated December 17, 2020,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trustee and as notes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collateral agent (incorporated by reference to Exhibit 4.1 to the Registrant’s Current Report on Form 8-K,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December 18, 2020).</w:t>
            </w:r>
          </w:p>
        </w:tc>
      </w:tr>
    </w:tbl>
    <w:p>
      <w:pPr>
        <w:ind w:left="740"/>
        <w:spacing w:after="0"/>
        <w:rPr>
          <w:sz w:val="20"/>
          <w:szCs w:val="20"/>
          <w:color w:val="auto"/>
        </w:rPr>
        <w:sectPr>
          <w:pgSz w:w="12240" w:h="15840" w:orient="portrait"/>
          <w:cols w:equalWidth="0" w:num="1">
            <w:col w:w="9760"/>
          </w:cols>
          <w:pgMar w:left="1220" w:top="1215" w:right="1260" w:bottom="0" w:gutter="0" w:footer="0" w:header="0"/>
        </w:sectPr>
      </w:pPr>
      <w:r>
        <w:rPr>
          <w:sz w:val="20"/>
          <w:szCs w:val="20"/>
          <w:color w:val="auto"/>
        </w:rPr>
        <w:drawing>
          <wp:anchor simplePos="0" relativeHeight="251657728" behindDoc="1" locked="0" layoutInCell="0" allowOverlap="1">
            <wp:simplePos x="0" y="0"/>
            <wp:positionH relativeFrom="page">
              <wp:posOffset>730250</wp:posOffset>
            </wp:positionH>
            <wp:positionV relativeFrom="page">
              <wp:posOffset>558800</wp:posOffset>
            </wp:positionV>
            <wp:extent cx="6311900" cy="8626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extLst>
                    </a:blip>
                    <a:srcRect/>
                    <a:stretch>
                      <a:fillRect/>
                    </a:stretch>
                  </pic:blipFill>
                  <pic:spPr bwMode="auto">
                    <a:xfrm>
                      <a:off x="0" y="0"/>
                      <a:ext cx="6311900" cy="862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760"/>
          </w:cols>
          <w:pgMar w:left="1220" w:top="1215" w:right="1260" w:bottom="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21</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Second Supplemental Indenture, dated as of March 1, 2021, between NFE US Holdings LLC, as</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Guaranteeing Subsidiary, and U.S. Bank Trust Company, National Association (as successor in interest to</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U.S. Bank National Association), as trustee (incorporated by reference to Exhibit 10.21 to the</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22</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Third Supplemental Indenture, dated as of June 11, 2021, between Golar GP LLC (now known as NFE</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GP LLC), as Guaranteeing Subsidiary, and U.S. Bank Trust Company, National Association (as</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successor in interest to U.S. Bank National Association), as trustee (incorporated by reference to Exhibit</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10.22 to the Registrant’s Annual Report on Form 10-K, filed with the SEC on March 1, 2023).</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23</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Fourth Supplemental Indenture, dated as of September 13, 2021, between NFE Mexico Power Holdings</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Limited and NFE Mexico Terminal Holdings Limited, as Guaranteeing Subsidiaries, and U.S. Bank Trust</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10.23 to the Registrant’s Annual Report on Form 10-K, filed with</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24</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99"/>
              </w:rPr>
              <w:t>Fifth Supplemental Indenture, dated as of November 24, 2021, between NFE International Shipping LLC,</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NFE Global Shipping LLC, NFE Grand Shipping LLC and NFE International Holdings Limited, as</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to U.S. Bank National Association), as trustee (incorporated by reference to Exhibit 10.24 to the</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25</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Sixth Supplemental Indenture, dated as of March 23, 2022, between NFE UK Holdings Limited, NFE</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Global Holdings Limited and NFE Bermuda Holdings Limited, as Guaranteeing Subsidiaries, and U.S.</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as trustee (incorporated by reference to Exhibit 10.25 to the Registrant’s Annual Report on Form 10-K,</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26</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Seventh Supplemental Indenture, dated as of December 22, 2022, between NFE Andromeda Chartering</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(as successor in interest to U.S. Bank National</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Association), as trustee (incorporated by reference to Exhibit 10.26 to the Registrant’s Annual Report on</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Form 10-K, filed with 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27</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Indenture, dated April 12, 2021, by and among the Company, the subsidiary guarantors from time to time</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party thereto, and U.S. Bank National Association, as trustee and as notes collateral agent (incorporated</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by reference to Exhibit 4.1 to the Registrant’s Current Report on Form 8-K, filed with the SEC on April</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12, 2021).</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28</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Pledge and Security Agreement, dated April 12, 2021, by and among the Company, the subsidiary</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notes collateral agent</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29</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99"/>
              </w:rPr>
              <w:t>First Supplemental Indenture, dated as of June 11, 2021, between Golar GP LLC (now known as NFE GP</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932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10.29 to the</w:t>
            </w:r>
          </w:p>
        </w:tc>
      </w:tr>
      <w:tr>
        <w:trPr>
          <w:trHeight w:val="260"/>
        </w:trPr>
        <w:tc>
          <w:tcPr>
            <w:tcW w:w="460" w:type="dxa"/>
            <w:vAlign w:val="bottom"/>
          </w:tcPr>
          <w:p>
            <w:pPr>
              <w:spacing w:after="0"/>
              <w:rPr>
                <w:sz w:val="22"/>
                <w:szCs w:val="22"/>
                <w:color w:val="auto"/>
              </w:rPr>
            </w:pP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30</w:t>
            </w:r>
          </w:p>
        </w:tc>
        <w:tc>
          <w:tcPr>
            <w:tcW w:w="93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Second Supplemental Indenture, dated as of September 13, 2021, between NFE Mexico Power Holdings</w:t>
            </w:r>
          </w:p>
        </w:tc>
      </w:tr>
      <w:tr>
        <w:trPr>
          <w:trHeight w:val="163"/>
        </w:trPr>
        <w:tc>
          <w:tcPr>
            <w:tcW w:w="460" w:type="dxa"/>
            <w:vAlign w:val="bottom"/>
          </w:tcPr>
          <w:p>
            <w:pPr>
              <w:spacing w:after="0"/>
              <w:rPr>
                <w:sz w:val="14"/>
                <w:szCs w:val="14"/>
                <w:color w:val="auto"/>
              </w:rPr>
            </w:pPr>
          </w:p>
        </w:tc>
        <w:tc>
          <w:tcPr>
            <w:tcW w:w="932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Limited and NFE Mexico Terminal Holdings Limited, as Guaranteeing Subsidiaries, and U.S. Bank Trust</w:t>
            </w:r>
          </w:p>
        </w:tc>
      </w:tr>
      <w:tr>
        <w:trPr>
          <w:trHeight w:val="222"/>
        </w:trPr>
        <w:tc>
          <w:tcPr>
            <w:tcW w:w="460" w:type="dxa"/>
            <w:vAlign w:val="bottom"/>
          </w:tcPr>
          <w:p>
            <w:pPr>
              <w:spacing w:after="0"/>
              <w:rPr>
                <w:sz w:val="19"/>
                <w:szCs w:val="19"/>
                <w:color w:val="auto"/>
              </w:rPr>
            </w:pPr>
          </w:p>
        </w:tc>
        <w:tc>
          <w:tcPr>
            <w:tcW w:w="9320" w:type="dxa"/>
            <w:vAlign w:val="bottom"/>
          </w:tcPr>
          <w:p>
            <w:pPr>
              <w:ind w:left="840"/>
              <w:spacing w:after="0" w:line="222" w:lineRule="exact"/>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bl>
    <w:p>
      <w:pPr>
        <w:ind w:left="1300" w:right="200"/>
        <w:spacing w:after="0" w:line="22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730250</wp:posOffset>
            </wp:positionH>
            <wp:positionV relativeFrom="page">
              <wp:posOffset>571500</wp:posOffset>
            </wp:positionV>
            <wp:extent cx="6311900" cy="8347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extLst>
                        <a:ext uri="{28A0092B-C50C-407E-A947-70E740481C1C}"/>
                      </a:extLst>
                    </a:blip>
                    <a:srcRect/>
                    <a:stretch>
                      <a:fillRect/>
                    </a:stretch>
                  </pic:blipFill>
                  <pic:spPr bwMode="auto">
                    <a:xfrm>
                      <a:off x="0" y="0"/>
                      <a:ext cx="6311900" cy="8347075"/>
                    </a:xfrm>
                    <a:prstGeom prst="rect">
                      <a:avLst/>
                    </a:prstGeom>
                    <a:noFill/>
                  </pic:spPr>
                </pic:pic>
              </a:graphicData>
            </a:graphic>
          </wp:anchor>
        </w:drawing>
        <w:t>(incorporated by reference to Exhibit 10.30 to the Registrant’s Annual Report on Form 10-K, filed with the SEC on March 1, 2023).</w:t>
      </w:r>
    </w:p>
    <w:p>
      <w:pPr>
        <w:sectPr>
          <w:pgSz w:w="12240" w:h="15840" w:orient="portrait"/>
          <w:cols w:equalWidth="0" w:num="1">
            <w:col w:w="9780"/>
          </w:cols>
          <w:pgMar w:left="1220" w:top="900"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780"/>
          </w:cols>
          <w:pgMar w:left="1220" w:top="900" w:right="1240"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31</w:t>
            </w:r>
          </w:p>
        </w:tc>
        <w:tc>
          <w:tcPr>
            <w:tcW w:w="100" w:type="dxa"/>
            <w:vAlign w:val="bottom"/>
          </w:tcPr>
          <w:p>
            <w:pPr>
              <w:spacing w:after="0"/>
              <w:rPr>
                <w:sz w:val="19"/>
                <w:szCs w:val="19"/>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Supplemental Indenture, dated as of November 24, 2021, between NFE International Shipping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LLC, NFE Global Shipping LLC, NFE Grand Shipping LLC and NFE International Holdings Limited,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to U.S. Bank National Association), as trustee (incorporated by reference to Exhibit 10.31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32</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Supplemental Indenture, dated as of March 23, 2022, between NFE UK Holdings Limited, NFE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Global Holdings Limited and NFE Bermuda Holdings Limited, as Guaranteeing Subsidiaries, and U.S.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as trustee (incorporated by reference to Exhibit 10.32 to the Registrant’s Annual Report on Form 10-K,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33</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Fifth Supplemental Indenture, dated as of December 22, 2022, between NFE Andromeda Chartering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10.33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34</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April 15, 2021, by and among the Company, as the borrower,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21, 2021).</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35</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Credit Agreement, dated as of July 16, 2021 to the Credit Agreement, dated as of</w:t>
            </w:r>
          </w:p>
        </w:tc>
      </w:tr>
      <w:tr>
        <w:trPr>
          <w:trHeight w:val="191"/>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20" w:type="dxa"/>
            <w:vAlign w:val="bottom"/>
          </w:tcPr>
          <w:p>
            <w:pPr>
              <w:ind w:left="740"/>
              <w:spacing w:after="0" w:line="191" w:lineRule="exact"/>
              <w:rPr>
                <w:sz w:val="20"/>
                <w:szCs w:val="20"/>
                <w:color w:val="auto"/>
              </w:rPr>
            </w:pPr>
            <w:r>
              <w:rPr>
                <w:rFonts w:ascii="Times New Roman" w:cs="Times New Roman" w:eastAsia="Times New Roman" w:hAnsi="Times New Roman"/>
                <w:sz w:val="20"/>
                <w:szCs w:val="20"/>
                <w:color w:val="auto"/>
              </w:rPr>
              <w:t>April 15, 2021, by and among the Company, as the borrower, the guarantors from time to time partly</w:t>
            </w:r>
          </w:p>
        </w:tc>
      </w:tr>
      <w:tr>
        <w:trPr>
          <w:trHeight w:val="214"/>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20" w:type="dxa"/>
            <w:vAlign w:val="bottom"/>
          </w:tcPr>
          <w:p>
            <w:pPr>
              <w:ind w:left="740"/>
              <w:spacing w:after="0" w:line="214" w:lineRule="exact"/>
              <w:rPr>
                <w:sz w:val="20"/>
                <w:szCs w:val="20"/>
                <w:color w:val="auto"/>
              </w:rPr>
            </w:pPr>
            <w:r>
              <w:rPr>
                <w:rFonts w:ascii="Times New Roman" w:cs="Times New Roman" w:eastAsia="Times New Roman" w:hAnsi="Times New Roman"/>
                <w:sz w:val="20"/>
                <w:szCs w:val="20"/>
                <w:color w:val="auto"/>
                <w:w w:val="99"/>
              </w:rPr>
              <w:t>thereto, the several lenders and issuing banks from time to time partly thereto, and Morgan Stanley Senior</w:t>
            </w:r>
          </w:p>
        </w:tc>
      </w:tr>
      <w:tr>
        <w:trPr>
          <w:trHeight w:val="214"/>
        </w:trPr>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20" w:type="dxa"/>
            <w:vAlign w:val="bottom"/>
          </w:tcPr>
          <w:p>
            <w:pPr>
              <w:ind w:left="740"/>
              <w:spacing w:after="0" w:line="214" w:lineRule="exact"/>
              <w:rPr>
                <w:sz w:val="20"/>
                <w:szCs w:val="20"/>
                <w:color w:val="auto"/>
              </w:rPr>
            </w:pPr>
            <w:r>
              <w:rPr>
                <w:rFonts w:ascii="Times New Roman" w:cs="Times New Roman" w:eastAsia="Times New Roman" w:hAnsi="Times New Roman"/>
                <w:sz w:val="20"/>
                <w:szCs w:val="20"/>
                <w:color w:val="auto"/>
              </w:rPr>
              <w:t>Funding, Inc., as administrative agent (incorporated by reference to Exhibit 10.30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2022).</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Credit Agreement, dated as of February 28, 2022 to the Credit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as 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10.31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Annual Report on Form 10-K, filed with the SEC on March 1, 2022).</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Amendment to Credit Agreement, dated as of May 4, 2022 to the Credit Agreement, dated as of</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10.32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Quarterly Report on Form 10-Q, filed with the SEC on May 6, 2022).</w:t>
            </w:r>
          </w:p>
        </w:tc>
      </w:tr>
      <w:tr>
        <w:trPr>
          <w:trHeight w:val="62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Credit Agreement, dated as of February 7,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10.38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2023).</w:t>
            </w:r>
          </w:p>
        </w:tc>
      </w:tr>
      <w:tr>
        <w:trPr>
          <w:trHeight w:val="55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39</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Fifth Amendment to Credit Agreement, dated as of September 15,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r>
      <w:tr>
        <w:trPr>
          <w:trHeight w:val="61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Sixth Amendment to Credit Agreement, dated as of December 18,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-7777480</wp:posOffset>
            </wp:positionV>
            <wp:extent cx="6311900" cy="7988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extLst>
                    </a:blip>
                    <a:srcRect/>
                    <a:stretch>
                      <a:fillRect/>
                    </a:stretch>
                  </pic:blipFill>
                  <pic:spPr bwMode="auto">
                    <a:xfrm>
                      <a:off x="0" y="0"/>
                      <a:ext cx="6311900" cy="7988300"/>
                    </a:xfrm>
                    <a:prstGeom prst="rect">
                      <a:avLst/>
                    </a:prstGeom>
                    <a:noFill/>
                  </pic:spPr>
                </pic:pic>
              </a:graphicData>
            </a:graphic>
          </wp:anchor>
        </w:drawing>
      </w:r>
    </w:p>
    <w:p>
      <w:pPr>
        <w:sectPr>
          <w:pgSz w:w="12240" w:h="15840" w:orient="portrait"/>
          <w:cols w:equalWidth="0" w:num="1">
            <w:col w:w="9780"/>
          </w:cols>
          <w:pgMar w:left="1220" w:top="900"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780"/>
          </w:cols>
          <w:pgMar w:left="1220" w:top="900" w:right="124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 Purchase and Contribution Agreement, dated as of July 2, 2022, by and among Golar LNG</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8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Partners LP and Hygo Energy Transition Ltd., as Sellers, AP Neptune Holdings Ltd, as Purchaser,</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Floating Infrastructure Holdings LLC, as the Company, and Floating Infrastructure Intermediate LLC, as</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Holdco Pledgor, and Floating Infrastructure Holdings finance LLC, as Borrower, and New Fortress</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Energy Inc.(incorporated by reference to Exhibit 10.39 to Registrant’s Quarterly Report on Form 10-Q,</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filed with the SEC on August 5, 2022).</w:t>
            </w:r>
          </w:p>
        </w:tc>
      </w:tr>
      <w:tr>
        <w:trPr>
          <w:trHeight w:val="57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Second Amendment to Uncommitted Letter of Credit and Reimbursement Agreement, dated July 27,</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8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2022, by and among New Fortress Energy Inc., the guarantors party thereto, Natixis, New York Branch,</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as Administrative Agent, Natixis, New York Branch, as ULCA Collateral Agent, Natixis, New York</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Branch, and each of the other financial institutions party thereto, as Lenders and Issuing Banks</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w w:val="99"/>
              </w:rPr>
              <w:t>(incorporated by reference to Exhibit 10.40 to Registrant’s Quarterly Report on Form 10-Q, filed with the</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 on August 5, 2022).</w:t>
            </w:r>
          </w:p>
        </w:tc>
      </w:tr>
      <w:tr>
        <w:trPr>
          <w:trHeight w:val="57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Incremental Joinder Agreement Regarding to Uncommitted Letter of Credit and Reimbursement</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8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color w:val="auto"/>
              </w:rPr>
              <w:t>Agreement, dated February 6, 2023, by and among New Fortress Energy Inc., the guarantors party</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thereto, Natixis, New York Branch, as Administrative Agent and as Issuing Bank, Credit Agricole</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Corporate and Investment Bank, as Issuing Bank, and Sumitomo Mitsui Banking Corporation, as Issuing</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Bank (incorporated by reference to Exhibit 10.45 to the Registrant’s Annual Report on Form 10-K, filed</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with the SEC on March 1, 2023).</w:t>
            </w:r>
          </w:p>
        </w:tc>
      </w:tr>
      <w:tr>
        <w:trPr>
          <w:trHeight w:val="576"/>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44*</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Incremental Joinder Agreement Regarding to Uncommitted Letter of Credit and Reimbursement</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80" w:type="dxa"/>
            <w:vAlign w:val="bottom"/>
          </w:tcPr>
          <w:p>
            <w:pPr>
              <w:ind w:left="220"/>
              <w:spacing w:after="0" w:line="163" w:lineRule="exact"/>
              <w:rPr>
                <w:sz w:val="20"/>
                <w:szCs w:val="20"/>
                <w:color w:val="auto"/>
              </w:rPr>
            </w:pPr>
            <w:r>
              <w:rPr>
                <w:rFonts w:ascii="Times New Roman" w:cs="Times New Roman" w:eastAsia="Times New Roman" w:hAnsi="Times New Roman"/>
                <w:sz w:val="18"/>
                <w:szCs w:val="18"/>
                <w:color w:val="auto"/>
              </w:rPr>
              <w:t>Agreement, dated November 2, 2023, by and among New Fortress Energy Inc., the guarantors party</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80" w:type="dxa"/>
            <w:vAlign w:val="bottom"/>
          </w:tcPr>
          <w:p>
            <w:pPr>
              <w:ind w:left="220"/>
              <w:spacing w:after="0" w:line="200" w:lineRule="exact"/>
              <w:rPr>
                <w:sz w:val="20"/>
                <w:szCs w:val="20"/>
                <w:color w:val="auto"/>
              </w:rPr>
            </w:pPr>
            <w:r>
              <w:rPr>
                <w:rFonts w:ascii="Times New Roman" w:cs="Times New Roman" w:eastAsia="Times New Roman" w:hAnsi="Times New Roman"/>
                <w:sz w:val="20"/>
                <w:szCs w:val="20"/>
                <w:color w:val="auto"/>
              </w:rPr>
              <w:t>thereto, Natixis, New York Branch, as Administrative Agent and as an Issuing Bank and Banco</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Santander, S.A., New York Branch as an Incremental Lender.</w:t>
            </w:r>
          </w:p>
        </w:tc>
      </w:tr>
      <w:tr>
        <w:trPr>
          <w:trHeight w:val="571"/>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45*</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Credit Agreement, dated as of October 30, 2023, by and among the Company, as the borrower, the</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80" w:type="dxa"/>
            <w:vAlign w:val="bottom"/>
          </w:tcPr>
          <w:p>
            <w:pPr>
              <w:ind w:left="22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from time to time party thereto, and</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Morgan Stanley Senior Funding Inc., as administrative agent and collateral agent.</w:t>
            </w:r>
          </w:p>
        </w:tc>
      </w:tr>
      <w:tr>
        <w:trPr>
          <w:trHeight w:val="57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List of Subsidiaries of New Fortress Energy Inc.</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23.</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Executive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5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Financial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1**</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by Chief Executive Officer pursuant to Title 18 U.S.C. Section 1350, as adopted pursuant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2**</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Certifications by Chief Financial Officer pursuant to Title 18 U.S.C. Section 1350, as adopted pursuant to</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5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97.</w:t>
            </w:r>
            <w:r>
              <w:rPr>
                <w:rFonts w:ascii="Times New Roman" w:cs="Times New Roman" w:eastAsia="Times New Roman" w:hAnsi="Times New Roman"/>
                <w:sz w:val="20"/>
                <w:szCs w:val="20"/>
                <w:u w:val="single" w:color="auto"/>
                <w:color w:val="0000FF"/>
                <w:w w:val="96"/>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Clawback Policy of the Company, effective as of December 1, 2023</w:t>
            </w:r>
          </w:p>
        </w:tc>
      </w:tr>
      <w:tr>
        <w:trPr>
          <w:trHeight w:val="623"/>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101.INS*</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101.SCH*</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101.CAL*</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-7863205</wp:posOffset>
            </wp:positionV>
            <wp:extent cx="6311900" cy="8093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extLst>
                    </a:blip>
                    <a:srcRect/>
                    <a:stretch>
                      <a:fillRect/>
                    </a:stretch>
                  </pic:blipFill>
                  <pic:spPr bwMode="auto">
                    <a:xfrm>
                      <a:off x="0" y="0"/>
                      <a:ext cx="6311900" cy="8093075"/>
                    </a:xfrm>
                    <a:prstGeom prst="rect">
                      <a:avLst/>
                    </a:prstGeom>
                    <a:noFill/>
                  </pic:spPr>
                </pic:pic>
              </a:graphicData>
            </a:graphic>
          </wp:anchor>
        </w:drawing>
      </w:r>
    </w:p>
    <w:p>
      <w:pPr>
        <w:sectPr>
          <w:pgSz w:w="12240" w:h="15840" w:orient="portrait"/>
          <w:cols w:equalWidth="0" w:num="1">
            <w:col w:w="9760"/>
          </w:cols>
          <w:pgMar w:left="1220" w:top="90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760"/>
          </w:cols>
          <w:pgMar w:left="1220" w:top="900" w:right="1260" w:bottom="0" w:gutter="0" w:footer="0" w:header="0"/>
          <w:type w:val="continuous"/>
        </w:sectPr>
      </w:pPr>
    </w:p>
    <w:bookmarkStart w:id="92" w:name="page93"/>
    <w:bookmarkEnd w:id="92"/>
    <w:p>
      <w:pPr>
        <w:ind w:left="50"/>
        <w:spacing w:after="0"/>
        <w:tabs>
          <w:tab w:leader="none" w:pos="1330" w:val="left"/>
        </w:tabs>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730250</wp:posOffset>
            </wp:positionH>
            <wp:positionV relativeFrom="page">
              <wp:posOffset>571500</wp:posOffset>
            </wp:positionV>
            <wp:extent cx="6311900" cy="793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a:extLst>
                        <a:ext uri="{28A0092B-C50C-407E-A947-70E740481C1C}"/>
                      </a:extLst>
                    </a:blip>
                    <a:srcRect/>
                    <a:stretch>
                      <a:fillRect/>
                    </a:stretch>
                  </pic:blipFill>
                  <pic:spPr bwMode="auto">
                    <a:xfrm>
                      <a:off x="0" y="0"/>
                      <a:ext cx="6311900" cy="793750"/>
                    </a:xfrm>
                    <a:prstGeom prst="rect">
                      <a:avLst/>
                    </a:prstGeom>
                    <a:noFill/>
                  </pic:spPr>
                </pic:pic>
              </a:graphicData>
            </a:graphic>
          </wp:anchor>
        </w:drawing>
        <w:t>101.LAB*</w:t>
      </w:r>
      <w:r>
        <w:rPr>
          <w:sz w:val="20"/>
          <w:szCs w:val="20"/>
          <w:color w:val="auto"/>
        </w:rPr>
        <w:tab/>
      </w:r>
      <w:r>
        <w:rPr>
          <w:rFonts w:ascii="Times New Roman" w:cs="Times New Roman" w:eastAsia="Times New Roman" w:hAnsi="Times New Roman"/>
          <w:sz w:val="19"/>
          <w:szCs w:val="19"/>
          <w:color w:val="auto"/>
        </w:rPr>
        <w:t>Inline XBRL Label Linkbase Document</w:t>
      </w:r>
    </w:p>
    <w:p>
      <w:pPr>
        <w:spacing w:after="0" w:line="385" w:lineRule="exact"/>
        <w:rPr>
          <w:sz w:val="20"/>
          <w:szCs w:val="20"/>
          <w:color w:val="auto"/>
        </w:rPr>
      </w:pPr>
    </w:p>
    <w:p>
      <w:pPr>
        <w:ind w:left="50"/>
        <w:spacing w:after="0"/>
        <w:tabs>
          <w:tab w:leader="none" w:pos="1330" w:val="left"/>
        </w:tabs>
        <w:rPr>
          <w:sz w:val="20"/>
          <w:szCs w:val="20"/>
          <w:color w:val="auto"/>
        </w:rPr>
      </w:pPr>
      <w:r>
        <w:rPr>
          <w:rFonts w:ascii="Times New Roman" w:cs="Times New Roman" w:eastAsia="Times New Roman" w:hAnsi="Times New Roman"/>
          <w:sz w:val="20"/>
          <w:szCs w:val="20"/>
          <w:color w:val="auto"/>
        </w:rPr>
        <w:t>101.PRE*</w:t>
      </w:r>
      <w:r>
        <w:rPr>
          <w:sz w:val="20"/>
          <w:szCs w:val="20"/>
          <w:color w:val="auto"/>
        </w:rPr>
        <w:tab/>
      </w:r>
      <w:r>
        <w:rPr>
          <w:rFonts w:ascii="Times New Roman" w:cs="Times New Roman" w:eastAsia="Times New Roman" w:hAnsi="Times New Roman"/>
          <w:sz w:val="20"/>
          <w:szCs w:val="20"/>
          <w:color w:val="auto"/>
        </w:rPr>
        <w:t>Inline XBRL Presentation Linkbase Document</w:t>
      </w:r>
    </w:p>
    <w:p>
      <w:pPr>
        <w:spacing w:after="0" w:line="385" w:lineRule="exact"/>
        <w:rPr>
          <w:sz w:val="20"/>
          <w:szCs w:val="20"/>
          <w:color w:val="auto"/>
        </w:rPr>
      </w:pPr>
    </w:p>
    <w:p>
      <w:pPr>
        <w:ind w:left="50"/>
        <w:spacing w:after="0"/>
        <w:tabs>
          <w:tab w:leader="none" w:pos="1330" w:val="left"/>
        </w:tabs>
        <w:rPr>
          <w:sz w:val="20"/>
          <w:szCs w:val="20"/>
          <w:color w:val="auto"/>
        </w:rPr>
      </w:pPr>
      <w:r>
        <w:rPr>
          <w:rFonts w:ascii="Times New Roman" w:cs="Times New Roman" w:eastAsia="Times New Roman" w:hAnsi="Times New Roman"/>
          <w:sz w:val="20"/>
          <w:szCs w:val="20"/>
          <w:color w:val="auto"/>
        </w:rPr>
        <w:t>101.DEF*</w:t>
      </w:r>
      <w:r>
        <w:rPr>
          <w:sz w:val="20"/>
          <w:szCs w:val="20"/>
          <w:color w:val="auto"/>
        </w:rPr>
        <w:tab/>
      </w:r>
      <w:r>
        <w:rPr>
          <w:rFonts w:ascii="Times New Roman" w:cs="Times New Roman" w:eastAsia="Times New Roman" w:hAnsi="Times New Roman"/>
          <w:sz w:val="20"/>
          <w:szCs w:val="20"/>
          <w:color w:val="auto"/>
        </w:rPr>
        <w:t>Inline XBRL Taxonomy Extension Definition Linkbase Document</w:t>
      </w:r>
    </w:p>
    <w:p>
      <w:pPr>
        <w:spacing w:after="0" w:line="385" w:lineRule="exact"/>
        <w:rPr>
          <w:sz w:val="20"/>
          <w:szCs w:val="20"/>
          <w:color w:val="auto"/>
        </w:rPr>
      </w:pPr>
    </w:p>
    <w:p>
      <w:pPr>
        <w:ind w:left="50"/>
        <w:spacing w:after="0"/>
        <w:tabs>
          <w:tab w:leader="none" w:pos="133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in Inline XBRL and contained in Exhibit 101</w:t>
      </w:r>
    </w:p>
    <w:p>
      <w:pPr>
        <w:spacing w:after="0" w:line="3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Filed as an exhibit to this Annual Report</w:t>
      </w:r>
    </w:p>
    <w:p>
      <w:pPr>
        <w:spacing w:after="0" w:line="30" w:lineRule="exact"/>
        <w:rPr>
          <w:sz w:val="20"/>
          <w:szCs w:val="20"/>
          <w:color w:val="auto"/>
        </w:rPr>
      </w:pPr>
    </w:p>
    <w:p>
      <w:pPr>
        <w:ind w:left="270" w:hanging="270"/>
        <w:spacing w:after="0"/>
        <w:tabs>
          <w:tab w:leader="none" w:pos="27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as an exhibit to this Annual Report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Compensatory plan or arrangement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Portions of the exhibit (indicated by asterisks) have been omitted in pursuant to Item 601 (b)(10)(iv) of Regulation S-K.</w:t>
      </w:r>
    </w:p>
    <w:p>
      <w:pPr>
        <w:sectPr>
          <w:pgSz w:w="12240" w:h="15840" w:orient="portrait"/>
          <w:cols w:equalWidth="0" w:num="1">
            <w:col w:w="9730"/>
          </w:cols>
          <w:pgMar w:left="1170" w:top="913"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730"/>
          </w:cols>
          <w:pgMar w:left="1170" w:top="913" w:right="13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ectPr>
          <w:pgSz w:w="12240" w:h="15840" w:orient="portrait"/>
          <w:cols w:equalWidth="0" w:num="1">
            <w:col w:w="9620"/>
          </w:cols>
          <w:pgMar w:left="1180" w:top="831" w:right="1440" w:bottom="0" w:gutter="0" w:footer="0" w:header="0"/>
        </w:sectPr>
      </w:pPr>
    </w:p>
    <w:p>
      <w:pPr>
        <w:spacing w:after="0" w:line="2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None.</w:t>
      </w:r>
    </w:p>
    <w:p>
      <w:pPr>
        <w:sectPr>
          <w:pgSz w:w="12240" w:h="15840" w:orient="portrait"/>
          <w:cols w:equalWidth="0" w:num="1">
            <w:col w:w="9620"/>
          </w:cols>
          <w:pgMar w:left="1180" w:top="83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620"/>
          </w:cols>
          <w:pgMar w:left="1180" w:top="831" w:right="1440" w:bottom="0"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February 29, 2024</w:t>
      </w:r>
    </w:p>
    <w:p>
      <w:pPr>
        <w:spacing w:after="0" w:line="83" w:lineRule="exact"/>
        <w:rPr>
          <w:sz w:val="20"/>
          <w:szCs w:val="20"/>
          <w:color w:val="auto"/>
        </w:rPr>
      </w:pPr>
    </w:p>
    <w:tbl>
      <w:tblPr>
        <w:tblLayout w:type="fixed"/>
        <w:tblInd w:w="4660" w:type="dxa"/>
        <w:tblCellMar>
          <w:top w:w="0" w:type="dxa"/>
          <w:left w:w="0" w:type="dxa"/>
          <w:bottom w:w="0" w:type="dxa"/>
          <w:right w:w="0" w:type="dxa"/>
        </w:tblCellMar>
      </w:tblPr>
      <w:tr>
        <w:trPr>
          <w:trHeight w:val="26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Guinta</w:t>
            </w:r>
          </w:p>
        </w:tc>
      </w:tr>
      <w:tr>
        <w:trPr>
          <w:trHeight w:val="27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S. Guinta</w:t>
            </w:r>
          </w:p>
        </w:tc>
      </w:tr>
      <w:tr>
        <w:trPr>
          <w:trHeight w:val="30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91" w:lineRule="exact"/>
        <w:rPr>
          <w:sz w:val="20"/>
          <w:szCs w:val="20"/>
          <w:color w:val="auto"/>
        </w:rPr>
      </w:pPr>
    </w:p>
    <w:p>
      <w:pPr>
        <w:ind w:right="76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60" w:type="dxa"/>
            <w:vAlign w:val="bottom"/>
          </w:tcPr>
          <w:p>
            <w:pPr>
              <w:spacing w:after="0"/>
              <w:rPr>
                <w:sz w:val="23"/>
                <w:szCs w:val="23"/>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23"/>
                <w:szCs w:val="23"/>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4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Wesley R. Edens</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Wesley R. Edens</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Christopher S. Guinta</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Financial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Christopher S. Guinta</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Yunyoung Shin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Accounting Officer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Yunyoung Shin</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Randal A. Nardone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Randal A. Nardone</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 William Griffin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 William Griffin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John J. Mack</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John J. Mack</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Timothy W. Jay</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Timothy W. Jay</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J. Grain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J. Grain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Desmond Iain Catterall</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Desmond Iain Catterall</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Katherine E. Wanner</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February 29, 2024</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Katherine E. Wanner</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ectPr>
          <w:pgSz w:w="12240" w:h="15840" w:orient="portrait"/>
          <w:cols w:equalWidth="0" w:num="1">
            <w:col w:w="9900"/>
          </w:cols>
          <w:pgMar w:left="1180" w:top="831" w:right="116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64"/>
        </w:trPr>
        <w:tc>
          <w:tcPr>
            <w:tcW w:w="858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320" w:type="dxa"/>
            <w:vAlign w:val="bottom"/>
          </w:tcPr>
          <w:p>
            <w:pPr>
              <w:spacing w:after="0"/>
              <w:rPr>
                <w:sz w:val="22"/>
                <w:szCs w:val="22"/>
                <w:color w:val="auto"/>
              </w:rPr>
            </w:pPr>
          </w:p>
        </w:tc>
      </w:tr>
      <w:tr>
        <w:trPr>
          <w:trHeight w:val="575"/>
        </w:trPr>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70"/>
        </w:trPr>
        <w:tc>
          <w:tcPr>
            <w:tcW w:w="40" w:type="dxa"/>
            <w:vAlign w:val="bottom"/>
          </w:tcPr>
          <w:p>
            <w:pPr>
              <w:spacing w:after="0"/>
              <w:rPr>
                <w:sz w:val="23"/>
                <w:szCs w:val="23"/>
                <w:color w:val="auto"/>
              </w:rPr>
            </w:pPr>
          </w:p>
        </w:tc>
        <w:tc>
          <w:tcPr>
            <w:tcW w:w="8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F-2</w:t>
            </w:r>
          </w:p>
        </w:tc>
      </w:tr>
      <w:tr>
        <w:trPr>
          <w:trHeight w:val="244"/>
        </w:trPr>
        <w:tc>
          <w:tcPr>
            <w:tcW w:w="40" w:type="dxa"/>
            <w:vAlign w:val="bottom"/>
          </w:tcPr>
          <w:p>
            <w:pPr>
              <w:spacing w:after="0"/>
              <w:rPr>
                <w:sz w:val="21"/>
                <w:szCs w:val="21"/>
                <w:color w:val="auto"/>
              </w:rPr>
            </w:pPr>
          </w:p>
        </w:tc>
        <w:tc>
          <w:tcPr>
            <w:tcW w:w="4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3860" w:type="dxa"/>
            <w:vAlign w:val="bottom"/>
            <w:gridSpan w:val="3"/>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F-5</w:t>
            </w:r>
          </w:p>
        </w:tc>
      </w:tr>
      <w:tr>
        <w:trPr>
          <w:trHeight w:val="36"/>
        </w:trPr>
        <w:tc>
          <w:tcPr>
            <w:tcW w:w="40" w:type="dxa"/>
            <w:vAlign w:val="bottom"/>
          </w:tcPr>
          <w:p>
            <w:pPr>
              <w:spacing w:after="0"/>
              <w:rPr>
                <w:sz w:val="3"/>
                <w:szCs w:val="3"/>
                <w:color w:val="auto"/>
              </w:rPr>
            </w:pPr>
          </w:p>
        </w:tc>
        <w:tc>
          <w:tcPr>
            <w:tcW w:w="2320" w:type="dxa"/>
            <w:vAlign w:val="bottom"/>
            <w:tcBorders>
              <w:top w:val="single" w:sz="8" w:color="0000FF"/>
            </w:tcBorders>
          </w:tcPr>
          <w:p>
            <w:pPr>
              <w:spacing w:after="0"/>
              <w:rPr>
                <w:sz w:val="3"/>
                <w:szCs w:val="3"/>
                <w:color w:val="auto"/>
              </w:rPr>
            </w:pPr>
          </w:p>
        </w:tc>
        <w:tc>
          <w:tcPr>
            <w:tcW w:w="6220" w:type="dxa"/>
            <w:vAlign w:val="bottom"/>
            <w:gridSpan w:val="6"/>
          </w:tcPr>
          <w:p>
            <w:pPr>
              <w:spacing w:after="0"/>
              <w:rPr>
                <w:sz w:val="3"/>
                <w:szCs w:val="3"/>
                <w:color w:val="auto"/>
              </w:rPr>
            </w:pPr>
          </w:p>
        </w:tc>
        <w:tc>
          <w:tcPr>
            <w:tcW w:w="1320" w:type="dxa"/>
            <w:vAlign w:val="bottom"/>
          </w:tcPr>
          <w:p>
            <w:pPr>
              <w:spacing w:after="0"/>
              <w:rPr>
                <w:sz w:val="3"/>
                <w:szCs w:val="3"/>
                <w:color w:val="auto"/>
              </w:rPr>
            </w:pPr>
          </w:p>
        </w:tc>
      </w:tr>
      <w:tr>
        <w:trPr>
          <w:trHeight w:val="280"/>
        </w:trPr>
        <w:tc>
          <w:tcPr>
            <w:tcW w:w="40" w:type="dxa"/>
            <w:vAlign w:val="bottom"/>
          </w:tcPr>
          <w:p>
            <w:pPr>
              <w:spacing w:after="0"/>
              <w:rPr>
                <w:sz w:val="24"/>
                <w:szCs w:val="24"/>
                <w:color w:val="auto"/>
              </w:rPr>
            </w:pPr>
          </w:p>
        </w:tc>
        <w:tc>
          <w:tcPr>
            <w:tcW w:w="5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Income</w:t>
            </w:r>
          </w:p>
        </w:tc>
        <w:tc>
          <w:tcPr>
            <w:tcW w:w="3120" w:type="dxa"/>
            <w:vAlign w:val="bottom"/>
          </w:tcPr>
          <w:p>
            <w:pPr>
              <w:spacing w:after="0"/>
              <w:rPr>
                <w:sz w:val="24"/>
                <w:szCs w:val="24"/>
                <w:color w:val="auto"/>
              </w:rPr>
            </w:pP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F-6</w:t>
            </w:r>
          </w:p>
        </w:tc>
      </w:tr>
      <w:tr>
        <w:trPr>
          <w:trHeight w:val="244"/>
        </w:trPr>
        <w:tc>
          <w:tcPr>
            <w:tcW w:w="40" w:type="dxa"/>
            <w:vAlign w:val="bottom"/>
          </w:tcPr>
          <w:p>
            <w:pPr>
              <w:spacing w:after="0"/>
              <w:rPr>
                <w:sz w:val="21"/>
                <w:szCs w:val="21"/>
                <w:color w:val="auto"/>
              </w:rPr>
            </w:pPr>
          </w:p>
        </w:tc>
        <w:tc>
          <w:tcPr>
            <w:tcW w:w="8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F-7</w:t>
            </w:r>
          </w:p>
        </w:tc>
      </w:tr>
      <w:tr>
        <w:trPr>
          <w:trHeight w:val="36"/>
        </w:trPr>
        <w:tc>
          <w:tcPr>
            <w:tcW w:w="40" w:type="dxa"/>
            <w:vAlign w:val="bottom"/>
          </w:tcPr>
          <w:p>
            <w:pPr>
              <w:spacing w:after="0"/>
              <w:rPr>
                <w:sz w:val="3"/>
                <w:szCs w:val="3"/>
                <w:color w:val="auto"/>
              </w:rPr>
            </w:pPr>
          </w:p>
        </w:tc>
        <w:tc>
          <w:tcPr>
            <w:tcW w:w="4880" w:type="dxa"/>
            <w:vAlign w:val="bottom"/>
            <w:tcBorders>
              <w:top w:val="single" w:sz="8" w:color="0000FF"/>
            </w:tcBorders>
            <w:gridSpan w:val="5"/>
          </w:tcPr>
          <w:p>
            <w:pPr>
              <w:spacing w:after="0"/>
              <w:rPr>
                <w:sz w:val="3"/>
                <w:szCs w:val="3"/>
                <w:color w:val="auto"/>
              </w:rPr>
            </w:pPr>
          </w:p>
        </w:tc>
        <w:tc>
          <w:tcPr>
            <w:tcW w:w="366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854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F-8</w:t>
            </w:r>
          </w:p>
        </w:tc>
      </w:tr>
      <w:tr>
        <w:trPr>
          <w:trHeight w:val="36"/>
        </w:trPr>
        <w:tc>
          <w:tcPr>
            <w:tcW w:w="40" w:type="dxa"/>
            <w:vAlign w:val="bottom"/>
          </w:tcPr>
          <w:p>
            <w:pPr>
              <w:spacing w:after="0"/>
              <w:rPr>
                <w:sz w:val="3"/>
                <w:szCs w:val="3"/>
                <w:color w:val="auto"/>
              </w:rPr>
            </w:pPr>
          </w:p>
        </w:tc>
        <w:tc>
          <w:tcPr>
            <w:tcW w:w="3180" w:type="dxa"/>
            <w:vAlign w:val="bottom"/>
            <w:tcBorders>
              <w:top w:val="single" w:sz="8" w:color="0000FF"/>
            </w:tcBorders>
            <w:gridSpan w:val="2"/>
          </w:tcPr>
          <w:p>
            <w:pPr>
              <w:spacing w:after="0"/>
              <w:rPr>
                <w:sz w:val="3"/>
                <w:szCs w:val="3"/>
                <w:color w:val="auto"/>
              </w:rPr>
            </w:pPr>
          </w:p>
        </w:tc>
        <w:tc>
          <w:tcPr>
            <w:tcW w:w="5360" w:type="dxa"/>
            <w:vAlign w:val="bottom"/>
            <w:gridSpan w:val="5"/>
          </w:tcPr>
          <w:p>
            <w:pPr>
              <w:spacing w:after="0"/>
              <w:rPr>
                <w:sz w:val="3"/>
                <w:szCs w:val="3"/>
                <w:color w:val="auto"/>
              </w:rPr>
            </w:pPr>
          </w:p>
        </w:tc>
        <w:tc>
          <w:tcPr>
            <w:tcW w:w="1320" w:type="dxa"/>
            <w:vAlign w:val="bottom"/>
            <w:tcBorders>
              <w:right w:val="single" w:sz="8" w:color="CCEEFF"/>
            </w:tcBorders>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3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040" w:type="dxa"/>
            <w:vAlign w:val="bottom"/>
            <w:gridSpan w:val="4"/>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-1125855</wp:posOffset>
            </wp:positionV>
            <wp:extent cx="6311900" cy="1168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ectPr>
          <w:pgSz w:w="12240" w:h="15840" w:orient="portrait"/>
          <w:cols w:equalWidth="0" w:num="1">
            <w:col w:w="9900"/>
          </w:cols>
          <w:pgMar w:left="1180" w:top="831" w:right="1160" w:bottom="0" w:gutter="0" w:footer="0" w:header="0"/>
          <w:type w:val="continuous"/>
        </w:sectPr>
      </w:pPr>
    </w:p>
    <w:bookmarkStart w:id="96" w:name="page97"/>
    <w:bookmarkEnd w:id="96"/>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New Fortress Energy Inc. (the Company) as of December 31, 2023 and 2022, the related consolidated statements of operations and comprehensive income, changes in stockholders’ equity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3"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unqualified opinion thereon.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57"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p>
    <w:p>
      <w:pPr>
        <w:sectPr>
          <w:pgSz w:w="12240" w:h="15840" w:orient="portrait"/>
          <w:cols w:equalWidth="0" w:num="1">
            <w:col w:w="9860"/>
          </w:cols>
          <w:pgMar w:left="1180" w:top="83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ectPr>
          <w:pgSz w:w="12240" w:h="15840" w:orient="portrait"/>
          <w:cols w:equalWidth="0" w:num="1">
            <w:col w:w="9860"/>
          </w:cols>
          <w:pgMar w:left="1180" w:top="831" w:right="1200" w:bottom="0" w:gutter="0" w:footer="0" w:header="0"/>
          <w:type w:val="continuous"/>
        </w:sectPr>
      </w:pPr>
    </w:p>
    <w:bookmarkStart w:id="97" w:name="page98"/>
    <w:bookmarkEnd w:id="97"/>
    <w:p>
      <w:pPr>
        <w:ind w:right="480"/>
        <w:spacing w:after="0" w:line="281" w:lineRule="auto"/>
        <w:rPr>
          <w:sz w:val="20"/>
          <w:szCs w:val="20"/>
          <w:color w:val="auto"/>
        </w:rPr>
      </w:pPr>
      <w:r>
        <w:rPr>
          <w:rFonts w:ascii="Times New Roman" w:cs="Times New Roman" w:eastAsia="Times New Roman" w:hAnsi="Times New Roman"/>
          <w:sz w:val="20"/>
          <w:szCs w:val="20"/>
          <w:color w:val="auto"/>
        </w:rPr>
        <w:t>financial statements, taken as a whole, and we are not, by communicating the critical audit matter below, providing a separate opinion on the critical audit matter or on the accounts or disclosures to which it relates.</w:t>
      </w:r>
    </w:p>
    <w:p>
      <w:pPr>
        <w:spacing w:after="0" w:line="24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i w:val="1"/>
          <w:iCs w:val="1"/>
          <w:color w:val="auto"/>
        </w:rPr>
        <w:t>Impairment Assessment of Construction in Progress</w:t>
      </w:r>
    </w:p>
    <w:p>
      <w:pPr>
        <w:spacing w:after="0" w:line="359"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of December 31, 2023, the balance of construction in progress totaled $5,348 million. As</w:t>
      </w:r>
    </w:p>
    <w:p>
      <w:pPr>
        <w:spacing w:after="0" w:line="34" w:lineRule="exact"/>
        <w:rPr>
          <w:sz w:val="20"/>
          <w:szCs w:val="20"/>
          <w:color w:val="auto"/>
        </w:rPr>
      </w:pPr>
    </w:p>
    <w:p>
      <w:pPr>
        <w:ind w:left="1900" w:hanging="1859"/>
        <w:spacing w:after="0" w:line="251"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described in Note 2(j) to the consolidated financial statements, the Company performs a recoverability assessment of all long-lived assets, including construction in progress, whenever events or changes in circumstances indicate that the carrying value of those assets may not be recoverable. Impairment indicators affecting construction in progress asset groups may include, but are not limited to, factors such as adverse changes in the regulatory environment in a jurisdiction where the Company operates or has development activities, early termination of a significant customer contract, the introduction of newer technology, or a decision to discontinue an in-process development project. When such indicators are identified, management determines if asset groups are impaired by comparing the related undiscounted expected future cash flows to its carrying value. When the undiscounted cash flow analysis indicates an asset group is not recoverable, the amount of the impairment loss is determined by measuring the excess of the carrying amount of the asset group over its fair value.</w:t>
      </w:r>
    </w:p>
    <w:p>
      <w:pPr>
        <w:spacing w:after="0" w:line="213" w:lineRule="exact"/>
        <w:rPr>
          <w:sz w:val="20"/>
          <w:szCs w:val="20"/>
          <w:color w:val="auto"/>
        </w:rPr>
      </w:pPr>
    </w:p>
    <w:p>
      <w:pPr>
        <w:ind w:left="1900" w:right="60"/>
        <w:spacing w:after="0" w:line="255" w:lineRule="auto"/>
        <w:rPr>
          <w:sz w:val="20"/>
          <w:szCs w:val="20"/>
          <w:color w:val="auto"/>
        </w:rPr>
      </w:pPr>
      <w:r>
        <w:rPr>
          <w:rFonts w:ascii="Times New Roman" w:cs="Times New Roman" w:eastAsia="Times New Roman" w:hAnsi="Times New Roman"/>
          <w:sz w:val="20"/>
          <w:szCs w:val="20"/>
          <w:color w:val="auto"/>
        </w:rPr>
        <w:t>Auditing management’s determination of whether impairment indicators exist such that a recoverability test for a construction in progress asset group is required, was highly subjective and involved significant judgment. For instance, auditing management’s assessment of events or changes in circumstances that may be an indicator that an asset group is not recoverable was challenging due to the judgment applied in both the identification of such factors, and the evaluation of whether the factors have an impact on the recovery of the carrying value of the asset group.</w:t>
      </w: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How We Addressed</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w:t>
      </w:r>
    </w:p>
    <w:p>
      <w:pPr>
        <w:spacing w:after="0" w:line="34"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the Matter in Our</w:t>
      </w:r>
      <w:r>
        <w:rPr>
          <w:sz w:val="20"/>
          <w:szCs w:val="20"/>
          <w:color w:val="auto"/>
        </w:rPr>
        <w:tab/>
      </w:r>
      <w:r>
        <w:rPr>
          <w:rFonts w:ascii="Times New Roman" w:cs="Times New Roman" w:eastAsia="Times New Roman" w:hAnsi="Times New Roman"/>
          <w:sz w:val="19"/>
          <w:szCs w:val="19"/>
          <w:color w:val="auto"/>
        </w:rPr>
        <w:t>controls over the Company’s impairment assessment process. This included management’s</w:t>
      </w:r>
    </w:p>
    <w:p>
      <w:pPr>
        <w:spacing w:after="0" w:line="10" w:lineRule="exact"/>
        <w:rPr>
          <w:sz w:val="20"/>
          <w:szCs w:val="20"/>
          <w:color w:val="auto"/>
        </w:rPr>
      </w:pPr>
    </w:p>
    <w:p>
      <w:pPr>
        <w:ind w:left="1900" w:right="680" w:hanging="1859"/>
        <w:spacing w:after="0" w:line="260"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Audit</w:t>
      </w:r>
      <w:r>
        <w:rPr>
          <w:sz w:val="20"/>
          <w:szCs w:val="20"/>
          <w:color w:val="auto"/>
        </w:rPr>
        <w:tab/>
      </w:r>
      <w:r>
        <w:rPr>
          <w:rFonts w:ascii="Times New Roman" w:cs="Times New Roman" w:eastAsia="Times New Roman" w:hAnsi="Times New Roman"/>
          <w:sz w:val="20"/>
          <w:szCs w:val="20"/>
          <w:color w:val="auto"/>
        </w:rPr>
        <w:t>controls to review for asset groups, including construction in progress, that may have been impacted by the impairment indicators described above.</w:t>
      </w:r>
    </w:p>
    <w:p>
      <w:pPr>
        <w:spacing w:after="0" w:line="201" w:lineRule="exact"/>
        <w:rPr>
          <w:sz w:val="20"/>
          <w:szCs w:val="20"/>
          <w:color w:val="auto"/>
        </w:rPr>
      </w:pPr>
    </w:p>
    <w:p>
      <w:pPr>
        <w:ind w:left="1900"/>
        <w:spacing w:after="0" w:line="253" w:lineRule="auto"/>
        <w:rPr>
          <w:sz w:val="20"/>
          <w:szCs w:val="20"/>
          <w:color w:val="auto"/>
        </w:rPr>
      </w:pPr>
      <w:r>
        <w:rPr>
          <w:rFonts w:ascii="Times New Roman" w:cs="Times New Roman" w:eastAsia="Times New Roman" w:hAnsi="Times New Roman"/>
          <w:sz w:val="20"/>
          <w:szCs w:val="20"/>
          <w:color w:val="auto"/>
        </w:rPr>
        <w:t>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capital budgets and construction bids, which included costs incurred to date and expected future cash flows,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29, 2024</w:t>
      </w:r>
    </w:p>
    <w:p>
      <w:pPr>
        <w:sectPr>
          <w:pgSz w:w="12240" w:h="15840" w:orient="portrait"/>
          <w:cols w:equalWidth="0" w:num="1">
            <w:col w:w="9820"/>
          </w:cols>
          <w:pgMar w:left="1180" w:top="83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F-3</w:t>
      </w:r>
    </w:p>
    <w:p>
      <w:pPr>
        <w:sectPr>
          <w:pgSz w:w="12240" w:h="15840" w:orient="portrait"/>
          <w:cols w:equalWidth="0" w:num="1">
            <w:col w:w="9820"/>
          </w:cols>
          <w:pgMar w:left="1180" w:top="838" w:right="1240" w:bottom="0" w:gutter="0" w:footer="0" w:header="0"/>
          <w:type w:val="continuous"/>
        </w:sectPr>
      </w:pPr>
    </w:p>
    <w:bookmarkStart w:id="98" w:name="page99"/>
    <w:bookmarkEnd w:id="98"/>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have audited New Fortress Energy Inc.’s internal control over financial reporting as of December 31, 2023,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2023, based on the COSO criteria.</w:t>
      </w:r>
    </w:p>
    <w:p>
      <w:pPr>
        <w:spacing w:after="0" w:line="20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2023 consolidated financial statements of the Company and our report dated February 29, 2024 expressed an unqualified opinion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29, 2024</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ectPr>
          <w:pgSz w:w="12240" w:h="15840" w:orient="portrait"/>
          <w:cols w:equalWidth="0" w:num="1">
            <w:col w:w="9880"/>
          </w:cols>
          <w:pgMar w:left="1180" w:top="831" w:right="11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2023 and 2022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155,414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675,492</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165,396</w:t>
            </w:r>
          </w:p>
        </w:tc>
        <w:tc>
          <w:tcPr>
            <w:tcW w:w="0" w:type="dxa"/>
            <w:vAlign w:val="bottom"/>
          </w:tcPr>
          <w:p>
            <w:pPr>
              <w:spacing w:after="0"/>
              <w:rPr>
                <w:sz w:val="1"/>
                <w:szCs w:val="1"/>
                <w:color w:val="auto"/>
              </w:rPr>
            </w:pPr>
          </w:p>
        </w:tc>
      </w:tr>
      <w:tr>
        <w:trPr>
          <w:trHeight w:val="23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allowances of $1,158 and $884,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342,371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280,313</w:t>
            </w: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113,684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39,070</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213,104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226,883</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979,973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1,387,154</w:t>
            </w:r>
          </w:p>
        </w:tc>
        <w:tc>
          <w:tcPr>
            <w:tcW w:w="0" w:type="dxa"/>
            <w:vAlign w:val="bottom"/>
          </w:tcPr>
          <w:p>
            <w:pPr>
              <w:spacing w:after="0"/>
              <w:rPr>
                <w:sz w:val="1"/>
                <w:szCs w:val="1"/>
                <w:color w:val="auto"/>
              </w:rPr>
            </w:pPr>
          </w:p>
        </w:tc>
      </w:tr>
      <w:tr>
        <w:trPr>
          <w:trHeight w:val="4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5,348,294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2,418,608</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2,481,415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2,116,727</w:t>
            </w:r>
          </w:p>
        </w:tc>
        <w:tc>
          <w:tcPr>
            <w:tcW w:w="0" w:type="dxa"/>
            <w:vAlign w:val="bottom"/>
          </w:tcPr>
          <w:p>
            <w:pPr>
              <w:spacing w:after="0"/>
              <w:rPr>
                <w:sz w:val="1"/>
                <w:szCs w:val="1"/>
                <w:color w:val="auto"/>
              </w:rPr>
            </w:pPr>
          </w:p>
        </w:tc>
      </w:tr>
      <w:tr>
        <w:trPr>
          <w:trHeight w:val="23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392,306</w:t>
            </w: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377,877</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85,897</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776,760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126,903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141,679</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7,705,082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292,625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80,387</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471,675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1,162,412</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164,548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48,741</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227,951</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52,878</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1,706,288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1,409,238</w:t>
            </w:r>
          </w:p>
        </w:tc>
        <w:tc>
          <w:tcPr>
            <w:tcW w:w="0" w:type="dxa"/>
            <w:vAlign w:val="bottom"/>
          </w:tcPr>
          <w:p>
            <w:pPr>
              <w:spacing w:after="0"/>
              <w:rPr>
                <w:sz w:val="1"/>
                <w:szCs w:val="1"/>
                <w:color w:val="auto"/>
              </w:rPr>
            </w:pPr>
          </w:p>
        </w:tc>
      </w:tr>
      <w:tr>
        <w:trPr>
          <w:trHeight w:val="4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6,510,523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4,476,865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406,494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302,121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49,010</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8,723,376</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6,263,223</w:t>
            </w:r>
          </w:p>
        </w:tc>
        <w:tc>
          <w:tcPr>
            <w:tcW w:w="0" w:type="dxa"/>
            <w:vAlign w:val="bottom"/>
          </w:tcPr>
          <w:p>
            <w:pPr>
              <w:spacing w:after="0"/>
              <w:rPr>
                <w:sz w:val="1"/>
                <w:szCs w:val="1"/>
                <w:color w:val="auto"/>
              </w:rPr>
            </w:pPr>
          </w:p>
        </w:tc>
      </w:tr>
      <w:tr>
        <w:trPr>
          <w:trHeight w:val="446"/>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22)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750.0 million shares authorized, 205.0 million issued and</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09"/>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as of December 31, 2023; 208.8 million issued and outstanding as of December 31, 2022</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1,038,530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1,170,254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527,986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62,080</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55,398</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NFE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1,640,094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1,289,820</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137,775</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152,039</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1,777,869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1,441,859</w:t>
            </w:r>
          </w:p>
        </w:tc>
        <w:tc>
          <w:tcPr>
            <w:tcW w:w="0" w:type="dxa"/>
            <w:vAlign w:val="bottom"/>
          </w:tcPr>
          <w:p>
            <w:pPr>
              <w:spacing w:after="0"/>
              <w:rPr>
                <w:sz w:val="1"/>
                <w:szCs w:val="1"/>
                <w:color w:val="auto"/>
              </w:rPr>
            </w:pPr>
          </w:p>
        </w:tc>
      </w:tr>
      <w:tr>
        <w:trPr>
          <w:trHeight w:val="185"/>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7,705,082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-6336665</wp:posOffset>
            </wp:positionV>
            <wp:extent cx="6311900" cy="6343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extLst>
                    </a:blip>
                    <a:srcRect/>
                    <a:stretch>
                      <a:fillRect/>
                    </a:stretch>
                  </pic:blipFill>
                  <pic:spPr bwMode="auto">
                    <a:xfrm>
                      <a:off x="0" y="0"/>
                      <a:ext cx="6311900" cy="6343650"/>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ectPr>
          <w:pgSz w:w="12240" w:h="15840" w:orient="portrait"/>
          <w:cols w:equalWidth="0" w:num="1">
            <w:col w:w="9900"/>
          </w:cols>
          <w:pgMar w:left="1180" w:top="831"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ind w:right="4140"/>
        <w:spacing w:after="0" w:line="250" w:lineRule="auto"/>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For the years ended December 31, 2023,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2,060,212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1,978,645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930,816</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230,809</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161,185</w:t>
            </w:r>
          </w:p>
        </w:tc>
        <w:tc>
          <w:tcPr>
            <w:tcW w:w="0" w:type="dxa"/>
            <w:vAlign w:val="bottom"/>
          </w:tcPr>
          <w:p>
            <w:pPr>
              <w:spacing w:after="0"/>
              <w:rPr>
                <w:sz w:val="1"/>
                <w:szCs w:val="1"/>
                <w:color w:val="auto"/>
              </w:rPr>
            </w:pPr>
          </w:p>
        </w:tc>
      </w:tr>
      <w:tr>
        <w:trPr>
          <w:trHeight w:val="26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2,413,296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1,322,810</w:t>
            </w:r>
          </w:p>
        </w:tc>
        <w:tc>
          <w:tcPr>
            <w:tcW w:w="0" w:type="dxa"/>
            <w:vAlign w:val="bottom"/>
          </w:tcPr>
          <w:p>
            <w:pPr>
              <w:spacing w:after="0"/>
              <w:rPr>
                <w:sz w:val="1"/>
                <w:szCs w:val="1"/>
                <w:color w:val="auto"/>
              </w:rPr>
            </w:pPr>
          </w:p>
        </w:tc>
      </w:tr>
      <w:tr>
        <w:trPr>
          <w:trHeight w:val="547"/>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2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877,451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616,010</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51,677</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73,316</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199,881</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44,671</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98,377</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assets,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1,470,629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1,630,892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1,083,932</w:t>
            </w:r>
          </w:p>
        </w:tc>
        <w:tc>
          <w:tcPr>
            <w:tcW w:w="0" w:type="dxa"/>
            <w:vAlign w:val="bottom"/>
          </w:tcPr>
          <w:p>
            <w:pPr>
              <w:spacing w:after="0"/>
              <w:rPr>
                <w:sz w:val="1"/>
                <w:szCs w:val="1"/>
                <w:color w:val="auto"/>
              </w:rPr>
            </w:pPr>
          </w:p>
        </w:tc>
      </w:tr>
      <w:tr>
        <w:trPr>
          <w:trHeight w:val="264"/>
        </w:trPr>
        <w:tc>
          <w:tcPr>
            <w:tcW w:w="5820" w:type="dxa"/>
            <w:vAlign w:val="bottom"/>
          </w:tcPr>
          <w:p>
            <w:pPr>
              <w:ind w:left="48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942,667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737,380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238,878</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(17,150)</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10,975</w:t>
            </w:r>
          </w:p>
        </w:tc>
        <w:tc>
          <w:tcPr>
            <w:tcW w:w="0" w:type="dxa"/>
            <w:vAlign w:val="bottom"/>
          </w:tcPr>
          <w:p>
            <w:pPr>
              <w:spacing w:after="0"/>
              <w:rPr>
                <w:sz w:val="1"/>
                <w:szCs w:val="1"/>
                <w:color w:val="auto"/>
              </w:rPr>
            </w:pPr>
          </w:p>
        </w:tc>
      </w:tr>
      <w:tr>
        <w:trPr>
          <w:trHeight w:val="200"/>
        </w:trPr>
        <w:tc>
          <w:tcPr>
            <w:tcW w:w="5820" w:type="dxa"/>
            <w:vAlign w:val="bottom"/>
          </w:tcPr>
          <w:p>
            <w:pPr>
              <w:ind w:left="180"/>
              <w:spacing w:after="0" w:line="201" w:lineRule="exact"/>
              <w:rPr>
                <w:sz w:val="20"/>
                <w:szCs w:val="20"/>
                <w:color w:val="auto"/>
              </w:rPr>
            </w:pPr>
            <w:r>
              <w:rPr>
                <w:rFonts w:ascii="Times New Roman" w:cs="Times New Roman" w:eastAsia="Times New Roman" w:hAnsi="Times New Roman"/>
                <w:sz w:val="20"/>
                <w:szCs w:val="20"/>
                <w:b w:val="1"/>
                <w:bCs w:val="1"/>
                <w:color w:val="auto"/>
              </w:rPr>
              <w:t>Income before income from equity method investments and</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654,417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533,566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90,729</w:t>
            </w:r>
          </w:p>
        </w:tc>
        <w:tc>
          <w:tcPr>
            <w:tcW w:w="0" w:type="dxa"/>
            <w:vAlign w:val="bottom"/>
          </w:tcPr>
          <w:p>
            <w:pPr>
              <w:spacing w:after="0"/>
              <w:rPr>
                <w:sz w:val="1"/>
                <w:szCs w:val="1"/>
                <w:color w:val="auto"/>
              </w:rPr>
            </w:pPr>
          </w:p>
        </w:tc>
      </w:tr>
      <w:tr>
        <w:trPr>
          <w:trHeight w:val="264"/>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(loss)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14,443</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 (benefit)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12,461</w:t>
            </w:r>
          </w:p>
        </w:tc>
        <w:tc>
          <w:tcPr>
            <w:tcW w:w="0" w:type="dxa"/>
            <w:vAlign w:val="bottom"/>
          </w:tcPr>
          <w:p>
            <w:pPr>
              <w:spacing w:after="0"/>
              <w:rPr>
                <w:sz w:val="1"/>
                <w:szCs w:val="1"/>
                <w:color w:val="auto"/>
              </w:rPr>
            </w:pPr>
          </w:p>
        </w:tc>
      </w:tr>
      <w:tr>
        <w:trPr>
          <w:trHeight w:val="264"/>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0" w:type="dxa"/>
            <w:vAlign w:val="bottom"/>
          </w:tcPr>
          <w:p>
            <w:pPr>
              <w:spacing w:after="0"/>
              <w:rPr>
                <w:sz w:val="1"/>
                <w:szCs w:val="1"/>
                <w:color w:val="auto"/>
              </w:rPr>
            </w:pPr>
          </w:p>
        </w:tc>
      </w:tr>
      <w:tr>
        <w:trPr>
          <w:trHeight w:val="24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Net income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547,882</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97,104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income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20" w:type="dxa"/>
            <w:vAlign w:val="bottom"/>
            <w:vMerge w:val="continue"/>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205,942,837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209,501,298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198,593,042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2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206,481,977</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209,854,413</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201,703,176</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(3,489)</w:t>
            </w:r>
          </w:p>
        </w:tc>
        <w:tc>
          <w:tcPr>
            <w:tcW w:w="0" w:type="dxa"/>
            <w:vAlign w:val="bottom"/>
          </w:tcPr>
          <w:p>
            <w:pPr>
              <w:spacing w:after="0"/>
              <w:rPr>
                <w:sz w:val="1"/>
                <w:szCs w:val="1"/>
                <w:color w:val="auto"/>
              </w:rPr>
            </w:pPr>
          </w:p>
        </w:tc>
      </w:tr>
      <w:tr>
        <w:trPr>
          <w:trHeight w:val="225"/>
        </w:trPr>
        <w:tc>
          <w:tcPr>
            <w:tcW w:w="58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Reclassification of net foreign currency translation adjustment realized</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upon sale of foreign subsidiary</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253,189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89,222</w:t>
            </w:r>
          </w:p>
        </w:tc>
        <w:tc>
          <w:tcPr>
            <w:tcW w:w="0" w:type="dxa"/>
            <w:vAlign w:val="bottom"/>
          </w:tcPr>
          <w:p>
            <w:pPr>
              <w:spacing w:after="0"/>
              <w:rPr>
                <w:sz w:val="1"/>
                <w:szCs w:val="1"/>
                <w:color w:val="auto"/>
              </w:rPr>
            </w:pPr>
          </w:p>
        </w:tc>
      </w:tr>
      <w:tr>
        <w:trPr>
          <w:trHeight w:val="28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w:t>
            </w:r>
          </w:p>
        </w:tc>
        <w:tc>
          <w:tcPr>
            <w:tcW w:w="0" w:type="dxa"/>
            <w:vAlign w:val="bottom"/>
          </w:tcPr>
          <w:p>
            <w:pPr>
              <w:spacing w:after="0"/>
              <w:rPr>
                <w:sz w:val="1"/>
                <w:szCs w:val="1"/>
                <w:color w:val="auto"/>
              </w:rPr>
            </w:pPr>
          </w:p>
        </w:tc>
      </w:tr>
      <w:tr>
        <w:trPr>
          <w:trHeight w:val="24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Comprehensive income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564,012</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263,984</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94,837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-7289165</wp:posOffset>
            </wp:positionV>
            <wp:extent cx="6311900" cy="7296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a:extLst>
                        <a:ext uri="{28A0092B-C50C-407E-A947-70E740481C1C}"/>
                      </a:extLst>
                    </a:blip>
                    <a:srcRect/>
                    <a:stretch>
                      <a:fillRect/>
                    </a:stretch>
                  </pic:blipFill>
                  <pic:spPr bwMode="auto">
                    <a:xfrm>
                      <a:off x="0" y="0"/>
                      <a:ext cx="6311900" cy="729615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ectPr>
          <w:pgSz w:w="12240" w:h="15840" w:orient="portrait"/>
          <w:cols w:equalWidth="0" w:num="1">
            <w:col w:w="9900"/>
          </w:cols>
          <w:pgMar w:left="1180" w:top="831"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amounts)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0"/>
        </w:trPr>
        <w:tc>
          <w:tcPr>
            <w:tcW w:w="4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center"/>
              <w:ind w:right="11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vMerge w:val="restart"/>
          </w:tcPr>
          <w:p>
            <w:pPr>
              <w:spacing w:after="0"/>
              <w:rPr>
                <w:sz w:val="4"/>
                <w:szCs w:val="4"/>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vMerge w:val="restart"/>
          </w:tcPr>
          <w:p>
            <w:pPr>
              <w:spacing w:after="0"/>
              <w:rPr>
                <w:sz w:val="4"/>
                <w:szCs w:val="4"/>
                <w:color w:val="auto"/>
              </w:rPr>
            </w:pPr>
          </w:p>
        </w:tc>
        <w:tc>
          <w:tcPr>
            <w:tcW w:w="1100" w:type="dxa"/>
            <w:vAlign w:val="bottom"/>
            <w:gridSpan w:val="2"/>
            <w:vMerge w:val="restart"/>
          </w:tcPr>
          <w:p>
            <w:pPr>
              <w:jc w:val="right"/>
              <w:ind w:right="10"/>
              <w:spacing w:after="0" w:line="100"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0"/>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0"/>
        </w:trPr>
        <w:tc>
          <w:tcPr>
            <w:tcW w:w="4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83"/>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174,622,862</w:t>
            </w:r>
          </w:p>
        </w:tc>
        <w:tc>
          <w:tcPr>
            <w:tcW w:w="120" w:type="dxa"/>
            <w:vAlign w:val="bottom"/>
          </w:tcPr>
          <w:p>
            <w:pPr>
              <w:spacing w:after="0"/>
              <w:rPr>
                <w:sz w:val="15"/>
                <w:szCs w:val="15"/>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594,534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(229,503)</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5"/>
                <w:szCs w:val="15"/>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8,127</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375,086</w:t>
            </w:r>
          </w:p>
        </w:tc>
        <w:tc>
          <w:tcPr>
            <w:tcW w:w="0" w:type="dxa"/>
            <w:vAlign w:val="bottom"/>
          </w:tcPr>
          <w:p>
            <w:pPr>
              <w:spacing w:after="0"/>
              <w:rPr>
                <w:sz w:val="1"/>
                <w:szCs w:val="1"/>
                <w:color w:val="auto"/>
              </w:rPr>
            </w:pPr>
          </w:p>
        </w:tc>
      </w:tr>
      <w:tr>
        <w:trPr>
          <w:trHeight w:val="224"/>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97,104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92,711</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37,043</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issued as consideration in business combinations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31,372,549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1,400,470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1,400,784</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Issuance of shares for vested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1,537,910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withheld from employees related to share-based compensation, at cost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(28,214)</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Non-controlling interest acquired in business combinations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236,570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236,570</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Deconsolidation of the Eskimo SPV</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(28,049)</w:t>
            </w:r>
          </w:p>
        </w:tc>
        <w:tc>
          <w:tcPr>
            <w:tcW w:w="0" w:type="dxa"/>
            <w:vAlign w:val="bottom"/>
          </w:tcPr>
          <w:p>
            <w:pPr>
              <w:spacing w:after="0"/>
              <w:rPr>
                <w:sz w:val="1"/>
                <w:szCs w:val="1"/>
                <w:color w:val="auto"/>
              </w:rPr>
            </w:pPr>
          </w:p>
        </w:tc>
      </w:tr>
      <w:tr>
        <w:trPr>
          <w:trHeight w:val="24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(79,834)</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(88,388)</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206,863,242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1,923,990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(132,399)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202,479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1,994,054</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194,479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(9,693)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184,786</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68,403</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Currency translation adjustment released upon Sergipe Sale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Issuance of shares for vested RSU/PSUs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3,426,213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withheld from employees related to share-based compensation, at cost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(74,822)</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Deconsolidation of Nanook, Celsius and Penguin SPVs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(23,569)</w:t>
            </w:r>
          </w:p>
        </w:tc>
        <w:tc>
          <w:tcPr>
            <w:tcW w:w="0" w:type="dxa"/>
            <w:vAlign w:val="bottom"/>
          </w:tcPr>
          <w:p>
            <w:pPr>
              <w:spacing w:after="0"/>
              <w:rPr>
                <w:sz w:val="1"/>
                <w:szCs w:val="1"/>
                <w:color w:val="auto"/>
              </w:rPr>
            </w:pPr>
          </w:p>
        </w:tc>
      </w:tr>
      <w:tr>
        <w:trPr>
          <w:trHeight w:val="203"/>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(709,284)</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(725,360)</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208,770,088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1,170,254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62,080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55,398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152,039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1,441,859</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547,882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rPr>
              <w:t>994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548,876</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16,548</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Acquisition and cancellation of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(123,819)</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Issuance of shares for vested share-based compensation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689,401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40"/>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Shares withheld from employees related to share-based compensation, at cost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0" w:type="dxa"/>
            <w:vAlign w:val="bottom"/>
          </w:tcPr>
          <w:p>
            <w:pPr>
              <w:spacing w:after="0"/>
              <w:rPr>
                <w:sz w:val="1"/>
                <w:szCs w:val="1"/>
                <w:color w:val="auto"/>
              </w:rPr>
            </w:pPr>
          </w:p>
        </w:tc>
      </w:tr>
      <w:tr>
        <w:trPr>
          <w:trHeight w:val="24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Dividends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(81,976)</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(97,652)</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0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205,031,406</w:t>
            </w:r>
          </w:p>
        </w:tc>
        <w:tc>
          <w:tcPr>
            <w:tcW w:w="32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2,050</w:t>
            </w:r>
          </w:p>
        </w:tc>
        <w:tc>
          <w:tcPr>
            <w:tcW w:w="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1,038,530</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527,986</w:t>
            </w:r>
          </w:p>
        </w:tc>
        <w:tc>
          <w:tcPr>
            <w:tcW w:w="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71,528</w:t>
            </w:r>
          </w:p>
        </w:tc>
        <w:tc>
          <w:tcPr>
            <w:tcW w:w="300" w:type="dxa"/>
            <w:vAlign w:val="bottom"/>
            <w:gridSpan w:val="2"/>
          </w:tcPr>
          <w:p>
            <w:pPr>
              <w:jc w:val="right"/>
              <w:ind w:right="3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line="155" w:lineRule="exact"/>
              <w:rPr>
                <w:sz w:val="20"/>
                <w:szCs w:val="20"/>
                <w:color w:val="auto"/>
              </w:rPr>
            </w:pPr>
            <w:r>
              <w:rPr>
                <w:rFonts w:ascii="Times New Roman" w:cs="Times New Roman" w:eastAsia="Times New Roman" w:hAnsi="Times New Roman"/>
                <w:sz w:val="14"/>
                <w:szCs w:val="14"/>
                <w:color w:val="auto"/>
              </w:rPr>
              <w:t>137,775</w:t>
            </w:r>
          </w:p>
        </w:tc>
        <w:tc>
          <w:tcPr>
            <w:tcW w:w="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1,777,869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-3888740</wp:posOffset>
            </wp:positionV>
            <wp:extent cx="8264525" cy="38957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a:extLst>
                        <a:ext uri="{28A0092B-C50C-407E-A947-70E740481C1C}"/>
                      </a:extLst>
                    </a:blip>
                    <a:srcRect/>
                    <a:stretch>
                      <a:fillRect/>
                    </a:stretch>
                  </pic:blipFill>
                  <pic:spPr bwMode="auto">
                    <a:xfrm>
                      <a:off x="0" y="0"/>
                      <a:ext cx="8264525" cy="389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220"/>
          </w:cols>
          <w:pgMar w:left="1180" w:top="8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F-7</w:t>
      </w:r>
    </w:p>
    <w:p>
      <w:pPr>
        <w:sectPr>
          <w:pgSz w:w="15840" w:h="12240" w:orient="landscape"/>
          <w:cols w:equalWidth="0" w:num="1">
            <w:col w:w="13220"/>
          </w:cols>
          <w:pgMar w:left="1180" w:top="831" w:right="144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548,876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184,786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92,711</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14,116</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99,544</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losses of equity method investees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Dividends received from equity method investees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21,365</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 in market value of derivatives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(279,536)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(8,825)</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37,043</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 impairment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the disposal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asset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10,975</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sale of net investment in lease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(11,177)</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receivables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(139,938)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(123,583)</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inventories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(increase) in 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83,537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28,576</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17,527</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(36,126)</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other liabilities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141,335</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(21,251)</w:t>
            </w:r>
          </w:p>
        </w:tc>
      </w:tr>
      <w:tr>
        <w:trPr>
          <w:trHeight w:val="22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824,756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355,111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84,770</w:t>
            </w:r>
          </w:p>
        </w:tc>
      </w:tr>
      <w:tr>
        <w:trPr>
          <w:trHeight w:val="33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(3,029,834)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(669,348)</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business combinations, net of cash acquired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(1,586,042)</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Entities acquired in asset acquisitions, net of cash acquired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net investment in lease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500,076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9,227</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(9,354)</w:t>
            </w:r>
          </w:p>
        </w:tc>
      </w:tr>
      <w:tr>
        <w:trPr>
          <w:trHeight w:val="22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(2,904,143)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(82,726)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(2,273,561)</w:t>
            </w:r>
          </w:p>
        </w:tc>
      </w:tr>
      <w:tr>
        <w:trPr>
          <w:trHeight w:val="30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3,005,387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2,032,020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2,434,650</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(37,811)</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(686,508)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(1,520,813)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(461,015)</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related to tax withholdings for share-based compensation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(30,124)</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(723,962)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(88,756)</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(18,642)</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1,528,950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1,816,944</w:t>
            </w:r>
          </w:p>
        </w:tc>
      </w:tr>
      <w:tr>
        <w:trPr>
          <w:trHeight w:val="69"/>
        </w:trPr>
        <w:tc>
          <w:tcPr>
            <w:tcW w:w="58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07"/>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6,541</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591,053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(365,306)</w:t>
            </w:r>
          </w:p>
        </w:tc>
      </w:tr>
      <w:tr>
        <w:trPr>
          <w:trHeight w:val="233"/>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855,083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264,030</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629,336</w:t>
            </w:r>
          </w:p>
        </w:tc>
      </w:tr>
      <w:tr>
        <w:trPr>
          <w:trHeight w:val="200"/>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855,083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264,030</w:t>
            </w:r>
          </w:p>
        </w:tc>
      </w:tr>
      <w:tr>
        <w:trPr>
          <w:trHeight w:val="20"/>
        </w:trPr>
        <w:tc>
          <w:tcPr>
            <w:tcW w:w="5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-6908165</wp:posOffset>
            </wp:positionV>
            <wp:extent cx="6311900" cy="6927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a:extLst>
                        <a:ext uri="{28A0092B-C50C-407E-A947-70E740481C1C}"/>
                      </a:extLst>
                    </a:blip>
                    <a:srcRect/>
                    <a:stretch>
                      <a:fillRect/>
                    </a:stretch>
                  </pic:blipFill>
                  <pic:spPr bwMode="auto">
                    <a:xfrm>
                      <a:off x="0" y="0"/>
                      <a:ext cx="6311900" cy="69278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ectPr>
          <w:pgSz w:w="12240" w:h="15840" w:orient="portrait"/>
          <w:cols w:equalWidth="0" w:num="1">
            <w:col w:w="9900"/>
          </w:cols>
          <w:pgMar w:left="1180" w:top="831" w:right="116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2022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 net of capitalized interest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100,304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154,249</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52,897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17,319</w:t>
            </w:r>
          </w:p>
        </w:tc>
      </w:tr>
      <w:tr>
        <w:trPr>
          <w:trHeight w:val="248"/>
        </w:trPr>
        <w:tc>
          <w:tcPr>
            <w:tcW w:w="5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322,598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108,790</w:t>
            </w:r>
          </w:p>
        </w:tc>
      </w:tr>
      <w:tr>
        <w:trPr>
          <w:trHeight w:val="22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 and accrued liabilities associated with construction in progress and property, plant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and equipment additions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738,163</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422,391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133,705</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associated with consideration paid for entities acquired in asset acquisitions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10,520</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paid in shares for business combinations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1,400,784</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received on asset sale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financing obligation paid to Energos by third party charters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Shares received in Hilli Exchange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Energos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129,518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Non-cash financing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-1753235</wp:posOffset>
            </wp:positionV>
            <wp:extent cx="6311900" cy="1778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a:extLst>
                        <a:ext uri="{28A0092B-C50C-407E-A947-70E740481C1C}"/>
                      </a:extLst>
                    </a:blip>
                    <a:srcRect/>
                    <a:stretch>
                      <a:fillRect/>
                    </a:stretch>
                  </pic:blipFill>
                  <pic:spPr bwMode="auto">
                    <a:xfrm>
                      <a:off x="0" y="0"/>
                      <a:ext cx="6311900" cy="17780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-2658110</wp:posOffset>
            </wp:positionV>
            <wp:extent cx="6311900" cy="177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a:extLst>
                        <a:ext uri="{28A0092B-C50C-407E-A947-70E740481C1C}"/>
                      </a:extLst>
                    </a:blip>
                    <a:srcRect/>
                    <a:stretch>
                      <a:fillRect/>
                    </a:stretch>
                  </pic:blipFill>
                  <pic:spPr bwMode="auto">
                    <a:xfrm>
                      <a:off x="0" y="0"/>
                      <a:ext cx="63119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-2353310</wp:posOffset>
            </wp:positionV>
            <wp:extent cx="6311900" cy="177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2">
                      <a:extLst>
                        <a:ext uri="{28A0092B-C50C-407E-A947-70E740481C1C}"/>
                      </a:extLst>
                    </a:blip>
                    <a:srcRect/>
                    <a:stretch>
                      <a:fillRect/>
                    </a:stretch>
                  </pic:blipFill>
                  <pic:spPr bwMode="auto">
                    <a:xfrm>
                      <a:off x="0" y="0"/>
                      <a:ext cx="6311900" cy="177800"/>
                    </a:xfrm>
                    <a:prstGeom prst="rect">
                      <a:avLst/>
                    </a:prstGeom>
                    <a:noFill/>
                  </pic:spPr>
                </pic:pic>
              </a:graphicData>
            </a:graphic>
          </wp:anchor>
        </w:drawing>
      </w:r>
    </w:p>
    <w:p>
      <w:pPr>
        <w:spacing w:after="0" w:line="15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 following table identifies the balance sheet line-items included in Cash and cash equivalents, Current restricted cash, and Non-current restricted cash presented in Other non-current assets, net on the Consolidated Balance Sheets (Note 17) presented in the Consolidated Statement of Cash Flows:</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0"/>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155,414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675,492</w:t>
            </w: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restricted cash</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165,396</w:t>
            </w: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Non-current restricted cash</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2,581</w:t>
            </w:r>
          </w:p>
        </w:tc>
      </w:tr>
      <w:tr>
        <w:trPr>
          <w:trHeight w:val="248"/>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classified as held for sale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11,614</w:t>
            </w:r>
          </w:p>
        </w:tc>
      </w:tr>
      <w:tr>
        <w:trPr>
          <w:trHeight w:val="20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855,083</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482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3">
                      <a:extLst>
                        <a:ext uri="{28A0092B-C50C-407E-A947-70E740481C1C}"/>
                      </a:extLst>
                    </a:blip>
                    <a:srcRect/>
                    <a:stretch>
                      <a:fillRect/>
                    </a:stretch>
                  </pic:blipFill>
                  <pic:spPr bwMode="auto">
                    <a:xfrm>
                      <a:off x="0" y="0"/>
                      <a:ext cx="6311900" cy="482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-183515</wp:posOffset>
            </wp:positionV>
            <wp:extent cx="6311900" cy="190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4">
                      <a:extLst>
                        <a:ext uri="{28A0092B-C50C-407E-A947-70E740481C1C}"/>
                      </a:extLst>
                    </a:blip>
                    <a:srcRect/>
                    <a:stretch>
                      <a:fillRect/>
                    </a:stretch>
                  </pic:blipFill>
                  <pic:spPr bwMode="auto">
                    <a:xfrm>
                      <a:off x="0" y="0"/>
                      <a:ext cx="6311900" cy="1905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Cash and cash equivalents as of December 31, 2022 includes $11,614 which has been classified as assets held for sale and included in Other non-current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ectPr>
          <w:pgSz w:w="12240" w:h="15840" w:orient="portrait"/>
          <w:cols w:equalWidth="0" w:num="1">
            <w:col w:w="9900"/>
          </w:cols>
          <w:pgMar w:left="1180" w:top="831" w:right="1160" w:bottom="0" w:gutter="0" w:footer="0" w:header="0"/>
          <w:type w:val="continuous"/>
        </w:sectPr>
      </w:pPr>
    </w:p>
    <w:bookmarkStart w:id="104" w:name="page105"/>
    <w:bookmarkEnd w:id="104"/>
    <w:p>
      <w:pPr>
        <w:ind w:left="730" w:hanging="730"/>
        <w:spacing w:after="0"/>
        <w:tabs>
          <w:tab w:leader="none" w:pos="73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ind w:left="10" w:right="280"/>
        <w:spacing w:after="0" w:line="256" w:lineRule="auto"/>
        <w:rPr>
          <w:sz w:val="20"/>
          <w:szCs w:val="20"/>
          <w:color w:val="auto"/>
        </w:rPr>
      </w:pPr>
      <w:r>
        <w:rPr>
          <w:rFonts w:ascii="Times New Roman" w:cs="Times New Roman" w:eastAsia="Times New Roman" w:hAnsi="Times New Roman"/>
          <w:sz w:val="20"/>
          <w:szCs w:val="20"/>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208"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88" w:lineRule="exact"/>
        <w:rPr>
          <w:sz w:val="20"/>
          <w:szCs w:val="20"/>
          <w:color w:val="auto"/>
        </w:rPr>
      </w:pPr>
    </w:p>
    <w:p>
      <w:pPr>
        <w:ind w:left="730" w:hanging="730"/>
        <w:spacing w:after="0"/>
        <w:tabs>
          <w:tab w:leader="none" w:pos="73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principal accounting policies adopted are set out below.</w:t>
      </w:r>
    </w:p>
    <w:p>
      <w:pPr>
        <w:spacing w:after="0" w:line="250" w:lineRule="exact"/>
        <w:rPr>
          <w:sz w:val="20"/>
          <w:szCs w:val="20"/>
          <w:color w:val="auto"/>
        </w:rPr>
      </w:pPr>
    </w:p>
    <w:p>
      <w:pPr>
        <w:ind w:left="730" w:hanging="730"/>
        <w:spacing w:after="0"/>
        <w:tabs>
          <w:tab w:leader="none" w:pos="7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 and principles of consolidation</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208"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19"/>
          <w:szCs w:val="19"/>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w:t>
      </w:r>
    </w:p>
    <w:p>
      <w:pPr>
        <w:spacing w:after="0" w:line="1" w:lineRule="exact"/>
        <w:rPr>
          <w:sz w:val="20"/>
          <w:szCs w:val="20"/>
          <w:color w:val="auto"/>
        </w:rPr>
      </w:pPr>
    </w:p>
    <w:p>
      <w:pPr>
        <w:ind w:left="10" w:right="200" w:hanging="10"/>
        <w:spacing w:after="0" w:line="260" w:lineRule="auto"/>
        <w:tabs>
          <w:tab w:leader="none" w:pos="29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its interest in the VIE, the obligation to absorb the losses or the right to receive the benefits from the VIE that could potentially be significant to the VIE.</w:t>
      </w:r>
    </w:p>
    <w:p>
      <w:pPr>
        <w:spacing w:after="0" w:line="202"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Non-controlling interests are classified as a separate component of equity on the Consolidated Balance Sheets and Consolidated Statements of Changes in Stockholders’ Equity. Additionally, net income and comprehensive income (loss) attributable to non-controlling interests are reflected separately from consolidated net income and comprehensive income in the Consolidated Statements of Operations and Comprehensive Income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210" w:lineRule="exact"/>
        <w:rPr>
          <w:sz w:val="20"/>
          <w:szCs w:val="20"/>
          <w:color w:val="auto"/>
        </w:rPr>
      </w:pPr>
    </w:p>
    <w:p>
      <w:pPr>
        <w:ind w:left="730" w:hanging="730"/>
        <w:spacing w:after="0"/>
        <w:tabs>
          <w:tab w:leader="none" w:pos="73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estimates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ectPr>
          <w:pgSz w:w="12240" w:h="15840" w:orient="portrait"/>
          <w:cols w:equalWidth="0" w:num="1">
            <w:col w:w="9890"/>
          </w:cols>
          <w:pgMar w:left="1170" w:top="131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F-10</w:t>
      </w:r>
    </w:p>
    <w:p>
      <w:pPr>
        <w:sectPr>
          <w:pgSz w:w="12240" w:h="15840" w:orient="portrait"/>
          <w:cols w:equalWidth="0" w:num="1">
            <w:col w:w="9890"/>
          </w:cols>
          <w:pgMar w:left="1170" w:top="1311" w:right="1180" w:bottom="0" w:gutter="0" w:footer="0" w:header="0"/>
          <w:type w:val="continuous"/>
        </w:sectPr>
      </w:pPr>
    </w:p>
    <w:bookmarkStart w:id="105" w:name="page106"/>
    <w:bookmarkEnd w:id="105"/>
    <w:p>
      <w:pPr>
        <w:ind w:left="730" w:hanging="730"/>
        <w:spacing w:after="0"/>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currencies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w:t>
      </w:r>
    </w:p>
    <w:p>
      <w:pPr>
        <w:spacing w:after="0" w:line="204"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The Company also has foreign subsidiaries that conduct business in currencies other than their respective functional currencies. Transactions are remeasured to the subsidiaries’ functional currency at the exchange rate in effect on the dates of such transactions. Net realized foreign currency gains or losses relating to the differences between these recorded amounts and the functional currency equivalent actually received or paid are included within Other expense (income), net in the Consolidated Statements of Operations and Comprehensive Income. Gains and losses on intercompany foreign currency transactions that are long-term in nature and which the Company does not intend to settle in the foreseeable future, are also recognized in Accumulated other comprehensive income. Accumulated foreign currency translation adjustments are reclassified from Accumulated other comprehensive income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213"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w:t>
      </w:r>
    </w:p>
    <w:p>
      <w:pPr>
        <w:spacing w:after="0" w:line="250"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time of purchase to be cash equivalents.</w:t>
      </w:r>
    </w:p>
    <w:p>
      <w:pPr>
        <w:spacing w:after="0" w:line="181"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cash</w:t>
      </w:r>
    </w:p>
    <w:p>
      <w:pPr>
        <w:spacing w:after="0" w:line="250" w:lineRule="exact"/>
        <w:rPr>
          <w:sz w:val="20"/>
          <w:szCs w:val="20"/>
          <w:color w:val="auto"/>
        </w:rPr>
      </w:pPr>
    </w:p>
    <w:p>
      <w:pPr>
        <w:ind w:left="10" w:right="660"/>
        <w:spacing w:after="0" w:line="281" w:lineRule="auto"/>
        <w:rPr>
          <w:sz w:val="20"/>
          <w:szCs w:val="20"/>
          <w:color w:val="auto"/>
        </w:rPr>
      </w:pPr>
      <w:r>
        <w:rPr>
          <w:rFonts w:ascii="Times New Roman" w:cs="Times New Roman" w:eastAsia="Times New Roman" w:hAnsi="Times New Roman"/>
          <w:sz w:val="20"/>
          <w:szCs w:val="20"/>
          <w:color w:val="auto"/>
        </w:rPr>
        <w:t>Restricted cash consists of funds that are contractually restricted as to usage or withdrawal and have been presented separately from cash and cash equivalents on the Consolidated Balance Sheets.</w:t>
      </w:r>
    </w:p>
    <w:p>
      <w:pPr>
        <w:spacing w:after="0" w:line="181" w:lineRule="exact"/>
        <w:rPr>
          <w:sz w:val="20"/>
          <w:szCs w:val="20"/>
          <w:color w:val="auto"/>
        </w:rPr>
      </w:pPr>
    </w:p>
    <w:p>
      <w:pPr>
        <w:ind w:left="730" w:hanging="730"/>
        <w:spacing w:after="0"/>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w:t>
      </w:r>
    </w:p>
    <w:p>
      <w:pPr>
        <w:spacing w:after="0" w:line="25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Receivables are contractual rights to receive cash on a fixed or determinable date and are recognized on the balance sheet as the amount invoiced to the customer, net of an allowance for current expected credit losses. Accounts receivable are carried at amortized cost.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Income.</w:t>
      </w:r>
    </w:p>
    <w:p>
      <w:pPr>
        <w:spacing w:after="0" w:line="213" w:lineRule="exact"/>
        <w:rPr>
          <w:sz w:val="20"/>
          <w:szCs w:val="20"/>
          <w:color w:val="auto"/>
        </w:rPr>
      </w:pPr>
    </w:p>
    <w:p>
      <w:pPr>
        <w:ind w:left="730" w:hanging="730"/>
        <w:spacing w:after="0"/>
        <w:tabs>
          <w:tab w:leader="none" w:pos="7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50"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LNG and natural gas inventories, bunker fuel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203" w:lineRule="exact"/>
        <w:rPr>
          <w:sz w:val="20"/>
          <w:szCs w:val="20"/>
          <w:color w:val="auto"/>
        </w:rPr>
      </w:pPr>
    </w:p>
    <w:p>
      <w:pPr>
        <w:ind w:left="10" w:right="680"/>
        <w:spacing w:after="0" w:line="281"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Income.</w:t>
      </w:r>
    </w:p>
    <w:p>
      <w:pPr>
        <w:spacing w:after="0" w:line="181"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20"/>
          <w:szCs w:val="20"/>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Income in instances where gas cannot be contained and recycled back into the production process.</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F-11</w:t>
      </w:r>
    </w:p>
    <w:p>
      <w:pPr>
        <w:sectPr>
          <w:pgSz w:w="12240" w:h="15840" w:orient="portrait"/>
          <w:cols w:equalWidth="0" w:num="1">
            <w:col w:w="9890"/>
          </w:cols>
          <w:pgMar w:left="1170" w:top="838" w:right="1180" w:bottom="0" w:gutter="0" w:footer="0" w:header="0"/>
          <w:type w:val="continuous"/>
        </w:sectPr>
      </w:pPr>
    </w:p>
    <w:bookmarkStart w:id="106" w:name="page107"/>
    <w:bookmarkEnd w:id="106"/>
    <w:p>
      <w:pPr>
        <w:ind w:left="730" w:hanging="730"/>
        <w:spacing w:after="0"/>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in progress</w:t>
      </w:r>
    </w:p>
    <w:p>
      <w:pPr>
        <w:spacing w:after="0" w:line="250"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Prior to putting our projects into service we may utilize gas to test and commission the assets, and we may be able to invoice our customers for gas used in commissioning. Amounts received as a result of the sale of test gas reduce the Construction in progress balance. Depreciation is not recognized during the construction period.</w:t>
      </w:r>
    </w:p>
    <w:p>
      <w:pPr>
        <w:spacing w:after="0" w:line="213"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is capitalized during the construction period and included in the cost of the project in Construction in progress.</w:t>
      </w:r>
    </w:p>
    <w:p>
      <w:pPr>
        <w:spacing w:after="0" w:line="181"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plant and equipment, net</w:t>
      </w:r>
    </w:p>
    <w:p>
      <w:pPr>
        <w:spacing w:after="0" w:line="250"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20"/>
          <w:szCs w:val="20"/>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Income; such expenditures for assets in the Ships segment that do not improve the operating efficiency or extend the useful lives of the vessels are expensed as incurred within Vessel operating expenses.</w:t>
      </w:r>
    </w:p>
    <w:p>
      <w:pPr>
        <w:spacing w:after="0" w:line="210" w:lineRule="exact"/>
        <w:rPr>
          <w:sz w:val="20"/>
          <w:szCs w:val="20"/>
          <w:color w:val="auto"/>
        </w:rPr>
      </w:pPr>
    </w:p>
    <w:p>
      <w:pPr>
        <w:ind w:left="10" w:right="360"/>
        <w:spacing w:after="0" w:line="281" w:lineRule="auto"/>
        <w:rPr>
          <w:sz w:val="20"/>
          <w:szCs w:val="20"/>
          <w:color w:val="auto"/>
        </w:rPr>
      </w:pPr>
      <w:r>
        <w:rPr>
          <w:rFonts w:ascii="Times New Roman" w:cs="Times New Roman" w:eastAsia="Times New Roman" w:hAnsi="Times New Roman"/>
          <w:sz w:val="20"/>
          <w:szCs w:val="20"/>
          <w:color w:val="auto"/>
        </w:rPr>
        <w:t>Major maintenance and overhauls of the Company’s power plant and terminals are capitalized and depreciated over the expected period until the next anticipated major maintenance or overhaul.</w:t>
      </w:r>
    </w:p>
    <w:p>
      <w:pPr>
        <w:spacing w:after="0" w:line="181"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If drydocking occurs prior to the expected timing, a cumulative adjustment to recognize the change in expected timing of drydocking is recognized within Depreciation and amortization in the Consolidated Statements of Operations and Comprehensive Income.</w:t>
      </w:r>
    </w:p>
    <w:p>
      <w:pPr>
        <w:spacing w:after="0" w:line="210"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Useful life</w:t>
            </w:r>
          </w:p>
        </w:tc>
      </w:tr>
      <w:tr>
        <w:trPr>
          <w:trHeight w:val="263"/>
        </w:trPr>
        <w:tc>
          <w:tcPr>
            <w:tcW w:w="854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(Yrs)</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5-30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CHP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terminals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associated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3-25</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20-40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6311900" cy="1549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a:extLst>
                        <a:ext uri="{28A0092B-C50C-407E-A947-70E740481C1C}"/>
                      </a:extLst>
                    </a:blip>
                    <a:srcRect/>
                    <a:stretch>
                      <a:fillRect/>
                    </a:stretch>
                  </pic:blipFill>
                  <pic:spPr bwMode="auto">
                    <a:xfrm>
                      <a:off x="0" y="0"/>
                      <a:ext cx="6311900" cy="1549400"/>
                    </a:xfrm>
                    <a:prstGeom prst="rect">
                      <a:avLst/>
                    </a:prstGeom>
                    <a:noFill/>
                  </pic:spPr>
                </pic:pic>
              </a:graphicData>
            </a:graphic>
          </wp:anchor>
        </w:drawing>
      </w:r>
    </w:p>
    <w:p>
      <w:pPr>
        <w:spacing w:after="0" w:line="271"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The Company reviews the remaining useful life of its assets on a regular basis to determine whether changes have taken place that would suggest that a change to depreciation policies is warranted.</w:t>
      </w:r>
    </w:p>
    <w:p>
      <w:pPr>
        <w:spacing w:after="0" w:line="181" w:lineRule="exact"/>
        <w:rPr>
          <w:sz w:val="20"/>
          <w:szCs w:val="20"/>
          <w:color w:val="auto"/>
        </w:rPr>
      </w:pPr>
    </w:p>
    <w:p>
      <w:pPr>
        <w:jc w:val="both"/>
        <w:ind w:left="10" w:right="220"/>
        <w:spacing w:after="0" w:line="260" w:lineRule="auto"/>
        <w:rPr>
          <w:sz w:val="20"/>
          <w:szCs w:val="20"/>
          <w:color w:val="auto"/>
        </w:rPr>
      </w:pPr>
      <w:r>
        <w:rPr>
          <w:rFonts w:ascii="Times New Roman" w:cs="Times New Roman" w:eastAsia="Times New Roman" w:hAnsi="Times New Roman"/>
          <w:sz w:val="20"/>
          <w:szCs w:val="20"/>
          <w:color w:val="auto"/>
        </w:rPr>
        <w:t>Upon retirement or disposal of property, plant and equipment, the cost and related accumulated depreciation are removed from the account, and the resulting gains or losses, if any, are recorded in the Consolidated Statements of Operations and Comprehensive Income. When a vessel is disposed, any unamortized drydocking expenditure is recognized as part of the gain or loss on disposal in the period of disposal.</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F-12</w:t>
      </w:r>
    </w:p>
    <w:p>
      <w:pPr>
        <w:sectPr>
          <w:pgSz w:w="12240" w:h="15840" w:orient="portrait"/>
          <w:cols w:equalWidth="0" w:num="1">
            <w:col w:w="9910"/>
          </w:cols>
          <w:pgMar w:left="1170" w:top="838" w:right="1160" w:bottom="0" w:gutter="0" w:footer="0" w:header="0"/>
          <w:type w:val="continuous"/>
        </w:sectPr>
      </w:pPr>
    </w:p>
    <w:bookmarkStart w:id="107" w:name="page108"/>
    <w:bookmarkEnd w:id="107"/>
    <w:p>
      <w:pPr>
        <w:ind w:left="730" w:hanging="730"/>
        <w:spacing w:after="0"/>
        <w:tabs>
          <w:tab w:leader="none" w:pos="73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long-lived assets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204"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95"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95" w:lineRule="exact"/>
        <w:rPr>
          <w:sz w:val="20"/>
          <w:szCs w:val="20"/>
          <w:color w:val="auto"/>
        </w:rPr>
      </w:pPr>
    </w:p>
    <w:p>
      <w:pPr>
        <w:ind w:left="730" w:hanging="730"/>
        <w:spacing w:after="0"/>
        <w:tabs>
          <w:tab w:leader="none" w:pos="7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equity securities</w:t>
      </w:r>
    </w:p>
    <w:p>
      <w:pPr>
        <w:spacing w:after="0" w:line="250"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Investments in equity securities are carried at fair value and included in Other non-current assets on the Consolidated Balance Sheets, with gains or losses recorded in earnings in Other expense (income), net in the Consolidated Statements of Operations and Comprehensive Income.</w:t>
      </w:r>
    </w:p>
    <w:p>
      <w:pPr>
        <w:spacing w:after="0" w:line="195" w:lineRule="exact"/>
        <w:rPr>
          <w:sz w:val="20"/>
          <w:szCs w:val="20"/>
          <w:color w:val="auto"/>
        </w:rPr>
      </w:pPr>
    </w:p>
    <w:p>
      <w:pPr>
        <w:ind w:left="730" w:hanging="730"/>
        <w:spacing w:after="0"/>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computing costs</w:t>
      </w:r>
    </w:p>
    <w:p>
      <w:pPr>
        <w:spacing w:after="0" w:line="250" w:lineRule="exact"/>
        <w:rPr>
          <w:sz w:val="20"/>
          <w:szCs w:val="20"/>
          <w:color w:val="auto"/>
        </w:rPr>
      </w:pPr>
    </w:p>
    <w:p>
      <w:pPr>
        <w:ind w:left="10"/>
        <w:spacing w:after="0" w:line="272" w:lineRule="auto"/>
        <w:rPr>
          <w:sz w:val="20"/>
          <w:szCs w:val="20"/>
          <w:color w:val="auto"/>
        </w:rPr>
      </w:pPr>
      <w:r>
        <w:rPr>
          <w:rFonts w:ascii="Times New Roman" w:cs="Times New Roman" w:eastAsia="Times New Roman" w:hAnsi="Times New Roman"/>
          <w:sz w:val="19"/>
          <w:szCs w:val="19"/>
          <w:color w:val="auto"/>
        </w:rPr>
        <w:t>The Company capitalizes the costs incurred during the implementation stage for cloud computing or hosting arrangements. Costs incurred in the preliminary project stage and post-implementation stage, which includes maintenance and training costs, are expensed as incurred. Such costs are recorded in Transaction and integration costs in the Consolidated Statements of Operations and Comprehensive Income. Capitalized software costs are amortized over the straight-line method over three to five years and are recorded in Other assets on the Consolidated Balance Sheets. Amortization expense is recorded in Selling, general and administrative in the Consolidated Statements of Operations and Comprehensive Income.</w:t>
      </w:r>
    </w:p>
    <w:p>
      <w:pPr>
        <w:spacing w:after="0" w:line="194" w:lineRule="exact"/>
        <w:rPr>
          <w:sz w:val="20"/>
          <w:szCs w:val="20"/>
          <w:color w:val="auto"/>
        </w:rPr>
      </w:pPr>
    </w:p>
    <w:p>
      <w:pPr>
        <w:ind w:left="730" w:hanging="730"/>
        <w:spacing w:after="0"/>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w:t>
      </w:r>
    </w:p>
    <w:p>
      <w:pPr>
        <w:spacing w:after="0" w:line="250"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81" w:lineRule="exact"/>
        <w:rPr>
          <w:sz w:val="20"/>
          <w:szCs w:val="20"/>
          <w:color w:val="auto"/>
        </w:rPr>
      </w:pPr>
    </w:p>
    <w:p>
      <w:pPr>
        <w:ind w:left="10" w:right="40"/>
        <w:spacing w:after="0" w:line="242" w:lineRule="auto"/>
        <w:rPr>
          <w:sz w:val="20"/>
          <w:szCs w:val="20"/>
          <w:color w:val="auto"/>
        </w:rPr>
      </w:pPr>
      <w:r>
        <w:rPr>
          <w:rFonts w:ascii="Times New Roman" w:cs="Times New Roman" w:eastAsia="Times New Roman" w:hAnsi="Times New Roman"/>
          <w:sz w:val="20"/>
          <w:szCs w:val="20"/>
          <w:color w:val="auto"/>
        </w:rPr>
        <w:t>Indefinite lived intangible assets are not amortized. Intangible assets with an indefinite useful life are tested for impairment on an annual basis, on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Income.</w:t>
      </w:r>
    </w:p>
    <w:p>
      <w:pPr>
        <w:spacing w:after="0" w:line="219" w:lineRule="exact"/>
        <w:rPr>
          <w:sz w:val="20"/>
          <w:szCs w:val="20"/>
          <w:color w:val="auto"/>
        </w:rPr>
      </w:pPr>
    </w:p>
    <w:p>
      <w:pPr>
        <w:ind w:left="730" w:hanging="730"/>
        <w:spacing w:after="0"/>
        <w:tabs>
          <w:tab w:leader="none" w:pos="73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250"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Goodwill includes the excess of the purchase price over the fair value of the net tangible and intangible assets acquired in a business combination.</w:t>
      </w:r>
    </w:p>
    <w:p>
      <w:pPr>
        <w:spacing w:after="0" w:line="181" w:lineRule="exact"/>
        <w:rPr>
          <w:sz w:val="20"/>
          <w:szCs w:val="20"/>
          <w:color w:val="auto"/>
        </w:rPr>
      </w:pPr>
    </w:p>
    <w:p>
      <w:pPr>
        <w:ind w:left="10" w:right="80"/>
        <w:spacing w:after="0" w:line="237" w:lineRule="auto"/>
        <w:rPr>
          <w:sz w:val="20"/>
          <w:szCs w:val="20"/>
          <w:color w:val="auto"/>
        </w:rPr>
      </w:pPr>
      <w:r>
        <w:rPr>
          <w:rFonts w:ascii="Times New Roman" w:cs="Times New Roman" w:eastAsia="Times New Roman" w:hAnsi="Times New Roman"/>
          <w:sz w:val="20"/>
          <w:szCs w:val="20"/>
          <w:color w:val="auto"/>
        </w:rPr>
        <w:t>The Company reviews the carrying values of goodwill at least annually to assess impairment since these assets are not amortized. An annual impairment assessment is conducted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Additionally, the Company reviews the carrying value of goodwill whenever events or changes in circumstances indicate that its carrying amount may not be recoverable.</w:t>
      </w:r>
    </w:p>
    <w:p>
      <w:pPr>
        <w:spacing w:after="0" w:line="223"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 A qualitative analysis was elected for the years ended December 31, 2023 and 2022.</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F-13</w:t>
      </w:r>
    </w:p>
    <w:p>
      <w:pPr>
        <w:sectPr>
          <w:pgSz w:w="12240" w:h="15840" w:orient="portrait"/>
          <w:cols w:equalWidth="0" w:num="1">
            <w:col w:w="9890"/>
          </w:cols>
          <w:pgMar w:left="1170" w:top="838" w:right="1180" w:bottom="0" w:gutter="0" w:footer="0" w:header="0"/>
          <w:type w:val="continuous"/>
        </w:sectPr>
      </w:pPr>
    </w:p>
    <w:bookmarkStart w:id="108" w:name="page109"/>
    <w:bookmarkEnd w:id="108"/>
    <w:p>
      <w:pPr>
        <w:ind w:left="10" w:right="120"/>
        <w:spacing w:after="0" w:line="256" w:lineRule="auto"/>
        <w:rPr>
          <w:sz w:val="20"/>
          <w:szCs w:val="20"/>
          <w:color w:val="auto"/>
        </w:rPr>
      </w:pPr>
      <w:r>
        <w:rPr>
          <w:rFonts w:ascii="Times New Roman" w:cs="Times New Roman" w:eastAsia="Times New Roman" w:hAnsi="Times New Roman"/>
          <w:sz w:val="20"/>
          <w:szCs w:val="20"/>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was no impairment of goodwill for the years ended December 31, 2023 and 2022.</w:t>
      </w:r>
    </w:p>
    <w:p>
      <w:pPr>
        <w:spacing w:after="0" w:line="250" w:lineRule="exact"/>
        <w:rPr>
          <w:sz w:val="20"/>
          <w:szCs w:val="20"/>
          <w:color w:val="auto"/>
        </w:rPr>
      </w:pPr>
    </w:p>
    <w:p>
      <w:pPr>
        <w:ind w:left="730" w:hanging="730"/>
        <w:spacing w:after="0"/>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and debt issuance costs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within Other non-current assets on the Consolidated Balance Sheets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210"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auto"/>
        </w:rPr>
        <w:t>The Company evaluates changes to debt arrangements to determine whether the changes represent a modification or extinguishment to the old debt arrangement. If a debt instrument is deemed to be modified, all new lender fees are capitalized, and third-party fees associated with the previous lenders are recognized as expense within Transaction and integration costs in the Consolidated Statements of Operations and Comprehensive Income. If an extinguishment of debt instruments has occurred, the unamortized financing fees associated with the extinguished instrument are expensed to Loss on extinguishment of debt, net in the Consolidated Statements of Operations and Comprehensive Income. In the event an amendment to the Revolving Facility (defined below) reduces the committed capacity of any lenders, the portion of any unamortized fees associated with such lender is expensed on a pro-rata basis in proportion to the decrease in the committed capacity.</w:t>
      </w:r>
    </w:p>
    <w:p>
      <w:pPr>
        <w:spacing w:after="0" w:line="209" w:lineRule="exact"/>
        <w:rPr>
          <w:sz w:val="20"/>
          <w:szCs w:val="20"/>
          <w:color w:val="auto"/>
        </w:rPr>
      </w:pPr>
    </w:p>
    <w:p>
      <w:pPr>
        <w:ind w:left="730" w:hanging="730"/>
        <w:spacing w:after="0"/>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Contingencies</w:t>
      </w:r>
    </w:p>
    <w:p>
      <w:pPr>
        <w:spacing w:after="0" w:line="250"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may be involved in legal actions in the ordinary course of business, including governmental and administrative investigations, inquiries and proceedings concerning employment, labor, environmental and other claims. The Company recognizes a loss contingency in the consolidated financial statements when it is probable a liability has been incurred and the amount of the loss can be reasonably estimated. The Company discloses any loss contingencies that do not meet both conditions if there is a reasonable possibility that a loss may have been incurred. Gain contingencies are not recorded until realized.</w:t>
      </w:r>
    </w:p>
    <w:p>
      <w:pPr>
        <w:spacing w:after="0" w:line="208"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w:t>
      </w:r>
    </w:p>
    <w:p>
      <w:pPr>
        <w:spacing w:after="0" w:line="254"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211" w:lineRule="exact"/>
        <w:rPr>
          <w:sz w:val="20"/>
          <w:szCs w:val="20"/>
          <w:color w:val="auto"/>
        </w:rPr>
      </w:pPr>
    </w:p>
    <w:p>
      <w:pPr>
        <w:jc w:val="both"/>
        <w:ind w:left="10" w:right="400"/>
        <w:spacing w:after="0" w:line="266" w:lineRule="auto"/>
        <w:rPr>
          <w:sz w:val="20"/>
          <w:szCs w:val="20"/>
          <w:color w:val="auto"/>
        </w:rPr>
      </w:pPr>
      <w:r>
        <w:rPr>
          <w:rFonts w:ascii="Times New Roman" w:cs="Times New Roman" w:eastAsia="Times New Roman" w:hAnsi="Times New Roman"/>
          <w:sz w:val="20"/>
          <w:szCs w:val="20"/>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F-14</w:t>
      </w:r>
    </w:p>
    <w:p>
      <w:pPr>
        <w:sectPr>
          <w:pgSz w:w="12240" w:h="15840" w:orient="portrait"/>
          <w:cols w:equalWidth="0" w:num="1">
            <w:col w:w="9890"/>
          </w:cols>
          <w:pgMar w:left="1170" w:top="838" w:right="1180" w:bottom="0" w:gutter="0" w:footer="0" w:header="0"/>
          <w:type w:val="continuous"/>
        </w:sectPr>
      </w:pPr>
    </w:p>
    <w:bookmarkStart w:id="109" w:name="page110"/>
    <w:bookmarkEnd w:id="109"/>
    <w:p>
      <w:pPr>
        <w:ind w:right="20"/>
        <w:spacing w:after="0" w:line="268" w:lineRule="auto"/>
        <w:rPr>
          <w:sz w:val="20"/>
          <w:szCs w:val="20"/>
          <w:color w:val="auto"/>
        </w:rPr>
      </w:pPr>
      <w:r>
        <w:rPr>
          <w:rFonts w:ascii="Times New Roman" w:cs="Times New Roman" w:eastAsia="Times New Roman" w:hAnsi="Times New Roman"/>
          <w:sz w:val="19"/>
          <w:szCs w:val="19"/>
          <w:color w:val="auto"/>
        </w:rPr>
        <w:t>The Company’s contracts with customers to supply natural gas or LNG may contain a lease of equipment or vessels, which may be accounted for as a finance or operating lease. For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Income.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20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The current and non-current portion of finance leases are recorded within Prepaid expenses and other current assets and Other non-current assets, net on the Consolidated Balance Sheets, respectively. For finance leases accounted for as sales-type leases, the profit from the sale of equipment is recognized upon lease commencement in Other revenue in the Consolidated Statements of Operations and Comprehensive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The principal component of the lease payment is reflected as a reduction to the net investment in the lease.</w:t>
      </w:r>
    </w:p>
    <w:p>
      <w:pPr>
        <w:spacing w:after="0" w:line="2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Other revenue also includes revenue recognized by the Company's subsidiary, Genera PR LLC ("Genera"), under its contract for the operation and maintenance of Puerto Rico Electric Power Authority's ("PREPA") thermal generation assets. Under this agreement, Genera is reimbursed for pass-through expenses, including payroll expenses of Genera employees. Genera is the principal for services for operation and maintenance services, and the Company recognizes revenue for amounts to be reimbursed by PREPA in the period such expenses are incurred. Genera is also eligible for performance-based incentive fees, which are considered variable consideration. The Company estimates the amount of variable consideration as the most likely amount, which is included in the transaction price to the extent that it is probable that a significant reversal of cumulative revenue recognized will not occur.</w:t>
      </w:r>
    </w:p>
    <w:p>
      <w:pPr>
        <w:spacing w:after="0" w:line="21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20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Shipping and handling costs are not considered to be separate performance obligations. All such shipping and handling activities are performed prior to the customer obtaining control of the LNG or natural gas.</w:t>
      </w:r>
    </w:p>
    <w:p>
      <w:pPr>
        <w:spacing w:after="0" w:line="18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Income on a net basis and, accordingly, such taxes are excluded from reported revenues.</w:t>
      </w:r>
    </w:p>
    <w:p>
      <w:pPr>
        <w:spacing w:after="0" w:line="17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F-15</w:t>
      </w:r>
    </w:p>
    <w:p>
      <w:pPr>
        <w:sectPr>
          <w:pgSz w:w="12240" w:h="15840" w:orient="portrait"/>
          <w:cols w:equalWidth="0" w:num="1">
            <w:col w:w="9880"/>
          </w:cols>
          <w:pgMar w:left="1180" w:top="838" w:right="1180" w:bottom="0" w:gutter="0" w:footer="0" w:header="0"/>
          <w:type w:val="continuous"/>
        </w:sectPr>
      </w:pPr>
    </w:p>
    <w:bookmarkStart w:id="110" w:name="page111"/>
    <w:bookmarkEnd w:id="110"/>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Ships</w:t>
      </w:r>
    </w:p>
    <w:p>
      <w:pPr>
        <w:spacing w:after="0" w:line="254"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spacing w:after="0" w:line="195"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210" w:lineRule="exact"/>
        <w:rPr>
          <w:sz w:val="20"/>
          <w:szCs w:val="20"/>
          <w:color w:val="auto"/>
        </w:rPr>
      </w:pPr>
    </w:p>
    <w:p>
      <w:pPr>
        <w:ind w:left="10" w:right="100"/>
        <w:spacing w:after="0" w:line="254" w:lineRule="auto"/>
        <w:rPr>
          <w:sz w:val="20"/>
          <w:szCs w:val="20"/>
          <w:color w:val="auto"/>
        </w:rPr>
      </w:pPr>
      <w:r>
        <w:rPr>
          <w:rFonts w:ascii="Times New Roman" w:cs="Times New Roman" w:eastAsia="Times New Roman" w:hAnsi="Times New Roman"/>
          <w:sz w:val="20"/>
          <w:szCs w:val="20"/>
          <w:color w:val="auto"/>
        </w:rPr>
        <w:t>For charter contracts that are determined to be finance leases accounted for as sales-type leases, the profit from the sale of the vessel is recognized upon lease commencement in Other revenue in the Consolidated Statements of Operations and Comprehensive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w:t>
      </w:r>
    </w:p>
    <w:p>
      <w:pPr>
        <w:spacing w:after="0" w:line="209"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Income.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213"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auto"/>
        </w:rPr>
        <w:t>Repositioning fees are included in Vessel charter revenue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95" w:lineRule="exact"/>
        <w:rPr>
          <w:sz w:val="20"/>
          <w:szCs w:val="20"/>
          <w:color w:val="auto"/>
        </w:rPr>
      </w:pPr>
    </w:p>
    <w:p>
      <w:pPr>
        <w:ind w:left="10" w:right="180"/>
        <w:spacing w:after="0" w:line="286" w:lineRule="auto"/>
        <w:rPr>
          <w:sz w:val="20"/>
          <w:szCs w:val="20"/>
          <w:color w:val="auto"/>
        </w:rPr>
      </w:pPr>
      <w:r>
        <w:rPr>
          <w:rFonts w:ascii="Times New Roman" w:cs="Times New Roman" w:eastAsia="Times New Roman" w:hAnsi="Times New Roman"/>
          <w:sz w:val="19"/>
          <w:szCs w:val="19"/>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over the lease term.</w:t>
      </w:r>
    </w:p>
    <w:p>
      <w:pPr>
        <w:spacing w:after="0" w:line="179"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The Company continues to be the accounting owner of vessels included in the Energos Formation Transaction (Note 5), and the Company accounts for third party charters of these vessels under the accounting policies for vessel leases described above. The third-party charters of these vessels are operating leases, and revenue is recognized from these charters within Vessel charter revenue in the Consolidated Statements of Operations and Comprehensive Income.</w:t>
      </w:r>
    </w:p>
    <w:p>
      <w:pPr>
        <w:spacing w:after="0" w:line="203"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as lessee</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has entered into lease agreements primarily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204" w:lineRule="exact"/>
        <w:rPr>
          <w:sz w:val="20"/>
          <w:szCs w:val="20"/>
          <w:color w:val="auto"/>
        </w:rPr>
      </w:pPr>
    </w:p>
    <w:p>
      <w:pPr>
        <w:jc w:val="both"/>
        <w:ind w:left="10" w:right="80"/>
        <w:spacing w:after="0" w:line="266" w:lineRule="auto"/>
        <w:rPr>
          <w:sz w:val="20"/>
          <w:szCs w:val="20"/>
          <w:color w:val="auto"/>
        </w:rPr>
      </w:pPr>
      <w:r>
        <w:rPr>
          <w:rFonts w:ascii="Times New Roman" w:cs="Times New Roman" w:eastAsia="Times New Roman" w:hAnsi="Times New Roman"/>
          <w:sz w:val="20"/>
          <w:szCs w:val="20"/>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ectPr>
          <w:pgSz w:w="12240" w:h="15840" w:orient="portrait"/>
          <w:cols w:equalWidth="0" w:num="1">
            <w:col w:w="9870"/>
          </w:cols>
          <w:pgMar w:left="1170" w:top="834"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F-16</w:t>
      </w:r>
    </w:p>
    <w:p>
      <w:pPr>
        <w:sectPr>
          <w:pgSz w:w="12240" w:h="15840" w:orient="portrait"/>
          <w:cols w:equalWidth="0" w:num="1">
            <w:col w:w="9870"/>
          </w:cols>
          <w:pgMar w:left="1170" w:top="834" w:right="1200" w:bottom="0" w:gutter="0" w:footer="0" w:header="0"/>
          <w:type w:val="continuous"/>
        </w:sectPr>
      </w:pPr>
    </w:p>
    <w:bookmarkStart w:id="111" w:name="page112"/>
    <w:bookmarkEnd w:id="111"/>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spacing w:after="0" w:line="208" w:lineRule="exact"/>
        <w:rPr>
          <w:sz w:val="20"/>
          <w:szCs w:val="20"/>
          <w:color w:val="auto"/>
        </w:rPr>
      </w:pPr>
    </w:p>
    <w:p>
      <w:pPr>
        <w:ind w:left="10"/>
        <w:spacing w:after="0" w:line="309" w:lineRule="auto"/>
        <w:rPr>
          <w:sz w:val="20"/>
          <w:szCs w:val="20"/>
          <w:color w:val="auto"/>
        </w:rPr>
      </w:pPr>
      <w:r>
        <w:rPr>
          <w:rFonts w:ascii="Times New Roman" w:cs="Times New Roman" w:eastAsia="Times New Roman" w:hAnsi="Times New Roman"/>
          <w:sz w:val="19"/>
          <w:szCs w:val="19"/>
          <w:color w:val="auto"/>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730" w:hanging="730"/>
        <w:spacing w:after="0"/>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Share-based compensation</w:t>
      </w:r>
    </w:p>
    <w:p>
      <w:pPr>
        <w:spacing w:after="0" w:line="250" w:lineRule="exact"/>
        <w:rPr>
          <w:sz w:val="20"/>
          <w:szCs w:val="20"/>
          <w:color w:val="auto"/>
        </w:rPr>
      </w:pPr>
    </w:p>
    <w:p>
      <w:pPr>
        <w:ind w:left="10" w:right="180"/>
        <w:spacing w:after="0" w:line="270" w:lineRule="auto"/>
        <w:rPr>
          <w:sz w:val="20"/>
          <w:szCs w:val="20"/>
          <w:color w:val="auto"/>
        </w:rPr>
      </w:pPr>
      <w:r>
        <w:rPr>
          <w:rFonts w:ascii="Times New Roman" w:cs="Times New Roman" w:eastAsia="Times New Roman" w:hAnsi="Times New Roman"/>
          <w:sz w:val="19"/>
          <w:szCs w:val="19"/>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xml:space="preserve"> and ASC 505, </w:t>
      </w:r>
      <w:r>
        <w:rPr>
          <w:rFonts w:ascii="Times New Roman" w:cs="Times New Roman" w:eastAsia="Times New Roman" w:hAnsi="Times New Roman"/>
          <w:sz w:val="19"/>
          <w:szCs w:val="19"/>
          <w:b w:val="1"/>
          <w:bCs w:val="1"/>
          <w:i w:val="1"/>
          <w:iCs w:val="1"/>
          <w:color w:val="auto"/>
        </w:rPr>
        <w:t>Equity</w:t>
      </w:r>
      <w:r>
        <w:rPr>
          <w:rFonts w:ascii="Times New Roman" w:cs="Times New Roman" w:eastAsia="Times New Roman" w:hAnsi="Times New Roman"/>
          <w:sz w:val="19"/>
          <w:szCs w:val="19"/>
          <w:color w:val="auto"/>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recognizes the reversal in compensation expense in the period in which the forfeiture occurs.</w:t>
      </w:r>
    </w:p>
    <w:p>
      <w:pPr>
        <w:spacing w:after="0" w:line="194"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has granted PSUs to certain employees and non-employees. The PSUs contain a performance condition, and vesting is determined based on achievement of a performance metric in the year subsequent to the grant. Compensation 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w:t>
      </w:r>
    </w:p>
    <w:p>
      <w:pPr>
        <w:spacing w:after="0" w:line="208" w:lineRule="exact"/>
        <w:rPr>
          <w:sz w:val="20"/>
          <w:szCs w:val="20"/>
          <w:color w:val="auto"/>
        </w:rPr>
      </w:pPr>
    </w:p>
    <w:p>
      <w:pPr>
        <w:ind w:left="730" w:hanging="730"/>
        <w:spacing w:after="0"/>
        <w:tabs>
          <w:tab w:leader="none" w:pos="73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expense recognition</w:t>
      </w:r>
    </w:p>
    <w:p>
      <w:pPr>
        <w:spacing w:after="0" w:line="250"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and are deferred and recognized in Vessel operating expenses over the lease term.</w:t>
      </w:r>
    </w:p>
    <w:p>
      <w:pPr>
        <w:spacing w:after="0" w:line="203" w:lineRule="exact"/>
        <w:rPr>
          <w:sz w:val="20"/>
          <w:szCs w:val="20"/>
          <w:color w:val="auto"/>
        </w:rPr>
      </w:pPr>
    </w:p>
    <w:p>
      <w:pPr>
        <w:ind w:left="10" w:right="380"/>
        <w:spacing w:after="0" w:line="266" w:lineRule="auto"/>
        <w:rPr>
          <w:sz w:val="20"/>
          <w:szCs w:val="20"/>
          <w:color w:val="auto"/>
        </w:rPr>
      </w:pPr>
      <w:r>
        <w:rPr>
          <w:rFonts w:ascii="Times New Roman" w:cs="Times New Roman" w:eastAsia="Times New Roman" w:hAnsi="Times New Roman"/>
          <w:sz w:val="20"/>
          <w:szCs w:val="20"/>
          <w:color w:val="auto"/>
        </w:rPr>
        <w:t>Certain vessels included in the Energos Formation Transaction (Note 5) are chartered to third parties under operating leases. As the accounting owner of these vessels, the Company recognizes the cost of operating these vessels in Vessel operating expenses.</w:t>
      </w:r>
    </w:p>
    <w:p>
      <w:pPr>
        <w:spacing w:after="0" w:line="195" w:lineRule="exact"/>
        <w:rPr>
          <w:sz w:val="20"/>
          <w:szCs w:val="20"/>
          <w:color w:val="auto"/>
        </w:rPr>
      </w:pPr>
    </w:p>
    <w:p>
      <w:pPr>
        <w:ind w:left="730" w:hanging="730"/>
        <w:spacing w:after="0"/>
        <w:tabs>
          <w:tab w:leader="none" w:pos="73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and integration costs</w:t>
      </w:r>
    </w:p>
    <w:p>
      <w:pPr>
        <w:spacing w:after="0" w:line="250" w:lineRule="exact"/>
        <w:rPr>
          <w:sz w:val="20"/>
          <w:szCs w:val="20"/>
          <w:color w:val="auto"/>
        </w:rPr>
      </w:pPr>
    </w:p>
    <w:p>
      <w:pPr>
        <w:ind w:left="10" w:right="100"/>
        <w:spacing w:after="0" w:line="256" w:lineRule="auto"/>
        <w:rPr>
          <w:sz w:val="20"/>
          <w:szCs w:val="20"/>
          <w:color w:val="auto"/>
        </w:rPr>
      </w:pPr>
      <w:r>
        <w:rPr>
          <w:rFonts w:ascii="Times New Roman" w:cs="Times New Roman" w:eastAsia="Times New Roman" w:hAnsi="Times New Roman"/>
          <w:sz w:val="20"/>
          <w:szCs w:val="20"/>
          <w:color w:val="auto"/>
        </w:rPr>
        <w:t>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including fees associated with debt modifications are recognized within this caption. The Company records cloud computing costs incurred in the preliminary project stage and post-implementation stage within this caption.</w:t>
      </w:r>
    </w:p>
    <w:p>
      <w:pPr>
        <w:spacing w:after="0" w:line="208" w:lineRule="exact"/>
        <w:rPr>
          <w:sz w:val="20"/>
          <w:szCs w:val="20"/>
          <w:color w:val="auto"/>
        </w:rPr>
      </w:pPr>
    </w:p>
    <w:p>
      <w:pPr>
        <w:ind w:left="730" w:hanging="730"/>
        <w:spacing w:after="0"/>
        <w:tabs>
          <w:tab w:leader="none" w:pos="73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Taxation</w:t>
      </w:r>
    </w:p>
    <w:p>
      <w:pPr>
        <w:spacing w:after="0" w:line="246"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b w:val="1"/>
          <w:bCs w:val="1"/>
          <w:i w:val="1"/>
          <w:iCs w:val="1"/>
          <w:color w:val="auto"/>
        </w:rPr>
        <w:t>Accounting for Income Taxes</w:t>
      </w:r>
      <w:r>
        <w:rPr>
          <w:rFonts w:ascii="Times New Roman" w:cs="Times New Roman" w:eastAsia="Times New Roman" w:hAnsi="Times New Roman"/>
          <w:sz w:val="20"/>
          <w:szCs w:val="20"/>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ectPr>
          <w:pgSz w:w="12240" w:h="15840" w:orient="portrait"/>
          <w:cols w:equalWidth="0" w:num="1">
            <w:col w:w="9870"/>
          </w:cols>
          <w:pgMar w:left="117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F-17</w:t>
      </w:r>
    </w:p>
    <w:p>
      <w:pPr>
        <w:sectPr>
          <w:pgSz w:w="12240" w:h="15840" w:orient="portrait"/>
          <w:cols w:equalWidth="0" w:num="1">
            <w:col w:w="9870"/>
          </w:cols>
          <w:pgMar w:left="1170" w:top="838" w:right="1200" w:bottom="0" w:gutter="0" w:footer="0" w:header="0"/>
          <w:type w:val="continuous"/>
        </w:sectPr>
      </w:pPr>
    </w:p>
    <w:bookmarkStart w:id="112" w:name="page113"/>
    <w:bookmarkEnd w:id="112"/>
    <w:p>
      <w:pPr>
        <w:ind w:left="10" w:right="140"/>
        <w:spacing w:after="0" w:line="255" w:lineRule="auto"/>
        <w:rPr>
          <w:sz w:val="20"/>
          <w:szCs w:val="20"/>
          <w:color w:val="auto"/>
        </w:rPr>
      </w:pPr>
      <w:r>
        <w:rPr>
          <w:rFonts w:ascii="Times New Roman" w:cs="Times New Roman" w:eastAsia="Times New Roman" w:hAnsi="Times New Roman"/>
          <w:sz w:val="20"/>
          <w:szCs w:val="20"/>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210"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taxes</w:t>
      </w:r>
    </w:p>
    <w:p>
      <w:pPr>
        <w:spacing w:after="0" w:line="2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Income.</w:t>
      </w:r>
    </w:p>
    <w:p>
      <w:pPr>
        <w:spacing w:after="0" w:line="203" w:lineRule="exact"/>
        <w:rPr>
          <w:sz w:val="20"/>
          <w:szCs w:val="20"/>
          <w:color w:val="auto"/>
        </w:rPr>
      </w:pPr>
    </w:p>
    <w:p>
      <w:pPr>
        <w:ind w:left="730" w:hanging="730"/>
        <w:spacing w:after="0"/>
        <w:tabs>
          <w:tab w:leader="none" w:pos="73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per share</w:t>
      </w:r>
    </w:p>
    <w:p>
      <w:pPr>
        <w:spacing w:after="0" w:line="250" w:lineRule="exact"/>
        <w:rPr>
          <w:sz w:val="20"/>
          <w:szCs w:val="20"/>
          <w:color w:val="auto"/>
        </w:rPr>
      </w:pPr>
    </w:p>
    <w:p>
      <w:pPr>
        <w:ind w:left="10" w:right="360"/>
        <w:spacing w:after="0" w:line="260" w:lineRule="auto"/>
        <w:rPr>
          <w:sz w:val="20"/>
          <w:szCs w:val="20"/>
          <w:color w:val="auto"/>
        </w:rPr>
      </w:pPr>
      <w:r>
        <w:rPr>
          <w:rFonts w:ascii="Times New Roman" w:cs="Times New Roman" w:eastAsia="Times New Roman" w:hAnsi="Times New Roman"/>
          <w:sz w:val="20"/>
          <w:szCs w:val="20"/>
          <w:color w:val="auto"/>
        </w:rPr>
        <w:t>Basic net income per share (“EPS”) is computed by dividing net income attributable to Class A common stock by the weighted average number of shares of Class A common stock outstanding. The dilutive effect of outstanding awards, if any, is reflected in diluted earnings per share by application of the treasury stock method or if-converted method, as applicable.</w:t>
      </w:r>
    </w:p>
    <w:p>
      <w:pPr>
        <w:spacing w:after="0" w:line="203" w:lineRule="exact"/>
        <w:rPr>
          <w:sz w:val="20"/>
          <w:szCs w:val="20"/>
          <w:color w:val="auto"/>
        </w:rPr>
      </w:pPr>
    </w:p>
    <w:p>
      <w:pPr>
        <w:ind w:left="730" w:hanging="730"/>
        <w:spacing w:after="0"/>
        <w:tabs>
          <w:tab w:leader="none" w:pos="73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Acquisition-related costs are expensed as incurred as Transaction and integration costs in the Consolidated Statements of Operations and Comprehensive Income. The results of operations of acquired businesses are included in the Company’s Consolidated Statements of Operations and Comprehensive Income from the date of acquisition.</w:t>
      </w:r>
    </w:p>
    <w:p>
      <w:pPr>
        <w:spacing w:after="0" w:line="20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203" w:lineRule="exact"/>
        <w:rPr>
          <w:sz w:val="20"/>
          <w:szCs w:val="20"/>
          <w:color w:val="auto"/>
        </w:rPr>
      </w:pPr>
    </w:p>
    <w:p>
      <w:pPr>
        <w:ind w:left="730" w:hanging="730"/>
        <w:spacing w:after="0"/>
        <w:tabs>
          <w:tab w:leader="none" w:pos="7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method investments</w:t>
      </w:r>
    </w:p>
    <w:p>
      <w:pPr>
        <w:spacing w:after="0" w:line="250" w:lineRule="exact"/>
        <w:rPr>
          <w:sz w:val="20"/>
          <w:szCs w:val="20"/>
          <w:color w:val="auto"/>
        </w:rPr>
      </w:pPr>
    </w:p>
    <w:p>
      <w:pPr>
        <w:ind w:left="10" w:right="100"/>
        <w:spacing w:after="0" w:line="253" w:lineRule="auto"/>
        <w:rPr>
          <w:sz w:val="20"/>
          <w:szCs w:val="20"/>
          <w:color w:val="auto"/>
        </w:rPr>
      </w:pPr>
      <w:r>
        <w:rPr>
          <w:rFonts w:ascii="Times New Roman" w:cs="Times New Roman" w:eastAsia="Times New Roman" w:hAnsi="Times New Roman"/>
          <w:sz w:val="20"/>
          <w:szCs w:val="20"/>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Income (loss) from equity method investments in the Consolidated Statements of Operations and Comprehensive Income. When the Company’s share of losses in an investee equals or exceeds the carrying value of the investment, no further losses are recognized unless the Company has incurred obligations or made payments on behalf of the investee.</w:t>
      </w:r>
    </w:p>
    <w:p>
      <w:pPr>
        <w:spacing w:after="0" w:line="211" w:lineRule="exact"/>
        <w:rPr>
          <w:sz w:val="20"/>
          <w:szCs w:val="20"/>
          <w:color w:val="auto"/>
        </w:rPr>
      </w:pPr>
    </w:p>
    <w:p>
      <w:pPr>
        <w:ind w:left="10" w:right="280"/>
        <w:spacing w:after="0" w:line="309" w:lineRule="auto"/>
        <w:rPr>
          <w:sz w:val="20"/>
          <w:szCs w:val="20"/>
          <w:color w:val="auto"/>
        </w:rPr>
      </w:pPr>
      <w:r>
        <w:rPr>
          <w:rFonts w:ascii="Times New Roman" w:cs="Times New Roman" w:eastAsia="Times New Roman" w:hAnsi="Times New Roman"/>
          <w:sz w:val="19"/>
          <w:szCs w:val="19"/>
          <w:color w:val="auto"/>
        </w:rPr>
        <w:t>The Company periodically assesses if impairment indicators exist at equity method investments. When an impairment is observed, any excess of the carrying amount over its estimated fair value is recognized as impairment expense when the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F-18</w:t>
      </w:r>
    </w:p>
    <w:p>
      <w:pPr>
        <w:sectPr>
          <w:pgSz w:w="12240" w:h="15840" w:orient="portrait"/>
          <w:cols w:equalWidth="0" w:num="1">
            <w:col w:w="9910"/>
          </w:cols>
          <w:pgMar w:left="1170" w:top="838" w:right="1160" w:bottom="0" w:gutter="0" w:footer="0" w:header="0"/>
          <w:type w:val="continuous"/>
        </w:sectPr>
      </w:pPr>
    </w:p>
    <w:bookmarkStart w:id="113" w:name="page114"/>
    <w:bookmarkEnd w:id="113"/>
    <w:p>
      <w:pPr>
        <w:ind w:left="10" w:right="720"/>
        <w:spacing w:after="0" w:line="281" w:lineRule="auto"/>
        <w:rPr>
          <w:sz w:val="20"/>
          <w:szCs w:val="20"/>
          <w:color w:val="auto"/>
        </w:rPr>
      </w:pPr>
      <w:r>
        <w:rPr>
          <w:rFonts w:ascii="Times New Roman" w:cs="Times New Roman" w:eastAsia="Times New Roman" w:hAnsi="Times New Roman"/>
          <w:sz w:val="20"/>
          <w:szCs w:val="20"/>
          <w:color w:val="auto"/>
        </w:rPr>
        <w:t>loss in value is deemed other-than-temporary and included in Income (loss) from equity method investments in the Consolidated Statements of Operations and Comprehensive Income.</w:t>
      </w:r>
    </w:p>
    <w:p>
      <w:pPr>
        <w:spacing w:after="0" w:line="181"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auto"/>
        </w:rPr>
        <w:t>In relation to the Company's 20% equity interest in Energos, the Company elected to recognize its proportional share of the income or loss from the equity method investment on a financial reporting lag of one fiscal quarter. The Company has not elected to recognize the results of other equity method investments on a financial reporting lag.</w:t>
      </w:r>
    </w:p>
    <w:p>
      <w:pPr>
        <w:spacing w:after="0" w:line="195" w:lineRule="exact"/>
        <w:rPr>
          <w:sz w:val="20"/>
          <w:szCs w:val="20"/>
          <w:color w:val="auto"/>
        </w:rPr>
      </w:pPr>
    </w:p>
    <w:p>
      <w:pPr>
        <w:ind w:left="730" w:hanging="730"/>
        <w:spacing w:after="0"/>
        <w:tabs>
          <w:tab w:leader="none" w:pos="73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control of subsidiary</w:t>
      </w:r>
    </w:p>
    <w:p>
      <w:pPr>
        <w:spacing w:after="0" w:line="250"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auto"/>
        </w:rPr>
        <w:t>When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and Comprehensive Income, measured by the difference between the aggregate of the fair value of the consolidation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will also de-recognize any amounts previously recorded in other comprehensive income.</w:t>
      </w:r>
    </w:p>
    <w:p>
      <w:pPr>
        <w:spacing w:after="0" w:line="213" w:lineRule="exact"/>
        <w:rPr>
          <w:sz w:val="20"/>
          <w:szCs w:val="20"/>
          <w:color w:val="auto"/>
        </w:rPr>
      </w:pPr>
    </w:p>
    <w:p>
      <w:pPr>
        <w:ind w:left="730" w:hanging="730"/>
        <w:spacing w:after="0"/>
        <w:tabs>
          <w:tab w:leader="none" w:pos="73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204"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Derivatives</w:t>
      </w:r>
    </w:p>
    <w:p>
      <w:pPr>
        <w:spacing w:after="0" w:line="250" w:lineRule="exact"/>
        <w:rPr>
          <w:sz w:val="20"/>
          <w:szCs w:val="20"/>
          <w:color w:val="auto"/>
        </w:rPr>
      </w:pPr>
    </w:p>
    <w:p>
      <w:pPr>
        <w:ind w:left="10" w:right="60"/>
        <w:spacing w:after="0" w:line="254" w:lineRule="auto"/>
        <w:rPr>
          <w:sz w:val="20"/>
          <w:szCs w:val="20"/>
          <w:color w:val="auto"/>
        </w:rPr>
      </w:pPr>
      <w:r>
        <w:rPr>
          <w:rFonts w:ascii="Times New Roman" w:cs="Times New Roman" w:eastAsia="Times New Roman" w:hAnsi="Times New Roman"/>
          <w:sz w:val="20"/>
          <w:szCs w:val="20"/>
          <w:color w:val="auto"/>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 Cash inflows and outflows related to commodity derivatives and interest rate swap are classified as cash flows from operating activities in the Consolidated Statements of Cash Flows.</w:t>
      </w:r>
    </w:p>
    <w:p>
      <w:pPr>
        <w:spacing w:after="0" w:line="213" w:lineRule="exact"/>
        <w:rPr>
          <w:sz w:val="20"/>
          <w:szCs w:val="20"/>
          <w:color w:val="auto"/>
        </w:rPr>
      </w:pPr>
    </w:p>
    <w:p>
      <w:pPr>
        <w:ind w:left="10" w:right="100"/>
        <w:spacing w:after="0" w:line="275" w:lineRule="auto"/>
        <w:rPr>
          <w:sz w:val="20"/>
          <w:szCs w:val="20"/>
          <w:color w:val="auto"/>
        </w:rPr>
      </w:pPr>
      <w:r>
        <w:rPr>
          <w:rFonts w:ascii="Times New Roman" w:cs="Times New Roman" w:eastAsia="Times New Roman" w:hAnsi="Times New Roman"/>
          <w:sz w:val="19"/>
          <w:szCs w:val="19"/>
          <w:color w:val="auto"/>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 w:cs="Times New Roman" w:eastAsia="Times New Roman" w:hAnsi="Times New Roman"/>
          <w:sz w:val="19"/>
          <w:szCs w:val="19"/>
          <w:b w:val="1"/>
          <w:bCs w:val="1"/>
          <w:i w:val="1"/>
          <w:iCs w:val="1"/>
          <w:color w:val="auto"/>
        </w:rPr>
        <w:t>Derivatives and Hedging</w:t>
      </w:r>
      <w:r>
        <w:rPr>
          <w:rFonts w:ascii="Times New Roman" w:cs="Times New Roman" w:eastAsia="Times New Roman" w:hAnsi="Times New Roman"/>
          <w:sz w:val="19"/>
          <w:szCs w:val="19"/>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81" w:lineRule="exact"/>
        <w:rPr>
          <w:sz w:val="20"/>
          <w:szCs w:val="20"/>
          <w:color w:val="auto"/>
        </w:rPr>
      </w:pPr>
    </w:p>
    <w:p>
      <w:pPr>
        <w:ind w:left="730" w:hanging="730"/>
        <w:spacing w:after="0"/>
        <w:tabs>
          <w:tab w:leader="none" w:pos="73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new and revised standards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New standards, amendments and interpretations issued but not effective for the year beginning January 1, 2023:</w:t>
      </w:r>
    </w:p>
    <w:p>
      <w:pPr>
        <w:spacing w:after="0" w:line="246"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 xml:space="preserve">In October 2023, the FASB issued ASU 2023-06, </w:t>
      </w:r>
      <w:r>
        <w:rPr>
          <w:rFonts w:ascii="Times New Roman" w:cs="Times New Roman" w:eastAsia="Times New Roman" w:hAnsi="Times New Roman"/>
          <w:sz w:val="20"/>
          <w:szCs w:val="20"/>
          <w:b w:val="1"/>
          <w:bCs w:val="1"/>
          <w:i w:val="1"/>
          <w:iCs w:val="1"/>
          <w:color w:val="auto"/>
        </w:rPr>
        <w:t>Disclosure Improvements</w:t>
      </w:r>
      <w:r>
        <w:rPr>
          <w:rFonts w:ascii="Times New Roman" w:cs="Times New Roman" w:eastAsia="Times New Roman" w:hAnsi="Times New Roman"/>
          <w:sz w:val="20"/>
          <w:szCs w:val="20"/>
          <w:color w:val="auto"/>
        </w:rPr>
        <w:t>, to clarify or improve disclosure and presentation requirements of a variety of topics and align the requirements in the FASB accounting standard codification (ASC) with the SEC's regulations. The amendments in ASU 2023-06 will be effective on the date the related disclosures are removed from Regulation S-X or Regulation S-K by the SEC, and will no longer be effective if the SEC has not removed the applicable disclosure requirement by June 30, 2027. Early adoption is prohibited. Although ASU 2023-06 incorporates certain existing or incremental requirements of Regulation S-X into the Codification, those amendments do not affect the information that is already included in the audited financial statements of entities subject to the SEC’s current disclosure or presentation requirements. The Company has determined there is no material impact which will result from adoption of the ASU.</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F-19</w:t>
      </w:r>
    </w:p>
    <w:p>
      <w:pPr>
        <w:sectPr>
          <w:pgSz w:w="12240" w:h="15840" w:orient="portrait"/>
          <w:cols w:equalWidth="0" w:num="1">
            <w:col w:w="9890"/>
          </w:cols>
          <w:pgMar w:left="1170" w:top="838" w:right="1180" w:bottom="0" w:gutter="0" w:footer="0" w:header="0"/>
          <w:type w:val="continuous"/>
        </w:sectPr>
      </w:pPr>
    </w:p>
    <w:bookmarkStart w:id="114" w:name="page115"/>
    <w:bookmarkEnd w:id="114"/>
    <w:p>
      <w:pPr>
        <w:ind w:left="10" w:right="20"/>
        <w:spacing w:after="0" w:line="269" w:lineRule="auto"/>
        <w:rPr>
          <w:sz w:val="20"/>
          <w:szCs w:val="20"/>
          <w:color w:val="auto"/>
        </w:rPr>
      </w:pPr>
      <w:r>
        <w:rPr>
          <w:rFonts w:ascii="Times New Roman" w:cs="Times New Roman" w:eastAsia="Times New Roman" w:hAnsi="Times New Roman"/>
          <w:sz w:val="19"/>
          <w:szCs w:val="19"/>
          <w:color w:val="auto"/>
        </w:rPr>
        <w:t xml:space="preserve">In November 2023, the FASB issued ASU 2023-07, </w:t>
      </w:r>
      <w:r>
        <w:rPr>
          <w:rFonts w:ascii="Times New Roman" w:cs="Times New Roman" w:eastAsia="Times New Roman" w:hAnsi="Times New Roman"/>
          <w:sz w:val="19"/>
          <w:szCs w:val="19"/>
          <w:b w:val="1"/>
          <w:bCs w:val="1"/>
          <w:i w:val="1"/>
          <w:iCs w:val="1"/>
          <w:color w:val="auto"/>
        </w:rPr>
        <w:t>Segment Reporting (Topic 280): Improvements to Reportable Segment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Disclosures</w:t>
      </w:r>
      <w:r>
        <w:rPr>
          <w:rFonts w:ascii="Times New Roman" w:cs="Times New Roman" w:eastAsia="Times New Roman" w:hAnsi="Times New Roman"/>
          <w:sz w:val="19"/>
          <w:szCs w:val="19"/>
          <w:color w:val="auto"/>
        </w:rPr>
        <w:t>. ASU 2023-07 requires disclosure of significant segment expenses and other segment items that are regularly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provided to the CODM and included within each reported measure of segment profit or loss, and the title and position of the entity’s CODM. The amendments in this update also require entities to provide in interim periods all disclosures about a reportable segment’s profit or loss and assets that are currently required annually. ASU 2023-07 will be effective for fiscal years beginning after December 15, 2023, and interim periods within fiscal years beginning after December 15, 2024. Early adoption is permitted, and the amendments in this update are required to be applied retrospectively to all periods presented in the financial statements, unless it is impracticable. The Company is currently reviewing the impact that the adoption of ASU 2023-07 may have on the Company's consolidated financial statements and disclosures.</w:t>
      </w:r>
    </w:p>
    <w:p>
      <w:pPr>
        <w:spacing w:after="0" w:line="196"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is currently reviewing the impact that the adoption of ASU 2023-09 may have on the Company's consolidated financial statements and disclosures.</w:t>
      </w:r>
    </w:p>
    <w:p>
      <w:pPr>
        <w:spacing w:after="0" w:line="209"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88" w:lineRule="exact"/>
        <w:rPr>
          <w:sz w:val="20"/>
          <w:szCs w:val="20"/>
          <w:color w:val="auto"/>
        </w:rPr>
      </w:pPr>
    </w:p>
    <w:p>
      <w:pPr>
        <w:ind w:left="730" w:hanging="730"/>
        <w:spacing w:after="0"/>
        <w:tabs>
          <w:tab w:leader="none" w:pos="73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Hygo Merger</w:t>
      </w:r>
    </w:p>
    <w:p>
      <w:pPr>
        <w:spacing w:after="0" w:line="254" w:lineRule="exact"/>
        <w:rPr>
          <w:sz w:val="20"/>
          <w:szCs w:val="20"/>
          <w:color w:val="auto"/>
        </w:rPr>
      </w:pPr>
    </w:p>
    <w:p>
      <w:pPr>
        <w:ind w:left="10" w:right="60"/>
        <w:spacing w:after="0" w:line="253" w:lineRule="auto"/>
        <w:rPr>
          <w:sz w:val="20"/>
          <w:szCs w:val="20"/>
          <w:color w:val="auto"/>
        </w:rPr>
      </w:pPr>
      <w:r>
        <w:rPr>
          <w:rFonts w:ascii="Times New Roman" w:cs="Times New Roman" w:eastAsia="Times New Roman" w:hAnsi="Times New Roman"/>
          <w:sz w:val="20"/>
          <w:szCs w:val="20"/>
          <w:color w:val="auto"/>
        </w:rPr>
        <w:t xml:space="preserve">On April 15, 2021, the Company completed the acquisition of all of the outstanding common and preferred shares representing all voting interests of Hygo Energy Transition Ltd. ("Hygo"), a 50-50 joint venture between Golar LNG Limited (“GLNG”) and Stonepeak Infrastructure Fund II Cayman (G) Ltd., a fund managed by Stonepeak Infrastructure Partners (“Stonepeak”), in exchange for 31,372,549 shares of NFE Class A common stock and $580,000 in cash (the "Hygo Merger"). The acquisition of Hygo expanded the Company’s footprint in South America with three gas-to-power projects in Brazil’s large and fast-growing market. The Company acquired a 50% interest in Centrais Elétricas de Sergipe Participações S.A. (“CELSEPAR”); CELSEPAR owns 100% of the share capital of Centrais Elétricas de Sergipe S.A. (“CELSE”), the owner and operator of a 1.5GW power plant in Sergipe, Brazil (the "Sergipe Power Plant"). Assets acquired also included an operating FSRU terminal in Sergipe, Brazil (the "Sergipe Facility"), as well as a terminal and power plant under development in State of Pará, Brazil (the "Barcarena Facility" and "Barcarena Power Plant," respectively), and a terminal under development on the southern coast of Brazil (the "Santa Catarina Facility"). In addition, the Company also acquired two LNG carriers and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 newbuild FSRU moored and in service at the Sergipe Facility.</w:t>
      </w:r>
    </w:p>
    <w:p>
      <w:pPr>
        <w:spacing w:after="0" w:line="208"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Based on the closing price of NFE’s common stock on April 15, 2021, the total value of consideration in the Hygo Merger was $1.98 billion, shown as follows:</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71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consideration for Hygo Preferred Shares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consideration for Hygo Common Shares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Cash Consideration</w:t>
            </w:r>
          </w:p>
        </w:tc>
        <w:tc>
          <w:tcPr>
            <w:tcW w:w="2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580,000</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Merger consideration to be paid in shares of NFE Common Stock</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1,400,784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Non-Cash Consideration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1,400,784</w:t>
            </w:r>
          </w:p>
        </w:tc>
        <w:tc>
          <w:tcPr>
            <w:tcW w:w="0" w:type="dxa"/>
            <w:vAlign w:val="bottom"/>
          </w:tcPr>
          <w:p>
            <w:pPr>
              <w:spacing w:after="0"/>
              <w:rPr>
                <w:sz w:val="1"/>
                <w:szCs w:val="1"/>
                <w:color w:val="auto"/>
              </w:rPr>
            </w:pP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Consideration</w:t>
            </w:r>
          </w:p>
        </w:tc>
        <w:tc>
          <w:tcPr>
            <w:tcW w:w="28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1,980,784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-1161415</wp:posOffset>
            </wp:positionV>
            <wp:extent cx="6311900" cy="1168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6">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pacing w:after="0" w:line="248" w:lineRule="exact"/>
        <w:rPr>
          <w:sz w:val="20"/>
          <w:szCs w:val="20"/>
          <w:color w:val="auto"/>
        </w:rPr>
      </w:pPr>
    </w:p>
    <w:p>
      <w:pPr>
        <w:ind w:left="10" w:right="200"/>
        <w:spacing w:after="0" w:line="309" w:lineRule="auto"/>
        <w:rPr>
          <w:sz w:val="20"/>
          <w:szCs w:val="20"/>
          <w:color w:val="auto"/>
        </w:rPr>
      </w:pPr>
      <w:r>
        <w:rPr>
          <w:rFonts w:ascii="Times New Roman" w:cs="Times New Roman" w:eastAsia="Times New Roman" w:hAnsi="Times New Roman"/>
          <w:sz w:val="19"/>
          <w:szCs w:val="19"/>
          <w:color w:val="auto"/>
        </w:rPr>
        <w:t>The Company determined it was the accounting acquirer of Hygo, which was accounted for under the acquisition method of accounting for business combinations. The total purchase price of the transaction was allocated to identifiable assets</w:t>
      </w:r>
    </w:p>
    <w:p>
      <w:pPr>
        <w:sectPr>
          <w:pgSz w:w="12240" w:h="15840" w:orient="portrait"/>
          <w:cols w:equalWidth="0" w:num="1">
            <w:col w:w="9910"/>
          </w:cols>
          <w:pgMar w:left="1170" w:top="834" w:right="116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F-20</w:t>
      </w:r>
    </w:p>
    <w:p>
      <w:pPr>
        <w:sectPr>
          <w:pgSz w:w="12240" w:h="15840" w:orient="portrait"/>
          <w:cols w:equalWidth="0" w:num="1">
            <w:col w:w="9910"/>
          </w:cols>
          <w:pgMar w:left="1170" w:top="834" w:right="1160" w:bottom="0" w:gutter="0" w:footer="0" w:header="0"/>
          <w:type w:val="continuous"/>
        </w:sectPr>
      </w:pPr>
    </w:p>
    <w:bookmarkStart w:id="115" w:name="page116"/>
    <w:bookmarkEnd w:id="115"/>
    <w:p>
      <w:pPr>
        <w:jc w:val="both"/>
        <w:ind w:right="100"/>
        <w:spacing w:after="0" w:line="266" w:lineRule="auto"/>
        <w:rPr>
          <w:sz w:val="20"/>
          <w:szCs w:val="20"/>
          <w:color w:val="auto"/>
        </w:rPr>
      </w:pPr>
      <w:r>
        <w:rPr>
          <w:rFonts w:ascii="Times New Roman" w:cs="Times New Roman" w:eastAsia="Times New Roman" w:hAnsi="Times New Roman"/>
          <w:sz w:val="20"/>
          <w:szCs w:val="20"/>
          <w:color w:val="auto"/>
        </w:rPr>
        <w:t>acquired, liabilities assumed and non-controlling interests of Hygo based on their respective estimated fair values as of the closing date. The final adjusted fair values assigned to the assets acquired, liabilities assumed and non-controlling interests of Hygo as of the closing date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8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Hygo</w:t>
            </w: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854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48,183</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Inventory</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assets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 under development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128,625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385,389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method investments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823,521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assets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52,996</w:t>
            </w:r>
          </w:p>
        </w:tc>
        <w:tc>
          <w:tcPr>
            <w:tcW w:w="0" w:type="dxa"/>
            <w:vAlign w:val="bottom"/>
          </w:tcPr>
          <w:p>
            <w:pPr>
              <w:spacing w:after="0"/>
              <w:rPr>
                <w:sz w:val="1"/>
                <w:szCs w:val="1"/>
                <w:color w:val="auto"/>
              </w:rPr>
            </w:pPr>
          </w:p>
        </w:tc>
      </w:tr>
      <w:tr>
        <w:trPr>
          <w:trHeight w:val="28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acquired: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2,081,663</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38,712</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433,778</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273,682</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21,520</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assumed:</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823,395</w:t>
            </w: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38,306</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assets acquired: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1,219,962</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-4590415</wp:posOffset>
            </wp:positionV>
            <wp:extent cx="6311900" cy="4597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7">
                      <a:extLst>
                        <a:ext uri="{28A0092B-C50C-407E-A947-70E740481C1C}"/>
                      </a:extLst>
                    </a:blip>
                    <a:srcRect/>
                    <a:stretch>
                      <a:fillRect/>
                    </a:stretch>
                  </pic:blipFill>
                  <pic:spPr bwMode="auto">
                    <a:xfrm>
                      <a:off x="0" y="0"/>
                      <a:ext cx="6311900" cy="4597400"/>
                    </a:xfrm>
                    <a:prstGeom prst="rect">
                      <a:avLst/>
                    </a:prstGeom>
                    <a:noFill/>
                  </pic:spPr>
                </pic:pic>
              </a:graphicData>
            </a:graphic>
          </wp:anchor>
        </w:drawing>
      </w: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fair value of Hygo’s non-controlling interest (“NCI”) as of April 15, 2021 was $38,306, including the fair value of the net assets of VIEs that Hygo had consolidated. These VIEs were SPVs (defined below) for the sale and leaseback of certain vessels, and Hygo had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204"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auto"/>
        </w:rPr>
        <w:t>The fair value of receivables acquired from Hygo was $8,009, which approximated the gross contractual amount; no material amounts were expected to be uncollectible.</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GILTI computation.</w:t>
      </w:r>
    </w:p>
    <w:p>
      <w:pPr>
        <w:spacing w:after="0" w:line="203" w:lineRule="exact"/>
        <w:rPr>
          <w:sz w:val="20"/>
          <w:szCs w:val="20"/>
          <w:color w:val="auto"/>
        </w:rPr>
      </w:pPr>
    </w:p>
    <w:p>
      <w:pPr>
        <w:jc w:val="both"/>
        <w:ind w:right="360"/>
        <w:spacing w:after="0" w:line="286" w:lineRule="auto"/>
        <w:rPr>
          <w:sz w:val="20"/>
          <w:szCs w:val="20"/>
          <w:color w:val="auto"/>
        </w:rPr>
      </w:pPr>
      <w:r>
        <w:rPr>
          <w:rFonts w:ascii="Times New Roman" w:cs="Times New Roman" w:eastAsia="Times New Roman" w:hAnsi="Times New Roman"/>
          <w:sz w:val="19"/>
          <w:szCs w:val="19"/>
          <w:color w:val="auto"/>
        </w:rPr>
        <w:t>The Company’s results of operations for the year ended December 31, 2023 include Hygo’s result of operations for the entire period. Revenue and net loss attributable to Hygo during the period was $5,465 and $11,389, respectively, which excludes revenue generated from the acquired vessels after the Energos Formation Transaction on August 15, 2022.</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ectPr>
          <w:pgSz w:w="12240" w:h="15840" w:orient="portrait"/>
          <w:cols w:equalWidth="0" w:num="1">
            <w:col w:w="9900"/>
          </w:cols>
          <w:pgMar w:left="1180" w:top="838"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i w:val="1"/>
          <w:iCs w:val="1"/>
          <w:color w:val="auto"/>
        </w:rPr>
        <w:t>GMLP Merger</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On April 15, 2021, the Company completed the acquisition of all of the outstanding common units, representing all voting interests, of Golar LNG Partners LP ("GMLP") in exchange for $3.55 in cash per common unit and for each of the outstanding membership interest of GMLP’s general partner (the "GMLP Merger, and collectively with the Hygo Merger, the "Mergers"). In conjunction with the closing of the GMLP Merger, NFE simultaneously extinguished a portion of GMLP’s debt for total consideration of $1.15 billion.</w:t>
      </w:r>
    </w:p>
    <w:p>
      <w:pPr>
        <w:spacing w:after="0" w:line="2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As a result of the GMLP Merger, the Company acquired a fleet of six FSRUs and four LNG carriers to support the Company's existing facilities and international business development pipeline. Assets acquired also included an interest in a floating natural gas liquefaction vessel (“FLNG”), the Hilli Episeyo (the "Hilli").</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The consideration paid by the Company in the GMLP Merger was as follows: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72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72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Common Units ($3.55 per unit x 69,301,636 units)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General Partner Interest ($3.55 per unit x 1,436,391 units)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Partnership Phantom Units ($3.55 per unit x 58,960 units)</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Cash Consideration</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251,329</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debt repaid in acquisition</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899,792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Cash Consideration</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1,151,121</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settlement of preexisting relationship</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Consideration</w:t>
            </w:r>
          </w:p>
        </w:tc>
        <w:tc>
          <w:tcPr>
            <w:tcW w:w="36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-1542415</wp:posOffset>
            </wp:positionV>
            <wp:extent cx="6311900" cy="1549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8">
                      <a:extLst>
                        <a:ext uri="{28A0092B-C50C-407E-A947-70E740481C1C}"/>
                      </a:extLst>
                    </a:blip>
                    <a:srcRect/>
                    <a:stretch>
                      <a:fillRect/>
                    </a:stretch>
                  </pic:blipFill>
                  <pic:spPr bwMode="auto">
                    <a:xfrm>
                      <a:off x="0" y="0"/>
                      <a:ext cx="6311900" cy="1549400"/>
                    </a:xfrm>
                    <a:prstGeom prst="rect">
                      <a:avLst/>
                    </a:prstGeom>
                    <a:noFill/>
                  </pic:spPr>
                </pic:pic>
              </a:graphicData>
            </a:graphic>
          </wp:anchor>
        </w:drawing>
      </w: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 The final adjusted fair values assigned to the assets acquired, liabilities assumed and non-controlling interests of GMLP as of the closing date were as follows: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ectPr>
          <w:pgSz w:w="12240" w:h="15840" w:orient="portrait"/>
          <w:cols w:equalWidth="0" w:num="1">
            <w:col w:w="9900"/>
          </w:cols>
          <w:pgMar w:left="1180" w:top="834" w:right="1160" w:bottom="0" w:gutter="0" w:footer="0" w:header="0"/>
          <w:type w:val="continuous"/>
        </w:sectPr>
      </w:pPr>
    </w:p>
    <w:bookmarkStart w:id="117" w:name="page118"/>
    <w:bookmarkEnd w:id="117"/>
    <w:tbl>
      <w:tblPr>
        <w:tblLayout w:type="fixed"/>
        <w:tblInd w:w="4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8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GMLP</w:t>
            </w: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854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41,461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Inventory</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assets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method investments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1,063,215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Intangible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assets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4,400</w:t>
            </w:r>
          </w:p>
        </w:tc>
        <w:tc>
          <w:tcPr>
            <w:tcW w:w="0" w:type="dxa"/>
            <w:vAlign w:val="bottom"/>
          </w:tcPr>
          <w:p>
            <w:pPr>
              <w:spacing w:after="0"/>
              <w:rPr>
                <w:sz w:val="1"/>
                <w:szCs w:val="1"/>
                <w:color w:val="auto"/>
              </w:rPr>
            </w:pPr>
          </w:p>
        </w:tc>
      </w:tr>
      <w:tr>
        <w:trPr>
          <w:trHeight w:val="28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acquired: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1,604,990</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158,073</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73,774</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14,907</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10,630</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assumed:</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277,629</w:t>
            </w: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196,156</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assets to be acquired: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1,131,205</w:t>
            </w:r>
          </w:p>
        </w:tc>
        <w:tc>
          <w:tcPr>
            <w:tcW w:w="0" w:type="dxa"/>
            <w:vAlign w:val="bottom"/>
          </w:tcPr>
          <w:p>
            <w:pPr>
              <w:spacing w:after="0"/>
              <w:rPr>
                <w:sz w:val="1"/>
                <w:szCs w:val="1"/>
                <w:color w:val="auto"/>
              </w:rPr>
            </w:pPr>
          </w:p>
        </w:tc>
      </w:tr>
      <w:tr>
        <w:trPr>
          <w:trHeight w:val="26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-4212590</wp:posOffset>
            </wp:positionV>
            <wp:extent cx="6311900" cy="4219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9">
                      <a:extLst>
                        <a:ext uri="{28A0092B-C50C-407E-A947-70E740481C1C}"/>
                      </a:extLst>
                    </a:blip>
                    <a:srcRect/>
                    <a:stretch>
                      <a:fillRect/>
                    </a:stretch>
                  </pic:blipFill>
                  <pic:spPr bwMode="auto">
                    <a:xfrm>
                      <a:off x="0" y="0"/>
                      <a:ext cx="6311900" cy="4219575"/>
                    </a:xfrm>
                    <a:prstGeom prst="rect">
                      <a:avLst/>
                    </a:prstGeom>
                    <a:noFill/>
                  </pic:spPr>
                </pic:pic>
              </a:graphicData>
            </a:graphic>
          </wp:anchor>
        </w:drawing>
      </w:r>
    </w:p>
    <w:p>
      <w:pPr>
        <w:spacing w:after="0" w:line="2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 xml:space="preserve">The fair value of GMLP’s NCI as of April 15, 2021 was $196,156, which represents the fair value of other investors’ interest in the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GMLP’s preferred units which were not acquired by the Company and the fair value of net assets of an SPV formed for the purpose of a sale and leaseback of the </w:t>
      </w:r>
      <w:r>
        <w:rPr>
          <w:rFonts w:ascii="Times New Roman" w:cs="Times New Roman" w:eastAsia="Times New Roman" w:hAnsi="Times New Roman"/>
          <w:sz w:val="20"/>
          <w:szCs w:val="20"/>
          <w:b w:val="1"/>
          <w:bCs w:val="1"/>
          <w:i w:val="1"/>
          <w:iCs w:val="1"/>
          <w:color w:val="auto"/>
        </w:rPr>
        <w:t>Eskimo</w:t>
      </w:r>
      <w:r>
        <w:rPr>
          <w:rFonts w:ascii="Times New Roman" w:cs="Times New Roman" w:eastAsia="Times New Roman" w:hAnsi="Times New Roman"/>
          <w:sz w:val="20"/>
          <w:szCs w:val="20"/>
          <w:color w:val="auto"/>
        </w:rPr>
        <w:t>. The fair value of GMLP’s preferred units and the valuation of the SPV’s external debt and the lease receivable asset associated with the sale leaseback transaction have been estimated using a discounted cash flow method.</w:t>
      </w:r>
    </w:p>
    <w:p>
      <w:pPr>
        <w:spacing w:after="0" w:line="20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The fair value of receivables acquired from GMLP was $4,797, which approximated the gross contractual amount; no material amounts were expected to be uncollectible.</w:t>
      </w:r>
    </w:p>
    <w:p>
      <w:pPr>
        <w:spacing w:after="0" w:line="18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The Company acquired favorable and unfavorable leases for the use of GMLP’s vessels. The fair value of the favorable contracts was $106,500 and the fair value of the unfavorable contracts was $13,400. The total weighted average amortization period was approximately three years, and the unfavorable contract liability had a weighted average amortization period of approximately one year.</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Consolidated Statements of Operations and Comprehensive Income in the second quarter of 2021.</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Company’s results of operations for the year ended December 31, 2023 include GMLP’s result of operations from the entire period. Revenue and net loss attributable to GMLP during this period was $0 and $33,148, respectively, which excludes revenue generated from the acquired vessels after the Energos Formation Transaction on August 15, 2022.</w:t>
      </w:r>
    </w:p>
    <w:p>
      <w:pPr>
        <w:sectPr>
          <w:pgSz w:w="12240" w:h="15840" w:orient="portrait"/>
          <w:cols w:equalWidth="0" w:num="1">
            <w:col w:w="9900"/>
          </w:cols>
          <w:pgMar w:left="1180" w:top="90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ectPr>
          <w:pgSz w:w="12240" w:h="15840" w:orient="portrait"/>
          <w:cols w:equalWidth="0" w:num="1">
            <w:col w:w="9900"/>
          </w:cols>
          <w:pgMar w:left="1180" w:top="902" w:right="1160" w:bottom="0" w:gutter="0" w:footer="0" w:header="0"/>
          <w:type w:val="continuous"/>
        </w:sectPr>
      </w:pPr>
    </w:p>
    <w:bookmarkStart w:id="118" w:name="page119"/>
    <w:bookmarkEnd w:id="118"/>
    <w:p>
      <w:pPr>
        <w:ind w:right="280"/>
        <w:spacing w:after="0" w:line="309" w:lineRule="auto"/>
        <w:rPr>
          <w:sz w:val="20"/>
          <w:szCs w:val="20"/>
          <w:color w:val="auto"/>
        </w:rPr>
      </w:pPr>
      <w:r>
        <w:rPr>
          <w:rFonts w:ascii="Times New Roman" w:cs="Times New Roman" w:eastAsia="Times New Roman" w:hAnsi="Times New Roman"/>
          <w:sz w:val="19"/>
          <w:szCs w:val="19"/>
          <w:color w:val="auto"/>
        </w:rPr>
        <w:t>Acquisition costs associated with the Mergers of $33,907 for the year ended December 31, 2021 were included in Transaction and integration costs in the Company’s Consolidated Statements of Operations and Comprehensive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 pro forma financial information</w:t>
      </w:r>
    </w:p>
    <w:p>
      <w:pPr>
        <w:spacing w:after="0" w:line="254"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unaudited pro forma condensed financial information of the Company as if the Mergers had occurred on January 1, 2020.</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26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1,429,361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813,079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(339,909)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stockholders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0">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spacing w:after="0" w:line="20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Pro forma net income (loss) for the year ended December 31, 2020 includes non-recurring expenses associated with the Mergers of $37,885; such non-recurring expenses have been removed from the pro forma financial information for the year ended December 31,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CH4 Energia Ltda.</w:t>
      </w:r>
    </w:p>
    <w:p>
      <w:pPr>
        <w:spacing w:after="0" w:line="2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On January 12, 2021, the Company acquired 100% of the outstanding shares of CH4 Energia Ltda. (“CH4”), an entity that owns key permits and authorizations to develop an LNG terminal. The purchase consideration consisted of $903 of cash paid at closing in addition to potential future payments contingent on achieving certain construction milestones of up to approximately $3,600. As the contingent payments met the definition of a derivative, the fair value of the contingent payments as of the acquisition date of $3,047 was included as part of the purchase consideration and was recognized in Other long-term liabilities on the Consolidated Balance Sheets.</w:t>
      </w:r>
    </w:p>
    <w:p>
      <w:pPr>
        <w:spacing w:after="0" w:line="20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purchase of CH4 was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Pecém Energia S.A. and Energetica Camacari Muricy II S.A.</w:t>
      </w:r>
    </w:p>
    <w:p>
      <w:pPr>
        <w:spacing w:after="0" w:line="2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purchase consideration consisted of $8,041 of cash paid at closing in addition to potential future payments contingent on achieving commercial operations of a gas-fired power plant of up to approximately $10.5 million. As the contingent payments met the definition of a derivative, the fair value of the contingent payments as of the acquisition date of $7,473 was included as part of the purchase consideration and was recognized in Other long-term liabilities on the Consolidated Balance Sheets. The selling shareholders may also receive future payments based on power generated by a power plant, subject to a maximum payment of approximately $4.6 million.</w:t>
      </w:r>
    </w:p>
    <w:p>
      <w:pPr>
        <w:spacing w:after="0" w:line="208"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9"/>
          <w:szCs w:val="19"/>
          <w:color w:val="auto"/>
        </w:rPr>
        <w:t>The purchases of Pecém and Muricy were accounted for as asset acquisitions. As a result, no goodwill was recorded, and the Company’s acquisition-related costs of $1,275 were included in the purchase consideration. Of the total purchase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ectPr>
          <w:pgSz w:w="12240" w:h="15840" w:orient="portrait"/>
          <w:cols w:equalWidth="0" w:num="1">
            <w:col w:w="9900"/>
          </w:cols>
          <w:pgMar w:left="1180" w:top="838" w:right="1160" w:bottom="0" w:gutter="0" w:footer="0" w:header="0"/>
          <w:type w:val="continuous"/>
        </w:sectPr>
      </w:pPr>
    </w:p>
    <w:bookmarkStart w:id="119" w:name="page120"/>
    <w:bookmarkEnd w:id="119"/>
    <w:p>
      <w:pPr>
        <w:ind w:left="10" w:right="300"/>
        <w:spacing w:after="0" w:line="281" w:lineRule="auto"/>
        <w:rPr>
          <w:sz w:val="20"/>
          <w:szCs w:val="20"/>
          <w:color w:val="auto"/>
        </w:rPr>
      </w:pPr>
      <w:r>
        <w:rPr>
          <w:rFonts w:ascii="Times New Roman" w:cs="Times New Roman" w:eastAsia="Times New Roman" w:hAnsi="Times New Roman"/>
          <w:sz w:val="20"/>
          <w:szCs w:val="20"/>
          <w:color w:val="auto"/>
        </w:rPr>
        <w:t>consideration, $16,585 was allocated to acquired power purchase agreements and was recorded in Intangible assets, net, and the remaining purchase consideration was related to working capital acquired.</w:t>
      </w:r>
    </w:p>
    <w:p>
      <w:pPr>
        <w:spacing w:after="0" w:line="181"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In the fourth quarter of 2023, a consolidated indirect subsidiary of NFE completed the sale of 100% of the shares of Pecém and Muricy. The sale price included cash consideration of BRL109,547 ($22,434 using exchange rates as of December 31, 2023), of which BRL 35,019 ($7,234 using exchange rates as of December 31, 2023) will be settled in the second quarter of 2024. Consideration under this agreement also included potential future earnout payments based on the revenue generated from power purchase agreements held by Pecém and Muricy. The estimated value of the contingent payments as of the disposition date of BRL101,836 ($21,036 using exchange rates as of December 31, 2023) was included as part of the sale consideration and was recognized in Other non-current assets on the Consolidated Balance Sheets. Total consideration, including the value of contingent payments, totaled $43,470, and the Company recognized a pre-tax gain of $21,534 in Gain on sale of assets, net in the Consolidated Statements of Operations and Comprehensive Income.</w:t>
      </w:r>
    </w:p>
    <w:p>
      <w:pPr>
        <w:spacing w:after="0" w:line="202" w:lineRule="exact"/>
        <w:rPr>
          <w:sz w:val="20"/>
          <w:szCs w:val="20"/>
          <w:color w:val="auto"/>
        </w:rPr>
      </w:pPr>
    </w:p>
    <w:p>
      <w:pPr>
        <w:ind w:left="770" w:hanging="770"/>
        <w:spacing w:after="0"/>
        <w:tabs>
          <w:tab w:leader="none" w:pos="77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Energos Formation Transaction</w:t>
      </w:r>
    </w:p>
    <w:p>
      <w:pPr>
        <w:spacing w:after="0" w:line="257"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 xml:space="preserve">On August 15, 2022, the Company completed a transaction (the “Energos Formation Transaction”) with an affiliate of Apollo Global Management, Inc., pursuant to which the Company transferred ownership of 11 vessels to Energos Infrastructure ("Energos") in exchange for approximately $1.85 billion in cash and a 20% equity interest in Energos. Ten of the vessels were subject to current or future charters with the Company and one vessel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was not subject to a future NFE charter. The in-place and future charters to the Company of ten vessels prevent the recognition of the sale of those vessels to Energos, and the proceeds associated with these vessels have been treated as a failed sale leaseback. As a result, these ten vessels continue to be recognized on the Consolidated Balance Sheets as Property, plant and equipment, and the proceeds are recognized as debt ("Vessel Financing Obligation"). Consistent with this treatment as a failed sale leaseback, (i) the third party charter revenues continue to be recognized by the Company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The Company has accounted for the investment in Energos as an equity method investment; see Note 13 for further discussion of this investment.</w:t>
      </w:r>
    </w:p>
    <w:p>
      <w:pPr>
        <w:spacing w:after="0" w:line="201" w:lineRule="exact"/>
        <w:rPr>
          <w:sz w:val="20"/>
          <w:szCs w:val="20"/>
          <w:color w:val="auto"/>
        </w:rPr>
      </w:pPr>
    </w:p>
    <w:p>
      <w:pPr>
        <w:ind w:left="730" w:hanging="730"/>
        <w:spacing w:after="0"/>
        <w:tabs>
          <w:tab w:leader="none" w:pos="73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VIEs</w:t>
      </w:r>
    </w:p>
    <w:p>
      <w:pPr>
        <w:spacing w:after="0" w:line="257"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The Company assumed sale leaseback arrangements for four vessels as part of the Mergers. To effectuate a financing, the vessel was sold to a single asset entity wholly owned by the lending bank (a special purpose vehicle or "SPV") and then leased back. While the Company did not hold an equity investment in these lending entities, these entities are VIEs, and the Company had a variable interest in these lending entities due to the guarantees and fixed price repurchase options that absorb the losses of the VIE that could potentially be significant to the entity. The Company had concluded that it had the power to direct the economic activities that most impact the economic performance as it controlled the significant decisions relating to the assets and it had the obligation to absorb losses or the right to receive the residual returns from the leased asset. Therefore, the Company consolidated these lending entities. As NFE had no equity interest in these VIEs, all equity attributable to the VIEs was included in non-controlling interest in the consolidated financial statements. Transactions between NFE's wholly-owned subsidiaries and the VIEs were eliminated in consolidation, including sale leaseback transactions.</w:t>
      </w:r>
    </w:p>
    <w:p>
      <w:pPr>
        <w:spacing w:after="0" w:line="213" w:lineRule="exact"/>
        <w:rPr>
          <w:sz w:val="20"/>
          <w:szCs w:val="20"/>
          <w:color w:val="auto"/>
        </w:rPr>
      </w:pPr>
    </w:p>
    <w:p>
      <w:pPr>
        <w:jc w:val="both"/>
        <w:ind w:left="10" w:right="240"/>
        <w:spacing w:after="0" w:line="266" w:lineRule="auto"/>
        <w:rPr>
          <w:sz w:val="20"/>
          <w:szCs w:val="20"/>
          <w:color w:val="auto"/>
        </w:rPr>
      </w:pPr>
      <w:r>
        <w:rPr>
          <w:rFonts w:ascii="Times New Roman" w:cs="Times New Roman" w:eastAsia="Times New Roman" w:hAnsi="Times New Roman"/>
          <w:sz w:val="20"/>
          <w:szCs w:val="20"/>
          <w:color w:val="auto"/>
        </w:rPr>
        <w:t>One of these sale leaseback arrangements was terminated in 2021; the remaining three sale leaseback arrangements were terminated as part of the Energos Formation Transaction in the third quarter of 2022. The Company is no longer party to any lessor VIE arrangements.</w:t>
      </w:r>
    </w:p>
    <w:p>
      <w:pPr>
        <w:spacing w:after="0" w:line="195"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Prior to the Energos Formation Transaction, the most significant impact of the lessor VIEs operations on the Company’s Consolidated Statements of Operations and Comprehensive Income was an addition to interest expense of $6,348 for the year ended December 31, 2022. Upon termination of the sale leaseback financing arrangements in the third quarter of 2022, the Company recognized a loss on extinguishment of debt of $9,082 in the Consolidated Statements of Operations and Comprehensive Income.</w:t>
      </w:r>
    </w:p>
    <w:p>
      <w:pPr>
        <w:spacing w:after="0" w:line="204" w:lineRule="exact"/>
        <w:rPr>
          <w:sz w:val="20"/>
          <w:szCs w:val="20"/>
          <w:color w:val="auto"/>
        </w:rPr>
      </w:pPr>
    </w:p>
    <w:p>
      <w:pPr>
        <w:ind w:left="10" w:right="560"/>
        <w:spacing w:after="0" w:line="266" w:lineRule="auto"/>
        <w:rPr>
          <w:sz w:val="20"/>
          <w:szCs w:val="20"/>
          <w:color w:val="auto"/>
        </w:rPr>
      </w:pPr>
      <w:r>
        <w:rPr>
          <w:rFonts w:ascii="Times New Roman" w:cs="Times New Roman" w:eastAsia="Times New Roman" w:hAnsi="Times New Roman"/>
          <w:sz w:val="20"/>
          <w:szCs w:val="20"/>
          <w:color w:val="auto"/>
        </w:rPr>
        <w:t>For the period subsequent to the completion of the Mergers in 2021, the most significant impact of the lessor VIEs operations on the Company’s Consolidated Statements of Operations and Comprehensive Income was an addition to interest expense of $11,766 for the year ended December 31, 2021.</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F-25</w:t>
      </w:r>
    </w:p>
    <w:p>
      <w:pPr>
        <w:sectPr>
          <w:pgSz w:w="12240" w:h="15840" w:orient="portrait"/>
          <w:cols w:equalWidth="0" w:num="1">
            <w:col w:w="9890"/>
          </w:cols>
          <w:pgMar w:left="1170" w:top="838" w:right="1180" w:bottom="0" w:gutter="0" w:footer="0" w:header="0"/>
          <w:type w:val="continuous"/>
        </w:sectPr>
      </w:pPr>
    </w:p>
    <w:bookmarkStart w:id="120" w:name="page121"/>
    <w:bookmarkEnd w:id="120"/>
    <w:p>
      <w:pPr>
        <w:ind w:left="10" w:right="160"/>
        <w:spacing w:after="0" w:line="278" w:lineRule="auto"/>
        <w:rPr>
          <w:sz w:val="20"/>
          <w:szCs w:val="20"/>
          <w:color w:val="auto"/>
        </w:rPr>
      </w:pPr>
      <w:r>
        <w:rPr>
          <w:rFonts w:ascii="Times New Roman" w:cs="Times New Roman" w:eastAsia="Times New Roman" w:hAnsi="Times New Roman"/>
          <w:sz w:val="19"/>
          <w:szCs w:val="19"/>
          <w:color w:val="auto"/>
        </w:rPr>
        <w:t>The most significant impact of the lessor VIEs cash flows on the Consolidated Statements of Cash Flows is net cash used in financing activities of $400,622 and $236,916 for the years ended December 31, 2022 and 2021, respectively. In the second quarter of 2022, one of the lessor VIEs declared a dividend of $4,000, which was paid in the third quarter of 2022. The declared dividend was recognized as a change to non-controlling interest in the consolidated financial statements.</w:t>
      </w:r>
    </w:p>
    <w:p>
      <w:pPr>
        <w:spacing w:after="0" w:line="181" w:lineRule="exact"/>
        <w:rPr>
          <w:sz w:val="20"/>
          <w:szCs w:val="20"/>
          <w:color w:val="auto"/>
        </w:rPr>
      </w:pPr>
    </w:p>
    <w:p>
      <w:pPr>
        <w:ind w:left="730" w:hanging="730"/>
        <w:spacing w:after="0"/>
        <w:tabs>
          <w:tab w:leader="none" w:pos="73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Operating revenue in the Consolidated Statements of Operations and Comprehensive Income includes revenue from sales</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of LNG and natural gas as well as outputs from the Company’s natural gas-fueled power generation facilities, including</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power and steam, and the sale of LNG cargos. Included in operating revenue are LNG cargo sales to customers of</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$618,521, $1,175,866, and $462,695 for the years ended December 31, 2023, 2022 and 2021, respectively. LNG cargo</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sales for the year ended December 31, 2023 included $332,000 of contract settlements. The table below summarizes the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balances in Other revenue:</w:t>
      </w:r>
    </w:p>
    <w:p>
      <w:pPr>
        <w:spacing w:after="0" w:line="29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Development services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125,924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35,261</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Operation and maintenance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49,900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other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161,185</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11900" cy="800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1">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8" w:lineRule="exact"/>
        <w:rPr>
          <w:sz w:val="20"/>
          <w:szCs w:val="20"/>
          <w:color w:val="auto"/>
        </w:rPr>
      </w:pPr>
    </w:p>
    <w:p>
      <w:pPr>
        <w:jc w:val="both"/>
        <w:ind w:left="10" w:right="180"/>
        <w:spacing w:after="0" w:line="266" w:lineRule="auto"/>
        <w:rPr>
          <w:sz w:val="20"/>
          <w:szCs w:val="20"/>
          <w:color w:val="auto"/>
        </w:rPr>
      </w:pPr>
      <w:r>
        <w:rPr>
          <w:rFonts w:ascii="Times New Roman" w:cs="Times New Roman" w:eastAsia="Times New Roman" w:hAnsi="Times New Roman"/>
          <w:sz w:val="20"/>
          <w:szCs w:val="20"/>
          <w:color w:val="auto"/>
        </w:rPr>
        <w:t>Operation and maintenance revenue began to be recognized in the year ended December 31, 2023 once Genera's contract with PREPA commenced on July 1, 2023. Amounts recognized include fixed fees and the reimbursement of pass-through expenditures, and all variable consideration was fully constrained as of December 31, 2023.</w:t>
      </w:r>
    </w:p>
    <w:p>
      <w:pPr>
        <w:spacing w:after="0" w:line="195"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Under most customer contracts, invoicing occurs once the Company’s performance obligations have been satisfied, at which point payment is unconditional. As of December 31, 2023 and 2022, receivables related to revenue from contracts with customers totaled $331,108 and $280,382, respectively, and were included in Receivables, net on the Consolidated Balance Sheets, net of current expected credit losses of $1,158 and $884, respectively. Other items included in Receivables, net not related to revenue from contracts with customers represent leases, which are accounted for outside the scope of ASC 606 and receivables associated with reimbursable costs.</w:t>
      </w:r>
    </w:p>
    <w:p>
      <w:pPr>
        <w:spacing w:after="0" w:line="208"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Contract assets are comprised of the transaction price allocated to completed performance obligations that will be billed to customers in subsequent periods. The Company has recognized contract liabilities, comprised of unconditional payments due or paid under the contracts with customers prior to the Company’s satisfaction of the related performance obligations. The contract assets and contract liabilities balances as of December 31, 2023 and 2022 are detailed below:</w:t>
      </w:r>
    </w:p>
    <w:p>
      <w:pPr>
        <w:spacing w:after="0" w:line="1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8,083</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28,651</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contract assets, net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28,615</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36,734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liabilities,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liabilities,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contract liabilities,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96,985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recognized in the year from:</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Amounts included in contract liabilities at the beginning of the year</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-1908810</wp:posOffset>
            </wp:positionV>
            <wp:extent cx="6311900" cy="1930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2">
                      <a:extLst>
                        <a:ext uri="{28A0092B-C50C-407E-A947-70E740481C1C}"/>
                      </a:extLst>
                    </a:blip>
                    <a:srcRect/>
                    <a:stretch>
                      <a:fillRect/>
                    </a:stretch>
                  </pic:blipFill>
                  <pic:spPr bwMode="auto">
                    <a:xfrm>
                      <a:off x="0" y="0"/>
                      <a:ext cx="6311900" cy="1930400"/>
                    </a:xfrm>
                    <a:prstGeom prst="rect">
                      <a:avLst/>
                    </a:prstGeom>
                    <a:noFill/>
                  </pic:spPr>
                </pic:pic>
              </a:graphicData>
            </a:graphic>
          </wp:anchor>
        </w:drawing>
      </w:r>
    </w:p>
    <w:p>
      <w:pPr>
        <w:spacing w:after="0" w:line="271" w:lineRule="exact"/>
        <w:rPr>
          <w:sz w:val="20"/>
          <w:szCs w:val="20"/>
          <w:color w:val="auto"/>
        </w:rPr>
      </w:pPr>
    </w:p>
    <w:p>
      <w:pPr>
        <w:ind w:left="10" w:right="540"/>
        <w:spacing w:after="0" w:line="286" w:lineRule="auto"/>
        <w:rPr>
          <w:sz w:val="20"/>
          <w:szCs w:val="20"/>
          <w:color w:val="auto"/>
        </w:rPr>
      </w:pPr>
      <w:r>
        <w:rPr>
          <w:rFonts w:ascii="Times New Roman" w:cs="Times New Roman" w:eastAsia="Times New Roman" w:hAnsi="Times New Roman"/>
          <w:sz w:val="19"/>
          <w:szCs w:val="19"/>
          <w:color w:val="auto"/>
        </w:rPr>
        <w:t>Contract assets are presented net of expected credit losses of $326 and $401 as of December 31, 2023 and 2022, respectively. As of December 31, 2023 and 2022, contract assets were comprised of $28,536 and $36,483 of unbilled receivables, respectively, which represent unconditional rights to payment only subject to the passage of time.</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F-26</w:t>
      </w:r>
    </w:p>
    <w:p>
      <w:pPr>
        <w:sectPr>
          <w:pgSz w:w="12240" w:h="15840" w:orient="portrait"/>
          <w:cols w:equalWidth="0" w:num="1">
            <w:col w:w="9910"/>
          </w:cols>
          <w:pgMar w:left="1170" w:top="838" w:right="1160" w:bottom="0" w:gutter="0" w:footer="0" w:header="0"/>
          <w:type w:val="continuous"/>
        </w:sectPr>
      </w:pPr>
    </w:p>
    <w:bookmarkStart w:id="121" w:name="page122"/>
    <w:bookmarkEnd w:id="121"/>
    <w:p>
      <w:pPr>
        <w:ind w:right="120"/>
        <w:spacing w:after="0" w:line="266" w:lineRule="auto"/>
        <w:rPr>
          <w:sz w:val="20"/>
          <w:szCs w:val="20"/>
          <w:color w:val="auto"/>
        </w:rPr>
      </w:pPr>
      <w:r>
        <w:rPr>
          <w:rFonts w:ascii="Times New Roman" w:cs="Times New Roman" w:eastAsia="Times New Roman" w:hAnsi="Times New Roman"/>
          <w:sz w:val="20"/>
          <w:szCs w:val="20"/>
          <w:color w:val="auto"/>
        </w:rPr>
        <w:t>Contract liabilities increased during the year ended December 31, 2023 primarily due to advance payments received under the Company's contracts in Puerto Rico to provide temporary power and to operate and maintain PREPA's power generation assets. These payments will be recognized as revenue over the expected term of these contracts.</w:t>
      </w:r>
    </w:p>
    <w:p>
      <w:pPr>
        <w:spacing w:after="0" w:line="1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Company has recognized costs to fulfill a contract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December 31, 2023, the Company has capitalized $25,282, of which $2,864 of these costs is presented within Prepaid and other current assets and $22,418 is presented within Other non-current assets on the Consolidated Balance Sheets. As of December 31, 2022, the Company had capitalized $10,377, of which $604 of these costs was presented within Prepaid and other current assets and $9,773 was presented within Other non-current assets on the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2,073,254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1,606,743</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685,108</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681,418</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667,251</w:t>
            </w: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9,188,750</w:t>
            </w:r>
          </w:p>
        </w:tc>
      </w:tr>
      <w:tr>
        <w:trPr>
          <w:trHeight w:val="260"/>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14,902,524</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3">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arrangements</w:t>
      </w:r>
    </w:p>
    <w:p>
      <w:pPr>
        <w:spacing w:after="0" w:line="25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Property, plant and equipment subject to vessel charters accounted for as operating leases is included within Vessels within "Note 15. Property, plant and equipment, net." Vessels included in the Energos Formation Transaction, including those vessels chartered to third parties, continue to be recognized on the Consolidated Balance Sheets, and as such, the carrying amount of these vessels that are leased to third parties under operating leases is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686,683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1,292,957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(80,233)</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616,706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1,212,724</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4">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F-27</w:t>
      </w:r>
    </w:p>
    <w:p>
      <w:pPr>
        <w:sectPr>
          <w:pgSz w:w="12240" w:h="15840" w:orient="portrait"/>
          <w:cols w:equalWidth="0" w:num="1">
            <w:col w:w="9900"/>
          </w:cols>
          <w:pgMar w:left="1180" w:top="838" w:right="1160" w:bottom="0" w:gutter="0" w:footer="0" w:header="0"/>
          <w:type w:val="continuous"/>
        </w:sectPr>
      </w:pPr>
    </w:p>
    <w:bookmarkStart w:id="122" w:name="page123"/>
    <w:bookmarkEnd w:id="122"/>
    <w:p>
      <w:pPr>
        <w:ind w:left="10" w:right="200"/>
        <w:spacing w:after="0" w:line="260" w:lineRule="auto"/>
        <w:rPr>
          <w:sz w:val="20"/>
          <w:szCs w:val="20"/>
          <w:color w:val="auto"/>
        </w:rPr>
      </w:pPr>
      <w:r>
        <w:rPr>
          <w:rFonts w:ascii="Times New Roman" w:cs="Times New Roman" w:eastAsia="Times New Roman" w:hAnsi="Times New Roman"/>
          <w:sz w:val="20"/>
          <w:szCs w:val="20"/>
          <w:color w:val="auto"/>
        </w:rPr>
        <w:t>The components of lease income from vessel operating leases for the years ended December 31, 2023, 2022 and 2021 are shown below. As the Company has not recognized the sale of all of the vessels included in the Energos Formation Transaction, the operating lease income shown below for the years ended December 31, 2023 and 2022, respectively, is comprised of revenue from third-party charters of vessels included in the Energos Formation Transaction.</w:t>
      </w: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582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276,113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328,366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214,193</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income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11,067</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operating lease income</w:t>
            </w:r>
          </w:p>
        </w:tc>
        <w:tc>
          <w:tcPr>
            <w:tcW w:w="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351,306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225,260</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11900" cy="609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5">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5" w:lineRule="exact"/>
        <w:rPr>
          <w:sz w:val="20"/>
          <w:szCs w:val="20"/>
          <w:color w:val="auto"/>
        </w:rPr>
      </w:pPr>
    </w:p>
    <w:p>
      <w:pPr>
        <w:jc w:val="both"/>
        <w:ind w:left="10" w:right="100"/>
        <w:spacing w:after="0" w:line="259" w:lineRule="auto"/>
        <w:rPr>
          <w:sz w:val="20"/>
          <w:szCs w:val="20"/>
          <w:color w:val="auto"/>
        </w:rPr>
      </w:pPr>
      <w:r>
        <w:rPr>
          <w:rFonts w:ascii="Times New Roman" w:cs="Times New Roman" w:eastAsia="Times New Roman" w:hAnsi="Times New Roman"/>
          <w:sz w:val="20"/>
          <w:szCs w:val="20"/>
          <w:color w:val="auto"/>
        </w:rPr>
        <w:t xml:space="preserve">The Company’s charter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certain equipment leases provided in connection with the supply of natural gas or LNG are accounted for as finance leases. The Company recognized the sale of the net investment in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part of the Energos Formation Transaction. Proceeds of $593,000 were allocated to the sale of this financial asset, and upon derecognition of the finance lease, a loss of $14,598 was recognized as Other expense (income), net, in the Consolidated Statements of Operations and Comprehensive Income.</w:t>
      </w:r>
    </w:p>
    <w:p>
      <w:pPr>
        <w:spacing w:after="0" w:line="199" w:lineRule="exact"/>
        <w:rPr>
          <w:sz w:val="20"/>
          <w:szCs w:val="20"/>
          <w:color w:val="auto"/>
        </w:rPr>
      </w:pPr>
    </w:p>
    <w:p>
      <w:pPr>
        <w:ind w:left="10" w:right="40"/>
        <w:spacing w:after="0" w:line="262" w:lineRule="auto"/>
        <w:rPr>
          <w:sz w:val="20"/>
          <w:szCs w:val="20"/>
          <w:color w:val="auto"/>
        </w:rPr>
      </w:pPr>
      <w:r>
        <w:rPr>
          <w:rFonts w:ascii="Times New Roman" w:cs="Times New Roman" w:eastAsia="Times New Roman" w:hAnsi="Times New Roman"/>
          <w:sz w:val="20"/>
          <w:szCs w:val="20"/>
          <w:color w:val="auto"/>
        </w:rPr>
        <w:t xml:space="preserve">Prior to the completion of the Energos Formation Transaction, the Company's charter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accounted for as a finance lease, and the Company recognized interest income of $28,643 and $32,880 for the years ended December 31,</w:t>
      </w:r>
    </w:p>
    <w:p>
      <w:pPr>
        <w:spacing w:after="0" w:line="2" w:lineRule="exact"/>
        <w:rPr>
          <w:sz w:val="20"/>
          <w:szCs w:val="20"/>
          <w:color w:val="auto"/>
        </w:rPr>
      </w:pPr>
    </w:p>
    <w:p>
      <w:pPr>
        <w:ind w:left="10" w:right="20"/>
        <w:spacing w:after="0" w:line="252" w:lineRule="auto"/>
        <w:rPr>
          <w:sz w:val="20"/>
          <w:szCs w:val="20"/>
          <w:color w:val="auto"/>
        </w:rPr>
      </w:pPr>
      <w:r>
        <w:rPr>
          <w:rFonts w:ascii="Times New Roman" w:cs="Times New Roman" w:eastAsia="Times New Roman" w:hAnsi="Times New Roman"/>
          <w:sz w:val="20"/>
          <w:szCs w:val="20"/>
          <w:color w:val="auto"/>
        </w:rPr>
        <w:t>2022 and 2021, respectively, related to the finance lease</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which was presented within Other revenue in the Consolidated Statements of Operations and Comprehensive Income. The Company also recognized revenue of $5,852 and $5,549 for the years ended December 31, 2022 and 2021, respectively, related to the operation and services agreement and variable charter revenue within Vessel charter revenue in the Consolidated Statements of Operations and Comprehensive Income. The Company recognized the sale of the net investment in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part of the Energos Formation Transaction.</w:t>
      </w:r>
    </w:p>
    <w:p>
      <w:pPr>
        <w:spacing w:after="0" w:line="211"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 xml:space="preserve">Subsequent to the Energos Formation Transaction, all cash receipts on vessel charters, including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will be received by Energos. As such, there are no future cash receipts from operating leases, and the future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receipts from other finance leases are not significant as of December 31, 2023.</w:t>
      </w:r>
    </w:p>
    <w:p>
      <w:pPr>
        <w:spacing w:after="0" w:line="188" w:lineRule="exact"/>
        <w:rPr>
          <w:sz w:val="20"/>
          <w:szCs w:val="20"/>
          <w:color w:val="auto"/>
        </w:rPr>
      </w:pPr>
    </w:p>
    <w:p>
      <w:pPr>
        <w:ind w:left="730" w:hanging="730"/>
        <w:spacing w:after="0"/>
        <w:tabs>
          <w:tab w:leader="none" w:pos="73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 as lessee</w:t>
      </w:r>
    </w:p>
    <w:p>
      <w:pPr>
        <w:spacing w:after="0" w:line="25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204"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20"/>
          <w:szCs w:val="20"/>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F-28</w:t>
      </w:r>
    </w:p>
    <w:p>
      <w:pPr>
        <w:sectPr>
          <w:pgSz w:w="12240" w:h="15840" w:orient="portrait"/>
          <w:cols w:equalWidth="0" w:num="1">
            <w:col w:w="9910"/>
          </w:cols>
          <w:pgMar w:left="1170" w:top="838" w:right="1160" w:bottom="0" w:gutter="0" w:footer="0" w:header="0"/>
          <w:type w:val="continuous"/>
        </w:sectPr>
      </w:pPr>
    </w:p>
    <w:bookmarkStart w:id="123" w:name="page124"/>
    <w:bookmarkEnd w:id="123"/>
    <w:p>
      <w:pPr>
        <w:ind w:left="10" w:right="240"/>
        <w:spacing w:after="0" w:line="281" w:lineRule="auto"/>
        <w:rPr>
          <w:sz w:val="20"/>
          <w:szCs w:val="20"/>
          <w:color w:val="auto"/>
        </w:rPr>
      </w:pPr>
      <w:r>
        <w:rPr>
          <w:rFonts w:ascii="Times New Roman" w:cs="Times New Roman" w:eastAsia="Times New Roman" w:hAnsi="Times New Roman"/>
          <w:sz w:val="20"/>
          <w:szCs w:val="20"/>
          <w:color w:val="auto"/>
        </w:rPr>
        <w:t>As of December 31, 2023 and 2022, ROU assets, current lease liabilities and non-current lease liabilities consisted of the following:</w:t>
      </w: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538,055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355,883</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Finance right-of-use assets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21,994</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588,385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377,877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135,867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44,371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28,681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4,370</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164,548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48,741</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390,519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290,899</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11,222</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non-current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406,494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302,121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-2317115</wp:posOffset>
            </wp:positionV>
            <wp:extent cx="6311900" cy="2324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6">
                      <a:extLst>
                        <a:ext uri="{28A0092B-C50C-407E-A947-70E740481C1C}"/>
                      </a:extLst>
                    </a:blip>
                    <a:srcRect/>
                    <a:stretch>
                      <a:fillRect/>
                    </a:stretch>
                  </pic:blipFill>
                  <pic:spPr bwMode="auto">
                    <a:xfrm>
                      <a:off x="0" y="0"/>
                      <a:ext cx="6311900" cy="2324100"/>
                    </a:xfrm>
                    <a:prstGeom prst="rect">
                      <a:avLst/>
                    </a:prstGeom>
                    <a:noFill/>
                  </pic:spPr>
                </pic:pic>
              </a:graphicData>
            </a:graphic>
          </wp:anchor>
        </w:drawing>
      </w:r>
    </w:p>
    <w:p>
      <w:pPr>
        <w:spacing w:after="0" w:line="228" w:lineRule="exact"/>
        <w:rPr>
          <w:sz w:val="20"/>
          <w:szCs w:val="20"/>
          <w:color w:val="auto"/>
        </w:rPr>
      </w:pPr>
    </w:p>
    <w:p>
      <w:pPr>
        <w:ind w:left="370" w:right="340" w:hanging="370"/>
        <w:spacing w:after="0" w:line="226" w:lineRule="auto"/>
        <w:tabs>
          <w:tab w:leader="none" w:pos="370"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Finance lease ROU assets are recorded net of accumulated amortization of $21,470 and $2,134 as of December 31, 2023 and 2022, respectively.</w:t>
      </w:r>
    </w:p>
    <w:p>
      <w:pPr>
        <w:spacing w:after="0" w:line="2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For the years ended December 31, 2023, 2022, and 2021, the Company’s operating lease cost recorded within the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Income were as follows:</w:t>
      </w:r>
    </w:p>
    <w:p>
      <w:pPr>
        <w:spacing w:after="0" w:line="299"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Fixed lease cost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109,873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75,771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41,054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6,974</w:t>
            </w:r>
          </w:p>
        </w:tc>
      </w:tr>
      <w:tr>
        <w:trPr>
          <w:trHeight w:val="61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Cost of sales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87,610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41,147</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Operations and maintenance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-1346835</wp:posOffset>
            </wp:positionV>
            <wp:extent cx="6311900" cy="13684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a:extLst>
                        <a:ext uri="{28A0092B-C50C-407E-A947-70E740481C1C}"/>
                      </a:extLst>
                    </a:blip>
                    <a:srcRect/>
                    <a:stretch>
                      <a:fillRect/>
                    </a:stretch>
                  </pic:blipFill>
                  <pic:spPr bwMode="auto">
                    <a:xfrm>
                      <a:off x="0" y="0"/>
                      <a:ext cx="6311900" cy="1368425"/>
                    </a:xfrm>
                    <a:prstGeom prst="rect">
                      <a:avLst/>
                    </a:prstGeom>
                    <a:noFill/>
                  </pic:spPr>
                </pic:pic>
              </a:graphicData>
            </a:graphic>
          </wp:anchor>
        </w:drawing>
      </w:r>
    </w:p>
    <w:p>
      <w:pPr>
        <w:spacing w:after="0" w:line="278" w:lineRule="exact"/>
        <w:rPr>
          <w:sz w:val="20"/>
          <w:szCs w:val="20"/>
          <w:color w:val="auto"/>
        </w:rPr>
      </w:pPr>
    </w:p>
    <w:p>
      <w:pPr>
        <w:jc w:val="both"/>
        <w:ind w:left="10" w:right="200"/>
        <w:spacing w:after="0" w:line="260" w:lineRule="auto"/>
        <w:rPr>
          <w:sz w:val="20"/>
          <w:szCs w:val="20"/>
          <w:color w:val="auto"/>
        </w:rPr>
      </w:pPr>
      <w:r>
        <w:rPr>
          <w:rFonts w:ascii="Times New Roman" w:cs="Times New Roman" w:eastAsia="Times New Roman" w:hAnsi="Times New Roman"/>
          <w:sz w:val="20"/>
          <w:szCs w:val="20"/>
          <w:color w:val="auto"/>
        </w:rPr>
        <w:t>For the years ended December 31, 2023, 2022 and 2021, the Company has capitalized $61,320, $20,403 and $15,568 of lease costs, respectively. Capitalized costs include vessels and port space used during the commissioning of development projects. Short-term lease costs for vessels chartered by the Company to transport inventory from a supplier’s facilities to the Company’s storage locations are capitalized to inventory.</w:t>
      </w:r>
    </w:p>
    <w:p>
      <w:pPr>
        <w:spacing w:after="0" w:line="203"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20"/>
          <w:szCs w:val="20"/>
          <w:color w:val="auto"/>
        </w:rPr>
        <w:t>The Company has leases of turbines, ISO tanks and a parcel of land that are recognized as finance leases. For the years ended December 31, 2023, 2022 and 2021, the Company’s finance interest expense and amortization recorded in Interest expense and Depreciation and amortization, respectively, within the Consolidated Statements of Operations and Comprehensive Income were as follows:</w:t>
      </w:r>
    </w:p>
    <w:p>
      <w:pPr>
        <w:spacing w:after="0" w:line="273"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5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0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Pr>
          <w:p>
            <w:pPr>
              <w:spacing w:after="0"/>
              <w:rPr>
                <w:sz w:val="22"/>
                <w:szCs w:val="22"/>
                <w:color w:val="auto"/>
              </w:rPr>
            </w:pPr>
          </w:p>
        </w:tc>
      </w:tr>
      <w:tr>
        <w:trPr>
          <w:trHeight w:val="288"/>
        </w:trPr>
        <w:tc>
          <w:tcPr>
            <w:tcW w:w="5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related to finance leases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30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 asset related to finance leases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311900" cy="406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8">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F-29</w:t>
      </w:r>
    </w:p>
    <w:p>
      <w:pPr>
        <w:sectPr>
          <w:pgSz w:w="12240" w:h="15840" w:orient="portrait"/>
          <w:cols w:equalWidth="0" w:num="1">
            <w:col w:w="9910"/>
          </w:cols>
          <w:pgMar w:left="1170" w:top="838" w:right="1160" w:bottom="0" w:gutter="0" w:footer="0" w:header="0"/>
          <w:type w:val="continuous"/>
        </w:sectPr>
      </w:pPr>
    </w:p>
    <w:bookmarkStart w:id="124" w:name="page125"/>
    <w:bookmarkEnd w:id="124"/>
    <w:p>
      <w:pPr>
        <w:ind w:left="10" w:right="60"/>
        <w:spacing w:after="0" w:line="309" w:lineRule="auto"/>
        <w:rPr>
          <w:sz w:val="20"/>
          <w:szCs w:val="20"/>
          <w:color w:val="auto"/>
        </w:rPr>
      </w:pPr>
      <w:r>
        <w:rPr>
          <w:rFonts w:ascii="Times New Roman" w:cs="Times New Roman" w:eastAsia="Times New Roman" w:hAnsi="Times New Roman"/>
          <w:sz w:val="19"/>
          <w:szCs w:val="19"/>
          <w:color w:val="auto"/>
        </w:rPr>
        <w:t>Cash paid for operating leases is reported in operating activities in the consolidated statements of cash flows. Supplemental cash flow information related to leases was as follows for the years ended December 31, 2023, 2022 and 2021:</w:t>
      </w:r>
    </w:p>
    <w:p>
      <w:pPr>
        <w:spacing w:after="0" w:line="22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outflows for operating lease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133,132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96,698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46,066</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cash outflows for finance lease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265,537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135,075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172,996</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47,672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24,533</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-1013460</wp:posOffset>
            </wp:positionV>
            <wp:extent cx="6311900" cy="1035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9">
                      <a:extLst>
                        <a:ext uri="{28A0092B-C50C-407E-A947-70E740481C1C}"/>
                      </a:extLst>
                    </a:blip>
                    <a:srcRect/>
                    <a:stretch>
                      <a:fillRect/>
                    </a:stretch>
                  </pic:blipFill>
                  <pic:spPr bwMode="auto">
                    <a:xfrm>
                      <a:off x="0" y="0"/>
                      <a:ext cx="6311900" cy="1035050"/>
                    </a:xfrm>
                    <a:prstGeom prst="rect">
                      <a:avLst/>
                    </a:prstGeom>
                    <a:noFill/>
                  </pic:spPr>
                </pic:pic>
              </a:graphicData>
            </a:graphic>
          </wp:anchor>
        </w:drawing>
      </w:r>
    </w:p>
    <w:p>
      <w:pPr>
        <w:spacing w:after="0" w:line="2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future payments due under operating and finance leases as of December 31, 2023 are as follows:</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63"/>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125,262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174,365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853</w:t>
            </w:r>
          </w:p>
        </w:tc>
      </w:tr>
      <w:tr>
        <w:trPr>
          <w:trHeight w:val="277"/>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711,446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47,785</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effects of discounting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185,060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3,129</w:t>
            </w: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526,386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44,656</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2"/>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28,681</w:t>
            </w:r>
          </w:p>
        </w:tc>
      </w:tr>
      <w:tr>
        <w:trPr>
          <w:trHeight w:val="30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 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390,519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-2299335</wp:posOffset>
            </wp:positionV>
            <wp:extent cx="6311900" cy="2320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0">
                      <a:extLst>
                        <a:ext uri="{28A0092B-C50C-407E-A947-70E740481C1C}"/>
                      </a:extLst>
                    </a:blip>
                    <a:srcRect/>
                    <a:stretch>
                      <a:fillRect/>
                    </a:stretch>
                  </pic:blipFill>
                  <pic:spPr bwMode="auto">
                    <a:xfrm>
                      <a:off x="0" y="0"/>
                      <a:ext cx="6311900" cy="2320925"/>
                    </a:xfrm>
                    <a:prstGeom prst="rect">
                      <a:avLst/>
                    </a:prstGeom>
                    <a:noFill/>
                  </pic:spPr>
                </pic:pic>
              </a:graphicData>
            </a:graphic>
          </wp:anchor>
        </w:drawing>
      </w:r>
    </w:p>
    <w:p>
      <w:pPr>
        <w:spacing w:after="0" w:line="271"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As of December 31, 2023, the weighted-average remaining lease term for operating leases was 5.9 years and finance leases was 2.0 years. Because the Company generally does not have access to the rate implicit in the lease, the incremental borrowing rate is utilized as the discount rate. The weighted average discount rate associated with operating leases as of December 31, 2023 and 2022 was 10.1% and 8.5%, respectively. The weighted average discount rate associated with finance leases as of December 31, 2023 and 2022 was 8.2% and 5.1%, respectively.</w:t>
      </w:r>
    </w:p>
    <w:p>
      <w:pPr>
        <w:spacing w:after="0" w:line="204"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In January 2024, the Company has commenced a 10-year lease of a vessel with expected future payments of approximately $376 million.</w:t>
      </w:r>
    </w:p>
    <w:p>
      <w:pPr>
        <w:spacing w:after="0" w:line="174" w:lineRule="exact"/>
        <w:rPr>
          <w:sz w:val="20"/>
          <w:szCs w:val="20"/>
          <w:color w:val="auto"/>
        </w:rPr>
      </w:pPr>
    </w:p>
    <w:p>
      <w:pPr>
        <w:ind w:left="730" w:hanging="730"/>
        <w:spacing w:after="0"/>
        <w:tabs>
          <w:tab w:leader="none" w:pos="73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Commodity risk management</w:t>
      </w:r>
    </w:p>
    <w:p>
      <w:pPr>
        <w:spacing w:after="0" w:line="254"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The Company has utilized commodity swap transactions to manage exposure to changes in market pricing of natural gas or LNG. Realized and unrealized gains and losses on these transactions have been recognized in Cost of sales in the Consolidated Statements of Operations and Comprehensive Income.</w:t>
      </w:r>
    </w:p>
    <w:p>
      <w:pPr>
        <w:spacing w:after="0" w:line="195" w:lineRule="exact"/>
        <w:rPr>
          <w:sz w:val="20"/>
          <w:szCs w:val="20"/>
          <w:color w:val="auto"/>
        </w:rPr>
      </w:pPr>
    </w:p>
    <w:p>
      <w:pPr>
        <w:ind w:left="370" w:right="60" w:hanging="370"/>
        <w:spacing w:after="0" w:line="286" w:lineRule="auto"/>
        <w:tabs>
          <w:tab w:leader="none" w:pos="370"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fourth quarter of 2022, the Company entered into a commodity swap transaction to swap market pricing exposure for approximately 6.8 TBtus for a fixed price of $40.55 per MMBtu. The swap settled during the first quarter of 2023 resulting in a gain of $41,315 recognized as a reduction to Cost of sales in the Consolidated Statements of</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F-30</w:t>
      </w:r>
    </w:p>
    <w:p>
      <w:pPr>
        <w:sectPr>
          <w:pgSz w:w="12240" w:h="15840" w:orient="portrait"/>
          <w:cols w:equalWidth="0" w:num="1">
            <w:col w:w="9910"/>
          </w:cols>
          <w:pgMar w:left="1170" w:top="838" w:right="1160" w:bottom="0" w:gutter="0" w:footer="0" w:header="0"/>
          <w:type w:val="continuous"/>
        </w:sectPr>
      </w:pPr>
    </w:p>
    <w:bookmarkStart w:id="125" w:name="page126"/>
    <w:bookmarkEnd w:id="125"/>
    <w:p>
      <w:pPr>
        <w:ind w:left="370" w:right="40"/>
        <w:spacing w:after="0" w:line="281" w:lineRule="auto"/>
        <w:rPr>
          <w:sz w:val="20"/>
          <w:szCs w:val="20"/>
          <w:color w:val="auto"/>
        </w:rPr>
      </w:pPr>
      <w:r>
        <w:rPr>
          <w:rFonts w:ascii="Times New Roman" w:cs="Times New Roman" w:eastAsia="Times New Roman" w:hAnsi="Times New Roman"/>
          <w:sz w:val="20"/>
          <w:szCs w:val="20"/>
          <w:color w:val="auto"/>
        </w:rPr>
        <w:t>Operations and Comprehensive Income. The gain was comprised of a realized gain of $146,112 and the reversal of the unrealized gain of $104,797 recognized in the fourth quarter of 2022.</w:t>
      </w:r>
    </w:p>
    <w:p>
      <w:pPr>
        <w:spacing w:after="0" w:line="182" w:lineRule="exact"/>
        <w:rPr>
          <w:sz w:val="20"/>
          <w:szCs w:val="20"/>
          <w:color w:val="auto"/>
        </w:rPr>
      </w:pPr>
    </w:p>
    <w:p>
      <w:pPr>
        <w:ind w:left="370" w:right="240" w:hanging="370"/>
        <w:spacing w:after="0" w:line="266" w:lineRule="auto"/>
        <w:tabs>
          <w:tab w:leader="none" w:pos="370" w:val="left"/>
        </w:tabs>
        <w:numPr>
          <w:ilvl w:val="0"/>
          <w:numId w:val="8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 January 2023, the Company entered into a series of commodity swap transactions. Realized loss of $8,495 for the year ended December 31, 2023 on this instrument have been recognized in Cost of sales in the Consolidated Statements of Operations and Comprehensive Income. All swaps have been settled prior to December 31, 2023.</w:t>
      </w:r>
    </w:p>
    <w:p>
      <w:pPr>
        <w:spacing w:after="0" w:line="1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Interest rate and currency risk management</w:t>
      </w:r>
    </w:p>
    <w:p>
      <w:pPr>
        <w:spacing w:after="0" w:line="254" w:lineRule="exact"/>
        <w:rPr>
          <w:sz w:val="20"/>
          <w:szCs w:val="20"/>
          <w:color w:val="auto"/>
        </w:rPr>
      </w:pPr>
    </w:p>
    <w:p>
      <w:pPr>
        <w:ind w:left="10" w:right="60"/>
        <w:spacing w:after="0" w:line="257" w:lineRule="auto"/>
        <w:rPr>
          <w:sz w:val="20"/>
          <w:szCs w:val="20"/>
          <w:color w:val="auto"/>
        </w:rPr>
      </w:pPr>
      <w:r>
        <w:rPr>
          <w:rFonts w:ascii="Times New Roman" w:cs="Times New Roman" w:eastAsia="Times New Roman" w:hAnsi="Times New Roman"/>
          <w:sz w:val="20"/>
          <w:szCs w:val="20"/>
          <w:color w:val="auto"/>
        </w:rPr>
        <w:t>In connection with the Mergers during 2022, the Company acquired an interest rate swap to reduce the risk associated with fluctuations in interest rates by converting floating rate interest obligations to fixed rates, which from an economic perspective hedges the interest rate exposure. The interest rate swap was terminated in the first quarter of 2023.</w:t>
      </w:r>
    </w:p>
    <w:p>
      <w:pPr>
        <w:spacing w:after="0" w:line="1" w:lineRule="exact"/>
        <w:rPr>
          <w:sz w:val="20"/>
          <w:szCs w:val="20"/>
          <w:color w:val="auto"/>
        </w:rPr>
      </w:pPr>
    </w:p>
    <w:p>
      <w:pPr>
        <w:ind w:left="10"/>
        <w:spacing w:after="0" w:line="239" w:lineRule="auto"/>
        <w:rPr>
          <w:sz w:val="20"/>
          <w:szCs w:val="20"/>
          <w:color w:val="auto"/>
        </w:rPr>
      </w:pPr>
      <w:r>
        <w:rPr>
          <w:rFonts w:ascii="Times New Roman" w:cs="Times New Roman" w:eastAsia="Times New Roman" w:hAnsi="Times New Roman"/>
          <w:sz w:val="20"/>
          <w:szCs w:val="20"/>
          <w:color w:val="auto"/>
        </w:rPr>
        <w:t>During the fourth quarter of 2023, the Company entered into a non-deliverable forward to secure the currency position of the Barcarena Debentures (defined below) to be issued nominated in USD. The forward was settled in November 2023, and the Company recorded a realized gain of $5,864.</w:t>
      </w:r>
    </w:p>
    <w:p>
      <w:pPr>
        <w:spacing w:after="0" w:line="205"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95"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The mark-to-market gain or loss on the interest rate swap, non-deliverable forward and other derivative instruments that are not intended to mitigate commodity risk are reported in Other expense (income), net in the Consolidated Statements of Operations and Comprehensive Income.</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w:t>
      </w:r>
    </w:p>
    <w:p>
      <w:pPr>
        <w:spacing w:after="0" w:line="254"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81" w:lineRule="exact"/>
        <w:rPr>
          <w:sz w:val="20"/>
          <w:szCs w:val="20"/>
          <w:color w:val="auto"/>
        </w:rPr>
      </w:pPr>
    </w:p>
    <w:p>
      <w:pPr>
        <w:ind w:left="370" w:hanging="370"/>
        <w:spacing w:after="0"/>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observable inputs such as quoted prices in active markets for identical assets or liabilities.</w:t>
      </w:r>
    </w:p>
    <w:p>
      <w:pPr>
        <w:spacing w:after="0" w:line="25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either directly or indirectly, such as quoted prices for similar assets or liabilities or market corroborated inputs.</w:t>
      </w:r>
    </w:p>
    <w:p>
      <w:pPr>
        <w:spacing w:after="0" w:line="181" w:lineRule="exact"/>
        <w:rPr>
          <w:rFonts w:ascii="Times New Roman" w:cs="Times New Roman" w:eastAsia="Times New Roman" w:hAnsi="Times New Roman"/>
          <w:sz w:val="20"/>
          <w:szCs w:val="20"/>
          <w:color w:val="auto"/>
        </w:rPr>
      </w:pPr>
    </w:p>
    <w:p>
      <w:pPr>
        <w:ind w:left="370" w:right="60" w:hanging="370"/>
        <w:spacing w:after="0" w:line="281" w:lineRule="auto"/>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for which there is little or no market data and which require the Company to develop its own assumptions about how market participants price the asset or liability.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valuation techniques that may be used to measure fair value are as follows:</w:t>
      </w:r>
    </w:p>
    <w:p>
      <w:pPr>
        <w:spacing w:after="0" w:line="250" w:lineRule="exact"/>
        <w:rPr>
          <w:sz w:val="20"/>
          <w:szCs w:val="20"/>
          <w:color w:val="auto"/>
        </w:rPr>
      </w:pPr>
    </w:p>
    <w:p>
      <w:pPr>
        <w:ind w:left="370" w:right="160" w:hanging="370"/>
        <w:spacing w:after="0" w:line="281"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approach – uses prices and other relevant information generated by market transactions involving identical or comparable assets or liabilities.</w:t>
      </w:r>
    </w:p>
    <w:p>
      <w:pPr>
        <w:spacing w:after="0" w:line="181"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 uses valuation techniques, such as the discounted cash flow technique, to convert future amounts to a single present amount based on current market expectations about those future amounts.</w:t>
      </w:r>
    </w:p>
    <w:p>
      <w:pPr>
        <w:spacing w:after="0" w:line="181" w:lineRule="exact"/>
        <w:rPr>
          <w:rFonts w:ascii="Times New Roman" w:cs="Times New Roman" w:eastAsia="Times New Roman" w:hAnsi="Times New Roman"/>
          <w:sz w:val="20"/>
          <w:szCs w:val="20"/>
          <w:color w:val="auto"/>
        </w:rPr>
      </w:pPr>
    </w:p>
    <w:p>
      <w:pPr>
        <w:ind w:left="370" w:right="560" w:hanging="370"/>
        <w:spacing w:after="0" w:line="281" w:lineRule="auto"/>
        <w:tabs>
          <w:tab w:leader="none" w:pos="37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approach – based on the amount that currently would be required to replace the service capacity of an asset (replacement cost).</w:t>
      </w:r>
    </w:p>
    <w:p>
      <w:pPr>
        <w:spacing w:after="0" w:line="205" w:lineRule="exact"/>
        <w:rPr>
          <w:sz w:val="20"/>
          <w:szCs w:val="20"/>
          <w:color w:val="auto"/>
        </w:rPr>
      </w:pPr>
    </w:p>
    <w:p>
      <w:pPr>
        <w:ind w:left="10" w:right="460"/>
        <w:spacing w:after="0" w:line="281" w:lineRule="auto"/>
        <w:rPr>
          <w:sz w:val="20"/>
          <w:szCs w:val="20"/>
          <w:color w:val="auto"/>
        </w:rPr>
      </w:pPr>
      <w:r>
        <w:rPr>
          <w:rFonts w:ascii="Times New Roman" w:cs="Times New Roman" w:eastAsia="Times New Roman" w:hAnsi="Times New Roman"/>
          <w:sz w:val="20"/>
          <w:szCs w:val="20"/>
          <w:color w:val="auto"/>
        </w:rPr>
        <w:t>The Company uses the market approach when valuing investment in equity securities which is recorded in Other non-current assets on the Consolidated Balance Sheets as of December 31, 2023 and 2022.</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uses the income approach when valuing the following financial instruments:</w:t>
      </w:r>
    </w:p>
    <w:p>
      <w:pPr>
        <w:spacing w:after="0" w:line="250" w:lineRule="exact"/>
        <w:rPr>
          <w:sz w:val="20"/>
          <w:szCs w:val="20"/>
          <w:color w:val="auto"/>
        </w:rPr>
      </w:pPr>
    </w:p>
    <w:p>
      <w:pPr>
        <w:ind w:left="370" w:right="220" w:hanging="370"/>
        <w:spacing w:after="0" w:line="260" w:lineRule="auto"/>
        <w:tabs>
          <w:tab w:leader="none" w:pos="370" w:val="left"/>
        </w:tabs>
        <w:numPr>
          <w:ilvl w:val="0"/>
          <w:numId w:val="8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Interest rate swap and commodity swaps - The Company did not have any interest rate swaps or commodity swaps outstanding as of December 31, 2023. As of December 31, 2022, the interest rate swap and commodity swaps were recorded within Other non-current assets and Prepaid expenses and other current assets on the Consolidated Balance Sheets, respectively.</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F-31</w:t>
      </w:r>
    </w:p>
    <w:p>
      <w:pPr>
        <w:sectPr>
          <w:pgSz w:w="12240" w:h="15840" w:orient="portrait"/>
          <w:cols w:equalWidth="0" w:num="1">
            <w:col w:w="9890"/>
          </w:cols>
          <w:pgMar w:left="1170" w:top="838" w:right="1180" w:bottom="0" w:gutter="0" w:footer="0" w:header="0"/>
          <w:type w:val="continuous"/>
        </w:sectPr>
      </w:pPr>
    </w:p>
    <w:bookmarkStart w:id="126" w:name="page127"/>
    <w:bookmarkEnd w:id="126"/>
    <w:p>
      <w:pPr>
        <w:jc w:val="both"/>
        <w:ind w:left="370" w:right="460" w:hanging="370"/>
        <w:spacing w:after="0" w:line="266" w:lineRule="auto"/>
        <w:tabs>
          <w:tab w:leader="none" w:pos="370" w:val="left"/>
        </w:tabs>
        <w:numPr>
          <w:ilvl w:val="0"/>
          <w:numId w:val="8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Contingent consideration derivative liability represents consideration due to the sellers in asset acquisitions when certain contingent events occur. The liabilities associated with these derivatives are recorded within Other current liabilities and Other long-term liabilities based on the timing of expected settlement.</w:t>
      </w:r>
    </w:p>
    <w:p>
      <w:pPr>
        <w:spacing w:after="0" w:line="195"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The fair value of certain derivative instruments, including commodity swaps,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spacing w:after="0" w:line="204" w:lineRule="exact"/>
        <w:rPr>
          <w:sz w:val="20"/>
          <w:szCs w:val="20"/>
          <w:color w:val="auto"/>
        </w:rPr>
      </w:pPr>
    </w:p>
    <w:p>
      <w:pPr>
        <w:ind w:left="10" w:right="2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Company’s financial assets and financial liabilities, including those that are measured at fair value,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141605</wp:posOffset>
            </wp:positionV>
            <wp:extent cx="6311900" cy="3016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1">
                      <a:extLst>
                        <a:ext uri="{28A0092B-C50C-407E-A947-70E740481C1C}"/>
                      </a:extLst>
                    </a:blip>
                    <a:srcRect/>
                    <a:stretch>
                      <a:fillRect/>
                    </a:stretch>
                  </pic:blipFill>
                  <pic:spPr bwMode="auto">
                    <a:xfrm>
                      <a:off x="0" y="0"/>
                      <a:ext cx="6311900" cy="3016250"/>
                    </a:xfrm>
                    <a:prstGeom prst="rect">
                      <a:avLst/>
                    </a:prstGeom>
                    <a:noFill/>
                  </pic:spPr>
                </pic:pic>
              </a:graphicData>
            </a:graphic>
          </wp:anchor>
        </w:drawing>
      </w:r>
    </w:p>
    <w:p>
      <w:pPr>
        <w:spacing w:after="0" w:line="23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44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37,832</w:t>
            </w:r>
          </w:p>
        </w:tc>
      </w:tr>
      <w:tr>
        <w:trPr>
          <w:trHeight w:val="57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17,806</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rate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Commodity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r>
      <w:tr>
        <w:trPr>
          <w:trHeight w:val="6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46,619</w:t>
            </w:r>
          </w:p>
        </w:tc>
      </w:tr>
    </w:tbl>
    <w:p>
      <w:pPr>
        <w:spacing w:after="0" w:line="291" w:lineRule="exact"/>
        <w:rPr>
          <w:sz w:val="20"/>
          <w:szCs w:val="20"/>
          <w:color w:val="auto"/>
        </w:rPr>
      </w:pPr>
    </w:p>
    <w:p>
      <w:pPr>
        <w:ind w:left="10" w:right="580"/>
        <w:spacing w:after="0" w:line="266" w:lineRule="auto"/>
        <w:rPr>
          <w:sz w:val="20"/>
          <w:szCs w:val="20"/>
          <w:color w:val="auto"/>
        </w:rPr>
      </w:pPr>
      <w:r>
        <w:rPr>
          <w:rFonts w:ascii="Times New Roman" w:cs="Times New Roman" w:eastAsia="Times New Roman" w:hAnsi="Times New Roman"/>
          <w:sz w:val="20"/>
          <w:szCs w:val="20"/>
          <w:color w:val="auto"/>
        </w:rPr>
        <w:t>The Company believes the carrying amounts of cash and cash equivalents, accounts receivable and accounts payable approximated their fair value as of December 31, 2023 and 2022 and are classified as Level 1 within the fair value hierarchy.</w:t>
      </w:r>
    </w:p>
    <w:p>
      <w:pPr>
        <w:spacing w:after="0" w:line="195"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The table below summarizes the fair value adjustment to instruments measured at Level 3 in the fair value hierarchy, including the contingent consideration derivative liabilities. These adjustments have been recorded within Other expense (income), net in the Consolidated Statements of Operations and Comprehensive Income for the years ended December 31, 2023, 2022 and 2021:</w:t>
      </w:r>
    </w:p>
    <w:p>
      <w:pPr>
        <w:spacing w:after="0" w:line="273"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12"/>
        </w:trPr>
        <w:tc>
          <w:tcPr>
            <w:tcW w:w="58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Contingent consideration derivative liabilities - Fair value adjustment -</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(4,801)</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(gain)</w:t>
            </w:r>
          </w:p>
        </w:tc>
        <w:tc>
          <w:tcPr>
            <w:tcW w:w="3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6311900" cy="339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2">
                      <a:extLst>
                        <a:ext uri="{28A0092B-C50C-407E-A947-70E740481C1C}"/>
                      </a:extLst>
                    </a:blip>
                    <a:srcRect/>
                    <a:stretch>
                      <a:fillRect/>
                    </a:stretch>
                  </pic:blipFill>
                  <pic:spPr bwMode="auto">
                    <a:xfrm>
                      <a:off x="0" y="0"/>
                      <a:ext cx="6311900" cy="339725"/>
                    </a:xfrm>
                    <a:prstGeom prst="rect">
                      <a:avLst/>
                    </a:prstGeom>
                    <a:noFill/>
                  </pic:spPr>
                </pic:pic>
              </a:graphicData>
            </a:graphic>
          </wp:anchor>
        </w:drawing>
      </w:r>
    </w:p>
    <w:p>
      <w:pPr>
        <w:spacing w:after="0" w:line="271" w:lineRule="exact"/>
        <w:rPr>
          <w:sz w:val="20"/>
          <w:szCs w:val="20"/>
          <w:color w:val="auto"/>
        </w:rPr>
      </w:pPr>
    </w:p>
    <w:p>
      <w:pPr>
        <w:ind w:left="10" w:right="24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2023 and 2022, the Company had no transfers in or out of Level 3 in the fair value hierarchy.</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F-32</w:t>
      </w:r>
    </w:p>
    <w:p>
      <w:pPr>
        <w:sectPr>
          <w:pgSz w:w="12240" w:h="15840" w:orient="portrait"/>
          <w:cols w:equalWidth="0" w:num="1">
            <w:col w:w="9910"/>
          </w:cols>
          <w:pgMar w:left="1170" w:top="838" w:right="1160" w:bottom="0" w:gutter="0" w:footer="0" w:header="0"/>
          <w:type w:val="continuous"/>
        </w:sectPr>
      </w:pPr>
    </w:p>
    <w:bookmarkStart w:id="127" w:name="page128"/>
    <w:bookmarkEnd w:id="127"/>
    <w:tbl>
      <w:tblPr>
        <w:tblLayout w:type="fixed"/>
        <w:tblInd w:w="1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Restricted cash</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restricted cash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restricted under the terms of loan agreements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102,079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124,085</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Collateral for letters of credit and performance bonds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53,321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41,392</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Collateral for interest rate swaps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w:t>
            </w: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restricted cash</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155,400</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167,977</w:t>
            </w:r>
          </w:p>
        </w:tc>
      </w:tr>
      <w:tr>
        <w:trPr>
          <w:trHeight w:val="20"/>
        </w:trPr>
        <w:tc>
          <w:tcPr>
            <w:tcW w:w="72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2"/>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restricted cash</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165,396</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restricted cash</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-1346835</wp:posOffset>
            </wp:positionV>
            <wp:extent cx="6311900" cy="1368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3">
                      <a:extLst>
                        <a:ext uri="{28A0092B-C50C-407E-A947-70E740481C1C}"/>
                      </a:extLst>
                    </a:blip>
                    <a:srcRect/>
                    <a:stretch>
                      <a:fillRect/>
                    </a:stretch>
                  </pic:blipFill>
                  <pic:spPr bwMode="auto">
                    <a:xfrm>
                      <a:off x="0" y="0"/>
                      <a:ext cx="6311900" cy="1368425"/>
                    </a:xfrm>
                    <a:prstGeom prst="rect">
                      <a:avLst/>
                    </a:prstGeom>
                    <a:noFill/>
                  </pic:spPr>
                </pic:pic>
              </a:graphicData>
            </a:graphic>
          </wp:anchor>
        </w:drawing>
      </w:r>
    </w:p>
    <w:p>
      <w:pPr>
        <w:spacing w:after="0" w:line="271"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Uses of cash proceeds under the Barcarena Term Loan and Barcarena Debentures (see Note 20) are restricted to certain payments to construct the Barcarena Power Plant. Non-current restricted cash is presented in Other non-current assets, net on the Consolidated Balance Sheets.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Inventory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inventory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LNG and natural gas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75,417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15,398</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Automotive diesel oil inventory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8,164</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Bunker fuel, materials, supplies and 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15,508</w:t>
            </w: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113,684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39,070</w:t>
            </w:r>
          </w:p>
        </w:tc>
      </w:tr>
      <w:tr>
        <w:trPr>
          <w:trHeight w:val="20"/>
        </w:trPr>
        <w:tc>
          <w:tcPr>
            <w:tcW w:w="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11900" cy="800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4">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8" w:lineRule="exact"/>
        <w:rPr>
          <w:sz w:val="20"/>
          <w:szCs w:val="20"/>
          <w:color w:val="auto"/>
        </w:rPr>
      </w:pPr>
    </w:p>
    <w:p>
      <w:pPr>
        <w:ind w:left="10" w:right="200"/>
        <w:spacing w:after="0" w:line="258"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Income. In the second quarter of 2023, the Company acquired a spot cargo at a higher cost to obtain a new customer contract. The net realizable value of this cargo was below the cost as of June 30, 2023, and as such, we recognized an adjustment to inventory of $6,232. No other adjustments were recorded during the years ended December 31, 2023, 2022 and 2021.</w:t>
      </w:r>
    </w:p>
    <w:p>
      <w:pPr>
        <w:spacing w:after="0" w:line="197" w:lineRule="exact"/>
        <w:rPr>
          <w:sz w:val="20"/>
          <w:szCs w:val="20"/>
          <w:color w:val="auto"/>
        </w:rPr>
      </w:pPr>
    </w:p>
    <w:p>
      <w:pPr>
        <w:ind w:left="730" w:hanging="730"/>
        <w:spacing w:after="0"/>
        <w:tabs>
          <w:tab w:leader="none" w:pos="73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2023 and 2022, prepaid expenses and other current assets consisted of the following:</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56,380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Recoverable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Assets held for sale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27,504</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213,104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226,883</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11900" cy="1371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5">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5" w:lineRule="exact"/>
        <w:rPr>
          <w:sz w:val="20"/>
          <w:szCs w:val="20"/>
          <w:color w:val="auto"/>
        </w:rPr>
      </w:pPr>
    </w:p>
    <w:p>
      <w:pPr>
        <w:ind w:left="10" w:right="380"/>
        <w:spacing w:after="0" w:line="313" w:lineRule="auto"/>
        <w:rPr>
          <w:sz w:val="20"/>
          <w:szCs w:val="20"/>
          <w:color w:val="auto"/>
        </w:rPr>
      </w:pPr>
      <w:r>
        <w:rPr>
          <w:rFonts w:ascii="Times New Roman" w:cs="Times New Roman" w:eastAsia="Times New Roman" w:hAnsi="Times New Roman"/>
          <w:sz w:val="19"/>
          <w:szCs w:val="19"/>
          <w:color w:val="auto"/>
        </w:rPr>
        <w:t xml:space="preserve">During the fourth quarter of 2023, the Company began to sub-charter the </w:t>
      </w:r>
      <w:r>
        <w:rPr>
          <w:rFonts w:ascii="Times New Roman" w:cs="Times New Roman" w:eastAsia="Times New Roman" w:hAnsi="Times New Roman"/>
          <w:sz w:val="19"/>
          <w:szCs w:val="19"/>
          <w:b w:val="1"/>
          <w:bCs w:val="1"/>
          <w:i w:val="1"/>
          <w:iCs w:val="1"/>
          <w:color w:val="auto"/>
        </w:rPr>
        <w:t>Winter</w:t>
      </w:r>
      <w:r>
        <w:rPr>
          <w:rFonts w:ascii="Times New Roman" w:cs="Times New Roman" w:eastAsia="Times New Roman" w:hAnsi="Times New Roman"/>
          <w:sz w:val="19"/>
          <w:szCs w:val="19"/>
          <w:color w:val="auto"/>
        </w:rPr>
        <w:t>, a vessel included in the Energos Formation Transaction, and an asset was recorded representing the existing charterer's remaining payments to Energos,</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F-33</w:t>
      </w:r>
    </w:p>
    <w:p>
      <w:pPr>
        <w:sectPr>
          <w:pgSz w:w="12240" w:h="15840" w:orient="portrait"/>
          <w:cols w:equalWidth="0" w:num="1">
            <w:col w:w="9910"/>
          </w:cols>
          <w:pgMar w:left="1170" w:top="831" w:right="1160" w:bottom="0" w:gutter="0" w:footer="0" w:header="0"/>
          <w:type w:val="continuous"/>
        </w:sectPr>
      </w:pPr>
    </w:p>
    <w:bookmarkStart w:id="128" w:name="page129"/>
    <w:bookmarkEnd w:id="128"/>
    <w:p>
      <w:pPr>
        <w:ind w:left="10" w:right="440"/>
        <w:spacing w:after="0" w:line="309" w:lineRule="auto"/>
        <w:rPr>
          <w:sz w:val="20"/>
          <w:szCs w:val="20"/>
          <w:color w:val="auto"/>
        </w:rPr>
      </w:pPr>
      <w:r>
        <w:rPr>
          <w:rFonts w:ascii="Times New Roman" w:cs="Times New Roman" w:eastAsia="Times New Roman" w:hAnsi="Times New Roman"/>
          <w:sz w:val="19"/>
          <w:szCs w:val="19"/>
          <w:color w:val="auto"/>
        </w:rPr>
        <w:t>which was $59,074 as of December 31, 2023. The Company also recognized a liability of $49,400 (see Note 19) representing the Company's obligation to pay sub-charter payments until the vessel is chartered directly from Energos.</w:t>
      </w:r>
    </w:p>
    <w:p>
      <w:pPr>
        <w:spacing w:after="0" w:line="157"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auto"/>
        </w:rPr>
        <w:t>The remaining balance of other current assets as of December 31, 2023 and 2022 primarily consists of deposits, as well as the current portion of contract assets (Note 7).</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250" w:lineRule="exact"/>
        <w:rPr>
          <w:sz w:val="20"/>
          <w:szCs w:val="20"/>
          <w:color w:val="auto"/>
        </w:rPr>
      </w:pPr>
    </w:p>
    <w:p>
      <w:pPr>
        <w:ind w:left="10" w:right="40"/>
        <w:spacing w:after="0" w:line="259" w:lineRule="auto"/>
        <w:rPr>
          <w:sz w:val="20"/>
          <w:szCs w:val="20"/>
          <w:color w:val="auto"/>
        </w:rPr>
      </w:pPr>
      <w:r>
        <w:rPr>
          <w:rFonts w:ascii="Times New Roman" w:cs="Times New Roman" w:eastAsia="Times New Roman" w:hAnsi="Times New Roman"/>
          <w:sz w:val="20"/>
          <w:szCs w:val="20"/>
          <w:color w:val="auto"/>
        </w:rPr>
        <w:t xml:space="preserve">In December 2023, the Company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$22,400; the sale closed in the first quarter of 2024, and as such, the vessel has been classified as held for sale as of December 31, 2023. In conjunction with the classification to held for sale, the Company recognized an impairment of $10,958 within Asset impairment expense in the Consolidated Statements of Operations and Comprehensive Income. Nonrecurring, Level 2 inputs were used to estimate the fair value of the investment for the purpose of recognizing the OTTI.</w:t>
      </w:r>
    </w:p>
    <w:p>
      <w:pPr>
        <w:spacing w:after="0" w:line="186" w:lineRule="exact"/>
        <w:rPr>
          <w:sz w:val="20"/>
          <w:szCs w:val="20"/>
          <w:color w:val="auto"/>
        </w:rPr>
      </w:pPr>
    </w:p>
    <w:p>
      <w:pPr>
        <w:ind w:left="730" w:hanging="730"/>
        <w:spacing w:after="0"/>
        <w:tabs>
          <w:tab w:leader="none" w:pos="73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method investments</w:t>
      </w:r>
    </w:p>
    <w:p>
      <w:pPr>
        <w:spacing w:after="0" w:line="257"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As a result of the Mergers, the Company acquired a 50% ownership interest in both CELSEPAR and Hilli LLC, and both investments have been recognized as equity method investments. As part of the Energos Formation Transaction, the Company contributed certain vessels to Energos in exchange for an equity interest, and this equity interest has been accounted for under the equity method. The Company has a 20% ownership interest in Energos.</w:t>
      </w:r>
    </w:p>
    <w:p>
      <w:pPr>
        <w:spacing w:after="0" w:line="203"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investment in CELSEPAR was reflected in the Terminals and Infrastructure segment; the investments in Hilli LLC and Energos were reflected in the Ships segment.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Changes in the balance of the Company’s equity method investments is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03"/>
        </w:trPr>
        <w:tc>
          <w:tcPr>
            <w:tcW w:w="714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beginning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1,182,013</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contributions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133,314</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(29,372)</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in earnings of investees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15,546</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Other-than-temporary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(487,765)</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Sale of equity method investments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(260,156)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(500,076)</w:t>
            </w:r>
          </w:p>
        </w:tc>
      </w:tr>
      <w:tr>
        <w:trPr>
          <w:trHeight w:val="30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78,646</w:t>
            </w:r>
          </w:p>
        </w:tc>
      </w:tr>
      <w:tr>
        <w:trPr>
          <w:trHeight w:val="26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end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6311900" cy="1562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6">
                      <a:extLst>
                        <a:ext uri="{28A0092B-C50C-407E-A947-70E740481C1C}"/>
                      </a:extLst>
                    </a:blip>
                    <a:srcRect/>
                    <a:stretch>
                      <a:fillRect/>
                    </a:stretch>
                  </pic:blipFill>
                  <pic:spPr bwMode="auto">
                    <a:xfrm>
                      <a:off x="0" y="0"/>
                      <a:ext cx="6311900" cy="15621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carrying amounts of the Company's equity method investments as of December 31, 2023 and 2022 are as follows:</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Hilli LLC</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260,000</w:t>
            </w: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Energos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132,306</w:t>
            </w:r>
          </w:p>
        </w:tc>
      </w:tr>
      <w:tr>
        <w:trPr>
          <w:trHeight w:val="260"/>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11900" cy="609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7">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As of December 31, 2023, the carrying value of the Company’s equity method investments was less than its proportionate share of the underlying net assets of its investee by $5,277. At December 31, 2022, the carrying value of the Company’s equity method investments exceeded its proportionate share of the underlying net assets of its investees by $16,976, and the basis difference attributable to amortizable net assets was amortized to Income (loss) from equity method investments in the Consolidated Statements of Operations and Comprehensive Income over the remaining estimated useful lives of the underlying assets.</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F-34</w:t>
      </w:r>
    </w:p>
    <w:p>
      <w:pPr>
        <w:sectPr>
          <w:pgSz w:w="12240" w:h="15840" w:orient="portrait"/>
          <w:cols w:equalWidth="0" w:num="1">
            <w:col w:w="9910"/>
          </w:cols>
          <w:pgMar w:left="1170" w:top="838"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i w:val="1"/>
          <w:iCs w:val="1"/>
          <w:color w:val="auto"/>
        </w:rPr>
        <w:t>Energos</w:t>
      </w:r>
    </w:p>
    <w:p>
      <w:pPr>
        <w:spacing w:after="0" w:line="2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Company acquired a 20% equity interest in Energos as part of the Energos Formation Transaction in the third quarter of 2022.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spacing w:after="0" w:line="2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Subsequent to December 31, 2023, the Company entered into a Unit Purchase Agreement to sell substantially all of its stake in Energos. As a result of the transaction, the Company has recognized an other than temporary impairment ("OTTI") of the investment in Energos totaling $5,277 for the year ended December 31, 2023, and this loss was recognized in Income (loss) from equity method investments in the Consolidated Statements of Operations and Comprehensive Income. Nonrecurring, Level 2 inputs were used to estimate the fair value of the investment for the purpose of recognizing the OTTI. The sale was completed on February 14, 2023. Following the disposition of substantially all of the stake in Energos, the Company no longer has significant influence over Energos, and the value of any remaining investment will not be accounted for under the equity method.</w:t>
      </w:r>
    </w:p>
    <w:p>
      <w:pPr>
        <w:spacing w:after="0" w:line="2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Due to the timing and availability of financial information of Energos, the Company recognized its proportional share of the income or loss from the equity method investment on a financial reporting lag of one fiscal quarter. For the years ended December 31, 2023 and 2022, the Company has recognized earnings from Energos of $9,263 and $2,788,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Hilli LLC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15, 2023, the Company completed a transaction with Golar LNG Limited ("GLNG") for the sale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investment in the common units of Hilli LLC in exchange for approximately 4.1 million NFE shares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$100,000 in cash (the "Hilli Exchange"). In the fourth quarter of 2022, the Company recognized an OTTI on the investment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Hilli LLC of $118,558; this impairment was recognized in Income (loss) from equity method investments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Income. Upon completion of the Hilli Exchange, a loss 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disposal of $37,401 was recognized in Other expense (income), net in the Consolidated Statements of Operations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Comprehensive Income. As a result of the Hilli Exchange, the Company no longer has an ownership interest in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NFE shares received from GLNG were cancelled upon closing of the Hilli Exchange.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CELSEPAR</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CELSEPAR was jointly owned and operated with Ebrasil Energia Ltda. (“Ebrasil”), an affiliate of Eletricidade do Brasil S.A., and the Company accounted for this 50% investment using the equity method. On May 31, 2022, an indirect subsidiary of NFE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 GW of expansion rights adjacent to the Sergipe Power Plant, for a purchase price of R$6.1 billion in cash (the “Sergipe Sale”).</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purchase price payable by Eneva accrued interest at a rate of CDI +1% from December 31, 2021 until the date of the closing (CDI at closing used for interest calculation purposes) and was subject to certain customary adjustments, including for the amount of any (a) distributions or payments to or for the benefit of Sergipe Sellers and their affiliates and liabilities incurred or assumed for the benefit of Sergipe Sellers or their affiliates, and (b) certain fees and expenses incurred by CELSEPAR and CEBARRA in connection with the Sergipe Sale. The Sergipe Sale was completed on October 3, 2022, and Eneva paid the Sergipe Sellers R$6.8 billion (approximately $1.3 billion using the exchange rate as of the closing date), prior to the settlement of debt, settlement of other contractual liabilities and payment of transaction costs and consent fees at closing. The Company also entered into a foreign currency forward to mitigate foreign currency risk to the expected proceeds from the transaction, and this foreign currency forward settled at the time of the Sergipe Sale resulting in a gain of $20,394, recognized in Other expense (income), net in the Consolidated Statements of Operations and Comprehensive Income.</w:t>
      </w:r>
    </w:p>
    <w:p>
      <w:pPr>
        <w:spacing w:after="0" w:line="21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As a result of the announcement of the Sergipe Sale, the Company recognized an OTTI of the investment in CELSEPAR totaling $369,207 for the year ended December 31, 2022, and this loss was recognized in Income (loss) from equity method investments in the Consolidated Statements of Operations and Comprehensive Income.</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F-35</w:t>
      </w:r>
    </w:p>
    <w:p>
      <w:pPr>
        <w:sectPr>
          <w:pgSz w:w="12240" w:h="15840" w:orient="portrait"/>
          <w:cols w:equalWidth="0" w:num="1">
            <w:col w:w="9880"/>
          </w:cols>
          <w:pgMar w:left="1180" w:top="834" w:right="1180" w:bottom="0" w:gutter="0" w:footer="0" w:header="0"/>
          <w:type w:val="continuous"/>
        </w:sectPr>
      </w:pPr>
    </w:p>
    <w:bookmarkStart w:id="130" w:name="page131"/>
    <w:bookmarkEnd w:id="130"/>
    <w:p>
      <w:pPr>
        <w:ind w:left="730" w:hanging="730"/>
        <w:spacing w:after="0"/>
        <w:tabs>
          <w:tab w:leader="none" w:pos="73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 in progress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construction in progress activity during the years ended December 31, 2023 and 2022 is detailed below:</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beginning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2,418,608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1,043,883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3,438,895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1,482,871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Impact of currency translation adjustment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Assets placed in service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(540,198)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(63,067)</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end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5,348,294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2,418,608</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311900" cy="1181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8">
                      <a:extLst>
                        <a:ext uri="{28A0092B-C50C-407E-A947-70E740481C1C}"/>
                      </a:extLst>
                    </a:blip>
                    <a:srcRect/>
                    <a:stretch>
                      <a:fillRect/>
                    </a:stretch>
                  </pic:blipFill>
                  <pic:spPr bwMode="auto">
                    <a:xfrm>
                      <a:off x="0" y="0"/>
                      <a:ext cx="6311900" cy="1181100"/>
                    </a:xfrm>
                    <a:prstGeom prst="rect">
                      <a:avLst/>
                    </a:prstGeom>
                    <a:noFill/>
                  </pic:spPr>
                </pic:pic>
              </a:graphicData>
            </a:graphic>
          </wp:anchor>
        </w:drawing>
      </w:r>
    </w:p>
    <w:p>
      <w:pPr>
        <w:spacing w:after="0" w:line="228" w:lineRule="exact"/>
        <w:rPr>
          <w:sz w:val="20"/>
          <w:szCs w:val="20"/>
          <w:color w:val="auto"/>
        </w:rPr>
      </w:pPr>
    </w:p>
    <w:p>
      <w:pPr>
        <w:ind w:left="10" w:right="460"/>
        <w:spacing w:after="0" w:line="281" w:lineRule="auto"/>
        <w:rPr>
          <w:sz w:val="20"/>
          <w:szCs w:val="20"/>
          <w:color w:val="auto"/>
        </w:rPr>
      </w:pPr>
      <w:r>
        <w:rPr>
          <w:rFonts w:ascii="Times New Roman" w:cs="Times New Roman" w:eastAsia="Times New Roman" w:hAnsi="Times New Roman"/>
          <w:sz w:val="20"/>
          <w:szCs w:val="20"/>
          <w:color w:val="auto"/>
        </w:rPr>
        <w:t>Interest expense of $295,809, $94,454 and $30,093, inclusive of amortized debt issuance costs, was capitalized for the years ended December 31, 2023, 2022 and 2021, respectively.</w:t>
      </w:r>
    </w:p>
    <w:p>
      <w:pPr>
        <w:spacing w:after="0" w:line="181" w:lineRule="exact"/>
        <w:rPr>
          <w:sz w:val="20"/>
          <w:szCs w:val="20"/>
          <w:color w:val="auto"/>
        </w:rPr>
      </w:pPr>
    </w:p>
    <w:p>
      <w:pPr>
        <w:ind w:left="10" w:right="20"/>
        <w:spacing w:after="0" w:line="239" w:lineRule="auto"/>
        <w:rPr>
          <w:sz w:val="20"/>
          <w:szCs w:val="20"/>
          <w:color w:val="auto"/>
        </w:rPr>
      </w:pPr>
      <w:r>
        <w:rPr>
          <w:rFonts w:ascii="Times New Roman" w:cs="Times New Roman" w:eastAsia="Times New Roman" w:hAnsi="Times New Roman"/>
          <w:sz w:val="20"/>
          <w:szCs w:val="20"/>
          <w:color w:val="auto"/>
        </w:rPr>
        <w:t>The Company has significant development activities in Latin America as well as the development of the Company's Fast LNG liquefaction solution, and the completion of such developments are subject to risks related to successful completion, including those related to government approvals, site identification, financing, construction permitting and contract compliance. The Company's development activities for the year ended December 31, 2023 were primarily focused on Fast LNG and the construction of temporary power generation assets to support the Puerto Rican grid stabilization project; additions to construction in progress in 2023 of $2,930,384 were to develop Fast LNG projects and Puerto Rican temporary power.</w:t>
      </w:r>
    </w:p>
    <w:p>
      <w:pPr>
        <w:spacing w:after="0" w:line="205"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Assets placed in service during 2023 are primarily comprised of assets to support our Puerto Rican temporary power project and our power plant at the Port of Pichilingue in Baja California Sur, Mexico.</w:t>
      </w:r>
    </w:p>
    <w:p>
      <w:pPr>
        <w:spacing w:after="0" w:line="174" w:lineRule="exact"/>
        <w:rPr>
          <w:sz w:val="20"/>
          <w:szCs w:val="20"/>
          <w:color w:val="auto"/>
        </w:rPr>
      </w:pPr>
    </w:p>
    <w:p>
      <w:pPr>
        <w:ind w:left="730" w:hanging="730"/>
        <w:spacing w:after="0"/>
        <w:tabs>
          <w:tab w:leader="none" w:pos="73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2023 and 2022, the Company’s property, plant and equipment, net consisted of the following:</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1,494,433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1,518,839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430,883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218,296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CHP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123,897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terminals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177,780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134,324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63,316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52,995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139,967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(377,833)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(248,082)</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property, plant and equipment, net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2,481,415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2,116,727</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-2126615</wp:posOffset>
            </wp:positionV>
            <wp:extent cx="6311900" cy="2133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9">
                      <a:extLst>
                        <a:ext uri="{28A0092B-C50C-407E-A947-70E740481C1C}"/>
                      </a:extLst>
                    </a:blip>
                    <a:srcRect/>
                    <a:stretch>
                      <a:fillRect/>
                    </a:stretch>
                  </pic:blipFill>
                  <pic:spPr bwMode="auto">
                    <a:xfrm>
                      <a:off x="0" y="0"/>
                      <a:ext cx="6311900" cy="2133600"/>
                    </a:xfrm>
                    <a:prstGeom prst="rect">
                      <a:avLst/>
                    </a:prstGeom>
                    <a:noFill/>
                  </pic:spPr>
                </pic:pic>
              </a:graphicData>
            </a:graphic>
          </wp:anchor>
        </w:drawing>
      </w:r>
    </w:p>
    <w:p>
      <w:pPr>
        <w:spacing w:after="0" w:line="228"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auto"/>
        </w:rPr>
        <w:t>The book value of the vessels that were recognized due to the failed sale leaseback in the Energos Formation Transaction as of December 31, 2023 and 2022 was $1,293,384 and $1,328,553, respectively.</w:t>
      </w:r>
    </w:p>
    <w:p>
      <w:pPr>
        <w:spacing w:after="0" w:line="181"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Depreciation for the years ended December 31, 2023, 2022 and 2021 totaled $141,069, $104,823 and $80,220, respectively, of which $905, $954 and $1,167, respectively, is included within Cost of sales in the Consolidated Statements of Operations and Comprehensive Income.</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F-36</w:t>
      </w:r>
    </w:p>
    <w:p>
      <w:pPr>
        <w:sectPr>
          <w:pgSz w:w="12240" w:h="15840" w:orient="portrait"/>
          <w:cols w:equalWidth="0" w:num="1">
            <w:col w:w="9910"/>
          </w:cols>
          <w:pgMar w:left="1170" w:top="831" w:right="1160" w:bottom="0" w:gutter="0" w:footer="0" w:header="0"/>
          <w:type w:val="continuous"/>
        </w:sectPr>
      </w:pPr>
    </w:p>
    <w:bookmarkStart w:id="131" w:name="page132"/>
    <w:bookmarkEnd w:id="131"/>
    <w:p>
      <w:pPr>
        <w:ind w:left="730" w:hanging="730"/>
        <w:spacing w:after="0"/>
        <w:tabs>
          <w:tab w:leader="none" w:pos="73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carrying amount of goodwill was $776,760 as of both December 31, 2023 and 2022.</w:t>
      </w:r>
    </w:p>
    <w:p>
      <w:pPr>
        <w:spacing w:after="0" w:line="250"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The Company performed its annual goodwill impairment test as of October 1, 2023 and 2022 and, in both periods, conducted a qualitative assessment. The Company concluded that the fair value of each reporting unit was greater than the carrying amount, and no goodwill impairment charges were recognized during the years ended December 31, 2023 and 2022.</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summarize the composition of intangible assets as of December 31, 2023 and 2022:</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42,369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58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68,663</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(16,513)</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51,815</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60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157,464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(69,245)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85,897</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-3714115</wp:posOffset>
            </wp:positionV>
            <wp:extent cx="6311900" cy="13620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
                      <a:extLst>
                        <a:ext uri="{28A0092B-C50C-407E-A947-70E740481C1C}"/>
                      </a:extLst>
                    </a:blip>
                    <a:srcRect/>
                    <a:stretch>
                      <a:fillRect/>
                    </a:stretch>
                  </pic:blipFill>
                  <pic:spPr bwMode="auto">
                    <a:xfrm>
                      <a:off x="0" y="0"/>
                      <a:ext cx="6311900" cy="13620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-1364615</wp:posOffset>
            </wp:positionV>
            <wp:extent cx="6311900" cy="1371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1">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left="10" w:right="300"/>
        <w:spacing w:after="0" w:line="260" w:lineRule="auto"/>
        <w:rPr>
          <w:sz w:val="20"/>
          <w:szCs w:val="20"/>
          <w:color w:val="auto"/>
        </w:rPr>
      </w:pPr>
      <w:r>
        <w:rPr>
          <w:rFonts w:ascii="Times New Roman" w:cs="Times New Roman" w:eastAsia="Times New Roman" w:hAnsi="Times New Roman"/>
          <w:sz w:val="20"/>
          <w:szCs w:val="20"/>
          <w:color w:val="auto"/>
        </w:rPr>
        <w:t>As of December 31, 2023 and 2022, the weighted-average remaining amortization periods for the intangible assets were 28.8 and 18.0 years, respectively. Amortization expense for the years ended December 31, 2023, 2022, and 2021 was $26,853, $37,162, and $18,609, respectively which were inclusive of reductions in expense for the amortization of unfavorable contract liabilities assumed in the Mergers.</w:t>
      </w:r>
    </w:p>
    <w:p>
      <w:pPr>
        <w:spacing w:after="0" w:line="203" w:lineRule="exact"/>
        <w:rPr>
          <w:sz w:val="20"/>
          <w:szCs w:val="20"/>
          <w:color w:val="auto"/>
        </w:rPr>
      </w:pPr>
    </w:p>
    <w:p>
      <w:pPr>
        <w:ind w:left="10" w:right="20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2023, certain favorable vessel charter contract intangibles with a gross carrying amount of $88,000 became fully amortized, and the gross carrying amount and accumulated amortization have been written-off. Additionally, a vessel charter contract was terminated during 2023, and the net book value of the intangible asset on the date of termination of $9,553 was recognized as an impairment in the Consolidated Statements of Operations and Comprehensive Income.</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F-37</w:t>
      </w:r>
    </w:p>
    <w:p>
      <w:pPr>
        <w:sectPr>
          <w:pgSz w:w="12240" w:h="15840" w:orient="portrait"/>
          <w:cols w:equalWidth="0" w:num="1">
            <w:col w:w="9910"/>
          </w:cols>
          <w:pgMar w:left="1170" w:top="831" w:right="1160" w:bottom="0" w:gutter="0" w:footer="0" w:header="0"/>
          <w:type w:val="continuous"/>
        </w:sectPr>
      </w:pPr>
    </w:p>
    <w:bookmarkStart w:id="132" w:name="page133"/>
    <w:bookmarkEnd w:id="132"/>
    <w:p>
      <w:pPr>
        <w:ind w:right="300"/>
        <w:spacing w:after="0" w:line="255" w:lineRule="auto"/>
        <w:rPr>
          <w:sz w:val="20"/>
          <w:szCs w:val="20"/>
          <w:color w:val="auto"/>
        </w:rPr>
      </w:pPr>
      <w:r>
        <w:rPr>
          <w:rFonts w:ascii="Times New Roman" w:cs="Times New Roman" w:eastAsia="Times New Roman" w:hAnsi="Times New Roman"/>
          <w:sz w:val="20"/>
          <w:szCs w:val="20"/>
          <w:color w:val="auto"/>
        </w:rPr>
        <w:t>In the third quarter of 2023, An Bord Pleanála, Ireland's planning commission, denied the Company's application for the development of an LNG terminal and power plant in Shannon, Ireland. The Company is challenging this decision. Capitalized permits and development rights are primarily comprised of capitalized costs related to this project. The Company has concluded that these recent events do not indicate that these assets are not recoverable. The continued development of this project is uncertain and there are multiple risks, including regulatory risks, that could preclude the development of this project, and the results of these risks could have a material effect to the Company's results of operations.</w:t>
      </w:r>
    </w:p>
    <w:p>
      <w:pPr>
        <w:spacing w:after="0" w:line="21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The estimated aggregate amortization expense, inclusive of reductions in expense for the amortization of unfavorable contract liabilities assumed in the Mergers, for each of the next five years is: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5,346</w:t>
            </w:r>
          </w:p>
        </w:tc>
        <w:tc>
          <w:tcPr>
            <w:tcW w:w="0" w:type="dxa"/>
            <w:vAlign w:val="bottom"/>
          </w:tcPr>
          <w:p>
            <w:pPr>
              <w:spacing w:after="0"/>
              <w:rPr>
                <w:sz w:val="1"/>
                <w:szCs w:val="1"/>
                <w:color w:val="auto"/>
              </w:rPr>
            </w:pPr>
          </w:p>
        </w:tc>
      </w:tr>
      <w:tr>
        <w:trPr>
          <w:trHeight w:val="30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4,353</w:t>
            </w:r>
          </w:p>
        </w:tc>
        <w:tc>
          <w:tcPr>
            <w:tcW w:w="0" w:type="dxa"/>
            <w:vAlign w:val="bottom"/>
          </w:tcPr>
          <w:p>
            <w:pPr>
              <w:spacing w:after="0"/>
              <w:rPr>
                <w:sz w:val="1"/>
                <w:szCs w:val="1"/>
                <w:color w:val="auto"/>
              </w:rPr>
            </w:pPr>
          </w:p>
        </w:tc>
      </w:tr>
      <w:tr>
        <w:trPr>
          <w:trHeight w:val="30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w:t>
            </w:r>
          </w:p>
        </w:tc>
        <w:tc>
          <w:tcPr>
            <w:tcW w:w="0" w:type="dxa"/>
            <w:vAlign w:val="bottom"/>
          </w:tcPr>
          <w:p>
            <w:pPr>
              <w:spacing w:after="0"/>
              <w:rPr>
                <w:sz w:val="1"/>
                <w:szCs w:val="1"/>
                <w:color w:val="auto"/>
              </w:rPr>
            </w:pPr>
          </w:p>
        </w:tc>
      </w:tr>
      <w:tr>
        <w:trPr>
          <w:trHeight w:val="30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w:t>
            </w:r>
          </w:p>
        </w:tc>
        <w:tc>
          <w:tcPr>
            <w:tcW w:w="0" w:type="dxa"/>
            <w:vAlign w:val="bottom"/>
          </w:tcPr>
          <w:p>
            <w:pPr>
              <w:spacing w:after="0"/>
              <w:rPr>
                <w:sz w:val="1"/>
                <w:szCs w:val="1"/>
                <w:color w:val="auto"/>
              </w:rPr>
            </w:pPr>
          </w:p>
        </w:tc>
      </w:tr>
      <w:tr>
        <w:trPr>
          <w:trHeight w:val="30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6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37,048</w:t>
            </w:r>
          </w:p>
        </w:tc>
        <w:tc>
          <w:tcPr>
            <w:tcW w:w="0" w:type="dxa"/>
            <w:vAlign w:val="bottom"/>
          </w:tcPr>
          <w:p>
            <w:pPr>
              <w:spacing w:after="0"/>
              <w:rPr>
                <w:sz w:val="1"/>
                <w:szCs w:val="1"/>
                <w:color w:val="auto"/>
              </w:rPr>
            </w:pPr>
          </w:p>
        </w:tc>
      </w:tr>
      <w:tr>
        <w:trPr>
          <w:trHeight w:val="260"/>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50,668</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17.</w:t>
            </w:r>
          </w:p>
        </w:tc>
        <w:tc>
          <w:tcPr>
            <w:tcW w:w="66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Other non-current assets, net</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00" w:type="dxa"/>
            <w:vAlign w:val="bottom"/>
            <w:vMerge w:val="continue"/>
          </w:tcPr>
          <w:p>
            <w:pPr>
              <w:spacing w:after="0"/>
              <w:rPr>
                <w:sz w:val="24"/>
                <w:szCs w:val="24"/>
                <w:color w:val="auto"/>
              </w:rPr>
            </w:pPr>
          </w:p>
        </w:tc>
        <w:tc>
          <w:tcPr>
            <w:tcW w:w="6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Other non-current assets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6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60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Assets held for sale</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40,685</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asset, net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19,901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28,651</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Investments in 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17,806</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to fulfill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9,773</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Upfront payments to customers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9,158</w:t>
            </w:r>
          </w:p>
        </w:tc>
        <w:tc>
          <w:tcPr>
            <w:tcW w:w="0" w:type="dxa"/>
            <w:vAlign w:val="bottom"/>
          </w:tcPr>
          <w:p>
            <w:pPr>
              <w:spacing w:after="0"/>
              <w:rPr>
                <w:sz w:val="1"/>
                <w:szCs w:val="1"/>
                <w:color w:val="auto"/>
              </w:rPr>
            </w:pPr>
          </w:p>
        </w:tc>
      </w:tr>
      <w:tr>
        <w:trPr>
          <w:trHeight w:val="303"/>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68,051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35,606</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other non-current assets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126,903</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141,679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-3837940</wp:posOffset>
            </wp:positionV>
            <wp:extent cx="6311900" cy="1371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2">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All assets and liabilities of Pecém and Muricy were classified as held for sale as of December 31, 2022. The estimated fair value of these entities based on the consideration in the agreement was in excess of the carrying value, and no impairment loss was recognized upon classification as held for sale.</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 recognized unrealized (loss) gain on its investments in equity securities of $(1,067) and $8,254 for the years ended December 31, 2022 and 2021, respectively, within Other expense (income), net in the Consolidated Statements of Operations and Comprehensive Income. During the third quarter of 2023, the Company sold certain investments in equity securities recognizing a realized gain of $165. Investments in equity securities include investments without a readily determinable fair value of $7,678 as of both December 31, 2023 and 2022.</w:t>
      </w:r>
    </w:p>
    <w:p>
      <w:pPr>
        <w:spacing w:after="0" w:line="20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Upfront payments to customers consist of amounts the Company has paid in relation to two natural gas sales contracts with customers to construct fuel-delivery infrastructure that the customers will own. Other non-current assets includes the value of the earnout receivable recognized upon the sale of Pecém and Muricy, development costs for hosted software products and deferred financing costs related to the Revolving Facility.</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ectPr>
          <w:pgSz w:w="12240" w:h="15840" w:orient="portrait"/>
          <w:cols w:equalWidth="0" w:num="1">
            <w:col w:w="9900"/>
          </w:cols>
          <w:pgMar w:left="1180" w:top="838" w:right="1160" w:bottom="0" w:gutter="0" w:footer="0" w:header="0"/>
          <w:type w:val="continuous"/>
        </w:sectPr>
      </w:pPr>
    </w:p>
    <w:bookmarkStart w:id="133" w:name="page134"/>
    <w:bookmarkEnd w:id="133"/>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18.</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accrued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development costs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286,030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364,157</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51,994</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bonuses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37,739</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dividend</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626,310</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61,782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82,212</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471,675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1,162,412</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19.</w:t>
            </w:r>
          </w:p>
        </w:tc>
        <w:tc>
          <w:tcPr>
            <w:tcW w:w="67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b w:val="1"/>
                <w:bCs w:val="1"/>
                <w:color w:val="auto"/>
              </w:rPr>
              <w:t>Other current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80" w:type="dxa"/>
            <w:vAlign w:val="bottom"/>
            <w:vMerge w:val="continue"/>
          </w:tcPr>
          <w:p>
            <w:pPr>
              <w:spacing w:after="0"/>
              <w:rPr>
                <w:sz w:val="24"/>
                <w:szCs w:val="24"/>
                <w:color w:val="auto"/>
              </w:rPr>
            </w:pPr>
          </w:p>
        </w:tc>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Other current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Derivative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19,458</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7,499</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Winter sub-charter liability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49,400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0" w:type="dxa"/>
            <w:vAlign w:val="bottom"/>
          </w:tcPr>
          <w:p>
            <w:pPr>
              <w:spacing w:after="0"/>
              <w:rPr>
                <w:sz w:val="1"/>
                <w:szCs w:val="1"/>
                <w:color w:val="auto"/>
              </w:rPr>
            </w:pP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other current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227,951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52,878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-3647440</wp:posOffset>
            </wp:positionV>
            <wp:extent cx="6311900" cy="1181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4">
                      <a:extLst>
                        <a:ext uri="{28A0092B-C50C-407E-A947-70E740481C1C}"/>
                      </a:extLst>
                    </a:blip>
                    <a:srcRect/>
                    <a:stretch>
                      <a:fillRect/>
                    </a:stretch>
                  </pic:blipFill>
                  <pic:spPr bwMode="auto">
                    <a:xfrm>
                      <a:off x="0" y="0"/>
                      <a:ext cx="6311900" cy="11811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5">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0"/>
          <w:szCs w:val="20"/>
          <w:color w:val="auto"/>
        </w:rPr>
        <w:t xml:space="preserve">During the fourth quarter of 2023, the Company began to sub-charter the </w:t>
      </w:r>
      <w:r>
        <w:rPr>
          <w:rFonts w:ascii="Times New Roman" w:cs="Times New Roman" w:eastAsia="Times New Roman" w:hAnsi="Times New Roman"/>
          <w:sz w:val="20"/>
          <w:szCs w:val="20"/>
          <w:b w:val="1"/>
          <w:bCs w:val="1"/>
          <w:i w:val="1"/>
          <w:iCs w:val="1"/>
          <w:color w:val="auto"/>
        </w:rPr>
        <w:t>Winter</w:t>
      </w:r>
      <w:r>
        <w:rPr>
          <w:rFonts w:ascii="Times New Roman" w:cs="Times New Roman" w:eastAsia="Times New Roman" w:hAnsi="Times New Roman"/>
          <w:sz w:val="20"/>
          <w:szCs w:val="20"/>
          <w:color w:val="auto"/>
        </w:rPr>
        <w:t>, a vessel included in the Energos Formation Transaction, and a liability was recorded representing the Company's obligation to pay sub-charter payments until the vessel is chartered directly from Energos. The Company also recognized an asset of $59,074 (see Note 12) representing the charterer's remaining payments to Energos.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remaining balance of other current liabilities as of December 31, 2023 primarily consists of recoverable taxes payable.</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ectPr>
          <w:pgSz w:w="12240" w:h="15840" w:orient="portrait"/>
          <w:cols w:equalWidth="0" w:num="1">
            <w:col w:w="9900"/>
          </w:cols>
          <w:pgMar w:left="1180" w:top="831" w:right="116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Debt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2023 and 2022, debt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7"/>
        </w:trPr>
        <w:tc>
          <w:tcPr>
            <w:tcW w:w="48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2025</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1,245,662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1,243,351</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1,486,374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1,481,639</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Financing Obligation, due August 2042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1,359,995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1,406,091</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Revolving Facility</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866,600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Term Loan B,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771,420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South Power 2029 Bonds, due May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216,177</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Barcarena Term Loan, due February 2024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199,678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194,427</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Equipment Notes, due July 2026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190,789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Short-term Borrowings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Barcarena Debentures,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EB-5 Loan, due July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Tugboat Financing, due December 2038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46,728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6,803,148</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4,541,685</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220" w:type="dxa"/>
            <w:vAlign w:val="bottom"/>
            <w:gridSpan w:val="2"/>
            <w:vMerge w:val="continue"/>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292,625</w:t>
            </w:r>
          </w:p>
        </w:tc>
        <w:tc>
          <w:tcPr>
            <w:tcW w:w="60" w:type="dxa"/>
            <w:vAlign w:val="bottom"/>
          </w:tcPr>
          <w:p>
            <w:pPr>
              <w:spacing w:after="0"/>
              <w:rPr>
                <w:sz w:val="22"/>
                <w:szCs w:val="22"/>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64,820</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6,510,523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4,476,865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-2861310</wp:posOffset>
            </wp:positionV>
            <wp:extent cx="6311900" cy="2882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6">
                      <a:extLst>
                        <a:ext uri="{28A0092B-C50C-407E-A947-70E740481C1C}"/>
                      </a:extLst>
                    </a:blip>
                    <a:srcRect/>
                    <a:stretch>
                      <a:fillRect/>
                    </a:stretch>
                  </pic:blipFill>
                  <pic:spPr bwMode="auto">
                    <a:xfrm>
                      <a:off x="0" y="0"/>
                      <a:ext cx="6311900" cy="2882900"/>
                    </a:xfrm>
                    <a:prstGeom prst="rect">
                      <a:avLst/>
                    </a:prstGeom>
                    <a:noFill/>
                  </pic:spPr>
                </pic:pic>
              </a:graphicData>
            </a:graphic>
          </wp:anchor>
        </w:drawing>
      </w:r>
    </w:p>
    <w:p>
      <w:pPr>
        <w:spacing w:after="0" w:line="2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Long-term debt is recorded at amortized cost on the Consolidated Balance Sheets. The fair value of the Company's long-term debt is $6,835,487 and $4,327,311 as of December 31, 2023 and 2022, respectively, and is classified as Level 2 within the fair value hierarchy. The Company's debt arrangements include cross-acceleration clauses whereby events of default under an individual debt agreement can lead to acceleration of principal under other debt arrangements.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Our outstanding debt as of December 31, 2023 is repayable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29"/>
        </w:trPr>
        <w:tc>
          <w:tcPr>
            <w:tcW w:w="85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7"/>
        </w:trPr>
        <w:tc>
          <w:tcPr>
            <w:tcW w:w="8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292,625</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1,341,060</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2,605,990</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162,460</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1,124,501</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1,392,834</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6,919,470</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deferred finance charges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(116,322)</w:t>
            </w:r>
          </w:p>
        </w:tc>
      </w:tr>
      <w:tr>
        <w:trPr>
          <w:trHeight w:val="26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 net deferred finance charges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6,803,148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11900" cy="1752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7">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r>
    </w:p>
    <w:p>
      <w:pPr>
        <w:spacing w:after="0" w:line="22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In September 2020, the Company issued $1,000,000 of 6.75% senior secured notes in a private offering pursuant to Rule 144A under the Securities Act (the “2025 Notes”). Interest is payable semi-annually in arrears on March 15 and September 15 of each year; no principal payments are due until maturity on September 15, 2025. The Company may redeem the 2025 Notes, in whole or in part, at any time prior to maturity, subject to certain make-whole premiums.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ectPr>
          <w:pgSz w:w="12240" w:h="15840" w:orient="portrait"/>
          <w:cols w:equalWidth="0" w:num="1">
            <w:col w:w="9900"/>
          </w:cols>
          <w:pgMar w:left="1180" w:top="831" w:right="1160" w:bottom="0" w:gutter="0" w:footer="0" w:header="0"/>
          <w:type w:val="continuous"/>
        </w:sectPr>
      </w:pPr>
    </w:p>
    <w:bookmarkStart w:id="135" w:name="page136"/>
    <w:bookmarkEnd w:id="135"/>
    <w:p>
      <w:pPr>
        <w:ind w:right="200"/>
        <w:spacing w:after="0" w:line="260" w:lineRule="auto"/>
        <w:rPr>
          <w:sz w:val="20"/>
          <w:szCs w:val="20"/>
          <w:color w:val="auto"/>
        </w:rPr>
      </w:pPr>
      <w:r>
        <w:rPr>
          <w:rFonts w:ascii="Times New Roman" w:cs="Times New Roman" w:eastAsia="Times New Roman" w:hAnsi="Times New Roman"/>
          <w:sz w:val="20"/>
          <w:szCs w:val="20"/>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December 2020, the Company issued $250,000 of additional notes on the same terms as the 2025 Notes in a private offering pursuant to Rule 144A under the Securities Act (subsequent to this issuance, these additional notes are included in the definition of 2025 Notes herein). As of December 31, 2023 and 2022, remaining unamortized deferred financing costs for the 2025 Notes were $4,338 and $6,649,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In April 2021, the Company issued $1,500,000 of 6.50% senior secured notes in a private offering pursuant to Rule 144A under the Securities Act (the “2026 Notes”). Interest is payable semi-annually in arrears on March 31 and September 30 of each year; no principal payments are due until maturity on September 30, 2026. The Company may redeem the 2026 Notes, in whole or in part, at any time prior to maturity, subject to certain make-whole premiums.</w:t>
      </w:r>
    </w:p>
    <w:p>
      <w:pPr>
        <w:spacing w:after="0" w:line="20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0"/>
          <w:szCs w:val="20"/>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9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In connection with the issuance of the 2026 Notes, the Company incurred $25,240 in origination, structuring and other fees, which was deferred as a reduction of the principal balance of the 2026 Notes on the Consolidated Balance Sheets. As of December 31, 2023 and 2022, total remaining unamortized deferred financing costs for the 2026 Notes was $13,626 and $18,361,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connection with the Energos Formation Transaction (see discussion in Note 5), the Company entered into long-term time charter agreements for certain vessels for periods of up to 20 years.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The Company continues to be the owner for accounting purposes of vessels included in the Energos Formation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as such, the Company will recognize revenue and operating expenses related to vessels under charter to third parties. Revenue recognized from these third-party charters form a portion of the debt service for the financing obligation; at inception of the arrangement, the effective interest rate on this financing obligation was approximately 15.9% and includes the cash flows that Energos receives from these third-party charters.</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 xml:space="preserve">In connection with closing the Energos Formation Transaction, the Company incurred $10,010 in origination, structuring and other fees, of which $2,995 was allocated to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recognized as Other expense (income), net in the Consolidated Statements of Operations and Comprehensive Income. Financing costs of $7,015 were allocated and deferred as a reduction of the principal balance of the financing obligation on the Consolidated Balance Sheets. As of December 31, 2023 and 2022, the remaining unamortized deferred financing costs for the Vessel Financing Obligation was $6,490 and $6,866,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In April 2021, the Company entered into a credit agreement (the "Revolving Credit Agreement") with a bank for $200,000 senior secured revolving credit facility (the "Revolving Facility"). The borrowings under the Revolving Facility bear interest at a Secured Overnight Financing Rate ("SOFR") based rate plus a margin based upon usage of the Revolving Facility. The Revolving Facility will mature in 2026 if the 2025 Notes are refinanced prior to maturity, with the potential for the Company to extend the maturity date of the Revolving Facility once for a one-year increment; if not, the Revolving</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ectPr>
          <w:pgSz w:w="12240" w:h="15840" w:orient="portrait"/>
          <w:cols w:equalWidth="0" w:num="1">
            <w:col w:w="9880"/>
          </w:cols>
          <w:pgMar w:left="1180" w:top="838" w:right="1180" w:bottom="0" w:gutter="0" w:footer="0" w:header="0"/>
          <w:type w:val="continuous"/>
        </w:sectPr>
      </w:pPr>
    </w:p>
    <w:bookmarkStart w:id="136" w:name="page137"/>
    <w:bookmarkEnd w:id="136"/>
    <w:p>
      <w:pPr>
        <w:ind w:right="460"/>
        <w:spacing w:after="0" w:line="281" w:lineRule="auto"/>
        <w:rPr>
          <w:sz w:val="20"/>
          <w:szCs w:val="20"/>
          <w:color w:val="auto"/>
        </w:rPr>
      </w:pPr>
      <w:r>
        <w:rPr>
          <w:rFonts w:ascii="Times New Roman" w:cs="Times New Roman" w:eastAsia="Times New Roman" w:hAnsi="Times New Roman"/>
          <w:sz w:val="20"/>
          <w:szCs w:val="20"/>
          <w:color w:val="auto"/>
        </w:rPr>
        <w:t>Facility becomes due approximately 60 days prior to the maturity of the 2025 Notes. Borrowings under the Revolving Facility may be prepaid, at the option of the Company, at any time without premium.</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In 2022, the Revolving Credit Agreement was amended twice to increase the borrowing capacity by a total of $240,000, and in the year ended December 31, 2023, the Company entered into additional amendments which increased the borrowing capacity by $510,000, for a total capacity of $950,000. The amendments did not impact the interest rate or term of the Revolving Facility, and no deferred costs were written off. During the year ended December 31, 2023, the Company drew $866,600 from the Revolving Facility, which is outstanding as of December 31, 2023.</w:t>
      </w:r>
    </w:p>
    <w:p>
      <w:pPr>
        <w:spacing w:after="0" w:line="20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Company incurred $5,398 in origination, structuring and other fees, associated with entry into the Revolving Facility, which includes additional fees to expand the facility in 2022. During the year ended December 31, 2023, the Company incurred an additional $9,431 in fees in relation to the 2023 amendments. These costs have been capitalized within Other non-current assets on the Consolidated Balance Sheets. As of December 31, 2023 and 2022, total remaining unamortized deferred financing costs for the Revolving Facility was $11,923 and $5,172, respectively.</w:t>
      </w:r>
    </w:p>
    <w:p>
      <w:pPr>
        <w:spacing w:after="0" w:line="2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obligations under the Revolving Facility are guaranteed by certain of the Company's subsidiaries, including those that own the Company's first Fast LNG asset, and are secured by substantially the same collateral as the first lien obligations under the 2025 Notes and 2026 Notes. Additionally, the Revolving Facility is secured by assets comprising the Company's first Fast LNG project in Altamira, Mexico. 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4.0:1.0. The Company was in compliance with all covenants as of December 31, 2023.</w:t>
      </w:r>
    </w:p>
    <w:p>
      <w:pPr>
        <w:spacing w:after="0" w:line="210"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The Revolving Credit Agreement contains usual and customary representations and warranties, usual and customary affirmative and negative covenants and events of default.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On August 3, 2023, the Company entered into a credit agreement (the “Bridge Term Loan Agreement”) pursuant to which the lenders funded term loans (the “Bridge Term Loans”) to the Company in an aggregate principal amount of $400,000. The Bridge Term Loans were initially set to mature on August 1, 2024 and were payable in full on the maturity date. The Bridge Term Loans bore interest at a per annum rate equal to Adjusted Term SOFR (as defined in the Bridge Term Loan Agreement) plus 3.50%.</w:t>
      </w:r>
    </w:p>
    <w:p>
      <w:pPr>
        <w:spacing w:after="0" w:line="20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On October 30, 2023, the Company entered into a credit agreement (the “Term Loan B Agreement”) pursuant to which the lenders funded term loans to the Company in an aggregate principal amount of $856,000 ("Term Loan B"). Borrowings were issued at a discount, and the Company received proceeds of $787,520. The proceeds from the Term Loan B issuance were used to repay the Bridge Term Loans and may be used for working capital and other general corporate purposes. The Term Loan B will mature on the earliest of (i) October 30, 2028 if the 2025 Notes and 2026 Notes are refinanced in full prior to their maturities, (ii) July 16, 2025 if any of the 2025 Notes remain outstanding as of such date, and (iii) July 31, 2026, if any of the 2026 Notes remain outstanding as of such date. Quarterly principal payments of approximately $2,140 will be due starting March 2024.</w:t>
      </w:r>
    </w:p>
    <w:p>
      <w:pPr>
        <w:spacing w:after="0" w:line="21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obligations under the Term Loan B are guaranteed by certain of the Company's subsidiaries, including those that own the Company's first Fast LNG project in Altamira, Mexico. The Term Loan B is secured by substantially the same collateral as the first lien obligations under the 2025 Notes and the 2026 Notes, and, in addition, is secured by assets compromising the Company's first Fast LNG Project.</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Adjusted Term SOFR (as defined in the Term Loan B Agreement) plus 5.0%. The Company may prepay the Term Loan B at its option subject to prepayment premiums until October 2025 and customary break funding costs. The Company is required to prepay the Term Loan B with the net proceeds of certain asset sales, condemnations, and debt and convertible securities issuances, in each case subject to certain exceptions and thresholds. Additionally, commencing with the fiscal quarter ending December 31, 2024, the Company will be required to prepay the Term Loan B with the Company’s Excess Cash Flow (as defined in the Term Loan B Agreement).</w:t>
      </w:r>
    </w:p>
    <w:p>
      <w:pPr>
        <w:spacing w:after="0" w:line="210" w:lineRule="exact"/>
        <w:rPr>
          <w:sz w:val="20"/>
          <w:szCs w:val="20"/>
          <w:color w:val="auto"/>
        </w:rPr>
      </w:pPr>
    </w:p>
    <w:p>
      <w:pPr>
        <w:ind w:right="440"/>
        <w:spacing w:after="0" w:line="309" w:lineRule="auto"/>
        <w:rPr>
          <w:sz w:val="20"/>
          <w:szCs w:val="20"/>
          <w:color w:val="auto"/>
        </w:rPr>
      </w:pPr>
      <w:r>
        <w:rPr>
          <w:rFonts w:ascii="Times New Roman" w:cs="Times New Roman" w:eastAsia="Times New Roman" w:hAnsi="Times New Roman"/>
          <w:sz w:val="19"/>
          <w:szCs w:val="19"/>
          <w:color w:val="auto"/>
        </w:rPr>
        <w:t>The Term Loan B Agreement contains usual and customary representations and warranties, and usual and customary affirmative and negative covenants. No financial covenant compliance is required under the Term Loan B Agreement.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ectPr>
          <w:pgSz w:w="12240" w:h="15840" w:orient="portrait"/>
          <w:cols w:equalWidth="0" w:num="1">
            <w:col w:w="9880"/>
          </w:cols>
          <w:pgMar w:left="1180" w:top="838" w:right="1180" w:bottom="0" w:gutter="0" w:footer="0" w:header="0"/>
          <w:type w:val="continuous"/>
        </w:sectPr>
      </w:pPr>
    </w:p>
    <w:bookmarkStart w:id="137" w:name="page138"/>
    <w:bookmarkEnd w:id="137"/>
    <w:p>
      <w:pPr>
        <w:ind w:right="240"/>
        <w:spacing w:after="0" w:line="254" w:lineRule="auto"/>
        <w:rPr>
          <w:sz w:val="20"/>
          <w:szCs w:val="20"/>
          <w:color w:val="auto"/>
        </w:rPr>
      </w:pPr>
      <w:r>
        <w:rPr>
          <w:rFonts w:ascii="Times New Roman" w:cs="Times New Roman" w:eastAsia="Times New Roman" w:hAnsi="Times New Roman"/>
          <w:sz w:val="20"/>
          <w:szCs w:val="20"/>
          <w:color w:val="auto"/>
        </w:rPr>
        <w:t>In connection with the execution of the Bridge Term Loan Agreement and the Term Loan B Agreement, the Company incurred $17,719 in origination, structuring and other fees. The repayment of the Bridge Term Loans with borrowings under the Term Loan B Agreement was treated as a modification, and fees attributable to lenders that participated in the Bridge Term Loans will be amortized over the life of the Term Loan B Agreement; additional third-party fees associated with such lenders of $1,578 were recognized as expense in Transaction and integration costs. Additional fees for new lenders participating in the Term Loan B were recognized as a reduction of the principal balance on the Consolidated Balance Sheets. As of December 31, 2023, total remaining unamortized deferred financing costs, including the unamortized original issue discount, for the Term Loan B was $84,580.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January 2022, NFE South Power Holdings Limited (“South Power”), a wholly owned subsidiary of NFE, entered into an agreement for the issuance of up to $285,000 secured bonds (“South Power 2029 Bonds”). The South Power 2029 Bonds are secured by, amongst other things, the Company’s combined heat and power plant in Clarendon, Jamaica (“CHP Plant”), and NFE has provided a guarantee of the obligations under the South Power 2029 Bonds. As of both December 31, 2023 and 2022, South Power had $221,824 of South Power 2029 Bonds issued and outstanding.</w:t>
      </w:r>
    </w:p>
    <w:p>
      <w:pPr>
        <w:spacing w:after="0" w:line="2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The Company was in compliance with all covenants as of December 31, 2023 and 2022.</w:t>
      </w:r>
    </w:p>
    <w:p>
      <w:pPr>
        <w:spacing w:after="0" w:line="19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As of December 31, 2023 and 2022, the remaining unamortized deferred financing costs for the South Power 2029 Bonds was $4,832 and $5,647,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Notes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June 2023, the Company executed a Master Loan and Security Agreement with a lender to borrow up to $200,000 under promissory notes secured by certain turbines acquired in the first quarter of 2023 to support our grid stabilization project in Puerto Rico (the “Equipment Notes”). During the second and third quarters of 2023, the Company borrowed the full capacity bearing interest at approximately 7.68%, and the principal is partially repayable in monthly installments over the 36-month term of the loan with the balance due upon maturity in July 2026.</w:t>
      </w:r>
    </w:p>
    <w:p>
      <w:pPr>
        <w:spacing w:after="0" w:line="20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Equipment Notes contains usual and customary representations and warranties, and usual and customary affirmative and negative covenants. The Equipment Notes do not contain any restrictive financial covenants. NFE has provided a guarantee of the obligations under the Equipment Notes.</w:t>
      </w:r>
    </w:p>
    <w:p>
      <w:pPr>
        <w:spacing w:after="0" w:line="19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Proceeds received were net of upfront fees due to the lender, and through December 31, 2023, the Company has incurred $2,516 in origination, structuring and other fees, associated with entry into the Equipment Notes. As of December 31, 2023, total remaining unamortized deferred financing costs for the Equipment Notes was $2,382.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On July 21,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ectPr>
          <w:pgSz w:w="12240" w:h="15840" w:orient="portrait"/>
          <w:cols w:equalWidth="0" w:num="1">
            <w:col w:w="9880"/>
          </w:cols>
          <w:pgMar w:left="1180" w:top="838" w:right="1180" w:bottom="0" w:gutter="0" w:footer="0" w:header="0"/>
          <w:type w:val="continuous"/>
        </w:sectPr>
      </w:pPr>
    </w:p>
    <w:bookmarkStart w:id="138" w:name="page139"/>
    <w:bookmarkEnd w:id="138"/>
    <w:p>
      <w:pPr>
        <w:ind w:right="340"/>
        <w:spacing w:after="0" w:line="281" w:lineRule="auto"/>
        <w:rPr>
          <w:sz w:val="20"/>
          <w:szCs w:val="20"/>
          <w:color w:val="auto"/>
        </w:rPr>
      </w:pPr>
      <w:r>
        <w:rPr>
          <w:rFonts w:ascii="Times New Roman" w:cs="Times New Roman" w:eastAsia="Times New Roman" w:hAnsi="Times New Roman"/>
          <w:sz w:val="20"/>
          <w:szCs w:val="20"/>
          <w:color w:val="auto"/>
        </w:rPr>
        <w:t>and NFE has provided a guarantee of the obligations under the EB-5 Loan Agreement. In the year ended December 31, 2023, $62,928 was funded under the EB-5 Loan Agreement.</w:t>
      </w:r>
    </w:p>
    <w:p>
      <w:pPr>
        <w:spacing w:after="0" w:line="181"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19"/>
          <w:szCs w:val="19"/>
          <w:color w:val="auto"/>
        </w:rPr>
        <w:t>The EB-5 Loan Agreement contains usual and customary representations and warranties, and usual and customary affirmative and negative covenants. The EB-5 Loan Agreement does not contain any restrictive financial covenants.</w:t>
      </w:r>
    </w:p>
    <w:p>
      <w:pPr>
        <w:spacing w:after="0" w:line="15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auto"/>
        </w:rPr>
        <w:t>The Company has incurred $1,357 in origination, structuring and other fees associated with entry into the EB-5 Loan Agreement. As of December 31, 2023, the total remaining unamortized deferred financing costs for the EB-5 Loan Agreement was $1,314.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2023, the Company had $182,270 due under repurchase arrangements with a weighted average interest rate of 9.68%.</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Financings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the third quarter of 2022, certain of the Company's indirect subsidiaries entered into a financing agreement to borrow up to $200,000 due upon maturity in February 2024 (the “Barcarena Term Loan”); proceeds were utilized to fund a portion of the construction of the Company's power plant located in Pará, Brazil (the "Barcarena Power Plant"). As of December 31, 2022, the loan was fully funded. Interest is due quarterly, and outstanding borrowings bear interest at a rate equal to the Secured Overnight Financing Rate ("SOFR") plus 4.70%.</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Company's LNG regasification terminal located in Pará, Brazil ("Barcarena Terminal") and Barcarena Power Plant, liens on equipment and machinery owned by these entities, and rights to future operating cash flows and receivables under the Barcarena Power Plant's power purchase agreements. The Company is required to comply with customary affirmative and negative covenants, and the Barcarena Term Loan also provides for customary events of default, prepayment and cure provisions. The Company was in compliance with all covenants as of December 31, 2023 and 2022.</w:t>
      </w:r>
    </w:p>
    <w:p>
      <w:pPr>
        <w:spacing w:after="0" w:line="21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Company incurred $4,011 of structuring and other fees, and such fees were deferred as a reduction to the principal balance of the Barcarena Term Loan. As of December 31, 2023 and 2022, the remaining unamortized deferred financing costs for the Barcarena Term Loan was $334 and $3,077, respectively.</w:t>
      </w:r>
    </w:p>
    <w:p>
      <w:pPr>
        <w:spacing w:after="0" w:line="19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October 2023, certain of the Company's Brazilian subsidiaries entered into two long-term financing arrangements, fully funding the construction of the Barcarena Power Plant. Proceeds received will be used to repay the Barcarena Term Loan and to pay for all remaining expected construction costs through the planned completion of the Barcarena Power Plant in 2025. As the Company has committed financing in place to extinguish the Barcarena Term Loan as of December 31, 2023, the Barcarena Term Loan has been presented as long-term debt on the Consolidated Balance Sheets. The Barcarena Term Loan was repaid in January 2024 using proceeds from the BNDES Term Loan (defined below).</w:t>
      </w:r>
    </w:p>
    <w:p>
      <w:pPr>
        <w:spacing w:after="0" w:line="20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The parent of the owner of the Barcarena Power Plant entered into an agreement for the issuance of up to $200 million of convertible debentures maturing in October 2028 ("Barcarena Debentures") and issued $180 million of the Barcarena Debentures prior to December 31, 2023. The remaining series may be issued upon the achievement of certain conditions precedent. Interest on the Barcarena Debentures is due quarterly, and interest accrues at an annual rate of 12%, increasing 1.25% each year after the third anniversary of issuance. The Company is able to prepay the Barcarena Debentures, subject</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ectPr>
          <w:pgSz w:w="12240" w:h="15840" w:orient="portrait"/>
          <w:cols w:equalWidth="0" w:num="1">
            <w:col w:w="9860"/>
          </w:cols>
          <w:pgMar w:left="1180" w:top="838" w:right="1200" w:bottom="0" w:gutter="0" w:footer="0" w:header="0"/>
          <w:type w:val="continuous"/>
        </w:sectPr>
      </w:pPr>
    </w:p>
    <w:bookmarkStart w:id="139" w:name="page140"/>
    <w:bookmarkEnd w:id="139"/>
    <w:p>
      <w:pPr>
        <w:ind w:right="360"/>
        <w:spacing w:after="0" w:line="281" w:lineRule="auto"/>
        <w:rPr>
          <w:sz w:val="20"/>
          <w:szCs w:val="20"/>
          <w:color w:val="auto"/>
        </w:rPr>
      </w:pPr>
      <w:r>
        <w:rPr>
          <w:rFonts w:ascii="Times New Roman" w:cs="Times New Roman" w:eastAsia="Times New Roman" w:hAnsi="Times New Roman"/>
          <w:sz w:val="20"/>
          <w:szCs w:val="20"/>
          <w:color w:val="auto"/>
        </w:rPr>
        <w:t>to customary break funding costs, and the Company is required to utilize certain excess cash flows from the Company's Brazilian operations to prepay principal.</w:t>
      </w:r>
    </w:p>
    <w:p>
      <w:pPr>
        <w:spacing w:after="0" w:line="18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Barcarena Debentures are convertible to shares of one of the Company's indirect Brazilian subsidiaries on the maturity date at the creditors' option, based on the current fair value of this subsidiary's equity at the time of conversion.</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obligations under the Barcarena Debentures are guaranteed by certain indirect Brazilian subsidiaries that own the Barcarena Terminal and the LNG regasification terminal located in Santa Catarina, Brazil. NFE has also provided a parent company guarantee that will be released once the Barcarena Terminal commences commercial operations. Brazilian subsidiaries guaranteeing these obligations are required to comply with customary affirmative and negative covenants, and the Barcarena Debentures also provides for customary events of default, prepayment and cure provisions.</w:t>
      </w:r>
    </w:p>
    <w:p>
      <w:pPr>
        <w:spacing w:after="0" w:line="20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Company incurred $5,061 of structuring and other fees, and such fees were deferred as a reduction to the principal balance of the Barcarena Debentures. As of December 31, 2023, the remaining unamortized deferred financing costs for the Barcarena Debentures was $4,975.</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owner of the Barcarena Power Plant entered into a credit agreement with BNDES, the Brazilian Development Bank (the "BNDES Credit Agreement"). The Company is able to borrow up to R$1.8 billion under the BNDES Credit Agreement, segregated into three tranches based on the use of proceeds ("BNDES Term Loan"); no amounts were funded under the BNDES Credit Agreement as of December 31, 2023. Each tranche bears a different rate of interest ranging from 2.61% to 4.41% plus the fixed rate announced by BNDES. No principal payments are required until April 2026 and are due quarterly thereafter until maturity in 2045.</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 covenants, and the BNDES Credit Agreement also provides for customary events of default, prepayment and cure provisions.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In December 2023, the Company sold and leased back four tugboat vessels for 15 years receiving proceeds of $46,728. ("Tugboat Financing"). The leasebacks of the tugboat vessels were classified as finance leases, and as such, the Company accounted for the Tugboat Financing as a failed sale-leaseback and has recorded a financing obligation for consideration received. The effective interest rate on this financing obligation is approximately 16.92%.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2023, 2022 and 2021 consisted of the following:</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5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per contractual rates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339,631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227,960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175,420</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on Vessel Financing Obligation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211,745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91,405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debt issuance costs, premiums and discounts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8,588</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incurred on finance lease obligations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costs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573,651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331,315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184,417</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Capitalized interest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295,809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94,454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30,093</w:t>
            </w:r>
          </w:p>
        </w:tc>
      </w:tr>
      <w:tr>
        <w:trPr>
          <w:trHeight w:val="260"/>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r>
      <w:tr>
        <w:trPr>
          <w:trHeight w:val="20"/>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8">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jc w:val="both"/>
        <w:ind w:right="380"/>
        <w:spacing w:after="0" w:line="309" w:lineRule="auto"/>
        <w:rPr>
          <w:sz w:val="20"/>
          <w:szCs w:val="20"/>
          <w:color w:val="auto"/>
        </w:rPr>
      </w:pPr>
      <w:r>
        <w:rPr>
          <w:rFonts w:ascii="Times New Roman" w:cs="Times New Roman" w:eastAsia="Times New Roman" w:hAnsi="Times New Roman"/>
          <w:sz w:val="19"/>
          <w:szCs w:val="19"/>
          <w:color w:val="auto"/>
        </w:rPr>
        <w:t>Interest expense on the Vessel Financing Obligations includes non-cash expense of $169,641 and $84,517 for the years ended December 31, 2023 and 2022, respectively, related to payments received by Energos from third party charterers.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F-45</w:t>
      </w:r>
    </w:p>
    <w:p>
      <w:pPr>
        <w:sectPr>
          <w:pgSz w:w="12240" w:h="15840" w:orient="portrait"/>
          <w:cols w:equalWidth="0" w:num="1">
            <w:col w:w="9900"/>
          </w:cols>
          <w:pgMar w:left="1180" w:top="838" w:right="1160" w:bottom="0" w:gutter="0" w:footer="0" w:header="0"/>
          <w:type w:val="continuous"/>
        </w:sectPr>
      </w:pPr>
    </w:p>
    <w:bookmarkStart w:id="140" w:name="page141"/>
    <w:bookmarkEnd w:id="140"/>
    <w:p>
      <w:pPr>
        <w:ind w:left="730" w:hanging="730"/>
        <w:spacing w:after="0"/>
        <w:tabs>
          <w:tab w:leader="none" w:pos="73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auto"/>
        </w:rPr>
        <w:t>The components of the Company’s income (loss) before income taxes for the years ended December 31, 2023, 2022 and 2021 were as follows:</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287,768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551,500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(283,363)</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376,621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(490,153)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388,535</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664,389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61,347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105,172</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9">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Income tax expense is comprised of the following for the years ended December 31, 2023, 2022 and 2021:</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53,377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118,266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20,975</w:t>
            </w:r>
          </w:p>
        </w:tc>
      </w:tr>
      <w:tr>
        <w:trPr>
          <w:trHeight w:val="277"/>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21,286</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(285,330)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(8,825)</w:t>
            </w:r>
          </w:p>
        </w:tc>
      </w:tr>
      <w:tr>
        <w:trPr>
          <w:trHeight w:val="28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tax (benefit)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14,938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(279,536)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(8,825)</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provision for (benefit from) income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12,461</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-1558290</wp:posOffset>
            </wp:positionV>
            <wp:extent cx="6337300" cy="1577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a:extLst>
                        <a:ext uri="{28A0092B-C50C-407E-A947-70E740481C1C}"/>
                      </a:extLst>
                    </a:blip>
                    <a:srcRect/>
                    <a:stretch>
                      <a:fillRect/>
                    </a:stretch>
                  </pic:blipFill>
                  <pic:spPr bwMode="auto">
                    <a:xfrm>
                      <a:off x="0" y="0"/>
                      <a:ext cx="6337300" cy="1577975"/>
                    </a:xfrm>
                    <a:prstGeom prst="rect">
                      <a:avLst/>
                    </a:prstGeom>
                    <a:noFill/>
                  </pic:spPr>
                </pic:pic>
              </a:graphicData>
            </a:graphic>
          </wp:anchor>
        </w:drawing>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Effective Tax Rate</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is as follows:</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1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20" w:type="dxa"/>
            <w:vAlign w:val="bottom"/>
          </w:tcPr>
          <w:p>
            <w:pPr>
              <w:spacing w:after="0"/>
              <w:rPr>
                <w:sz w:val="22"/>
                <w:szCs w:val="22"/>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at the statutory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(12.1)</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(33.8)</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US taxation on foreign earnings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9.6</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Impact from foreign operations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0.4</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8.2</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14.7</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attributable to non-controlling interest</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0.8</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Effects of share-based compensation</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(39.8)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(8.5)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taxes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0.6</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9.5</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credits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(4.8)</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Sergipe Sale</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Outside basis differences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2.6</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(3.2)</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-2520315</wp:posOffset>
            </wp:positionV>
            <wp:extent cx="6337300" cy="25400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1">
                      <a:extLst>
                        <a:ext uri="{28A0092B-C50C-407E-A947-70E740481C1C}"/>
                      </a:extLst>
                    </a:blip>
                    <a:srcRect/>
                    <a:stretch>
                      <a:fillRect/>
                    </a:stretch>
                  </pic:blipFill>
                  <pic:spPr bwMode="auto">
                    <a:xfrm>
                      <a:off x="0" y="0"/>
                      <a:ext cx="6337300" cy="2540000"/>
                    </a:xfrm>
                    <a:prstGeom prst="rect">
                      <a:avLst/>
                    </a:prstGeom>
                    <a:noFill/>
                  </pic:spPr>
                </pic:pic>
              </a:graphicData>
            </a:graphic>
          </wp:anchor>
        </w:drawing>
      </w:r>
    </w:p>
    <w:p>
      <w:pPr>
        <w:spacing w:after="0" w:line="228"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The Company's effective tax rate as of December 31, 2023 was primarily driven by increases in the valuation allowance against losses in foreign jurisdictions and utilization of foreign tax credits carryover from prior years.</w:t>
      </w:r>
    </w:p>
    <w:p>
      <w:pPr>
        <w:spacing w:after="0" w:line="181" w:lineRule="exact"/>
        <w:rPr>
          <w:sz w:val="20"/>
          <w:szCs w:val="20"/>
          <w:color w:val="auto"/>
        </w:rPr>
      </w:pPr>
    </w:p>
    <w:p>
      <w:pPr>
        <w:ind w:left="10" w:right="60"/>
        <w:spacing w:after="0" w:line="309" w:lineRule="auto"/>
        <w:rPr>
          <w:sz w:val="20"/>
          <w:szCs w:val="20"/>
          <w:color w:val="auto"/>
        </w:rPr>
      </w:pPr>
      <w:r>
        <w:rPr>
          <w:rFonts w:ascii="Times New Roman" w:cs="Times New Roman" w:eastAsia="Times New Roman" w:hAnsi="Times New Roman"/>
          <w:sz w:val="19"/>
          <w:szCs w:val="19"/>
          <w:color w:val="auto"/>
        </w:rPr>
        <w:t>The Company has certain operations in jurisdictions that are not subject to income taxes. The effect of these earnings taxed at zero percent, as well as the impact of preferential tax rates are included in the foreign rate differential. The Organization</w:t>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F-46</w:t>
      </w:r>
    </w:p>
    <w:p>
      <w:pPr>
        <w:sectPr>
          <w:pgSz w:w="12240" w:h="15840" w:orient="portrait"/>
          <w:cols w:equalWidth="0" w:num="1">
            <w:col w:w="9910"/>
          </w:cols>
          <w:pgMar w:left="1170" w:top="831" w:right="1160" w:bottom="0" w:gutter="0" w:footer="0" w:header="0"/>
          <w:type w:val="continuous"/>
        </w:sectPr>
      </w:pPr>
    </w:p>
    <w:bookmarkStart w:id="141" w:name="page142"/>
    <w:bookmarkEnd w:id="141"/>
    <w:p>
      <w:pPr>
        <w:ind w:right="20"/>
        <w:spacing w:after="0" w:line="256" w:lineRule="auto"/>
        <w:rPr>
          <w:sz w:val="20"/>
          <w:szCs w:val="20"/>
          <w:color w:val="auto"/>
        </w:rPr>
      </w:pPr>
      <w:r>
        <w:rPr>
          <w:rFonts w:ascii="Times New Roman" w:cs="Times New Roman" w:eastAsia="Times New Roman" w:hAnsi="Times New Roman"/>
          <w:sz w:val="20"/>
          <w:szCs w:val="20"/>
          <w:color w:val="auto"/>
        </w:rPr>
        <w:t>for Economic Cooperation and Development is coordinating negotiations among more than 140 countries with the goal of achieving consensus around substantial changes to international tax policies, including the implementation of a minimum global effective tax rate of 15%. As of December 31, 2023, various countries have implemented the legislation, however, the Company does not expect a resulting material change to the income tax provision for the year ended December 31, 2024. As additional jurisdictions enact such legislation, the effective tax rate and cash tax payments could increase in future years.</w:t>
      </w:r>
    </w:p>
    <w:p>
      <w:pPr>
        <w:spacing w:after="0" w:line="20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tax effect of each type of temporary difference and carryforward that give rise to a significant deferred tax asset or liability as of December 31, 2023 and 2022 are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33,262</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IRC Section 163(j) interest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 and state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123,386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100,614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289,820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300,834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106,293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51,315</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17,141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631,312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595,558</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(188,036)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(130,649)</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443,276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464,909</w:t>
            </w:r>
          </w:p>
        </w:tc>
      </w:tr>
      <w:tr>
        <w:trPr>
          <w:trHeight w:val="61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(343,247)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(355,596)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(22,421)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(5,417)</w:t>
            </w: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(477,813)</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(482,824)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(34,537)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(17,915)</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-4041140</wp:posOffset>
            </wp:positionV>
            <wp:extent cx="6324600" cy="40608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2">
                      <a:extLst>
                        <a:ext uri="{28A0092B-C50C-407E-A947-70E740481C1C}"/>
                      </a:extLst>
                    </a:blip>
                    <a:srcRect/>
                    <a:stretch>
                      <a:fillRect/>
                    </a:stretch>
                  </pic:blipFill>
                  <pic:spPr bwMode="auto">
                    <a:xfrm>
                      <a:off x="0" y="0"/>
                      <a:ext cx="6324600" cy="4060825"/>
                    </a:xfrm>
                    <a:prstGeom prst="rect">
                      <a:avLst/>
                    </a:prstGeom>
                    <a:noFill/>
                  </pic:spPr>
                </pic:pic>
              </a:graphicData>
            </a:graphic>
          </wp:anchor>
        </w:drawing>
      </w:r>
    </w:p>
    <w:p>
      <w:pPr>
        <w:spacing w:after="0" w:line="228"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19"/>
          <w:szCs w:val="19"/>
          <w:color w:val="auto"/>
        </w:rPr>
        <w:t>As of December 31, 2023, the deferred tax asset related to Section 163(j) interest carryforward decreased due to the utilization of interest expense previously limited by the Tax Cuts and Jobs Act 163(j) business interest limitation rule.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Attributes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As of December 31, 2023, NFE has approximately $8,015 of federal and $9,021 of state net operating loss carry forwards. The federal and state net operating losses are generally allowed to be carried forward indefinitely and can offset up to 80 percent of future taxable income.</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The Company’s net operating loss carryforwards are subject to an annual limitation of $5,431 under Section 382 of the Internal Revenue Code.</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ectPr>
          <w:pgSz w:w="12240" w:h="15840" w:orient="portrait"/>
          <w:cols w:equalWidth="0" w:num="1">
            <w:col w:w="9900"/>
          </w:cols>
          <w:pgMar w:left="1180" w:top="838" w:right="116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Jurisdictions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Company’s foreign subsidiaries file income tax returns in certain foreign jurisdictions. As of December 31, 2023, the Company’s foreign subsidiaries have approximately $506,673 of net operating loss carry forwards, of which $170,294 will expire, if unused between 2028 and 2041, and the remaining $336,379 are allowed to be carried forward indefinitely.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Allowances</w:t>
      </w:r>
    </w:p>
    <w:p>
      <w:pPr>
        <w:spacing w:after="0" w:line="25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valuation allowance on deferred tax assets for the years ended December 31, 2023 and 2022:</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130,649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146,269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57,387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(15,620)</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188,036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130,649</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3">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valuation allowance was mainly due to losses in foreign jurisdictions for the year ended December 31, 2023.</w:t>
      </w:r>
    </w:p>
    <w:p>
      <w:pPr>
        <w:spacing w:after="0" w:line="25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NFE recorded a valuation allowance against its US federal and state deferred tax assets to reduce the net carrying value to an amount that it believes is more likely than not to be realized. As of December 31, 2023,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spacing w:after="0" w:line="2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Taxes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unrecognized tax benefits for the years ended December 31, 2023 and 2022:</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26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3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9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Reduction as a result of Energos Formation Transaction</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94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-615315</wp:posOffset>
            </wp:positionV>
            <wp:extent cx="6337300" cy="635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4">
                      <a:extLst>
                        <a:ext uri="{28A0092B-C50C-407E-A947-70E740481C1C}"/>
                      </a:extLst>
                    </a:blip>
                    <a:srcRect/>
                    <a:stretch>
                      <a:fillRect/>
                    </a:stretch>
                  </pic:blipFill>
                  <pic:spPr bwMode="auto">
                    <a:xfrm>
                      <a:off x="0" y="0"/>
                      <a:ext cx="6337300" cy="6350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Examinations</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2020, 2021 and 2022 are open for examination. The Company is generally open to tax examinations in other foreign jurisdictions for a period of four to six years from the filing of the income tax return.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25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Company has not recorded a deferred tax liability for undistributed earnings for any controlled foreign corporation as of December 31, 2023.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ectPr>
          <w:pgSz w:w="12240" w:h="15840" w:orient="portrait"/>
          <w:cols w:equalWidth="0" w:num="1">
            <w:col w:w="9900"/>
          </w:cols>
          <w:pgMar w:left="1180" w:top="834" w:right="116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ectPr>
          <w:pgSz w:w="12240" w:h="15840" w:orient="portrait"/>
          <w:cols w:equalWidth="0" w:num="1">
            <w:col w:w="9900"/>
          </w:cols>
          <w:pgMar w:left="1180" w:top="834" w:right="116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20"/>
          <w:szCs w:val="20"/>
          <w:b w:val="1"/>
          <w:bCs w:val="1"/>
          <w:color w:val="auto"/>
        </w:rPr>
        <w:t>Preferential Tax Rates</w:t>
      </w:r>
    </w:p>
    <w:p>
      <w:pPr>
        <w:spacing w:after="0" w:line="257" w:lineRule="exact"/>
        <w:rPr>
          <w:sz w:val="20"/>
          <w:szCs w:val="20"/>
          <w:color w:val="auto"/>
        </w:rPr>
      </w:pPr>
    </w:p>
    <w:p>
      <w:pPr>
        <w:ind w:left="10" w:right="160"/>
        <w:spacing w:after="0" w:line="257" w:lineRule="auto"/>
        <w:rPr>
          <w:sz w:val="20"/>
          <w:szCs w:val="20"/>
          <w:color w:val="auto"/>
        </w:rPr>
      </w:pPr>
      <w:r>
        <w:rPr>
          <w:rFonts w:ascii="Times New Roman" w:cs="Times New Roman" w:eastAsia="Times New Roman" w:hAnsi="Times New Roman"/>
          <w:sz w:val="20"/>
          <w:szCs w:val="20"/>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w:t>
      </w:r>
    </w:p>
    <w:p>
      <w:pPr>
        <w:spacing w:after="0" w:line="1" w:lineRule="exact"/>
        <w:rPr>
          <w:sz w:val="20"/>
          <w:szCs w:val="20"/>
          <w:color w:val="auto"/>
        </w:rPr>
      </w:pPr>
    </w:p>
    <w:p>
      <w:pPr>
        <w:ind w:left="10" w:right="20"/>
        <w:spacing w:after="0" w:line="253" w:lineRule="auto"/>
        <w:rPr>
          <w:sz w:val="20"/>
          <w:szCs w:val="20"/>
          <w:color w:val="auto"/>
        </w:rPr>
      </w:pPr>
      <w:r>
        <w:rPr>
          <w:rFonts w:ascii="Times New Roman" w:cs="Times New Roman" w:eastAsia="Times New Roman" w:hAnsi="Times New Roman"/>
          <w:sz w:val="20"/>
          <w:szCs w:val="20"/>
          <w:color w:val="auto"/>
        </w:rPr>
        <w:t>2035. On December 27, 2023, Bermuda enacted the Bermuda Corporate Income Tax Act 2023, which institutes a corporate income tax rate of 15% effective for tax years beginning January 1, 2025. As a result, such tax exemptions will not be valid beyond such subsidiaries' taxable year ending December 31, 2024, the impact of which has been included in the tax provision and was not material.</w:t>
      </w:r>
    </w:p>
    <w:p>
      <w:pPr>
        <w:spacing w:after="0" w:line="210" w:lineRule="exact"/>
        <w:rPr>
          <w:sz w:val="20"/>
          <w:szCs w:val="20"/>
          <w:color w:val="auto"/>
        </w:rPr>
      </w:pPr>
    </w:p>
    <w:p>
      <w:pPr>
        <w:ind w:left="10" w:right="100"/>
        <w:spacing w:after="0" w:line="255" w:lineRule="auto"/>
        <w:rPr>
          <w:sz w:val="20"/>
          <w:szCs w:val="20"/>
          <w:color w:val="auto"/>
        </w:rPr>
      </w:pPr>
      <w:r>
        <w:rPr>
          <w:rFonts w:ascii="Times New Roman" w:cs="Times New Roman" w:eastAsia="Times New Roman" w:hAnsi="Times New Roman"/>
          <w:sz w:val="20"/>
          <w:szCs w:val="20"/>
          <w:color w:val="auto"/>
        </w:rPr>
        <w:t>The Company’s Puerto Rican operations received a tax decree from the Puerto Rico government that affords the Company a 4% tax rate on qualifying income until 2035. The effect of the earnings taxed at a 4% foreign tax rate is included in the foreign rate differential line in the Company’s effective tax rate. For the years ended December 31, 2023 and 2022, the income tax benefits attributable to the tax decree, before taking into consideration the impact on U.S. taxation and the associated U.S. foreign tax credits, are estimated to be approximately $164,668 ($0.80 per share of issued and outstanding Class A common stock on a diluted basis) and $10,605 ($0.05 per share of issued and outstanding Class A common stock on a diluted basis), respectively.</w:t>
      </w:r>
    </w:p>
    <w:p>
      <w:pPr>
        <w:spacing w:after="0" w:line="202" w:lineRule="exact"/>
        <w:rPr>
          <w:sz w:val="20"/>
          <w:szCs w:val="20"/>
          <w:color w:val="auto"/>
        </w:rPr>
      </w:pPr>
    </w:p>
    <w:p>
      <w:pPr>
        <w:ind w:left="730" w:hanging="730"/>
        <w:spacing w:after="0"/>
        <w:tabs>
          <w:tab w:leader="none" w:pos="73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57"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The Company is subject to certain legal and regulatory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23.</w:t>
            </w:r>
          </w:p>
        </w:tc>
        <w:tc>
          <w:tcPr>
            <w:tcW w:w="51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Earnings per share</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700" w:type="dxa"/>
            <w:vAlign w:val="bottom"/>
          </w:tcPr>
          <w:p>
            <w:pPr>
              <w:spacing w:after="0"/>
              <w:rPr>
                <w:sz w:val="23"/>
                <w:szCs w:val="23"/>
                <w:color w:val="auto"/>
              </w:rPr>
            </w:pPr>
          </w:p>
        </w:tc>
        <w:tc>
          <w:tcPr>
            <w:tcW w:w="5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62"/>
        </w:trPr>
        <w:tc>
          <w:tcPr>
            <w:tcW w:w="7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0" w:type="dxa"/>
            <w:vAlign w:val="bottom"/>
          </w:tcPr>
          <w:p>
            <w:pPr>
              <w:spacing w:after="0"/>
              <w:rPr>
                <w:sz w:val="1"/>
                <w:szCs w:val="1"/>
                <w:color w:val="auto"/>
              </w:rPr>
            </w:pP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0" w:type="dxa"/>
            <w:vAlign w:val="bottom"/>
          </w:tcPr>
          <w:p>
            <w:pPr>
              <w:spacing w:after="0"/>
              <w:rPr>
                <w:sz w:val="1"/>
                <w:szCs w:val="1"/>
                <w:color w:val="auto"/>
              </w:rPr>
            </w:pPr>
          </w:p>
        </w:tc>
      </w:tr>
      <w:tr>
        <w:trPr>
          <w:trHeight w:val="26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547,882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97,104</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Weighted-average shares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205,942,837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209,501,298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198,593,042</w:t>
            </w:r>
          </w:p>
        </w:tc>
        <w:tc>
          <w:tcPr>
            <w:tcW w:w="0" w:type="dxa"/>
            <w:vAlign w:val="bottom"/>
          </w:tcPr>
          <w:p>
            <w:pPr>
              <w:spacing w:after="0"/>
              <w:rPr>
                <w:sz w:val="1"/>
                <w:szCs w:val="1"/>
                <w:color w:val="auto"/>
              </w:rPr>
            </w:pPr>
          </w:p>
        </w:tc>
      </w:tr>
      <w:tr>
        <w:trPr>
          <w:trHeight w:val="26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0" w:type="dxa"/>
            <w:vAlign w:val="bottom"/>
          </w:tcPr>
          <w:p>
            <w:pPr>
              <w:spacing w:after="0"/>
              <w:rPr>
                <w:sz w:val="1"/>
                <w:szCs w:val="1"/>
                <w:color w:val="auto"/>
              </w:rPr>
            </w:pPr>
          </w:p>
        </w:tc>
      </w:tr>
      <w:tr>
        <w:trPr>
          <w:trHeight w:val="20"/>
        </w:trPr>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00" w:type="dxa"/>
            <w:vAlign w:val="bottom"/>
            <w:vMerge w:val="continue"/>
          </w:tcPr>
          <w:p>
            <w:pPr>
              <w:spacing w:after="0"/>
              <w:rPr>
                <w:sz w:val="24"/>
                <w:szCs w:val="24"/>
                <w:color w:val="auto"/>
              </w:rPr>
            </w:pPr>
          </w:p>
        </w:tc>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(loss)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0" w:type="dxa"/>
            <w:vAlign w:val="bottom"/>
          </w:tcPr>
          <w:p>
            <w:pPr>
              <w:spacing w:after="0"/>
              <w:rPr>
                <w:sz w:val="1"/>
                <w:szCs w:val="1"/>
                <w:color w:val="auto"/>
              </w:rPr>
            </w:pP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Adjustments attributable to dilutive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w:t>
            </w:r>
          </w:p>
        </w:tc>
        <w:tc>
          <w:tcPr>
            <w:tcW w:w="0" w:type="dxa"/>
            <w:vAlign w:val="bottom"/>
          </w:tcPr>
          <w:p>
            <w:pPr>
              <w:spacing w:after="0"/>
              <w:rPr>
                <w:sz w:val="1"/>
                <w:szCs w:val="1"/>
                <w:color w:val="auto"/>
              </w:rPr>
            </w:pPr>
          </w:p>
        </w:tc>
      </w:tr>
      <w:tr>
        <w:trPr>
          <w:trHeight w:val="26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547,146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94,243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Weighted-average shares - diluted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206,481,977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209,854,413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201,703,176</w:t>
            </w:r>
          </w:p>
        </w:tc>
        <w:tc>
          <w:tcPr>
            <w:tcW w:w="0" w:type="dxa"/>
            <w:vAlign w:val="bottom"/>
          </w:tcPr>
          <w:p>
            <w:pPr>
              <w:spacing w:after="0"/>
              <w:rPr>
                <w:sz w:val="1"/>
                <w:szCs w:val="1"/>
                <w:color w:val="auto"/>
              </w:rPr>
            </w:pPr>
          </w:p>
        </w:tc>
      </w:tr>
      <w:tr>
        <w:trPr>
          <w:trHeight w:val="26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Net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-3479165</wp:posOffset>
            </wp:positionV>
            <wp:extent cx="6311900" cy="34861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5">
                      <a:extLst>
                        <a:ext uri="{28A0092B-C50C-407E-A947-70E740481C1C}"/>
                      </a:extLst>
                    </a:blip>
                    <a:srcRect/>
                    <a:stretch>
                      <a:fillRect/>
                    </a:stretch>
                  </pic:blipFill>
                  <pic:spPr bwMode="auto">
                    <a:xfrm>
                      <a:off x="0" y="0"/>
                      <a:ext cx="6311900" cy="3486150"/>
                    </a:xfrm>
                    <a:prstGeom prst="rect">
                      <a:avLst/>
                    </a:prstGeom>
                    <a:noFill/>
                  </pic:spPr>
                </pic:pic>
              </a:graphicData>
            </a:graphic>
          </wp:anchor>
        </w:drawing>
      </w:r>
    </w:p>
    <w:p>
      <w:pPr>
        <w:sectPr>
          <w:pgSz w:w="12240" w:h="15840" w:orient="portrait"/>
          <w:cols w:equalWidth="0" w:num="1">
            <w:col w:w="9910"/>
          </w:cols>
          <w:pgMar w:left="117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F-49</w:t>
      </w:r>
    </w:p>
    <w:p>
      <w:pPr>
        <w:sectPr>
          <w:pgSz w:w="12240" w:h="15840" w:orient="portrait"/>
          <w:cols w:equalWidth="0" w:num="1">
            <w:col w:w="9910"/>
          </w:cols>
          <w:pgMar w:left="1170" w:top="831" w:right="1160" w:bottom="0" w:gutter="0" w:footer="0" w:header="0"/>
          <w:type w:val="continuous"/>
        </w:sectPr>
      </w:pPr>
    </w:p>
    <w:bookmarkStart w:id="144" w:name="page145"/>
    <w:bookmarkEnd w:id="144"/>
    <w:p>
      <w:pPr>
        <w:ind w:left="10" w:right="180"/>
        <w:spacing w:after="0" w:line="281" w:lineRule="auto"/>
        <w:rPr>
          <w:sz w:val="20"/>
          <w:szCs w:val="20"/>
          <w:color w:val="auto"/>
        </w:rPr>
      </w:pPr>
      <w:r>
        <w:rPr>
          <w:rFonts w:ascii="Times New Roman" w:cs="Times New Roman" w:eastAsia="Times New Roman" w:hAnsi="Times New Roman"/>
          <w:sz w:val="20"/>
          <w:szCs w:val="20"/>
          <w:color w:val="auto"/>
        </w:rPr>
        <w:t>The following table presents potentially dilutive securities excluded from the computation of diluted net income per share for the years ended December 31, 2023, 2022 and 2021 because its effects would have been anti-dilutive.</w:t>
      </w:r>
    </w:p>
    <w:p>
      <w:pPr>
        <w:spacing w:after="0" w:line="251" w:lineRule="exact"/>
        <w:rPr>
          <w:sz w:val="20"/>
          <w:szCs w:val="20"/>
          <w:color w:val="auto"/>
        </w:rPr>
      </w:pPr>
    </w:p>
    <w:p>
      <w:pPr>
        <w:ind w:left="677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3724275</wp:posOffset>
                </wp:positionH>
                <wp:positionV relativeFrom="paragraph">
                  <wp:posOffset>29845</wp:posOffset>
                </wp:positionV>
                <wp:extent cx="256222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3.25pt,2.35pt" to="495pt,2.35pt" o:allowincell="f" strokecolor="#000000" strokeweight="1pt"/>
            </w:pict>
          </mc:Fallback>
        </mc:AlternateContent>
      </w:r>
    </w:p>
    <w:p>
      <w:pPr>
        <w:spacing w:after="0" w:line="35"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80"/>
        </w:trPr>
        <w:tc>
          <w:tcPr>
            <w:tcW w:w="5820" w:type="dxa"/>
            <w:vAlign w:val="bottom"/>
          </w:tcPr>
          <w:p>
            <w:pPr>
              <w:spacing w:after="0" w:line="280" w:lineRule="exact"/>
              <w:rPr>
                <w:sz w:val="20"/>
                <w:szCs w:val="20"/>
                <w:color w:val="auto"/>
              </w:rPr>
            </w:pPr>
            <w:r>
              <w:rPr>
                <w:rFonts w:ascii="Times New Roman" w:cs="Times New Roman" w:eastAsia="Times New Roman" w:hAnsi="Times New Roman"/>
                <w:sz w:val="20"/>
                <w:szCs w:val="20"/>
                <w:color w:val="auto"/>
              </w:rPr>
              <w:t>Equity agreement shares</w:t>
            </w:r>
            <w:r>
              <w:rPr>
                <w:rFonts w:ascii="Times New Roman" w:cs="Times New Roman" w:eastAsia="Times New Roman" w:hAnsi="Times New Roman"/>
                <w:sz w:val="26"/>
                <w:szCs w:val="26"/>
                <w:color w:val="auto"/>
                <w:vertAlign w:val="superscript"/>
              </w:rPr>
              <w:t>(1)</w:t>
            </w: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458,696</w:t>
            </w:r>
          </w:p>
        </w:tc>
        <w:tc>
          <w:tcPr>
            <w:tcW w:w="60" w:type="dxa"/>
            <w:vAlign w:val="bottom"/>
          </w:tcPr>
          <w:p>
            <w:pPr>
              <w:spacing w:after="0"/>
              <w:rPr>
                <w:sz w:val="24"/>
                <w:szCs w:val="24"/>
                <w:color w:val="auto"/>
              </w:rPr>
            </w:pPr>
          </w:p>
        </w:tc>
        <w:tc>
          <w:tcPr>
            <w:tcW w:w="13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3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458,696</w:t>
            </w:r>
          </w:p>
        </w:tc>
        <w:tc>
          <w:tcPr>
            <w:tcW w:w="60" w:type="dxa"/>
            <w:vAlign w:val="bottom"/>
          </w:tcPr>
          <w:p>
            <w:pPr>
              <w:spacing w:after="0"/>
              <w:rPr>
                <w:sz w:val="22"/>
                <w:szCs w:val="22"/>
                <w:color w:val="auto"/>
              </w:rPr>
            </w:pPr>
          </w:p>
        </w:tc>
        <w:tc>
          <w:tcPr>
            <w:tcW w:w="132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-412115</wp:posOffset>
            </wp:positionV>
            <wp:extent cx="6311900" cy="419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6">
                      <a:extLst>
                        <a:ext uri="{28A0092B-C50C-407E-A947-70E740481C1C}"/>
                      </a:extLst>
                    </a:blip>
                    <a:srcRect/>
                    <a:stretch>
                      <a:fillRect/>
                    </a:stretch>
                  </pic:blipFill>
                  <pic:spPr bwMode="auto">
                    <a:xfrm>
                      <a:off x="0" y="0"/>
                      <a:ext cx="6311900" cy="419100"/>
                    </a:xfrm>
                    <a:prstGeom prst="rect">
                      <a:avLst/>
                    </a:prstGeom>
                    <a:noFill/>
                  </pic:spPr>
                </pic:pic>
              </a:graphicData>
            </a:graphic>
          </wp:anchor>
        </w:drawing>
      </w:r>
    </w:p>
    <w:p>
      <w:pPr>
        <w:spacing w:after="0" w:line="228" w:lineRule="exact"/>
        <w:rPr>
          <w:sz w:val="20"/>
          <w:szCs w:val="20"/>
          <w:color w:val="auto"/>
        </w:rPr>
      </w:pPr>
    </w:p>
    <w:p>
      <w:pPr>
        <w:ind w:left="370" w:right="720" w:hanging="370"/>
        <w:spacing w:after="0" w:line="226"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Class A common stock that would be issued in relation to an agreement to issue shares executed in conjunction with a prior year asset acquisition.</w:t>
      </w:r>
    </w:p>
    <w:p>
      <w:pPr>
        <w:spacing w:after="0" w:line="222"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auto"/>
        </w:rPr>
        <w:t>The Company declared and paid quarterly dividends totaling $81,976 during the year ended December 31, 2023, representing $0.10 per Class A share. Additionally, on December 12, 2022, the Company’s Board of Directors approved an update to its dividend policy and declared a dividend of $626,310, representing $3.00 per Class A share, which was paid in January 2023.</w:t>
      </w:r>
    </w:p>
    <w:p>
      <w:pPr>
        <w:spacing w:after="0" w:line="203"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2023, the Company paid dividends of $12,076 to holders of Golar LNG Partners LP's ("GMLP") 8.75% Series A Cumulative Redeemable Preferred Units (“Series A Preferred Units”). As these equity interests have been issued by the Company’s consolidated subsidiaries, the value of the Series A Preferred Units is recognized as non-controlling interest in the consolidated financial statements.</w:t>
      </w:r>
    </w:p>
    <w:p>
      <w:pPr>
        <w:spacing w:after="0" w:line="196" w:lineRule="exact"/>
        <w:rPr>
          <w:sz w:val="20"/>
          <w:szCs w:val="20"/>
          <w:color w:val="auto"/>
        </w:rPr>
      </w:pPr>
    </w:p>
    <w:p>
      <w:pPr>
        <w:ind w:left="730" w:hanging="730"/>
        <w:spacing w:after="0"/>
        <w:tabs>
          <w:tab w:leader="none" w:pos="73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w:t>
      </w:r>
    </w:p>
    <w:p>
      <w:pPr>
        <w:spacing w:after="0" w:line="257"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20"/>
          <w:szCs w:val="20"/>
          <w:color w:val="auto"/>
        </w:rPr>
        <w:t>The Company has granted Performance Share Units ("PSUs") to certain employees and non-employees that contain a performance condition under the Incentive Plan. Vesting is determined based on achievement of a performance metric for the year subsequent to the grant, and the number of shares that will vest can range from zero to a multiple of units granted. As of December 31, 2023, the Company determined that it was not probable that the performance condition required for the PSUs granted in the fourth quarter of 2022 to vest would be achieved, and as such, no compensation expense was recognized for this award. During the fourth quarter of 2022, the Company determined that the PSUs granted in the first quarter of 2021 will vest at a multiple of two, resulting in vesting of 681,204 PSUs. Compensation cost for the service period since the grant date of $27,705 was recognized in 2022.</w:t>
      </w:r>
    </w:p>
    <w:p>
      <w:pPr>
        <w:spacing w:after="0" w:line="206" w:lineRule="exact"/>
        <w:rPr>
          <w:sz w:val="20"/>
          <w:szCs w:val="20"/>
          <w:color w:val="auto"/>
        </w:rPr>
      </w:pPr>
    </w:p>
    <w:p>
      <w:pPr>
        <w:ind w:left="730" w:hanging="730"/>
        <w:spacing w:after="0"/>
        <w:tabs>
          <w:tab w:leader="none" w:pos="73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Management services</w:t>
      </w:r>
    </w:p>
    <w:p>
      <w:pPr>
        <w:spacing w:after="0" w:line="254"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$5,845, $5,087 and $6,509 for the years ended December 31, 2023, 2022 and 2021, respectively. Costs associated with the Administrative Agreement are included within Selling, general and administrative in the Consolidated Statements of Operations and Comprehensive Income. As of December 31, 2023 and 2022, $5,691 and $4,629 were due to Fortress, respectively.</w:t>
      </w:r>
    </w:p>
    <w:p>
      <w:pPr>
        <w:spacing w:after="0" w:line="213"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In addition to administrative services, an entity beneficially owned by Mr. Edens, owns and leases an aircraft that is periodically chartered by the Company for business purposes in the course of operations. The Company incurred, at aircraft operator rates, charter costs of $2,784, $3,714 and $4,466 for the years ended December 31, 2023, 2022 and 2021, respectively. As of December 31, 2023 and 2022, $1,095 and $416 was due to this affiliate, respectively.</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Fortress affiliated entities</w:t>
      </w:r>
    </w:p>
    <w:p>
      <w:pPr>
        <w:spacing w:after="0" w:line="254" w:lineRule="exact"/>
        <w:rPr>
          <w:sz w:val="20"/>
          <w:szCs w:val="20"/>
          <w:color w:val="auto"/>
        </w:rPr>
      </w:pPr>
    </w:p>
    <w:p>
      <w:pPr>
        <w:ind w:left="10" w:right="80"/>
        <w:spacing w:after="0" w:line="275" w:lineRule="auto"/>
        <w:rPr>
          <w:sz w:val="20"/>
          <w:szCs w:val="20"/>
          <w:color w:val="auto"/>
        </w:rPr>
      </w:pPr>
      <w:r>
        <w:rPr>
          <w:rFonts w:ascii="Times New Roman" w:cs="Times New Roman" w:eastAsia="Times New Roman" w:hAnsi="Times New Roman"/>
          <w:sz w:val="19"/>
          <w:szCs w:val="19"/>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an entities managed by Fortress, and for the years ended December 31, 2023, 2022 and 2021, rent and office related expenses of $913, $857 and $799 were incurred by these affiliates, respectively. As of December 31, 2023 and 2022, $1,547 and $700 were due from affiliates, respectively.</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F-50</w:t>
      </w:r>
    </w:p>
    <w:p>
      <w:pPr>
        <w:sectPr>
          <w:pgSz w:w="12240" w:h="15840" w:orient="portrait"/>
          <w:cols w:equalWidth="0" w:num="1">
            <w:col w:w="9910"/>
          </w:cols>
          <w:pgMar w:left="1170" w:top="838" w:right="1160" w:bottom="0" w:gutter="0" w:footer="0" w:header="0"/>
          <w:type w:val="continuous"/>
        </w:sectPr>
      </w:pPr>
    </w:p>
    <w:bookmarkStart w:id="145" w:name="page146"/>
    <w:bookmarkEnd w:id="145"/>
    <w:p>
      <w:pPr>
        <w:ind w:left="10" w:right="220"/>
        <w:spacing w:after="0" w:line="258" w:lineRule="auto"/>
        <w:rPr>
          <w:sz w:val="20"/>
          <w:szCs w:val="20"/>
          <w:color w:val="auto"/>
        </w:rPr>
      </w:pPr>
      <w:r>
        <w:rPr>
          <w:rFonts w:ascii="Times New Roman" w:cs="Times New Roman" w:eastAsia="Times New Roman" w:hAnsi="Times New Roman"/>
          <w:sz w:val="20"/>
          <w:szCs w:val="20"/>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$2,702, $2,453 and $2,444 for the years ended December 31, 2023, 2022 and 2021, respectively. As of December 31, 2023 and 2022, $2,702 and $2,455 were due to Fortress affiliated entities, respectively.</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Land leases</w:t>
      </w:r>
    </w:p>
    <w:p>
      <w:pPr>
        <w:spacing w:after="0" w:line="254"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has leased land from Florida East Coast Industries, LLC (“FECI”), which is controlled by funds managed by an affiliate of Fortress. The Company recognized expense related to the land lease of $505, $506 and $526 during the years ended December 31, 2023, 2022 and 2021, respectively, which was included within Operations and maintenance in the Consolidated Statements of Operations and Comprehensive Income. The Company has amounts due to FECI of $92 and $0 as of December 31, 2023 and 2022, respectively. As of December 31, 2023 and 2022, the Company has recorded a lease liability of $3,368 and $3,340, respectively, within Non-current lease liabilities on the Consolidated Balance Sheets.</w:t>
      </w:r>
    </w:p>
    <w:p>
      <w:pPr>
        <w:spacing w:after="0" w:line="208" w:lineRule="exact"/>
        <w:rPr>
          <w:sz w:val="20"/>
          <w:szCs w:val="20"/>
          <w:color w:val="auto"/>
        </w:rPr>
      </w:pPr>
    </w:p>
    <w:p>
      <w:pPr>
        <w:jc w:val="both"/>
        <w:ind w:left="10" w:right="120"/>
        <w:spacing w:after="0" w:line="278" w:lineRule="auto"/>
        <w:rPr>
          <w:sz w:val="20"/>
          <w:szCs w:val="20"/>
          <w:color w:val="auto"/>
        </w:rPr>
      </w:pPr>
      <w:r>
        <w:rPr>
          <w:rFonts w:ascii="Times New Roman" w:cs="Times New Roman" w:eastAsia="Times New Roman" w:hAnsi="Times New Roman"/>
          <w:sz w:val="19"/>
          <w:szCs w:val="19"/>
          <w:color w:val="auto"/>
        </w:rPr>
        <w:t>In September 2023, the Company entered into a lease agreement to lease land from Jefferson Terminal South LLC, which is an indirect, majority-owned subsidiary of a public company which is managed by an affiliate of Fortress. The Company does not have any amounts due to Jefferson Terminal South LLC as of December 31, 2023. As of December 31, 2023 the Company has recorded a right-of-use asset of $3,885 and a lease liability of $4,098 on the Consolidated Balance Sheets.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DevTech investment</w:t>
      </w:r>
    </w:p>
    <w:p>
      <w:pPr>
        <w:spacing w:after="0" w:line="254" w:lineRule="exact"/>
        <w:rPr>
          <w:sz w:val="20"/>
          <w:szCs w:val="20"/>
          <w:color w:val="auto"/>
        </w:rPr>
      </w:pPr>
    </w:p>
    <w:p>
      <w:pPr>
        <w:ind w:left="10" w:right="140"/>
        <w:spacing w:after="0" w:line="256" w:lineRule="auto"/>
        <w:rPr>
          <w:sz w:val="20"/>
          <w:szCs w:val="20"/>
          <w:color w:val="auto"/>
        </w:rPr>
      </w:pPr>
      <w:r>
        <w:rPr>
          <w:rFonts w:ascii="Times New Roman" w:cs="Times New Roman" w:eastAsia="Times New Roman" w:hAnsi="Times New Roman"/>
          <w:sz w:val="20"/>
          <w:szCs w:val="20"/>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The Company recognized approximately $424, $408 and $176 in expense within Selling, general and administrative for the years ended December 31, 2023, 2022 and 2021, respectively. As of December 31, 2023 and 2022, $106 and $80 were due to DevTech, respectively.</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Agency agreement with PT Pesona Sentra Utama (or PT Pesona)</w:t>
      </w:r>
    </w:p>
    <w:p>
      <w:pPr>
        <w:spacing w:after="0" w:line="254"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20"/>
          <w:szCs w:val="20"/>
          <w:color w:val="auto"/>
        </w:rPr>
        <w:t xml:space="preserve">PT Pesona, an Indonesian company, owns 51% of the issued share capital in the Company’s former subsidiary, PTGI, the owner and operator of </w:t>
      </w:r>
      <w:r>
        <w:rPr>
          <w:rFonts w:ascii="Times New Roman" w:cs="Times New Roman" w:eastAsia="Times New Roman" w:hAnsi="Times New Roman"/>
          <w:sz w:val="20"/>
          <w:szCs w:val="20"/>
          <w:b w:val="1"/>
          <w:bCs w:val="1"/>
          <w:i w:val="1"/>
          <w:iCs w:val="1"/>
          <w:color w:val="auto"/>
        </w:rPr>
        <w:t>NR Satu</w:t>
      </w:r>
      <w:r>
        <w:rPr>
          <w:rFonts w:ascii="Times New Roman" w:cs="Times New Roman" w:eastAsia="Times New Roman" w:hAnsi="Times New Roman"/>
          <w:sz w:val="20"/>
          <w:szCs w:val="20"/>
          <w:color w:val="auto"/>
        </w:rPr>
        <w:t xml:space="preserve">, and prior to completion of the Energos Formation Transaction, provided agency and local representation services for the Company with respect to </w:t>
      </w:r>
      <w:r>
        <w:rPr>
          <w:rFonts w:ascii="Times New Roman" w:cs="Times New Roman" w:eastAsia="Times New Roman" w:hAnsi="Times New Roman"/>
          <w:sz w:val="20"/>
          <w:szCs w:val="20"/>
          <w:b w:val="1"/>
          <w:bCs w:val="1"/>
          <w:i w:val="1"/>
          <w:iCs w:val="1"/>
          <w:color w:val="auto"/>
        </w:rPr>
        <w:t>NR Satu</w:t>
      </w:r>
      <w:r>
        <w:rPr>
          <w:rFonts w:ascii="Times New Roman" w:cs="Times New Roman" w:eastAsia="Times New Roman" w:hAnsi="Times New Roman"/>
          <w:sz w:val="20"/>
          <w:szCs w:val="20"/>
          <w:color w:val="auto"/>
        </w:rPr>
        <w:t>. PT Pesona and certain of its subsidiaries also charged vessel management fees to the Company for the provision of technical and commercial management of the vessels; total expenses incurred to PT Pesona prior to the completion of the Energos Formation Transaction were $537 and $434 for the years ended December 31, 2022 and 2021, respectively.</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Hilli guarantees</w:t>
      </w:r>
    </w:p>
    <w:p>
      <w:pPr>
        <w:spacing w:after="0" w:line="254"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As part of the GMLP Merger, the Company agreed to assume a guarantee (the “Partnership Guarantee”) of 50% of the outstanding principal and interest amounts payable by Golar Hilli Corporation, a direct subsidiary of Hilli LLC, under a financing agreement. The Company also assumed a guarantee of the letter of credit (“LOC Guarantee”) issued by a financial institution in the event of Hilli Corp’s underperformance or non-performance under the tolling agreement with its customer. Under the LOC Guarantee, the Company was severally liable for any outstanding amounts that are payable, up to approximately $19,000.</w:t>
      </w:r>
    </w:p>
    <w:p>
      <w:pPr>
        <w:spacing w:after="0" w:line="208"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As of December 31, 2022, the amount the Company had guaranteed under the Partnership Guarantee and the LOC Guarantee was $323,250 and the fair value of debt guarantee after amortization of $2,320 was presented within Other current liabilities. In conjunction with the Hilli Exchange, the Company is no longer a guarantor under these arrangements, and the remaining guarantee liability of $2,286 was derecognized as a reduction to Selling, general and administrative in the Consolidated Statements of Operations and Comprehensive Income.</w:t>
      </w:r>
    </w:p>
    <w:p>
      <w:pPr>
        <w:spacing w:after="0" w:line="197" w:lineRule="exact"/>
        <w:rPr>
          <w:sz w:val="20"/>
          <w:szCs w:val="20"/>
          <w:color w:val="auto"/>
        </w:rPr>
      </w:pPr>
    </w:p>
    <w:p>
      <w:pPr>
        <w:ind w:left="730" w:hanging="730"/>
        <w:spacing w:after="0"/>
        <w:tabs>
          <w:tab w:leader="none" w:pos="73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 concentrations</w:t>
      </w:r>
    </w:p>
    <w:p>
      <w:pPr>
        <w:spacing w:after="0" w:line="257" w:lineRule="exact"/>
        <w:rPr>
          <w:sz w:val="20"/>
          <w:szCs w:val="20"/>
          <w:color w:val="auto"/>
        </w:rPr>
      </w:pPr>
    </w:p>
    <w:p>
      <w:pPr>
        <w:jc w:val="both"/>
        <w:ind w:left="10" w:right="80"/>
        <w:spacing w:after="0" w:line="286" w:lineRule="auto"/>
        <w:rPr>
          <w:sz w:val="20"/>
          <w:szCs w:val="20"/>
          <w:color w:val="auto"/>
        </w:rPr>
      </w:pPr>
      <w:r>
        <w:rPr>
          <w:rFonts w:ascii="Times New Roman" w:cs="Times New Roman" w:eastAsia="Times New Roman" w:hAnsi="Times New Roman"/>
          <w:sz w:val="19"/>
          <w:szCs w:val="19"/>
          <w:color w:val="auto"/>
        </w:rPr>
        <w:t>For the year ended December 31, 2023, revenue from two significant customers constituted 47% of total revenue; no other customers comprised more than 10% of our revenue. For the year ended December 31, 2022, revenue from two significant customers constituted 42% of the total revenue. For the year ended December 31, 2021, revenue from three significant</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F-51</w:t>
      </w:r>
    </w:p>
    <w:p>
      <w:pPr>
        <w:sectPr>
          <w:pgSz w:w="12240" w:h="15840" w:orient="portrait"/>
          <w:cols w:equalWidth="0" w:num="1">
            <w:col w:w="9890"/>
          </w:cols>
          <w:pgMar w:left="1170" w:top="838" w:right="1180" w:bottom="0" w:gutter="0" w:footer="0" w:header="0"/>
          <w:type w:val="continuous"/>
        </w:sectPr>
      </w:pPr>
    </w:p>
    <w:bookmarkStart w:id="146" w:name="page147"/>
    <w:bookmarkEnd w:id="146"/>
    <w:p>
      <w:pPr>
        <w:ind w:left="10" w:right="180"/>
        <w:spacing w:after="0" w:line="281" w:lineRule="auto"/>
        <w:rPr>
          <w:sz w:val="20"/>
          <w:szCs w:val="20"/>
          <w:color w:val="auto"/>
        </w:rPr>
      </w:pPr>
      <w:r>
        <w:rPr>
          <w:rFonts w:ascii="Times New Roman" w:cs="Times New Roman" w:eastAsia="Times New Roman" w:hAnsi="Times New Roman"/>
          <w:sz w:val="20"/>
          <w:szCs w:val="20"/>
          <w:color w:val="auto"/>
        </w:rPr>
        <w:t>customers constituted 48% of the total revenue. These customers’ revenues are included in the Company’s Terminals and Infrastructure segment.</w:t>
      </w:r>
    </w:p>
    <w:p>
      <w:pPr>
        <w:spacing w:after="0" w:line="181"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2023, 2022 and 2021, revenue from external customers that were derived from customers located in the United States were $1,060,678, $246,628 and $203,477, respectively, and from customers outside of the United States were $1,352,618, $2,121,644, and $1,119,333, respectively. The Company attributes revenue from customers to the country in which the party to the applicable agreement has its principal place of business.</w:t>
      </w:r>
    </w:p>
    <w:p>
      <w:pPr>
        <w:spacing w:after="0" w:line="203" w:lineRule="exact"/>
        <w:rPr>
          <w:sz w:val="20"/>
          <w:szCs w:val="20"/>
          <w:color w:val="auto"/>
        </w:rPr>
      </w:pPr>
    </w:p>
    <w:p>
      <w:pPr>
        <w:ind w:left="10" w:right="480"/>
        <w:spacing w:after="0" w:line="260" w:lineRule="auto"/>
        <w:rPr>
          <w:sz w:val="20"/>
          <w:szCs w:val="20"/>
          <w:color w:val="auto"/>
        </w:rPr>
      </w:pPr>
      <w:r>
        <w:rPr>
          <w:rFonts w:ascii="Times New Roman" w:cs="Times New Roman" w:eastAsia="Times New Roman" w:hAnsi="Times New Roman"/>
          <w:sz w:val="20"/>
          <w:szCs w:val="20"/>
          <w:color w:val="auto"/>
        </w:rPr>
        <w:t>As of December 31, 2023 and 2022, long lived assets, which are all non-current assets excluding investment in equity securities, restricted cash, deferred tax assets, goodwill, intangible assets and assets held for sale located in the United States were $1,744,591 and $1,695,604, respectively, and long lived assets located outside of the United States were $6,938,199 and $3,809,080, respectively, primarily located in Brazil and the Caribbean.</w:t>
      </w:r>
    </w:p>
    <w:p>
      <w:pPr>
        <w:spacing w:after="0" w:line="196" w:lineRule="exact"/>
        <w:rPr>
          <w:sz w:val="20"/>
          <w:szCs w:val="20"/>
          <w:color w:val="auto"/>
        </w:rPr>
      </w:pPr>
    </w:p>
    <w:p>
      <w:pPr>
        <w:ind w:left="730" w:hanging="730"/>
        <w:spacing w:after="0"/>
        <w:tabs>
          <w:tab w:leader="none" w:pos="73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2023, the Company operates in two reportable segments: Terminals and Infrastructure and Ships:</w:t>
      </w:r>
    </w:p>
    <w:p>
      <w:pPr>
        <w:spacing w:after="0" w:line="246" w:lineRule="exact"/>
        <w:rPr>
          <w:sz w:val="20"/>
          <w:szCs w:val="20"/>
          <w:color w:val="auto"/>
        </w:rPr>
      </w:pPr>
    </w:p>
    <w:p>
      <w:pPr>
        <w:ind w:left="730" w:right="20" w:hanging="370"/>
        <w:spacing w:after="0" w:line="262" w:lineRule="auto"/>
        <w:tabs>
          <w:tab w:leader="none" w:pos="73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Terminals and Infrastructure </w:t>
      </w:r>
      <w:r>
        <w:rPr>
          <w:rFonts w:ascii="Times New Roman" w:cs="Times New Roman" w:eastAsia="Times New Roman" w:hAnsi="Times New Roman"/>
          <w:sz w:val="20"/>
          <w:szCs w:val="20"/>
          <w:color w:val="auto"/>
        </w:rPr>
        <w:t>includes the Company’s vertically integrated gas to power solutions, spanning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199" w:lineRule="exact"/>
        <w:rPr>
          <w:rFonts w:ascii="Times New Roman" w:cs="Times New Roman" w:eastAsia="Times New Roman" w:hAnsi="Times New Roman"/>
          <w:sz w:val="20"/>
          <w:szCs w:val="20"/>
          <w:color w:val="auto"/>
        </w:rPr>
      </w:pPr>
    </w:p>
    <w:p>
      <w:pPr>
        <w:ind w:left="730" w:right="4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Terminals and Infrastructure Operating Margin included the Company’s effective share of revenues, expenses and operating margin attributable to the Company's 50% investment in CELSEPAR; the Company disposed of this investment in the fourth quarter of 2022.</w:t>
      </w:r>
    </w:p>
    <w:p>
      <w:pPr>
        <w:spacing w:after="0" w:line="185" w:lineRule="exact"/>
        <w:rPr>
          <w:rFonts w:ascii="Times New Roman" w:cs="Times New Roman" w:eastAsia="Times New Roman" w:hAnsi="Times New Roman"/>
          <w:sz w:val="20"/>
          <w:szCs w:val="20"/>
          <w:color w:val="auto"/>
        </w:rPr>
      </w:pPr>
    </w:p>
    <w:p>
      <w:pPr>
        <w:ind w:left="730" w:right="840"/>
        <w:spacing w:after="0" w:line="28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Terminal and Infrastructure segment includes realized gains and losses from the settlement of derivative transactions entered into as economic hedges to reduce market risks associated with commodity prices.</w:t>
      </w:r>
    </w:p>
    <w:p>
      <w:pPr>
        <w:spacing w:after="0" w:line="154" w:lineRule="exact"/>
        <w:rPr>
          <w:rFonts w:ascii="Times New Roman" w:cs="Times New Roman" w:eastAsia="Times New Roman" w:hAnsi="Times New Roman"/>
          <w:sz w:val="20"/>
          <w:szCs w:val="20"/>
          <w:color w:val="auto"/>
        </w:rPr>
      </w:pPr>
    </w:p>
    <w:p>
      <w:pPr>
        <w:ind w:left="730" w:right="160" w:hanging="370"/>
        <w:spacing w:after="0" w:line="268" w:lineRule="auto"/>
        <w:tabs>
          <w:tab w:leader="none" w:pos="73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Ships </w:t>
      </w:r>
      <w:r>
        <w:rPr>
          <w:rFonts w:ascii="Times New Roman" w:cs="Times New Roman" w:eastAsia="Times New Roman" w:hAnsi="Times New Roman"/>
          <w:sz w:val="20"/>
          <w:szCs w:val="20"/>
          <w:color w:val="auto"/>
        </w:rPr>
        <w:t>includes vessels that are leased to customers under long-term arrangements, and as of December 31, 2023,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four vessels are included in this segment. The Company’s investment in Energos is also included in the Ships segment.</w:t>
      </w:r>
    </w:p>
    <w:p>
      <w:pPr>
        <w:spacing w:after="0" w:line="194" w:lineRule="exact"/>
        <w:rPr>
          <w:sz w:val="20"/>
          <w:szCs w:val="20"/>
          <w:color w:val="auto"/>
        </w:rPr>
      </w:pPr>
    </w:p>
    <w:p>
      <w:pPr>
        <w:ind w:left="730"/>
        <w:spacing w:after="0" w:line="266" w:lineRule="auto"/>
        <w:rPr>
          <w:sz w:val="20"/>
          <w:szCs w:val="20"/>
          <w:color w:val="auto"/>
        </w:rPr>
      </w:pPr>
      <w:r>
        <w:rPr>
          <w:rFonts w:ascii="Times New Roman" w:cs="Times New Roman" w:eastAsia="Times New Roman" w:hAnsi="Times New Roman"/>
          <w:sz w:val="20"/>
          <w:szCs w:val="20"/>
          <w:color w:val="auto"/>
        </w:rPr>
        <w:t>Ships Operating Margin included our effective share of revenue, expenses and operating margin attributable to our ownership of 50% of the common units of Hilli LLC prior to the disposition of this investment in first quarter of 2023.</w:t>
      </w:r>
    </w:p>
    <w:p>
      <w:pPr>
        <w:spacing w:after="0" w:line="195"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w:t>
      </w:r>
    </w:p>
    <w:p>
      <w:pPr>
        <w:spacing w:after="0" w:line="195"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F-52</w:t>
      </w:r>
    </w:p>
    <w:p>
      <w:pPr>
        <w:sectPr>
          <w:pgSz w:w="12240" w:h="15840" w:orient="portrait"/>
          <w:cols w:equalWidth="0" w:num="1">
            <w:col w:w="9890"/>
          </w:cols>
          <w:pgMar w:left="1170" w:top="838" w:right="1180" w:bottom="0" w:gutter="0" w:footer="0" w:header="0"/>
          <w:type w:val="continuous"/>
        </w:sectPr>
      </w:pPr>
    </w:p>
    <w:bookmarkStart w:id="147" w:name="page148"/>
    <w:bookmarkEnd w:id="147"/>
    <w:p>
      <w:pPr>
        <w:ind w:left="10"/>
        <w:spacing w:after="0"/>
        <w:rPr>
          <w:sz w:val="20"/>
          <w:szCs w:val="20"/>
          <w:color w:val="auto"/>
        </w:rPr>
      </w:pPr>
      <w:r>
        <w:rPr>
          <w:rFonts w:ascii="Times New Roman" w:cs="Times New Roman" w:eastAsia="Times New Roman" w:hAnsi="Times New Roman"/>
          <w:sz w:val="20"/>
          <w:szCs w:val="20"/>
          <w:color w:val="auto"/>
        </w:rPr>
        <w:t>The table below presents segment information for the years ended December 31, 2023, 2022 and 2021:</w:t>
      </w:r>
    </w:p>
    <w:p>
      <w:pPr>
        <w:spacing w:after="0" w:line="3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7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120"/>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ind w:left="60"/>
              <w:spacing w:after="0" w:line="220"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303"/>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line="302"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31"/>
                <w:szCs w:val="31"/>
                <w:color w:val="auto"/>
                <w:vertAlign w:val="superscript"/>
              </w:rPr>
              <w:t>(4)</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2,141,085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2,434,690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2,413,296</w:t>
            </w: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(1) (3)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764,828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877,451</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166,785</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1,209,472</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1,451,690</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(128,069)</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1,323,621</w:t>
            </w:r>
          </w:p>
        </w:tc>
      </w:tr>
      <w:tr>
        <w:trPr>
          <w:trHeight w:val="28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9,680,917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820,328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10,501,245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10,501,245</w:t>
            </w: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1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31"/>
                <w:szCs w:val="31"/>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3,461,659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3,469,227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3,469,227</w:t>
            </w:r>
          </w:p>
        </w:tc>
      </w:tr>
      <w:tr>
        <w:trPr>
          <w:trHeight w:val="537"/>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1"/>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(4)</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2,613,181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2,368,272</w:t>
            </w: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(1) (3)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1,010,428</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105,800</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1,250,293</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(61,767)</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r>
      <w:tr>
        <w:trPr>
          <w:trHeight w:val="2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5,913,775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1,791,307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1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31"/>
                <w:szCs w:val="31"/>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1,482,871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r>
      <w:tr>
        <w:trPr>
          <w:trHeight w:val="537"/>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1"/>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4"/>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(4)</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1,366,142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1,695,750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(372,940)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1,322,810</w:t>
            </w: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(1) (3)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(173,059)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616,010</w:t>
            </w: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51,677</w:t>
            </w: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(19,108)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73,316</w:t>
            </w: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481,207</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265,223</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746,430</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(164,623)</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581,807</w:t>
            </w:r>
          </w:p>
        </w:tc>
      </w:tr>
      <w:tr>
        <w:trPr>
          <w:trHeight w:val="25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1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31"/>
                <w:szCs w:val="31"/>
                <w:color w:val="auto"/>
                <w:vertAlign w:val="superscript"/>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833,910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842,203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-7046595</wp:posOffset>
            </wp:positionV>
            <wp:extent cx="6311900" cy="1863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7">
                      <a:extLst>
                        <a:ext uri="{28A0092B-C50C-407E-A947-70E740481C1C}"/>
                      </a:extLst>
                    </a:blip>
                    <a:srcRect/>
                    <a:stretch>
                      <a:fillRect/>
                    </a:stretch>
                  </pic:blipFill>
                  <pic:spPr bwMode="auto">
                    <a:xfrm>
                      <a:off x="0" y="0"/>
                      <a:ext cx="6311900" cy="18637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-4297045</wp:posOffset>
            </wp:positionV>
            <wp:extent cx="6311900" cy="1873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8">
                      <a:extLst>
                        <a:ext uri="{28A0092B-C50C-407E-A947-70E740481C1C}"/>
                      </a:extLst>
                    </a:blip>
                    <a:srcRect/>
                    <a:stretch>
                      <a:fillRect/>
                    </a:stretch>
                  </pic:blipFill>
                  <pic:spPr bwMode="auto">
                    <a:xfrm>
                      <a:off x="0" y="0"/>
                      <a:ext cx="6311900" cy="18732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-1528445</wp:posOffset>
            </wp:positionV>
            <wp:extent cx="6311900" cy="14922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9">
                      <a:extLst>
                        <a:ext uri="{28A0092B-C50C-407E-A947-70E740481C1C}"/>
                      </a:extLst>
                    </a:blip>
                    <a:srcRect/>
                    <a:stretch>
                      <a:fillRect/>
                    </a:stretch>
                  </pic:blipFill>
                  <pic:spPr bwMode="auto">
                    <a:xfrm>
                      <a:off x="0" y="0"/>
                      <a:ext cx="6311900" cy="14922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70" w:right="40" w:hanging="370"/>
        <w:spacing w:after="0" w:line="226" w:lineRule="auto"/>
        <w:tabs>
          <w:tab w:leader="none" w:pos="370" w:val="left"/>
        </w:tabs>
        <w:numPr>
          <w:ilvl w:val="0"/>
          <w:numId w:val="101"/>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20"/>
          <w:szCs w:val="20"/>
          <w:color w:val="auto"/>
        </w:rPr>
        <w:t>Cost of sales in the Company’s segment measure only includes realized gains and losses on derivative transactions that are an economic hedge of commodity purchases and sales, and realized gains of $139,089 for the year ended</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F-53</w:t>
      </w:r>
    </w:p>
    <w:p>
      <w:pPr>
        <w:sectPr>
          <w:pgSz w:w="12240" w:h="15840" w:orient="portrait"/>
          <w:cols w:equalWidth="0" w:num="1">
            <w:col w:w="9910"/>
          </w:cols>
          <w:pgMar w:left="1170" w:top="838" w:right="1160" w:bottom="0" w:gutter="0" w:footer="0" w:header="0"/>
          <w:type w:val="continuous"/>
        </w:sectPr>
      </w:pPr>
    </w:p>
    <w:bookmarkStart w:id="148" w:name="page149"/>
    <w:bookmarkEnd w:id="148"/>
    <w:p>
      <w:pPr>
        <w:ind w:left="370" w:right="180"/>
        <w:spacing w:after="0" w:line="281" w:lineRule="auto"/>
        <w:rPr>
          <w:sz w:val="20"/>
          <w:szCs w:val="20"/>
          <w:color w:val="auto"/>
        </w:rPr>
      </w:pPr>
      <w:r>
        <w:rPr>
          <w:rFonts w:ascii="Times New Roman" w:cs="Times New Roman" w:eastAsia="Times New Roman" w:hAnsi="Times New Roman"/>
          <w:sz w:val="20"/>
          <w:szCs w:val="20"/>
          <w:color w:val="auto"/>
        </w:rPr>
        <w:t>December 31, 2023 were recognized as a reduction to Cost of sales in the segment measure. No realized gains or loss for the years ended December 31, 2022 or 2021 were recognized.</w:t>
      </w:r>
    </w:p>
    <w:p>
      <w:pPr>
        <w:spacing w:after="0" w:line="155" w:lineRule="exact"/>
        <w:rPr>
          <w:sz w:val="20"/>
          <w:szCs w:val="20"/>
          <w:color w:val="auto"/>
        </w:rPr>
      </w:pPr>
    </w:p>
    <w:p>
      <w:pPr>
        <w:ind w:left="370" w:right="40"/>
        <w:spacing w:after="0" w:line="260" w:lineRule="auto"/>
        <w:rPr>
          <w:sz w:val="20"/>
          <w:szCs w:val="20"/>
          <w:color w:val="auto"/>
        </w:rPr>
      </w:pPr>
      <w:r>
        <w:rPr>
          <w:rFonts w:ascii="Times New Roman" w:cs="Times New Roman" w:eastAsia="Times New Roman" w:hAnsi="Times New Roman"/>
          <w:sz w:val="20"/>
          <w:szCs w:val="20"/>
          <w:color w:val="auto"/>
        </w:rPr>
        <w:t>The Company recognized unrealized (losses) and earnings of ($106,393), $106,103 and ($2,788) on the mark-to-market value of derivative transactions for the years ended December 31, 2023, 2022 and 2021, respectively, and these losses reconcile Cost of sales in the segment measure to Cost of sales in the Consolidated Statements of Operations and Comprehensive Income.</w:t>
      </w:r>
    </w:p>
    <w:p>
      <w:pPr>
        <w:spacing w:after="0" w:line="203" w:lineRule="exact"/>
        <w:rPr>
          <w:sz w:val="20"/>
          <w:szCs w:val="20"/>
          <w:color w:val="auto"/>
        </w:rPr>
      </w:pPr>
    </w:p>
    <w:p>
      <w:pPr>
        <w:ind w:left="370" w:right="140"/>
        <w:spacing w:after="0" w:line="260" w:lineRule="auto"/>
        <w:rPr>
          <w:sz w:val="20"/>
          <w:szCs w:val="20"/>
          <w:color w:val="auto"/>
        </w:rPr>
      </w:pPr>
      <w:r>
        <w:rPr>
          <w:rFonts w:ascii="Times New Roman" w:cs="Times New Roman" w:eastAsia="Times New Roman" w:hAnsi="Times New Roman"/>
          <w:sz w:val="20"/>
          <w:szCs w:val="20"/>
          <w:color w:val="auto"/>
        </w:rPr>
        <w:t>The Company has excluded contract acquisition costs that do not meet the criteria for capitalization from the segment measure. Contract acquisition costs of $6,232 for the year ended December 31, 2023 reconcile Cost of sales in the segment measure to Cost of sales in the Consolidated Statements of Operations and Comprehensive Income. The Company did not incur such costs in the years ended December 31, 2022 and 2021.</w:t>
      </w:r>
    </w:p>
    <w:p>
      <w:pPr>
        <w:spacing w:after="0" w:line="178" w:lineRule="exact"/>
        <w:rPr>
          <w:sz w:val="20"/>
          <w:szCs w:val="20"/>
          <w:color w:val="auto"/>
        </w:rPr>
      </w:pPr>
    </w:p>
    <w:p>
      <w:pPr>
        <w:ind w:left="370" w:right="480" w:hanging="370"/>
        <w:spacing w:after="0" w:line="226" w:lineRule="auto"/>
        <w:tabs>
          <w:tab w:leader="none" w:pos="370" w:val="left"/>
        </w:tabs>
        <w:numPr>
          <w:ilvl w:val="0"/>
          <w:numId w:val="102"/>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20"/>
          <w:szCs w:val="20"/>
          <w:color w:val="auto"/>
        </w:rPr>
        <w:t>Capital expenditures includes amounts capitalized to construction in progress and additions to property, plant and equipment during the period.</w:t>
      </w:r>
    </w:p>
    <w:p>
      <w:pPr>
        <w:spacing w:after="0" w:line="221" w:lineRule="exact"/>
        <w:rPr>
          <w:rFonts w:ascii="Times New Roman" w:cs="Times New Roman" w:eastAsia="Times New Roman" w:hAnsi="Times New Roman"/>
          <w:sz w:val="26"/>
          <w:szCs w:val="26"/>
          <w:b w:val="1"/>
          <w:bCs w:val="1"/>
          <w:i w:val="1"/>
          <w:iCs w:val="1"/>
          <w:color w:val="auto"/>
          <w:vertAlign w:val="superscript"/>
        </w:rPr>
      </w:pPr>
    </w:p>
    <w:p>
      <w:pPr>
        <w:ind w:left="370" w:right="100" w:hanging="370"/>
        <w:spacing w:after="0" w:line="226" w:lineRule="auto"/>
        <w:tabs>
          <w:tab w:leader="none" w:pos="370" w:val="left"/>
        </w:tabs>
        <w:numPr>
          <w:ilvl w:val="0"/>
          <w:numId w:val="10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Income.</w:t>
      </w:r>
    </w:p>
    <w:p>
      <w:pPr>
        <w:spacing w:after="0" w:line="221" w:lineRule="exact"/>
        <w:rPr>
          <w:rFonts w:ascii="Times New Roman" w:cs="Times New Roman" w:eastAsia="Times New Roman" w:hAnsi="Times New Roman"/>
          <w:sz w:val="26"/>
          <w:szCs w:val="26"/>
          <w:color w:val="auto"/>
          <w:vertAlign w:val="superscript"/>
        </w:rPr>
      </w:pPr>
    </w:p>
    <w:p>
      <w:pPr>
        <w:ind w:left="370" w:right="260" w:hanging="370"/>
        <w:spacing w:after="0" w:line="237" w:lineRule="auto"/>
        <w:tabs>
          <w:tab w:leader="none" w:pos="370" w:val="left"/>
        </w:tabs>
        <w:numPr>
          <w:ilvl w:val="0"/>
          <w:numId w:val="10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Consolidation and Other adjusts for the inclusion of the effective share of revenues, expenses and operating margin attributable to the Company's 50% ownership of CELSEPAR and the common units of Hilli LLC in the segment measure prior to the disposition of these investments, the exclusion of the unrealized mark-to-market gain or loss on derivative instruments, and the exclusion of non-capitalizable contract acquisition costs.</w:t>
      </w:r>
    </w:p>
    <w:p>
      <w:pPr>
        <w:spacing w:after="0" w:line="223" w:lineRule="exact"/>
        <w:rPr>
          <w:sz w:val="20"/>
          <w:szCs w:val="20"/>
          <w:color w:val="auto"/>
        </w:rPr>
      </w:pPr>
    </w:p>
    <w:p>
      <w:pPr>
        <w:ind w:left="10" w:right="300"/>
        <w:spacing w:after="0" w:line="260" w:lineRule="auto"/>
        <w:rPr>
          <w:sz w:val="20"/>
          <w:szCs w:val="20"/>
          <w:color w:val="auto"/>
        </w:rPr>
      </w:pPr>
      <w:r>
        <w:rPr>
          <w:rFonts w:ascii="Times New Roman" w:cs="Times New Roman" w:eastAsia="Times New Roman" w:hAnsi="Times New Roman"/>
          <w:sz w:val="20"/>
          <w:szCs w:val="20"/>
          <w:color w:val="auto"/>
        </w:rPr>
        <w:t>Consolidated Segment Operating Margin is defined as net income, adjusted for selling, general and administrative expenses, transaction and integration costs, depreciation and amortization, asset impairment expense, interest expense, other (income) expense, net, loss on extinguishment of debt, net, tax provision (benefit) and income from equity method investments.</w:t>
      </w:r>
    </w:p>
    <w:p>
      <w:pPr>
        <w:spacing w:after="0" w:line="203" w:lineRule="exact"/>
        <w:rPr>
          <w:sz w:val="20"/>
          <w:szCs w:val="20"/>
          <w:color w:val="auto"/>
        </w:rPr>
      </w:pPr>
    </w:p>
    <w:p>
      <w:pPr>
        <w:ind w:left="10" w:right="340"/>
        <w:spacing w:after="0" w:line="281" w:lineRule="auto"/>
        <w:rPr>
          <w:sz w:val="20"/>
          <w:szCs w:val="20"/>
          <w:color w:val="auto"/>
        </w:rPr>
      </w:pPr>
      <w:r>
        <w:rPr>
          <w:rFonts w:ascii="Times New Roman" w:cs="Times New Roman" w:eastAsia="Times New Roman" w:hAnsi="Times New Roman"/>
          <w:sz w:val="20"/>
          <w:szCs w:val="20"/>
          <w:color w:val="auto"/>
        </w:rPr>
        <w:t>The following table reconciles Net income, the most comparable financial statement measure, to Consolidated Segment Operating Margin:</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58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2021</w:t>
            </w:r>
          </w:p>
        </w:tc>
      </w:tr>
      <w:tr>
        <w:trPr>
          <w:trHeight w:val="27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Net income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r>
      <w:tr>
        <w:trPr>
          <w:trHeight w:val="300"/>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w:t>
            </w: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199,881</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44,671</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98,377</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(17,150)</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Gain on sale of assets,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Tax (benefit) provision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12,461</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10,975</w:t>
            </w: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Loss (income) from equity method investments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(14,443)</w:t>
            </w:r>
          </w:p>
        </w:tc>
      </w:tr>
      <w:tr>
        <w:trPr>
          <w:trHeight w:val="28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Consolidated Segment Operating Margin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1,323,621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1,188,526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581,807</w:t>
            </w:r>
          </w:p>
        </w:tc>
      </w:tr>
      <w:tr>
        <w:trPr>
          <w:trHeight w:val="525"/>
        </w:trPr>
        <w:tc>
          <w:tcPr>
            <w:tcW w:w="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28.</w:t>
            </w: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Subsequent events</w:t>
            </w: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-2828290</wp:posOffset>
            </wp:positionV>
            <wp:extent cx="6311900" cy="25019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0">
                      <a:extLst>
                        <a:ext uri="{28A0092B-C50C-407E-A947-70E740481C1C}"/>
                      </a:extLst>
                    </a:blip>
                    <a:srcRect/>
                    <a:stretch>
                      <a:fillRect/>
                    </a:stretch>
                  </pic:blipFill>
                  <pic:spPr bwMode="auto">
                    <a:xfrm>
                      <a:off x="0" y="0"/>
                      <a:ext cx="6311900" cy="2501900"/>
                    </a:xfrm>
                    <a:prstGeom prst="rect">
                      <a:avLst/>
                    </a:prstGeom>
                    <a:noFill/>
                  </pic:spPr>
                </pic:pic>
              </a:graphicData>
            </a:graphic>
          </wp:anchor>
        </w:drawing>
      </w:r>
    </w:p>
    <w:p>
      <w:pPr>
        <w:spacing w:after="0" w:line="203" w:lineRule="exact"/>
        <w:rPr>
          <w:sz w:val="20"/>
          <w:szCs w:val="20"/>
          <w:color w:val="auto"/>
        </w:rPr>
      </w:pPr>
    </w:p>
    <w:p>
      <w:pPr>
        <w:ind w:left="10" w:right="220" w:firstLine="360"/>
        <w:spacing w:after="0" w:line="260" w:lineRule="auto"/>
        <w:rPr>
          <w:sz w:val="20"/>
          <w:szCs w:val="20"/>
          <w:color w:val="auto"/>
        </w:rPr>
      </w:pPr>
      <w:r>
        <w:rPr>
          <w:rFonts w:ascii="Times New Roman" w:cs="Times New Roman" w:eastAsia="Times New Roman" w:hAnsi="Times New Roman"/>
          <w:sz w:val="20"/>
          <w:szCs w:val="20"/>
          <w:color w:val="auto"/>
        </w:rPr>
        <w:t>On February 28, 2024, we entered into a commitment letter for the Company to receive $700 million in financing secured by our onshore FLNG project in Altamira, Mexico as well as the collateral securing the 2025 Notes and the 2026 Notes. The commitment letter is subject to the finalization of a credit agreement and customary closing conditions. The proceeds will be used to complete our onshore FLNG project in Altamira.</w:t>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F-54</w:t>
      </w:r>
    </w:p>
    <w:p>
      <w:pPr>
        <w:sectPr>
          <w:pgSz w:w="12240" w:h="15840" w:orient="portrait"/>
          <w:cols w:equalWidth="0" w:num="1">
            <w:col w:w="9910"/>
          </w:cols>
          <w:pgMar w:left="1170" w:top="838" w:right="1160" w:bottom="0" w:gutter="0" w:footer="0" w:header="0"/>
          <w:type w:val="continuous"/>
        </w:sectPr>
      </w:pPr>
    </w:p>
    <w:bookmarkStart w:id="149" w:name="page150"/>
    <w:bookmarkEnd w:id="149"/>
    <w:tbl>
      <w:tblPr>
        <w:tblLayout w:type="fixed"/>
        <w:tblInd w:w="1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Schedule II</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2"/>
        </w:trPr>
        <w:tc>
          <w:tcPr>
            <w:tcW w:w="3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20" w:type="dxa"/>
            <w:vAlign w:val="bottom"/>
          </w:tcPr>
          <w:p>
            <w:pPr>
              <w:spacing w:after="0"/>
              <w:rPr>
                <w:sz w:val="20"/>
                <w:szCs w:val="20"/>
                <w:color w:val="auto"/>
              </w:rPr>
            </w:pPr>
          </w:p>
        </w:tc>
        <w:tc>
          <w:tcPr>
            <w:tcW w:w="210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Beginning of</w:t>
            </w:r>
          </w:p>
        </w:tc>
        <w:tc>
          <w:tcPr>
            <w:tcW w:w="200" w:type="dxa"/>
            <w:vAlign w:val="bottom"/>
          </w:tcPr>
          <w:p>
            <w:pPr>
              <w:spacing w:after="0"/>
              <w:rPr>
                <w:sz w:val="20"/>
                <w:szCs w:val="20"/>
                <w:color w:val="auto"/>
              </w:rPr>
            </w:pPr>
          </w:p>
        </w:tc>
        <w:tc>
          <w:tcPr>
            <w:tcW w:w="13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w w:val="92"/>
              </w:rPr>
              <w:t>Additions</w:t>
            </w:r>
            <w:r>
              <w:rPr>
                <w:rFonts w:ascii="Times New Roman" w:cs="Times New Roman" w:eastAsia="Times New Roman" w:hAnsi="Times New Roman"/>
                <w:sz w:val="26"/>
                <w:szCs w:val="26"/>
                <w:b w:val="1"/>
                <w:bCs w:val="1"/>
                <w:color w:val="auto"/>
                <w:w w:val="92"/>
                <w:vertAlign w:val="superscript"/>
              </w:rPr>
              <w:t>(1)</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0" w:type="dxa"/>
            <w:vAlign w:val="bottom"/>
          </w:tcPr>
          <w:p>
            <w:pPr>
              <w:spacing w:after="0"/>
              <w:rPr>
                <w:sz w:val="1"/>
                <w:szCs w:val="1"/>
                <w:color w:val="auto"/>
              </w:rPr>
            </w:pPr>
          </w:p>
        </w:tc>
      </w:tr>
      <w:tr>
        <w:trPr>
          <w:trHeight w:val="327"/>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94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End of Year</w:t>
            </w:r>
          </w:p>
        </w:tc>
        <w:tc>
          <w:tcPr>
            <w:tcW w:w="0" w:type="dxa"/>
            <w:vAlign w:val="bottom"/>
          </w:tcPr>
          <w:p>
            <w:pPr>
              <w:spacing w:after="0"/>
              <w:rPr>
                <w:sz w:val="1"/>
                <w:szCs w:val="1"/>
                <w:color w:val="auto"/>
              </w:rPr>
            </w:pPr>
          </w:p>
        </w:tc>
      </w:tr>
      <w:tr>
        <w:trPr>
          <w:trHeight w:val="537"/>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599"/>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200" w:type="dxa"/>
            <w:vAlign w:val="bottom"/>
          </w:tcPr>
          <w:p>
            <w:pPr>
              <w:spacing w:after="0"/>
              <w:rPr>
                <w:sz w:val="24"/>
                <w:szCs w:val="24"/>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835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0" w:type="dxa"/>
            <w:vAlign w:val="bottom"/>
          </w:tcPr>
          <w:p>
            <w:pPr>
              <w:spacing w:after="0"/>
              <w:rPr>
                <w:sz w:val="1"/>
                <w:szCs w:val="1"/>
                <w:color w:val="auto"/>
              </w:rPr>
            </w:pPr>
          </w:p>
        </w:tc>
      </w:tr>
      <w:tr>
        <w:trPr>
          <w:trHeight w:val="599"/>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200" w:type="dxa"/>
            <w:vAlign w:val="bottom"/>
          </w:tcPr>
          <w:p>
            <w:pPr>
              <w:spacing w:after="0"/>
              <w:rPr>
                <w:sz w:val="24"/>
                <w:szCs w:val="24"/>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1,614</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0" w:type="dxa"/>
            <w:vAlign w:val="bottom"/>
          </w:tcPr>
          <w:p>
            <w:pPr>
              <w:spacing w:after="0"/>
              <w:rPr>
                <w:sz w:val="1"/>
                <w:szCs w:val="1"/>
                <w:color w:val="auto"/>
              </w:rPr>
            </w:pPr>
          </w:p>
        </w:tc>
      </w:tr>
      <w:tr>
        <w:trPr>
          <w:trHeight w:val="548"/>
        </w:trPr>
        <w:tc>
          <w:tcPr>
            <w:tcW w:w="3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-2085340</wp:posOffset>
            </wp:positionV>
            <wp:extent cx="6311900" cy="1758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1">
                      <a:extLst>
                        <a:ext uri="{28A0092B-C50C-407E-A947-70E740481C1C}"/>
                      </a:extLst>
                    </a:blip>
                    <a:srcRect/>
                    <a:stretch>
                      <a:fillRect/>
                    </a:stretch>
                  </pic:blipFill>
                  <pic:spPr bwMode="auto">
                    <a:xfrm>
                      <a:off x="0" y="0"/>
                      <a:ext cx="6311900" cy="1758950"/>
                    </a:xfrm>
                    <a:prstGeom prst="rect">
                      <a:avLst/>
                    </a:prstGeom>
                    <a:noFill/>
                  </pic:spPr>
                </pic:pic>
              </a:graphicData>
            </a:graphic>
          </wp:anchor>
        </w:drawing>
      </w:r>
    </w:p>
    <w:p>
      <w:pPr>
        <w:spacing w:after="0" w:line="164" w:lineRule="exact"/>
        <w:rPr>
          <w:sz w:val="20"/>
          <w:szCs w:val="20"/>
          <w:color w:val="auto"/>
        </w:rPr>
      </w:pPr>
    </w:p>
    <w:p>
      <w:pPr>
        <w:ind w:left="370" w:hanging="370"/>
        <w:spacing w:after="0"/>
        <w:tabs>
          <w:tab w:leader="none" w:pos="370" w:val="left"/>
        </w:tabs>
        <w:numPr>
          <w:ilvl w:val="0"/>
          <w:numId w:val="10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 expensed is included within Selling, general and administrative.</w:t>
      </w:r>
    </w:p>
    <w:p>
      <w:pPr>
        <w:sectPr>
          <w:pgSz w:w="12240" w:h="15840" w:orient="portrait"/>
          <w:cols w:equalWidth="0" w:num="1">
            <w:col w:w="9810"/>
          </w:cols>
          <w:pgMar w:left="1170" w:top="83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F-55</w:t>
      </w:r>
    </w:p>
    <w:sectPr>
      <w:pgSz w:w="12240" w:h="15840" w:orient="portrait"/>
      <w:cols w:equalWidth="0" w:num="1">
        <w:col w:w="9810"/>
      </w:cols>
      <w:pgMar w:left="1170" w:top="831" w:right="1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x"/>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lvl w:ilvl="1">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1)"/>
      <w:numFmt w:val="decimal"/>
      <w:start w:val="4"/>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2"/>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decimal"/>
      <w:start w:val="2"/>
    </w:lvl>
  </w:abstractNum>
  <w:abstractNum w:abstractNumId="47">
    <w:nsid w:val="51D9C564"/>
    <w:multiLevelType w:val="hybridMultilevel"/>
    <w:lvl w:ilvl="0">
      <w:lvlJc w:val="left"/>
      <w:lvlText w:val="(%1)"/>
      <w:numFmt w:val="lowerLetter"/>
      <w:start w:val="2"/>
    </w:lvl>
  </w:abstractNum>
  <w:abstractNum w:abstractNumId="48">
    <w:nsid w:val="613EFDC5"/>
    <w:multiLevelType w:val="hybridMultilevel"/>
    <w:lvl w:ilvl="0">
      <w:lvlJc w:val="left"/>
      <w:lvlText w:val="(%1)"/>
      <w:numFmt w:val="lowerLetter"/>
      <w:start w:val="3"/>
    </w:lvl>
  </w:abstractNum>
  <w:abstractNum w:abstractNumId="49">
    <w:nsid w:val="BF72B14"/>
    <w:multiLevelType w:val="hybridMultilevel"/>
    <w:lvl w:ilvl="0">
      <w:lvlJc w:val="left"/>
      <w:lvlText w:val="(%1)"/>
      <w:numFmt w:val="lowerLetter"/>
      <w:start w:val="4"/>
    </w:lvl>
  </w:abstractNum>
  <w:abstractNum w:abstractNumId="50">
    <w:nsid w:val="11447B73"/>
    <w:multiLevelType w:val="hybridMultilevel"/>
    <w:lvl w:ilvl="0">
      <w:lvlJc w:val="left"/>
      <w:lvlText w:val="(%1)"/>
      <w:numFmt w:val="lowerLetter"/>
      <w:start w:val="5"/>
    </w:lvl>
  </w:abstractNum>
  <w:abstractNum w:abstractNumId="51">
    <w:nsid w:val="42963E5A"/>
    <w:multiLevelType w:val="hybridMultilevel"/>
    <w:lvl w:ilvl="0">
      <w:lvlJc w:val="left"/>
      <w:lvlText w:val="(%1)"/>
      <w:numFmt w:val="lowerLetter"/>
      <w:start w:val="6"/>
    </w:lvl>
  </w:abstractNum>
  <w:abstractNum w:abstractNumId="52">
    <w:nsid w:val="A0382C5"/>
    <w:multiLevelType w:val="hybridMultilevel"/>
    <w:lvl w:ilvl="0">
      <w:lvlJc w:val="left"/>
      <w:lvlText w:val="(%1)"/>
      <w:numFmt w:val="lowerLetter"/>
      <w:start w:val="7"/>
    </w:lvl>
  </w:abstractNum>
  <w:abstractNum w:abstractNumId="53">
    <w:nsid w:val="8F2B15E"/>
    <w:multiLevelType w:val="hybridMultilevel"/>
    <w:lvl w:ilvl="0">
      <w:lvlJc w:val="left"/>
      <w:lvlText w:val="(%1)"/>
      <w:numFmt w:val="lowerLetter"/>
      <w:start w:val="8"/>
    </w:lvl>
  </w:abstractNum>
  <w:abstractNum w:abstractNumId="54">
    <w:nsid w:val="1A32234B"/>
    <w:multiLevelType w:val="hybridMultilevel"/>
    <w:lvl w:ilvl="0">
      <w:lvlJc w:val="left"/>
      <w:lvlText w:val="(%1)"/>
      <w:numFmt w:val="lowerRoman"/>
      <w:start w:val="1"/>
    </w:lvl>
  </w:abstractNum>
  <w:abstractNum w:abstractNumId="55">
    <w:nsid w:val="3B0FD379"/>
    <w:multiLevelType w:val="hybridMultilevel"/>
    <w:lvl w:ilvl="0">
      <w:lvlJc w:val="left"/>
      <w:lvlText w:val="(%1)"/>
      <w:numFmt w:val="lowerLetter"/>
      <w:start w:val="10"/>
    </w:lvl>
  </w:abstractNum>
  <w:abstractNum w:abstractNumId="56">
    <w:nsid w:val="68EB2F63"/>
    <w:multiLevelType w:val="hybridMultilevel"/>
    <w:lvl w:ilvl="0">
      <w:lvlJc w:val="left"/>
      <w:lvlText w:val="(%1)"/>
      <w:numFmt w:val="lowerLetter"/>
      <w:start w:val="11"/>
    </w:lvl>
  </w:abstractNum>
  <w:abstractNum w:abstractNumId="57">
    <w:nsid w:val="4962813B"/>
    <w:multiLevelType w:val="hybridMultilevel"/>
    <w:lvl w:ilvl="0">
      <w:lvlJc w:val="left"/>
      <w:lvlText w:val="(%1)"/>
      <w:numFmt w:val="lowerLetter"/>
      <w:start w:val="12"/>
    </w:lvl>
  </w:abstractNum>
  <w:abstractNum w:abstractNumId="58">
    <w:nsid w:val="60B6DF70"/>
    <w:multiLevelType w:val="hybridMultilevel"/>
    <w:lvl w:ilvl="0">
      <w:lvlJc w:val="left"/>
      <w:lvlText w:val="(%1)"/>
      <w:numFmt w:val="lowerLetter"/>
      <w:start w:val="13"/>
    </w:lvl>
  </w:abstractNum>
  <w:abstractNum w:abstractNumId="59">
    <w:nsid w:val="6A5EE64"/>
    <w:multiLevelType w:val="hybridMultilevel"/>
    <w:lvl w:ilvl="0">
      <w:lvlJc w:val="left"/>
      <w:lvlText w:val="(%1)"/>
      <w:numFmt w:val="lowerLetter"/>
      <w:start w:val="14"/>
    </w:lvl>
  </w:abstractNum>
  <w:abstractNum w:abstractNumId="60">
    <w:nsid w:val="14330624"/>
    <w:multiLevelType w:val="hybridMultilevel"/>
    <w:lvl w:ilvl="0">
      <w:lvlJc w:val="left"/>
      <w:lvlText w:val="(%1)"/>
      <w:numFmt w:val="lowerLetter"/>
      <w:start w:val="15"/>
    </w:lvl>
  </w:abstractNum>
  <w:abstractNum w:abstractNumId="61">
    <w:nsid w:val="7FFFCA11"/>
    <w:multiLevelType w:val="hybridMultilevel"/>
    <w:lvl w:ilvl="0">
      <w:lvlJc w:val="left"/>
      <w:lvlText w:val="(%1)"/>
      <w:numFmt w:val="lowerLetter"/>
      <w:start w:val="16"/>
    </w:lvl>
  </w:abstractNum>
  <w:abstractNum w:abstractNumId="62">
    <w:nsid w:val="1A27709E"/>
    <w:multiLevelType w:val="hybridMultilevel"/>
    <w:lvl w:ilvl="0">
      <w:lvlJc w:val="left"/>
      <w:lvlText w:val="(%1)"/>
      <w:numFmt w:val="lowerLetter"/>
      <w:start w:val="17"/>
    </w:lvl>
  </w:abstractNum>
  <w:abstractNum w:abstractNumId="63">
    <w:nsid w:val="71EA1109"/>
    <w:multiLevelType w:val="hybridMultilevel"/>
    <w:lvl w:ilvl="0">
      <w:lvlJc w:val="left"/>
      <w:lvlText w:val="(%1)"/>
      <w:numFmt w:val="lowerLetter"/>
      <w:start w:val="18"/>
    </w:lvl>
  </w:abstractNum>
  <w:abstractNum w:abstractNumId="64">
    <w:nsid w:val="100F59DC"/>
    <w:multiLevelType w:val="hybridMultilevel"/>
    <w:lvl w:ilvl="0">
      <w:lvlJc w:val="left"/>
      <w:lvlText w:val="(%1)"/>
      <w:numFmt w:val="lowerLetter"/>
      <w:start w:val="19"/>
    </w:lvl>
  </w:abstractNum>
  <w:abstractNum w:abstractNumId="65">
    <w:nsid w:val="7FB7E0AA"/>
    <w:multiLevelType w:val="hybridMultilevel"/>
    <w:lvl w:ilvl="0">
      <w:lvlJc w:val="left"/>
      <w:lvlText w:val="(%1)"/>
      <w:numFmt w:val="lowerLetter"/>
      <w:start w:val="20"/>
    </w:lvl>
  </w:abstractNum>
  <w:abstractNum w:abstractNumId="66">
    <w:nsid w:val="6EB5BD4"/>
    <w:multiLevelType w:val="hybridMultilevel"/>
    <w:lvl w:ilvl="0">
      <w:lvlJc w:val="left"/>
      <w:lvlText w:val="(%1)"/>
      <w:numFmt w:val="lowerLetter"/>
      <w:start w:val="21"/>
    </w:lvl>
  </w:abstractNum>
  <w:abstractNum w:abstractNumId="67">
    <w:nsid w:val="6F6DD9AC"/>
    <w:multiLevelType w:val="hybridMultilevel"/>
    <w:lvl w:ilvl="0">
      <w:lvlJc w:val="left"/>
      <w:lvlText w:val="(%1)"/>
      <w:numFmt w:val="lowerRoman"/>
      <w:start w:val="5"/>
    </w:lvl>
  </w:abstractNum>
  <w:abstractNum w:abstractNumId="68">
    <w:nsid w:val="94211F2"/>
    <w:multiLevelType w:val="hybridMultilevel"/>
    <w:lvl w:ilvl="0">
      <w:lvlJc w:val="left"/>
      <w:lvlText w:val="(%1)"/>
      <w:numFmt w:val="lowerLetter"/>
      <w:start w:val="23"/>
    </w:lvl>
  </w:abstractNum>
  <w:abstractNum w:abstractNumId="69">
    <w:nsid w:val="885E1B"/>
    <w:multiLevelType w:val="hybridMultilevel"/>
    <w:lvl w:ilvl="0">
      <w:lvlJc w:val="left"/>
      <w:lvlText w:val="(%1)"/>
      <w:numFmt w:val="lowerRoman"/>
      <w:start w:val="10"/>
    </w:lvl>
  </w:abstractNum>
  <w:abstractNum w:abstractNumId="70">
    <w:nsid w:val="76272110"/>
    <w:multiLevelType w:val="hybridMultilevel"/>
    <w:lvl w:ilvl="0">
      <w:lvlJc w:val="left"/>
      <w:lvlText w:val="(%1)"/>
      <w:numFmt w:val="lowerLetter"/>
      <w:start w:val="25"/>
    </w:lvl>
  </w:abstractNum>
  <w:abstractNum w:abstractNumId="71">
    <w:nsid w:val="4C04A8AF"/>
    <w:multiLevelType w:val="hybridMultilevel"/>
    <w:lvl w:ilvl="0">
      <w:lvlJc w:val="left"/>
      <w:lvlText w:val="(%1)"/>
      <w:numFmt w:val="lowerLetter"/>
      <w:start w:val="26"/>
    </w:lvl>
  </w:abstractNum>
  <w:abstractNum w:abstractNumId="72">
    <w:nsid w:val="1716703B"/>
    <w:multiLevelType w:val="hybridMultilevel"/>
    <w:lvl w:ilvl="0">
      <w:lvlJc w:val="left"/>
      <w:lvlText w:val="(%1)"/>
      <w:numFmt w:val="lowerLetter"/>
      <w:start w:val="27"/>
    </w:lvl>
  </w:abstractNum>
  <w:abstractNum w:abstractNumId="73">
    <w:nsid w:val="14E17E33"/>
    <w:multiLevelType w:val="hybridMultilevel"/>
    <w:lvl w:ilvl="0">
      <w:lvlJc w:val="left"/>
      <w:lvlText w:val="%1."/>
      <w:numFmt w:val="decimal"/>
      <w:start w:val="3"/>
    </w:lvl>
  </w:abstractNum>
  <w:abstractNum w:abstractNumId="74">
    <w:nsid w:val="3222E7CD"/>
    <w:multiLevelType w:val="hybridMultilevel"/>
    <w:lvl w:ilvl="0">
      <w:lvlJc w:val="left"/>
      <w:lvlText w:val="%1."/>
      <w:numFmt w:val="decimal"/>
      <w:start w:val="4"/>
    </w:lvl>
  </w:abstractNum>
  <w:abstractNum w:abstractNumId="75">
    <w:nsid w:val="74DE0EE3"/>
    <w:multiLevelType w:val="hybridMultilevel"/>
    <w:lvl w:ilvl="0">
      <w:lvlJc w:val="left"/>
      <w:lvlText w:val="%1."/>
      <w:numFmt w:val="decimal"/>
      <w:start w:val="5"/>
    </w:lvl>
  </w:abstractNum>
  <w:abstractNum w:abstractNumId="76">
    <w:nsid w:val="68EBC550"/>
    <w:multiLevelType w:val="hybridMultilevel"/>
    <w:lvl w:ilvl="0">
      <w:lvlJc w:val="left"/>
      <w:lvlText w:val="%1."/>
      <w:numFmt w:val="decimal"/>
      <w:start w:val="6"/>
    </w:lvl>
  </w:abstractNum>
  <w:abstractNum w:abstractNumId="77">
    <w:nsid w:val="2DF6D648"/>
    <w:multiLevelType w:val="hybridMultilevel"/>
    <w:lvl w:ilvl="0">
      <w:lvlJc w:val="left"/>
      <w:lvlText w:val="%1."/>
      <w:numFmt w:val="decimal"/>
      <w:start w:val="7"/>
    </w:lvl>
  </w:abstractNum>
  <w:abstractNum w:abstractNumId="78">
    <w:nsid w:val="46B7D447"/>
    <w:multiLevelType w:val="hybridMultilevel"/>
    <w:lvl w:ilvl="0">
      <w:lvlJc w:val="left"/>
      <w:lvlText w:val="%1."/>
      <w:numFmt w:val="decimal"/>
      <w:start w:val="8"/>
    </w:lvl>
  </w:abstractNum>
  <w:abstractNum w:abstractNumId="79">
    <w:nsid w:val="4A2AC315"/>
    <w:multiLevelType w:val="hybridMultilevel"/>
    <w:lvl w:ilvl="0">
      <w:lvlJc w:val="left"/>
      <w:lvlText w:val="(%1)"/>
      <w:numFmt w:val="decimal"/>
      <w:start w:val="1"/>
    </w:lvl>
  </w:abstractNum>
  <w:abstractNum w:abstractNumId="80">
    <w:nsid w:val="39EE015C"/>
    <w:multiLevelType w:val="hybridMultilevel"/>
    <w:lvl w:ilvl="0">
      <w:lvlJc w:val="left"/>
      <w:lvlText w:val="%1."/>
      <w:numFmt w:val="decimal"/>
      <w:start w:val="9"/>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
      <w:numFmt w:val="bullet"/>
      <w:start w:val="1"/>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
      <w:numFmt w:val="bullet"/>
      <w:start w:val="1"/>
    </w:lvl>
  </w:abstractNum>
  <w:abstractNum w:abstractNumId="86">
    <w:nsid w:val="7F01579B"/>
    <w:multiLevelType w:val="hybridMultilevel"/>
    <w:lvl w:ilvl="0">
      <w:lvlJc w:val="left"/>
      <w:lvlText w:val="•"/>
      <w:numFmt w:val="bullet"/>
      <w:start w:val="1"/>
    </w:lvl>
  </w:abstractNum>
  <w:abstractNum w:abstractNumId="87">
    <w:nsid w:val="49DA307D"/>
    <w:multiLevelType w:val="hybridMultilevel"/>
    <w:lvl w:ilvl="0">
      <w:lvlJc w:val="left"/>
      <w:lvlText w:val="%1."/>
      <w:numFmt w:val="decimal"/>
      <w:start w:val="12"/>
    </w:lvl>
  </w:abstractNum>
  <w:abstractNum w:abstractNumId="88">
    <w:nsid w:val="7055A5F5"/>
    <w:multiLevelType w:val="hybridMultilevel"/>
    <w:lvl w:ilvl="0">
      <w:lvlJc w:val="left"/>
      <w:lvlText w:val="%1."/>
      <w:numFmt w:val="decimal"/>
      <w:start w:val="13"/>
    </w:lvl>
  </w:abstractNum>
  <w:abstractNum w:abstractNumId="89">
    <w:nsid w:val="5FB8370B"/>
    <w:multiLevelType w:val="hybridMultilevel"/>
    <w:lvl w:ilvl="0">
      <w:lvlJc w:val="left"/>
      <w:lvlText w:val="%1."/>
      <w:numFmt w:val="decimal"/>
      <w:start w:val="14"/>
    </w:lvl>
  </w:abstractNum>
  <w:abstractNum w:abstractNumId="90">
    <w:nsid w:val="50801EE1"/>
    <w:multiLevelType w:val="hybridMultilevel"/>
    <w:lvl w:ilvl="0">
      <w:lvlJc w:val="left"/>
      <w:lvlText w:val="%1."/>
      <w:numFmt w:val="decimal"/>
      <w:start w:val="15"/>
    </w:lvl>
  </w:abstractNum>
  <w:abstractNum w:abstractNumId="91">
    <w:nsid w:val="488AC1A"/>
    <w:multiLevelType w:val="hybridMultilevel"/>
    <w:lvl w:ilvl="0">
      <w:lvlJc w:val="left"/>
      <w:lvlText w:val="%1."/>
      <w:numFmt w:val="decimal"/>
      <w:start w:val="16"/>
    </w:lvl>
  </w:abstractNum>
  <w:abstractNum w:abstractNumId="92">
    <w:nsid w:val="5FB8011C"/>
    <w:multiLevelType w:val="hybridMultilevel"/>
    <w:lvl w:ilvl="0">
      <w:lvlJc w:val="left"/>
      <w:lvlText w:val="%1."/>
      <w:numFmt w:val="decimal"/>
      <w:start w:val="21"/>
    </w:lvl>
  </w:abstractNum>
  <w:abstractNum w:abstractNumId="93">
    <w:nsid w:val="6AA78F7F"/>
    <w:multiLevelType w:val="hybridMultilevel"/>
    <w:lvl w:ilvl="0">
      <w:lvlJc w:val="left"/>
      <w:lvlText w:val="%1."/>
      <w:numFmt w:val="decimal"/>
      <w:start w:val="22"/>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decimal"/>
      <w:start w:val="24"/>
    </w:lvl>
  </w:abstractNum>
  <w:abstractNum w:abstractNumId="96">
    <w:nsid w:val="6A5F7029"/>
    <w:multiLevelType w:val="hybridMultilevel"/>
    <w:lvl w:ilvl="0">
      <w:lvlJc w:val="left"/>
      <w:lvlText w:val="%1."/>
      <w:numFmt w:val="decimal"/>
      <w:start w:val="25"/>
    </w:lvl>
  </w:abstractNum>
  <w:abstractNum w:abstractNumId="97">
    <w:nsid w:val="7D5E18F8"/>
    <w:multiLevelType w:val="hybridMultilevel"/>
    <w:lvl w:ilvl="0">
      <w:lvlJc w:val="left"/>
      <w:lvlText w:val="%1."/>
      <w:numFmt w:val="decimal"/>
      <w:start w:val="26"/>
    </w:lvl>
  </w:abstractNum>
  <w:abstractNum w:abstractNumId="98">
    <w:nsid w:val="5F3534A4"/>
    <w:multiLevelType w:val="hybridMultilevel"/>
    <w:lvl w:ilvl="0">
      <w:lvlJc w:val="left"/>
      <w:lvlText w:val="%1."/>
      <w:numFmt w:val="decimal"/>
      <w:start w:val="27"/>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2"/>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2024-04-30T03:06:02Z</dcterms:created>
  <dcterms:modified xsi:type="dcterms:W3CDTF">2024-04-30T03:06:02Z</dcterms:modified>
</cp:coreProperties>
</file>