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42,206</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42.38</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34,416,402</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28,123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42.91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34,388,279</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69,234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41.17</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34,319,045</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17,766</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41.78</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34,301,279</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06/04/2021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34,680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39.53</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34,266,599</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06/04/2021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68,404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40.59</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34,198,195</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06/04/2021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5,787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41.49</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34,192,408</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4"/>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080"/>
          </w:cols>
          <w:pgMar w:left="460" w:top="225" w:right="359" w:bottom="0" w:gutter="0" w:footer="0" w:header="0"/>
          <w:type w:val="continuous"/>
        </w:sectPr>
      </w:pPr>
    </w:p>
    <w:p>
      <w:pPr>
        <w:spacing w:after="0" w:line="1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79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09240" cy="327914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Thomson Alexander</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7">
              <w:r>
                <w:rPr>
                  <w:rFonts w:ascii="Arial" w:cs="Arial" w:eastAsia="Arial" w:hAnsi="Arial"/>
                  <w:sz w:val="21"/>
                  <w:szCs w:val="21"/>
                  <w:color w:val="0000EE"/>
                  <w:w w:val="90"/>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(1) June 2, 2021 at prices ranging from $41.71 to $42.705 for the sale of 42,206 shares and a range of $42.71 to $43.52 for the sale of 28,123 shares, (2) June 3, 2021 at prices ranging from $40.64 to $41.635 for the sale of 69,234 shares and a range of $41.64 to $42.08 for the sale of 17,766 shares, and (3) June 4, 2021 at prices ranging from $39.13 to $40.12 for the sale of 34,680 shares, a range of $40.13 to $41.08 for the sale of 68,404 shares, and a range of $41.15 to $41.91 for the sale of 5,787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(3) to this Form 4.</w:t>
      </w:r>
    </w:p>
    <w:p>
      <w:pPr>
        <w:spacing w:after="0" w:line="29"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right="4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ectPr>
          <w:pgSz w:w="11900" w:h="16838" w:orient="portrait"/>
          <w:cols w:equalWidth="0" w:num="1">
            <w:col w:w="10900"/>
          </w:cols>
          <w:pgMar w:left="480" w:top="110" w:right="51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06/04/2021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06/04/2021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40"/>
          </w:cols>
          <w:pgMar w:left="480" w:top="110" w:right="51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6"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2021-06-04T18:44:02Z</dcterms:created>
  <dcterms:modified xsi:type="dcterms:W3CDTF">2021-06-04T18:44:02Z</dcterms:modified>
</cp:coreProperties>
</file>