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2, 2022</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9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ectPr>
          <w:pgSz w:w="11900" w:h="16838" w:orient="portrait"/>
          <w:cols w:equalWidth="0" w:num="1">
            <w:col w:w="11060"/>
          </w:cols>
          <w:pgMar w:left="300" w:top="839" w:right="539" w:bottom="1440" w:gutter="0" w:footer="0" w:header="0"/>
          <w:type w:val="continuous"/>
        </w:sect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108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21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34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53" w:lineRule="exact"/>
        <w:rPr>
          <w:sz w:val="24"/>
          <w:szCs w:val="24"/>
          <w:color w:val="auto"/>
        </w:rPr>
      </w:pPr>
    </w:p>
    <w:p>
      <w:pPr>
        <w:ind w:right="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3"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557530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181" w:lineRule="exact"/>
        <w:rPr>
          <w:sz w:val="20"/>
          <w:szCs w:val="20"/>
          <w:color w:val="auto"/>
        </w:rPr>
      </w:pPr>
    </w:p>
    <w:p>
      <w:pPr>
        <w:ind w:firstLine="382"/>
        <w:spacing w:after="0" w:line="242" w:lineRule="auto"/>
        <w:rPr>
          <w:sz w:val="20"/>
          <w:szCs w:val="20"/>
          <w:color w:val="auto"/>
        </w:rPr>
      </w:pPr>
      <w:r>
        <w:rPr>
          <w:rFonts w:ascii="Times New Roman" w:cs="Times New Roman" w:eastAsia="Times New Roman" w:hAnsi="Times New Roman"/>
          <w:sz w:val="14"/>
          <w:szCs w:val="14"/>
          <w:color w:val="auto"/>
        </w:rPr>
        <w:t>On July 2, 2022, certain affiliates of New Fortress Energy Inc. (“NFE”) acting as sellers (collectively, the “Sellers”) and a separate affiliate of NFE acting as contributor (the “Contributor”, together with the Sellers, the “NFE Vessel Group”) entered into an Equity Purchase and Contribution Agreement (the “Purchase Agreement”) with AP Neptune Holdings Ltd. (“Purchaser”), which is affiliated with certain funds or investment vehicles managed by affiliates of Apollo Global Management, Inc. (the “Purchaser Group”), pursuant to which (1) the Contributor and the Purchaser formed a joint venture (the “JV”), (2) the Sellers agreed to sell to the Purchaser eight vessels, (3) the Purchaser will contribute the eight vessels to the JV and (4) the Contributor will contribute three additional vessels to the JV. The eleven vessels to be contributed to the JV, consist of six floating storage and regasification units and five LNG storage and transport units (collectively, the “Vessels”). The transaction is valued at approximately $2 billion, which will be paid $1.87 billion in cash and the remainder in equity of the JV. The cash purchase price for the transaction is subject to customary purchase price adjustments. After giving effect to the repayment of existing debt, net cash proceeds to NFE are expected to be approximately $1.1 billion.</w:t>
      </w:r>
    </w:p>
    <w:p>
      <w:pPr>
        <w:spacing w:after="0" w:line="169" w:lineRule="exact"/>
        <w:rPr>
          <w:sz w:val="20"/>
          <w:szCs w:val="20"/>
          <w:color w:val="auto"/>
        </w:rPr>
      </w:pPr>
    </w:p>
    <w:p>
      <w:pPr>
        <w:ind w:right="280" w:firstLine="382"/>
        <w:spacing w:after="0" w:line="255" w:lineRule="auto"/>
        <w:rPr>
          <w:sz w:val="20"/>
          <w:szCs w:val="20"/>
          <w:color w:val="auto"/>
        </w:rPr>
      </w:pPr>
      <w:r>
        <w:rPr>
          <w:rFonts w:ascii="Times New Roman" w:cs="Times New Roman" w:eastAsia="Times New Roman" w:hAnsi="Times New Roman"/>
          <w:sz w:val="14"/>
          <w:szCs w:val="14"/>
          <w:color w:val="auto"/>
        </w:rPr>
        <w:t>In connection with the transaction, certain affiliates of NFE will enter into long-term time charter agreements for a period up to 20 years in respect of ten of the eleven Vessels, the terms of which will commence upon the expiration of each Vessel's existing charter.</w:t>
      </w:r>
    </w:p>
    <w:p>
      <w:pPr>
        <w:spacing w:after="0" w:line="146" w:lineRule="exact"/>
        <w:rPr>
          <w:sz w:val="20"/>
          <w:szCs w:val="20"/>
          <w:color w:val="auto"/>
        </w:rPr>
      </w:pPr>
    </w:p>
    <w:p>
      <w:pPr>
        <w:ind w:right="60" w:firstLine="382"/>
        <w:spacing w:after="0" w:line="246" w:lineRule="auto"/>
        <w:rPr>
          <w:sz w:val="20"/>
          <w:szCs w:val="20"/>
          <w:color w:val="auto"/>
        </w:rPr>
      </w:pPr>
      <w:r>
        <w:rPr>
          <w:rFonts w:ascii="Times New Roman" w:cs="Times New Roman" w:eastAsia="Times New Roman" w:hAnsi="Times New Roman"/>
          <w:sz w:val="14"/>
          <w:szCs w:val="14"/>
          <w:color w:val="auto"/>
        </w:rPr>
        <w:t>The Purchase Agreement contains customary representations, warranties and covenants by each of the NFE Vessel Group, the Contributor and the Purchaser Group. Closing of the transactions contemplated by the Purchase Agreement is subject to customary conditions, including the absence of a material adverse effect, but is not subject to any regulatory or financing condition or contingency. Closing is expected to occur in the third quarter of 2022.</w:t>
      </w:r>
    </w:p>
    <w:p>
      <w:pPr>
        <w:spacing w:after="0" w:line="152" w:lineRule="exact"/>
        <w:rPr>
          <w:sz w:val="20"/>
          <w:szCs w:val="20"/>
          <w:color w:val="auto"/>
        </w:rPr>
      </w:pPr>
    </w:p>
    <w:p>
      <w:pPr>
        <w:ind w:right="140" w:firstLine="382"/>
        <w:spacing w:after="0" w:line="246" w:lineRule="auto"/>
        <w:rPr>
          <w:sz w:val="20"/>
          <w:szCs w:val="20"/>
          <w:color w:val="auto"/>
        </w:rPr>
      </w:pPr>
      <w:r>
        <w:rPr>
          <w:rFonts w:ascii="Times New Roman" w:cs="Times New Roman" w:eastAsia="Times New Roman" w:hAnsi="Times New Roman"/>
          <w:sz w:val="14"/>
          <w:szCs w:val="14"/>
          <w:color w:val="auto"/>
        </w:rPr>
        <w:t>The Purchase Agreement contains termination rights for each of the NFE Vessel Group and the Purchaser Group, including for the material uncured breach of either the NFE Vessel Group or the Purchaser Group and for the failure to consummate the transactions by December 30, 2022. Upon termination of the Purchase Agreement under specified circumstances, the Purchaser Group would owe to the NFE Vessel Group a termination fee of approximately $80 million.</w:t>
      </w:r>
    </w:p>
    <w:p>
      <w:pPr>
        <w:spacing w:after="0" w:line="152" w:lineRule="exact"/>
        <w:rPr>
          <w:sz w:val="20"/>
          <w:szCs w:val="20"/>
          <w:color w:val="auto"/>
        </w:rPr>
      </w:pPr>
    </w:p>
    <w:p>
      <w:pPr>
        <w:ind w:right="20" w:firstLine="382"/>
        <w:spacing w:after="0" w:line="232" w:lineRule="auto"/>
        <w:rPr>
          <w:sz w:val="20"/>
          <w:szCs w:val="20"/>
          <w:color w:val="auto"/>
        </w:rPr>
      </w:pPr>
      <w:r>
        <w:rPr>
          <w:rFonts w:ascii="Times New Roman" w:cs="Times New Roman" w:eastAsia="Times New Roman" w:hAnsi="Times New Roman"/>
          <w:sz w:val="14"/>
          <w:szCs w:val="14"/>
          <w:color w:val="auto"/>
        </w:rPr>
        <w:t>The foregoing summary has been included to provide investors and security holders with information regarding the terms of the Purchase Agreement and is qualified in its entirety by the terms and conditions of the Purchase Agreement. It is not intended to provide any other factual information about the parties or their respective subsidiaries and affiliates. The Purchase Agreement contains representations and warranties by each of the parties thereto, which were made only for purposes of the Purchase Agreement and as of specified dates. The representations, warranties and covenants in the Purchase Agreement were made solely for the benefit of the parties thereto;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should not and are not entitled to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warranties and covenants may change after the date of the Purchase Agreement, which subsequent information may or may not be fully reflected in NFE’s public disclosures.</w:t>
      </w:r>
    </w:p>
    <w:p>
      <w:pPr>
        <w:spacing w:after="0" w:line="1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July 5, 2022, NFE issued a press release announcing the execution of the Purchase Agreement, a copy of which is filed as Exhibit 99.1 hereto and is incorporated herein by reference.</w:t>
      </w:r>
    </w:p>
    <w:p>
      <w:pPr>
        <w:spacing w:after="0" w:line="189" w:lineRule="exact"/>
        <w:rPr>
          <w:sz w:val="20"/>
          <w:szCs w:val="20"/>
          <w:color w:val="auto"/>
        </w:rPr>
      </w:pPr>
    </w:p>
    <w:p>
      <w:pPr>
        <w:ind w:right="80" w:firstLine="382"/>
        <w:spacing w:after="0" w:line="239" w:lineRule="auto"/>
        <w:rPr>
          <w:sz w:val="20"/>
          <w:szCs w:val="20"/>
          <w:color w:val="auto"/>
        </w:rPr>
      </w:pPr>
      <w:r>
        <w:rPr>
          <w:rFonts w:ascii="Times New Roman" w:cs="Times New Roman" w:eastAsia="Times New Roman" w:hAnsi="Times New Roman"/>
          <w:sz w:val="14"/>
          <w:szCs w:val="14"/>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(the “Securities Act”), or the Exchange Act, except as shall be expressly set forth by specific reference in such filing.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91" w:lineRule="exact"/>
        <w:rPr>
          <w:sz w:val="20"/>
          <w:szCs w:val="20"/>
          <w:color w:val="auto"/>
        </w:rPr>
      </w:pPr>
    </w:p>
    <w:p>
      <w:pPr>
        <w:ind w:firstLine="382"/>
        <w:spacing w:after="0" w:line="235" w:lineRule="auto"/>
        <w:rPr>
          <w:sz w:val="20"/>
          <w:szCs w:val="20"/>
          <w:color w:val="auto"/>
        </w:rPr>
      </w:pPr>
      <w:r>
        <w:rPr>
          <w:rFonts w:ascii="Times New Roman" w:cs="Times New Roman" w:eastAsia="Times New Roman" w:hAnsi="Times New Roman"/>
          <w:sz w:val="14"/>
          <w:szCs w:val="14"/>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Forward looking statements include: the successful consummation of the transaction, including closing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ind w:right="20"/>
        <w:spacing w:after="0" w:line="235" w:lineRule="auto"/>
        <w:rPr>
          <w:sz w:val="20"/>
          <w:szCs w:val="20"/>
          <w:color w:val="auto"/>
        </w:rPr>
      </w:pPr>
      <w:r>
        <w:rPr>
          <w:rFonts w:ascii="Times New Roman" w:cs="Times New Roman" w:eastAsia="Times New Roman" w:hAnsi="Times New Roman"/>
          <w:sz w:val="14"/>
          <w:szCs w:val="14"/>
          <w:color w:val="auto"/>
        </w:rPr>
        <w:t>completion of the sale and purchase of the vessels and related creation and implementation of the joint venture; the total implied value of the transaction and the anticipated purchase price; projected proceeds and the ability of NFE to redeploy the proceeds from the transaction; the chartering of certain vessels to NFE; compliance by the parties of the covenants and obligations under the Purchase Agreement; satisfaction of the closing conditions in the Purchase Agreement in accordance with the terms thereof and within the required dates; and the expected structure and date of closing of the transaction. It is uncertain whether any of the events anticipated by the forward-looking statements will transpire or occur, or if any of them do, what impact they will have on the results of operations and financial condition of the parties to the Purchase Agreement or the stock prices of such parties.</w:t>
      </w:r>
    </w:p>
    <w:p>
      <w:pPr>
        <w:spacing w:after="0" w:line="156" w:lineRule="exact"/>
        <w:rPr>
          <w:sz w:val="20"/>
          <w:szCs w:val="20"/>
          <w:color w:val="auto"/>
        </w:rPr>
      </w:pPr>
    </w:p>
    <w:p>
      <w:pPr>
        <w:ind w:firstLine="382"/>
        <w:spacing w:after="0" w:line="229" w:lineRule="auto"/>
        <w:rPr>
          <w:sz w:val="20"/>
          <w:szCs w:val="20"/>
          <w:color w:val="auto"/>
        </w:rPr>
      </w:pPr>
      <w:r>
        <w:rPr>
          <w:rFonts w:ascii="Times New Roman" w:cs="Times New Roman" w:eastAsia="Times New Roman" w:hAnsi="Times New Roman"/>
          <w:sz w:val="14"/>
          <w:szCs w:val="14"/>
          <w:color w:val="auto"/>
        </w:rPr>
        <w:t>These forward-looking statements represent NFE’s expectations or beliefs concerning future events, and it is possible that the results described in this press release will not be achieved. These forward-looking statements are necessarily estimates based upon current information and are subject to risks, uncertainties and other factors, many of which are outside of NFE’s control, that could cause actual results to differ materially from the results discussed in the forward-looking statements. Factors that could cause or contribute to such differences include, but are not limited to: the risk that the proposed transactions may not be completed in a timely manner or at all; common risks related to the sale and purchase of businesses or assets, including among others the risk of valuation and successful implementation, and the risk that we may not be able to realize the benefits of any such transactions; the ability of the joint venture to implement its business platform and to realize anticipated efficiencies and benefits; common risks related to joint ventures, including the timing and amount of commitments or obligations to fund operating and/or capital expenditures, nonperformance by joint venture, limited or no control over the management, business or operations of the joint venture, and subordination of claims of creditors in the event of a liquidation or reorganization; possibility that any or all of the various conditions to the consummation of the transaction may not be satisfied or waived (or any conditions, limitations or restrictions placed on such approvals); the receipt, on a timely basis or otherwise, of the required approvals and consents for the transaction; breach or failure by the parties to comply with the covenants and obligations under the Purchase Agreement; nonpayment or nonperformance by any of NFE’s or the joint venture’s customers or suppliers; including among others nonpayment or nonperformance by any of parties to the charters; the effect of the announcement or pendency of the transactions on our operations, including the ability of NFE to retain and hire key personnel and maintain relationships with customers, suppliers and others with whom NFE does business; the ability of the parties to implement their respective plans, forecasts and other expectations with respect to NFE’s and the joint venture’s businesses after the completion of the proposed transactions; adverse regional, national, or international economic conditions, adverse capital market conditions and adverse political developments; volatility in the price or demand of LNG products; business disruption following the transaction;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spacing w:after="0" w:line="158" w:lineRule="exact"/>
        <w:rPr>
          <w:sz w:val="20"/>
          <w:szCs w:val="20"/>
          <w:color w:val="auto"/>
        </w:rPr>
      </w:pPr>
    </w:p>
    <w:p>
      <w:pPr>
        <w:ind w:right="60" w:firstLine="382"/>
        <w:spacing w:after="0" w:line="235"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it is made, and, except as required by law, NFE does not undertake any obligation to update or revise any forward-looking statement, whether as a result of new information, future events or otherwise. New factors emerge from time to time, and it is not possible for NFE to predict all such factors. When considering these forward-looking statements, you should keep in mind the risk factors and other cautionary statements in our annual report, quarterly and other reports filed with the SEC, which could cause its actual results to differ materially from those contained in any forward-looking statement. We undertake no duty to update these forward-looking statements, even though our situation may change in the future.</w:t>
      </w:r>
    </w:p>
    <w:p>
      <w:pPr>
        <w:spacing w:after="0" w:line="16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ectPr>
          <w:pgSz w:w="11900" w:h="16838" w:orient="portrait"/>
          <w:cols w:equalWidth="0" w:num="1">
            <w:col w:w="11260"/>
          </w:cols>
          <w:pgMar w:left="300" w:top="751" w:right="339" w:bottom="1440" w:gutter="0" w:footer="0" w:header="0"/>
        </w:sectPr>
      </w:pPr>
    </w:p>
    <w:p>
      <w:pPr>
        <w:spacing w:after="0" w:line="242"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8"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54546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465"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478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22860</wp:posOffset>
            </wp:positionV>
            <wp:extent cx="655510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5105" cy="1333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060" w:space="720"/>
            <w:col w:w="5480"/>
          </w:cols>
          <w:pgMar w:left="300" w:top="751" w:right="339" w:bottom="1440" w:gutter="0" w:footer="0" w:header="0"/>
          <w:type w:val="continuous"/>
        </w:sect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Press Release, dated July 5, 2022, issued by New Fortress Energy Inc.</w:t>
      </w:r>
    </w:p>
    <w:p>
      <w:pPr>
        <w:spacing w:after="0" w:line="4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8, 2022</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7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2022-07-08T15:43:45Z</dcterms:created>
  <dcterms:modified xsi:type="dcterms:W3CDTF">2022-07-08T15:43:45Z</dcterms:modified>
</cp:coreProperties>
</file>