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September 2,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5"/>
          <w:szCs w:val="15"/>
          <w:b w:val="1"/>
          <w:bCs w:val="1"/>
          <w:color w:val="auto"/>
        </w:rPr>
        <w:t>(Commission</w:t>
      </w:r>
    </w:p>
    <w:p>
      <w:pPr>
        <w:spacing w:after="0" w:line="44"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20" w:space="720"/>
            <w:col w:w="2860" w:space="720"/>
            <w:col w:w="2520"/>
          </w:cols>
          <w:pgMar w:left="320" w:top="576" w:right="339" w:bottom="1440" w:gutter="0" w:footer="0" w:header="0"/>
          <w:type w:val="continuous"/>
        </w:sectPr>
      </w:pPr>
    </w:p>
    <w:p>
      <w:pPr>
        <w:spacing w:after="0" w:line="34"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576"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 268-7400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8"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330"/>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66"/>
        </w:trPr>
        <w:tc>
          <w:tcPr>
            <w:tcW w:w="4540" w:type="dxa"/>
            <w:vAlign w:val="bottom"/>
            <w:gridSpan w:val="3"/>
          </w:tcPr>
          <w:p>
            <w:pPr>
              <w:ind w:left="1120"/>
              <w:spacing w:after="0"/>
              <w:rPr>
                <w:sz w:val="20"/>
                <w:szCs w:val="20"/>
                <w:color w:val="auto"/>
              </w:rPr>
            </w:pPr>
            <w:r>
              <w:rPr>
                <w:rFonts w:ascii="Arial" w:cs="Arial" w:eastAsia="Arial" w:hAnsi="Arial"/>
                <w:sz w:val="18"/>
                <w:szCs w:val="18"/>
                <w:b w:val="1"/>
                <w:bCs w:val="1"/>
                <w:color w:val="auto"/>
              </w:rPr>
              <w:t>Title of each class</w:t>
            </w:r>
          </w:p>
        </w:tc>
        <w:tc>
          <w:tcPr>
            <w:tcW w:w="31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Trading Symbol(s)</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60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5"/>
              </w:rPr>
              <w:t>Class A Common Stock, par value $0.01 per</w:t>
            </w: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650"/>
              <w:spacing w:after="0" w:line="198" w:lineRule="exact"/>
              <w:rPr>
                <w:sz w:val="20"/>
                <w:szCs w:val="20"/>
                <w:color w:val="auto"/>
              </w:rPr>
            </w:pPr>
            <w:r>
              <w:rPr>
                <w:rFonts w:ascii="Arial" w:cs="Arial" w:eastAsia="Arial" w:hAnsi="Arial"/>
                <w:sz w:val="18"/>
                <w:szCs w:val="18"/>
                <w:b w:val="1"/>
                <w:bCs w:val="1"/>
                <w:color w:val="auto"/>
                <w:w w:val="99"/>
              </w:rPr>
              <w:t>NFE</w:t>
            </w:r>
          </w:p>
        </w:tc>
        <w:tc>
          <w:tcPr>
            <w:tcW w:w="18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share</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 2020 (the “Issue Date”), New Fortress Energy Inc. (the “Company”) closed its previously announced private offering of $1,000.0 million aggregate principal amount of 6.750% senior secured notes due 2025 (the “Notes”). The Notes were issued pursuant to an indenture, dated as of September 2, 2020 (the “Indenture”), by and among the Company, the subsidiary guarantors party thereto and U.S. Bank National Association, as trustee and as notes collateral agent.</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Issue Date, the Notes will be guaranteed, jointly and severally, subject to certain exceptions and thresholds, by each domestic subsidiary and foreign subsidiary that is a wholly-owned restricted subsidiary of the Company, other than (i) any Qualified Liquefaction Development Entities (as defined in the Indenture), (ii) any Receivables Subsidiaries (as defined in the Indenture) and (iii) any Immaterial Subsidiaries (as defined in the Indenture) (the “guarantors”). In addition, as of the Issue Date, the Notes will be guaranteed by NFE North Distribution Limited, a non-wholly-owned restricted subsidiary of the Company. The Notes and the guarantees thereof will be senior secured obligations of the Company and the guarantors, secured on a first-priority basis by liens on the Collateral (as defined in the Indenture), subject to permitted liens and certain other exceptions.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Notes will bear interest at a rate of 6.750% per annum, payable semi-annually in arrears on March 15 and September 15 of each year, commencing on March 15, 2021, to persons who are registered holders of the Notes on the immediately preceding March 1 and September 1, respectively.</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limits the ability of the Company and its restricted subsidiaries to, among other things, incur additional indebtedness or issue certain preferred shares, incur liens that secure indebtedness, make restricted payments, create dividend restrictions and other payment restrictions that affect the Company’s restricted subsidiaries, sell or transfer certain assets, engage in certain transactions with affiliates and merge or consolidate or transfer all or substantially all of the Company’s assets, in each case subject to certain exceptions and qualifications set forth in the Indenture.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 Change of Control (as defined in the Indenture), each holder of the Notes will have the right to require the Company to repurchase all or any part of that holder’s Notes at a purchase price of 101% of the principal amount of the Notes repurchased, plus accrued and unpaid interest, if any, to, but excluding, the date of such repurchase.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Notes will mature on September 15, 2025. Prior to September 15, 2022, the Company may redeem some or all of the Notes at a redemption price equal to 100% of the principal amount of the Notes to be redeemed, plus accrued and unpaid interest, if any, to, but excluding, the applicable redemption date, plus a “make-whole” premium, as described in the Indenture. On or after September 15, 2022, the Company may redeem some or all of the Notes at the applicable redemption prices set forth in the Indenture, plus accrued and unpaid interest, if any, to, but excluding, the applicable redemption date. In addition, prior to September 15, 2022, the Company may redeem up to 40% of the aggregate principal amount of the Notes at a redemption price equal to 106.750% of the principal amount thereof, in an aggregate amount equal to or less than the amount of net cash proceeds from certain equity offerings, plus accrued and unpaid interest, if any, to, but excluding, the applicable redemption date.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provides for customary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Indenture, the Notes and the related pledge and security agreement (the “Pledge and Security Agreement”) does not purport to be complete and is subject to, and qualified in its entirety by reference to, the full text of the Indenture and the Pledge and Security Agreement, copies of which are attached hereto as Exhibit 4.1 and Exhibit 4.2 respectively, and incorporated herein by reference.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Notes and the guarantees thereof have not been registered under the Securities Act of 1933, as amended, or any state securities laws, and, unless so registered, may not be offered or sold in the United States absent registration or an applicable exemption from registration requirements.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further described below, on September 2, 2020, subsidiaries of the Company used a portion of the net cash proceeds received from the Company’s offering of the Notes to repay in full the outstanding principal and interest (together with fees, expenses and other amounts owed in connection therewith) under the Credit Agreement (as defined below), including related costs and expenses. The Company expects to use the remaining net proceeds, together with cash on hand, to redeem in full the outstanding senior secured bonds and senior unsecured bonds (the “South Power Bonds”) of NFE South Power Holdings Limited, a subsidiary of the Company, including related premiums, costs and expenses, terminating the documentation governing the South Power Bonds. The Company expects that the redemption of the South Power Bonds will be completed on or about September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 2020, (i) NFE Atlantic Holdings LLC, a subsidiary of the Company (the “Term Loan Borrower”), repaid in full all outstanding principal and interest (together with fees, expenses and other amounts owed in connection therewith) under the credit agreement, dated as of January 10, 2020 (the “Credit Agreement”), by and among New Fortress Intermediate LLC, the Term Loan Borrower, the guarantors from time to time party thereto, the lenders from time to time party thereto and Cortland Capital Market Services LLC, as collateral agent (the “Term Loan Collateral Agent”) and administrative agent, (ii) the Credit Agreement was terminated and (iii) all guarantees and security interests granted to the Term Loan Collateral Agent in connection with the Credit Agreement were released.</w:t>
      </w: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included in Item 1.01 is incorporated by reference into this Item 2.03.</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0100" w:type="dxa"/>
            <w:vAlign w:val="bottom"/>
          </w:tcPr>
          <w:p>
            <w:pPr>
              <w:spacing w:after="0"/>
              <w:rPr>
                <w:sz w:val="20"/>
                <w:szCs w:val="20"/>
                <w:color w:val="auto"/>
              </w:rPr>
            </w:pPr>
          </w:p>
        </w:tc>
      </w:tr>
      <w:tr>
        <w:trPr>
          <w:trHeight w:val="441"/>
        </w:trPr>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10100" w:type="dxa"/>
            <w:vAlign w:val="bottom"/>
          </w:tcPr>
          <w:p>
            <w:pPr>
              <w:spacing w:after="0"/>
              <w:rPr>
                <w:sz w:val="24"/>
                <w:szCs w:val="24"/>
                <w:color w:val="auto"/>
              </w:rPr>
            </w:pPr>
          </w:p>
        </w:tc>
      </w:tr>
      <w:tr>
        <w:trPr>
          <w:trHeight w:val="241"/>
        </w:trPr>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20" w:type="dxa"/>
            <w:vAlign w:val="bottom"/>
            <w:tcBorders>
              <w:top w:val="single" w:sz="8" w:color="auto"/>
            </w:tcBorders>
          </w:tcPr>
          <w:p>
            <w:pPr>
              <w:spacing w:after="0" w:line="201"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4.1</w:t>
              </w:r>
            </w:hyperlink>
          </w:p>
        </w:tc>
        <w:tc>
          <w:tcPr>
            <w:tcW w:w="220" w:type="dxa"/>
            <w:vAlign w:val="bottom"/>
          </w:tcPr>
          <w:p>
            <w:pPr>
              <w:spacing w:after="0"/>
              <w:rPr>
                <w:sz w:val="17"/>
                <w:szCs w:val="17"/>
                <w:color w:val="auto"/>
              </w:rPr>
            </w:pPr>
          </w:p>
        </w:tc>
        <w:tc>
          <w:tcPr>
            <w:tcW w:w="10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Indenture, dated September 2, 2020, by and among New Fortress Energy Inc., the subsidiary guarantors from time to time party thereto, and</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U.S. Bank National Association, as trustee and as notes collateral agent.</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4.2</w:t>
              </w:r>
            </w:hyperlink>
          </w:p>
        </w:tc>
        <w:tc>
          <w:tcPr>
            <w:tcW w:w="2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0"/>
              </w:rPr>
              <w:t>Pledge and Security Agreement, dated September 2, 2020, by and among New Fortress Energy Inc., the subsidiary guarantors from time to</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time party thereto, and U.S. Bank National Association, as notes collateral agent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communication contains forward-looking statements, including but not limited to statements regarding the Company’s anticipated use of the net proceeds from the offering.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NEW FORTRESS ENERGY INC.</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September 2,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72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115"/>
        </w:trPr>
        <w:tc>
          <w:tcPr>
            <w:tcW w:w="372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212090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 September 2, 2020</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GUARANTORS FROM TIME TO TIME PARTIES HERETO,</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Trustee and Notes Collateral Agent</w:t>
      </w:r>
    </w:p>
    <w:p>
      <w:pPr>
        <w:spacing w:after="0" w:line="200" w:lineRule="exact"/>
        <w:rPr>
          <w:sz w:val="20"/>
          <w:szCs w:val="20"/>
          <w:color w:val="auto"/>
        </w:rPr>
      </w:pPr>
    </w:p>
    <w:p>
      <w:pPr>
        <w:spacing w:after="0" w:line="2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6.750% SENIOR SECURED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469265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95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17"/>
                <w:szCs w:val="17"/>
                <w:color w:val="auto"/>
              </w:rPr>
            </w:pPr>
          </w:p>
        </w:tc>
      </w:tr>
      <w:tr>
        <w:trPr>
          <w:trHeight w:val="453"/>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426"/>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jc w:val="center"/>
              <w:ind w:right="4100"/>
              <w:spacing w:after="0"/>
              <w:rPr>
                <w:sz w:val="20"/>
                <w:szCs w:val="20"/>
                <w:color w:val="auto"/>
              </w:rPr>
            </w:pPr>
            <w:r>
              <w:rPr>
                <w:rFonts w:ascii="Arial" w:cs="Arial" w:eastAsia="Arial" w:hAnsi="Arial"/>
                <w:sz w:val="18"/>
                <w:szCs w:val="18"/>
                <w:color w:val="auto"/>
                <w:w w:val="98"/>
              </w:rPr>
              <w:t>Article 1</w:t>
            </w:r>
          </w:p>
        </w:tc>
        <w:tc>
          <w:tcPr>
            <w:tcW w:w="5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9560" w:type="dxa"/>
            <w:vAlign w:val="bottom"/>
            <w:gridSpan w:val="3"/>
          </w:tcPr>
          <w:p>
            <w:pPr>
              <w:jc w:val="center"/>
              <w:ind w:right="540"/>
              <w:spacing w:after="0"/>
              <w:rPr>
                <w:sz w:val="20"/>
                <w:szCs w:val="20"/>
                <w:color w:val="auto"/>
              </w:rPr>
            </w:pPr>
            <w:r>
              <w:rPr>
                <w:rFonts w:ascii="Arial" w:cs="Arial" w:eastAsia="Arial" w:hAnsi="Arial"/>
                <w:sz w:val="18"/>
                <w:szCs w:val="18"/>
                <w:color w:val="auto"/>
                <w:w w:val="96"/>
              </w:rPr>
              <w:t>DEFINITIONS AND INCORPORATION BY REFERENCE</w:t>
            </w:r>
          </w:p>
        </w:tc>
        <w:tc>
          <w:tcPr>
            <w:tcW w:w="56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1.01.</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1.02.</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Other 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1.03.</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No Incorporation by Reference of Trust Indenture Act</w:t>
            </w: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1.04.</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Rules of Construction</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1.05.</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Limited Condition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1.06.</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Certain Compliance Determinations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1.07.</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Acts of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92"/>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jc w:val="center"/>
              <w:ind w:right="4100"/>
              <w:spacing w:after="0"/>
              <w:rPr>
                <w:sz w:val="20"/>
                <w:szCs w:val="20"/>
                <w:color w:val="auto"/>
              </w:rPr>
            </w:pPr>
            <w:r>
              <w:rPr>
                <w:rFonts w:ascii="Arial" w:cs="Arial" w:eastAsia="Arial" w:hAnsi="Arial"/>
                <w:sz w:val="18"/>
                <w:szCs w:val="18"/>
                <w:color w:val="auto"/>
                <w:w w:val="98"/>
              </w:rPr>
              <w:t>Article 2</w:t>
            </w:r>
          </w:p>
        </w:tc>
        <w:tc>
          <w:tcPr>
            <w:tcW w:w="5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jc w:val="center"/>
              <w:ind w:right="4080"/>
              <w:spacing w:after="0"/>
              <w:rPr>
                <w:sz w:val="20"/>
                <w:szCs w:val="20"/>
                <w:color w:val="auto"/>
              </w:rPr>
            </w:pPr>
            <w:r>
              <w:rPr>
                <w:rFonts w:ascii="Arial" w:cs="Arial" w:eastAsia="Arial" w:hAnsi="Arial"/>
                <w:sz w:val="18"/>
                <w:szCs w:val="18"/>
                <w:color w:val="auto"/>
                <w:w w:val="95"/>
              </w:rPr>
              <w:t>THE NOTES</w:t>
            </w:r>
          </w:p>
        </w:tc>
        <w:tc>
          <w:tcPr>
            <w:tcW w:w="560" w:type="dxa"/>
            <w:vAlign w:val="bottom"/>
          </w:tcPr>
          <w:p>
            <w:pPr>
              <w:spacing w:after="0"/>
              <w:rPr>
                <w:sz w:val="24"/>
                <w:szCs w:val="24"/>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Section 2.01.</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Form and Dating; Terms</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2.02.</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Execution and Authentication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2.03.</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Registrar and Paying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2.04.</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Paying Agent to Hold Money in Trust</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2.05.</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Holder Lists</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2.06.</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Transfer and Exchange</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2.07.</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Replacement Notes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2.08.</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Outstanding Notes</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2.09.</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Treasury Notes</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2.10.</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Temporary Notes</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2.11.</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Cancellation</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2.12.</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Defaulted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2.13.</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CUSIP Numbers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91"/>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jc w:val="center"/>
              <w:ind w:right="4100"/>
              <w:spacing w:after="0"/>
              <w:rPr>
                <w:sz w:val="20"/>
                <w:szCs w:val="20"/>
                <w:color w:val="auto"/>
              </w:rPr>
            </w:pPr>
            <w:r>
              <w:rPr>
                <w:rFonts w:ascii="Arial" w:cs="Arial" w:eastAsia="Arial" w:hAnsi="Arial"/>
                <w:sz w:val="18"/>
                <w:szCs w:val="18"/>
                <w:color w:val="auto"/>
                <w:w w:val="98"/>
              </w:rPr>
              <w:t>Article 3</w:t>
            </w:r>
          </w:p>
        </w:tc>
        <w:tc>
          <w:tcPr>
            <w:tcW w:w="5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20" w:type="dxa"/>
            <w:vAlign w:val="bottom"/>
            <w:gridSpan w:val="2"/>
          </w:tcPr>
          <w:p>
            <w:pPr>
              <w:jc w:val="center"/>
              <w:ind w:right="4100"/>
              <w:spacing w:after="0"/>
              <w:rPr>
                <w:sz w:val="20"/>
                <w:szCs w:val="20"/>
                <w:color w:val="auto"/>
              </w:rPr>
            </w:pPr>
            <w:r>
              <w:rPr>
                <w:rFonts w:ascii="Arial" w:cs="Arial" w:eastAsia="Arial" w:hAnsi="Arial"/>
                <w:sz w:val="18"/>
                <w:szCs w:val="18"/>
                <w:color w:val="auto"/>
                <w:w w:val="96"/>
              </w:rPr>
              <w:t>REDEMPTION</w:t>
            </w:r>
          </w:p>
        </w:tc>
        <w:tc>
          <w:tcPr>
            <w:tcW w:w="560" w:type="dxa"/>
            <w:vAlign w:val="bottom"/>
          </w:tcPr>
          <w:p>
            <w:pPr>
              <w:spacing w:after="0"/>
              <w:rPr>
                <w:sz w:val="24"/>
                <w:szCs w:val="24"/>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Section 3.01.</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Notices to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3.02.</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Selection of Notes to Be Redeemed or Purchased</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3.03.</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3.04.</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Effect of Notice of Redemption or Purchase</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3.05.</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Deposit of Redemption or Purchase Price</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3.06.</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Notes Redeemed or Purchased in Part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3.07.</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Optional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3.08.</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Mandatory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3.09.</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rPr>
              <w:t>Offers to Repurchase by Application of Excess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98"/>
              </w:rPr>
              <w:t>Article 4</w:t>
            </w:r>
          </w:p>
        </w:tc>
        <w:tc>
          <w:tcPr>
            <w:tcW w:w="160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96"/>
              </w:rPr>
              <w:t>COVENANTS</w:t>
            </w:r>
          </w:p>
        </w:tc>
        <w:tc>
          <w:tcPr>
            <w:tcW w:w="1600" w:type="dxa"/>
            <w:vAlign w:val="bottom"/>
          </w:tcPr>
          <w:p>
            <w:pPr>
              <w:spacing w:after="0"/>
              <w:rPr>
                <w:sz w:val="24"/>
                <w:szCs w:val="24"/>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Section 4.01.</w:t>
            </w:r>
          </w:p>
        </w:tc>
        <w:tc>
          <w:tcPr>
            <w:tcW w:w="8520" w:type="dxa"/>
            <w:vAlign w:val="bottom"/>
          </w:tcPr>
          <w:p>
            <w:pPr>
              <w:ind w:left="180"/>
              <w:spacing w:after="0"/>
              <w:rPr>
                <w:sz w:val="20"/>
                <w:szCs w:val="20"/>
                <w:color w:val="auto"/>
              </w:rPr>
            </w:pPr>
            <w:r>
              <w:rPr>
                <w:rFonts w:ascii="Arial" w:cs="Arial" w:eastAsia="Arial" w:hAnsi="Arial"/>
                <w:sz w:val="18"/>
                <w:szCs w:val="18"/>
                <w:color w:val="auto"/>
              </w:rPr>
              <w:t>Payment of Notes</w:t>
            </w:r>
          </w:p>
        </w:tc>
        <w:tc>
          <w:tcPr>
            <w:tcW w:w="1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4.02.</w:t>
            </w:r>
          </w:p>
        </w:tc>
        <w:tc>
          <w:tcPr>
            <w:tcW w:w="852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4.03.</w:t>
            </w:r>
          </w:p>
        </w:tc>
        <w:tc>
          <w:tcPr>
            <w:tcW w:w="8520" w:type="dxa"/>
            <w:vAlign w:val="bottom"/>
          </w:tcPr>
          <w:p>
            <w:pPr>
              <w:ind w:left="180"/>
              <w:spacing w:after="0"/>
              <w:rPr>
                <w:sz w:val="20"/>
                <w:szCs w:val="20"/>
                <w:color w:val="auto"/>
              </w:rPr>
            </w:pPr>
            <w:r>
              <w:rPr>
                <w:rFonts w:ascii="Arial" w:cs="Arial" w:eastAsia="Arial" w:hAnsi="Arial"/>
                <w:sz w:val="18"/>
                <w:szCs w:val="18"/>
                <w:color w:val="auto"/>
              </w:rPr>
              <w:t>Reports and Other Information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4.04.</w:t>
            </w:r>
          </w:p>
        </w:tc>
        <w:tc>
          <w:tcPr>
            <w:tcW w:w="8520" w:type="dxa"/>
            <w:vAlign w:val="bottom"/>
          </w:tcPr>
          <w:p>
            <w:pPr>
              <w:ind w:left="180"/>
              <w:spacing w:after="0"/>
              <w:rPr>
                <w:sz w:val="20"/>
                <w:szCs w:val="20"/>
                <w:color w:val="auto"/>
              </w:rPr>
            </w:pPr>
            <w:r>
              <w:rPr>
                <w:rFonts w:ascii="Arial" w:cs="Arial" w:eastAsia="Arial" w:hAnsi="Arial"/>
                <w:sz w:val="18"/>
                <w:szCs w:val="18"/>
                <w:color w:val="auto"/>
              </w:rPr>
              <w:t>Compliance Certificate</w:t>
            </w: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4.05.</w:t>
            </w:r>
          </w:p>
        </w:tc>
        <w:tc>
          <w:tcPr>
            <w:tcW w:w="8520" w:type="dxa"/>
            <w:vAlign w:val="bottom"/>
          </w:tcPr>
          <w:p>
            <w:pPr>
              <w:ind w:left="180"/>
              <w:spacing w:after="0"/>
              <w:rPr>
                <w:sz w:val="20"/>
                <w:szCs w:val="20"/>
                <w:color w:val="auto"/>
              </w:rPr>
            </w:pPr>
            <w:r>
              <w:rPr>
                <w:rFonts w:ascii="Arial" w:cs="Arial" w:eastAsia="Arial" w:hAnsi="Arial"/>
                <w:sz w:val="18"/>
                <w:szCs w:val="18"/>
                <w:color w:val="auto"/>
              </w:rPr>
              <w:t>Taxes</w:t>
            </w:r>
          </w:p>
        </w:tc>
        <w:tc>
          <w:tcPr>
            <w:tcW w:w="1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4.06.</w:t>
            </w:r>
          </w:p>
        </w:tc>
        <w:tc>
          <w:tcPr>
            <w:tcW w:w="8520" w:type="dxa"/>
            <w:vAlign w:val="bottom"/>
          </w:tcPr>
          <w:p>
            <w:pPr>
              <w:ind w:left="180"/>
              <w:spacing w:after="0"/>
              <w:rPr>
                <w:sz w:val="20"/>
                <w:szCs w:val="20"/>
                <w:color w:val="auto"/>
              </w:rPr>
            </w:pPr>
            <w:r>
              <w:rPr>
                <w:rFonts w:ascii="Arial" w:cs="Arial" w:eastAsia="Arial" w:hAnsi="Arial"/>
                <w:sz w:val="18"/>
                <w:szCs w:val="18"/>
                <w:color w:val="auto"/>
              </w:rPr>
              <w:t>Stay, Extension and Usury Laws</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4.07.</w:t>
            </w:r>
          </w:p>
        </w:tc>
        <w:tc>
          <w:tcPr>
            <w:tcW w:w="8520" w:type="dxa"/>
            <w:vAlign w:val="bottom"/>
          </w:tcPr>
          <w:p>
            <w:pPr>
              <w:ind w:left="180"/>
              <w:spacing w:after="0"/>
              <w:rPr>
                <w:sz w:val="20"/>
                <w:szCs w:val="20"/>
                <w:color w:val="auto"/>
              </w:rPr>
            </w:pPr>
            <w:r>
              <w:rPr>
                <w:rFonts w:ascii="Arial" w:cs="Arial" w:eastAsia="Arial" w:hAnsi="Arial"/>
                <w:sz w:val="18"/>
                <w:szCs w:val="18"/>
                <w:color w:val="auto"/>
              </w:rPr>
              <w:t>Limitation on Restricted Payments</w:t>
            </w:r>
          </w:p>
        </w:tc>
        <w:tc>
          <w:tcPr>
            <w:tcW w:w="16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4.08.</w:t>
            </w:r>
          </w:p>
        </w:tc>
        <w:tc>
          <w:tcPr>
            <w:tcW w:w="8520" w:type="dxa"/>
            <w:vAlign w:val="bottom"/>
          </w:tcPr>
          <w:p>
            <w:pPr>
              <w:ind w:left="18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4.09.</w:t>
            </w:r>
          </w:p>
        </w:tc>
        <w:tc>
          <w:tcPr>
            <w:tcW w:w="8520" w:type="dxa"/>
            <w:vAlign w:val="bottom"/>
          </w:tcPr>
          <w:p>
            <w:pPr>
              <w:ind w:left="18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4.10.</w:t>
            </w:r>
          </w:p>
        </w:tc>
        <w:tc>
          <w:tcPr>
            <w:tcW w:w="8520" w:type="dxa"/>
            <w:vAlign w:val="bottom"/>
          </w:tcPr>
          <w:p>
            <w:pPr>
              <w:ind w:left="180"/>
              <w:spacing w:after="0"/>
              <w:rPr>
                <w:sz w:val="20"/>
                <w:szCs w:val="20"/>
                <w:color w:val="auto"/>
              </w:rPr>
            </w:pPr>
            <w:r>
              <w:rPr>
                <w:rFonts w:ascii="Arial" w:cs="Arial" w:eastAsia="Arial" w:hAnsi="Arial"/>
                <w:sz w:val="18"/>
                <w:szCs w:val="18"/>
                <w:color w:val="auto"/>
              </w:rPr>
              <w:t>Asset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4.11.</w:t>
            </w:r>
          </w:p>
        </w:tc>
        <w:tc>
          <w:tcPr>
            <w:tcW w:w="852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1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4.12.</w:t>
            </w:r>
          </w:p>
        </w:tc>
        <w:tc>
          <w:tcPr>
            <w:tcW w:w="8520" w:type="dxa"/>
            <w:vAlign w:val="bottom"/>
          </w:tcPr>
          <w:p>
            <w:pPr>
              <w:ind w:left="180"/>
              <w:spacing w:after="0"/>
              <w:rPr>
                <w:sz w:val="20"/>
                <w:szCs w:val="20"/>
                <w:color w:val="auto"/>
              </w:rPr>
            </w:pPr>
            <w:r>
              <w:rPr>
                <w:rFonts w:ascii="Arial" w:cs="Arial" w:eastAsia="Arial" w:hAnsi="Arial"/>
                <w:sz w:val="18"/>
                <w:szCs w:val="18"/>
                <w:color w:val="auto"/>
              </w:rPr>
              <w:t>Limitation on Liens</w:t>
            </w:r>
          </w:p>
        </w:tc>
        <w:tc>
          <w:tcPr>
            <w:tcW w:w="16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4.13.</w:t>
            </w:r>
          </w:p>
        </w:tc>
        <w:tc>
          <w:tcPr>
            <w:tcW w:w="8520" w:type="dxa"/>
            <w:vAlign w:val="bottom"/>
          </w:tcPr>
          <w:p>
            <w:pPr>
              <w:ind w:left="180"/>
              <w:spacing w:after="0"/>
              <w:rPr>
                <w:sz w:val="20"/>
                <w:szCs w:val="20"/>
                <w:color w:val="auto"/>
              </w:rPr>
            </w:pPr>
            <w:r>
              <w:rPr>
                <w:rFonts w:ascii="Arial" w:cs="Arial" w:eastAsia="Arial" w:hAnsi="Arial"/>
                <w:sz w:val="18"/>
                <w:szCs w:val="18"/>
                <w:color w:val="auto"/>
              </w:rPr>
              <w:t>[RESERVED]</w:t>
            </w:r>
          </w:p>
        </w:tc>
        <w:tc>
          <w:tcPr>
            <w:tcW w:w="16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4.14.</w:t>
            </w:r>
          </w:p>
        </w:tc>
        <w:tc>
          <w:tcPr>
            <w:tcW w:w="8520" w:type="dxa"/>
            <w:vAlign w:val="bottom"/>
          </w:tcPr>
          <w:p>
            <w:pPr>
              <w:ind w:left="180"/>
              <w:spacing w:after="0"/>
              <w:rPr>
                <w:sz w:val="20"/>
                <w:szCs w:val="20"/>
                <w:color w:val="auto"/>
              </w:rPr>
            </w:pPr>
            <w:r>
              <w:rPr>
                <w:rFonts w:ascii="Arial" w:cs="Arial" w:eastAsia="Arial" w:hAnsi="Arial"/>
                <w:sz w:val="18"/>
                <w:szCs w:val="18"/>
                <w:color w:val="auto"/>
              </w:rPr>
              <w:t>Offer to Repurchase Upon Change of Control</w:t>
            </w:r>
          </w:p>
        </w:tc>
        <w:tc>
          <w:tcPr>
            <w:tcW w:w="16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4.15.</w:t>
            </w:r>
          </w:p>
        </w:tc>
        <w:tc>
          <w:tcPr>
            <w:tcW w:w="8520" w:type="dxa"/>
            <w:vAlign w:val="bottom"/>
          </w:tcPr>
          <w:p>
            <w:pPr>
              <w:ind w:left="180"/>
              <w:spacing w:after="0"/>
              <w:rPr>
                <w:sz w:val="20"/>
                <w:szCs w:val="20"/>
                <w:color w:val="auto"/>
              </w:rPr>
            </w:pPr>
            <w:r>
              <w:rPr>
                <w:rFonts w:ascii="Arial" w:cs="Arial" w:eastAsia="Arial" w:hAnsi="Arial"/>
                <w:sz w:val="18"/>
                <w:szCs w:val="18"/>
                <w:color w:val="auto"/>
              </w:rPr>
              <w:t>Additional Note Guarantees</w:t>
            </w:r>
          </w:p>
        </w:tc>
        <w:tc>
          <w:tcPr>
            <w:tcW w:w="16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4.16.</w:t>
            </w:r>
          </w:p>
        </w:tc>
        <w:tc>
          <w:tcPr>
            <w:tcW w:w="8520" w:type="dxa"/>
            <w:vAlign w:val="bottom"/>
          </w:tcPr>
          <w:p>
            <w:pPr>
              <w:ind w:left="180"/>
              <w:spacing w:after="0"/>
              <w:rPr>
                <w:sz w:val="20"/>
                <w:szCs w:val="20"/>
                <w:color w:val="auto"/>
              </w:rPr>
            </w:pPr>
            <w:r>
              <w:rPr>
                <w:rFonts w:ascii="Arial" w:cs="Arial" w:eastAsia="Arial" w:hAnsi="Arial"/>
                <w:sz w:val="18"/>
                <w:szCs w:val="18"/>
                <w:color w:val="auto"/>
              </w:rPr>
              <w:t>Effectiveness of Covenants</w:t>
            </w:r>
          </w:p>
        </w:tc>
        <w:tc>
          <w:tcPr>
            <w:tcW w:w="16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4.17.</w:t>
            </w:r>
          </w:p>
        </w:tc>
        <w:tc>
          <w:tcPr>
            <w:tcW w:w="8520" w:type="dxa"/>
            <w:vAlign w:val="bottom"/>
          </w:tcPr>
          <w:p>
            <w:pPr>
              <w:ind w:left="180"/>
              <w:spacing w:after="0"/>
              <w:rPr>
                <w:sz w:val="20"/>
                <w:szCs w:val="20"/>
                <w:color w:val="auto"/>
              </w:rPr>
            </w:pPr>
            <w:r>
              <w:rPr>
                <w:rFonts w:ascii="Arial" w:cs="Arial" w:eastAsia="Arial" w:hAnsi="Arial"/>
                <w:sz w:val="18"/>
                <w:szCs w:val="18"/>
                <w:color w:val="auto"/>
              </w:rPr>
              <w:t>After-Acquired Collateral; Real Property Mortgage; Ship Mortgage</w:t>
            </w:r>
          </w:p>
        </w:tc>
        <w:tc>
          <w:tcPr>
            <w:tcW w:w="16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92"/>
        </w:trPr>
        <w:tc>
          <w:tcPr>
            <w:tcW w:w="1120" w:type="dxa"/>
            <w:vAlign w:val="bottom"/>
          </w:tcPr>
          <w:p>
            <w:pPr>
              <w:spacing w:after="0"/>
              <w:rPr>
                <w:sz w:val="24"/>
                <w:szCs w:val="24"/>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98"/>
              </w:rPr>
              <w:t>Article 5</w:t>
            </w:r>
          </w:p>
        </w:tc>
        <w:tc>
          <w:tcPr>
            <w:tcW w:w="16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88"/>
              </w:rPr>
              <w:t>SUCCESSORS</w:t>
            </w:r>
          </w:p>
        </w:tc>
        <w:tc>
          <w:tcPr>
            <w:tcW w:w="1600" w:type="dxa"/>
            <w:vAlign w:val="bottom"/>
          </w:tcPr>
          <w:p>
            <w:pPr>
              <w:spacing w:after="0"/>
              <w:rPr>
                <w:sz w:val="24"/>
                <w:szCs w:val="24"/>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Section 5.01.</w:t>
            </w:r>
          </w:p>
        </w:tc>
        <w:tc>
          <w:tcPr>
            <w:tcW w:w="8520" w:type="dxa"/>
            <w:vAlign w:val="bottom"/>
          </w:tcPr>
          <w:p>
            <w:pPr>
              <w:ind w:left="180"/>
              <w:spacing w:after="0"/>
              <w:rPr>
                <w:sz w:val="20"/>
                <w:szCs w:val="20"/>
                <w:color w:val="auto"/>
              </w:rPr>
            </w:pPr>
            <w:r>
              <w:rPr>
                <w:rFonts w:ascii="Arial" w:cs="Arial" w:eastAsia="Arial" w:hAnsi="Arial"/>
                <w:sz w:val="18"/>
                <w:szCs w:val="18"/>
                <w:color w:val="auto"/>
              </w:rPr>
              <w:t>Merger, Consolidation, Amalgamation or Sale of All or Substantially All Assets</w:t>
            </w: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92"/>
        </w:trPr>
        <w:tc>
          <w:tcPr>
            <w:tcW w:w="1120" w:type="dxa"/>
            <w:vAlign w:val="bottom"/>
          </w:tcPr>
          <w:p>
            <w:pPr>
              <w:spacing w:after="0"/>
              <w:rPr>
                <w:sz w:val="24"/>
                <w:szCs w:val="24"/>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98"/>
              </w:rPr>
              <w:t>Article 6</w:t>
            </w:r>
          </w:p>
        </w:tc>
        <w:tc>
          <w:tcPr>
            <w:tcW w:w="160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8520" w:type="dxa"/>
            <w:vAlign w:val="bottom"/>
          </w:tcPr>
          <w:p>
            <w:pPr>
              <w:jc w:val="center"/>
              <w:ind w:left="390"/>
              <w:spacing w:after="0"/>
              <w:rPr>
                <w:sz w:val="20"/>
                <w:szCs w:val="20"/>
                <w:color w:val="auto"/>
              </w:rPr>
            </w:pPr>
            <w:r>
              <w:rPr>
                <w:rFonts w:ascii="Arial" w:cs="Arial" w:eastAsia="Arial" w:hAnsi="Arial"/>
                <w:sz w:val="18"/>
                <w:szCs w:val="18"/>
                <w:color w:val="auto"/>
                <w:w w:val="96"/>
              </w:rPr>
              <w:t>DEFAULTS AND REMEDIES</w:t>
            </w:r>
          </w:p>
        </w:tc>
        <w:tc>
          <w:tcPr>
            <w:tcW w:w="1600" w:type="dxa"/>
            <w:vAlign w:val="bottom"/>
          </w:tcPr>
          <w:p>
            <w:pPr>
              <w:spacing w:after="0"/>
              <w:rPr>
                <w:sz w:val="24"/>
                <w:szCs w:val="24"/>
                <w:color w:val="auto"/>
              </w:rPr>
            </w:pPr>
          </w:p>
        </w:tc>
      </w:tr>
      <w:tr>
        <w:trPr>
          <w:trHeight w:val="377"/>
        </w:trPr>
        <w:tc>
          <w:tcPr>
            <w:tcW w:w="1120" w:type="dxa"/>
            <w:vAlign w:val="bottom"/>
          </w:tcPr>
          <w:p>
            <w:pPr>
              <w:spacing w:after="0"/>
              <w:rPr>
                <w:sz w:val="20"/>
                <w:szCs w:val="20"/>
                <w:color w:val="auto"/>
              </w:rPr>
            </w:pPr>
            <w:r>
              <w:rPr>
                <w:rFonts w:ascii="Arial" w:cs="Arial" w:eastAsia="Arial" w:hAnsi="Arial"/>
                <w:sz w:val="18"/>
                <w:szCs w:val="18"/>
                <w:color w:val="auto"/>
              </w:rPr>
              <w:t>Section 6.01.</w:t>
            </w:r>
          </w:p>
        </w:tc>
        <w:tc>
          <w:tcPr>
            <w:tcW w:w="852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6.02.</w:t>
            </w:r>
          </w:p>
        </w:tc>
        <w:tc>
          <w:tcPr>
            <w:tcW w:w="8520" w:type="dxa"/>
            <w:vAlign w:val="bottom"/>
          </w:tcPr>
          <w:p>
            <w:pPr>
              <w:ind w:left="180"/>
              <w:spacing w:after="0"/>
              <w:rPr>
                <w:sz w:val="20"/>
                <w:szCs w:val="20"/>
                <w:color w:val="auto"/>
              </w:rPr>
            </w:pPr>
            <w:r>
              <w:rPr>
                <w:rFonts w:ascii="Arial" w:cs="Arial" w:eastAsia="Arial" w:hAnsi="Arial"/>
                <w:sz w:val="18"/>
                <w:szCs w:val="18"/>
                <w:color w:val="auto"/>
              </w:rPr>
              <w:t>Acceleration; Noteholder Direction</w:t>
            </w:r>
          </w:p>
        </w:tc>
        <w:tc>
          <w:tcPr>
            <w:tcW w:w="16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6.03.</w:t>
            </w:r>
          </w:p>
        </w:tc>
        <w:tc>
          <w:tcPr>
            <w:tcW w:w="8520" w:type="dxa"/>
            <w:vAlign w:val="bottom"/>
          </w:tcPr>
          <w:p>
            <w:pPr>
              <w:ind w:left="180"/>
              <w:spacing w:after="0"/>
              <w:rPr>
                <w:sz w:val="20"/>
                <w:szCs w:val="20"/>
                <w:color w:val="auto"/>
              </w:rPr>
            </w:pPr>
            <w:r>
              <w:rPr>
                <w:rFonts w:ascii="Arial" w:cs="Arial" w:eastAsia="Arial" w:hAnsi="Arial"/>
                <w:sz w:val="18"/>
                <w:szCs w:val="18"/>
                <w:color w:val="auto"/>
              </w:rPr>
              <w:t>Other Remedies</w:t>
            </w:r>
          </w:p>
        </w:tc>
        <w:tc>
          <w:tcPr>
            <w:tcW w:w="1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6.04.</w:t>
            </w:r>
          </w:p>
        </w:tc>
        <w:tc>
          <w:tcPr>
            <w:tcW w:w="852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1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6.05.</w:t>
            </w:r>
          </w:p>
        </w:tc>
        <w:tc>
          <w:tcPr>
            <w:tcW w:w="8520" w:type="dxa"/>
            <w:vAlign w:val="bottom"/>
          </w:tcPr>
          <w:p>
            <w:pPr>
              <w:ind w:left="180"/>
              <w:spacing w:after="0"/>
              <w:rPr>
                <w:sz w:val="20"/>
                <w:szCs w:val="20"/>
                <w:color w:val="auto"/>
              </w:rPr>
            </w:pPr>
            <w:r>
              <w:rPr>
                <w:rFonts w:ascii="Arial" w:cs="Arial" w:eastAsia="Arial" w:hAnsi="Arial"/>
                <w:sz w:val="18"/>
                <w:szCs w:val="18"/>
                <w:color w:val="auto"/>
              </w:rPr>
              <w:t>Control by Majority</w:t>
            </w:r>
          </w:p>
        </w:tc>
        <w:tc>
          <w:tcPr>
            <w:tcW w:w="1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6.06.</w:t>
            </w:r>
          </w:p>
        </w:tc>
        <w:tc>
          <w:tcPr>
            <w:tcW w:w="852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6.07.</w:t>
            </w:r>
          </w:p>
        </w:tc>
        <w:tc>
          <w:tcPr>
            <w:tcW w:w="8520" w:type="dxa"/>
            <w:vAlign w:val="bottom"/>
          </w:tcPr>
          <w:p>
            <w:pPr>
              <w:ind w:left="180"/>
              <w:spacing w:after="0"/>
              <w:rPr>
                <w:sz w:val="20"/>
                <w:szCs w:val="20"/>
                <w:color w:val="auto"/>
              </w:rPr>
            </w:pPr>
            <w:r>
              <w:rPr>
                <w:rFonts w:ascii="Arial" w:cs="Arial" w:eastAsia="Arial" w:hAnsi="Arial"/>
                <w:sz w:val="18"/>
                <w:szCs w:val="18"/>
                <w:color w:val="auto"/>
              </w:rPr>
              <w:t>Rights of Holders to Receive Payment</w:t>
            </w:r>
          </w:p>
        </w:tc>
        <w:tc>
          <w:tcPr>
            <w:tcW w:w="1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6.08.</w:t>
            </w:r>
          </w:p>
        </w:tc>
        <w:tc>
          <w:tcPr>
            <w:tcW w:w="8520" w:type="dxa"/>
            <w:vAlign w:val="bottom"/>
          </w:tcPr>
          <w:p>
            <w:pPr>
              <w:ind w:left="180"/>
              <w:spacing w:after="0"/>
              <w:rPr>
                <w:sz w:val="20"/>
                <w:szCs w:val="20"/>
                <w:color w:val="auto"/>
              </w:rPr>
            </w:pPr>
            <w:r>
              <w:rPr>
                <w:rFonts w:ascii="Arial" w:cs="Arial" w:eastAsia="Arial" w:hAnsi="Arial"/>
                <w:sz w:val="18"/>
                <w:szCs w:val="18"/>
                <w:color w:val="auto"/>
              </w:rPr>
              <w:t>Collection Suit by Trustee</w:t>
            </w:r>
          </w:p>
        </w:tc>
        <w:tc>
          <w:tcPr>
            <w:tcW w:w="1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6.09.</w:t>
            </w:r>
          </w:p>
        </w:tc>
        <w:tc>
          <w:tcPr>
            <w:tcW w:w="852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1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6.10.</w:t>
            </w:r>
          </w:p>
        </w:tc>
        <w:tc>
          <w:tcPr>
            <w:tcW w:w="852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1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6.11.</w:t>
            </w:r>
          </w:p>
        </w:tc>
        <w:tc>
          <w:tcPr>
            <w:tcW w:w="852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16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6.12.</w:t>
            </w:r>
          </w:p>
        </w:tc>
        <w:tc>
          <w:tcPr>
            <w:tcW w:w="852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160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6.13.</w:t>
            </w:r>
          </w:p>
        </w:tc>
        <w:tc>
          <w:tcPr>
            <w:tcW w:w="876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6.14.</w:t>
            </w:r>
          </w:p>
        </w:tc>
        <w:tc>
          <w:tcPr>
            <w:tcW w:w="876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91"/>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8"/>
              </w:rPr>
              <w:t>Article 7</w:t>
            </w:r>
          </w:p>
        </w:tc>
        <w:tc>
          <w:tcPr>
            <w:tcW w:w="13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5"/>
              </w:rPr>
              <w:t>TRUSTEE</w:t>
            </w:r>
          </w:p>
        </w:tc>
        <w:tc>
          <w:tcPr>
            <w:tcW w:w="1300" w:type="dxa"/>
            <w:vAlign w:val="bottom"/>
          </w:tcPr>
          <w:p>
            <w:pPr>
              <w:spacing w:after="0"/>
              <w:rPr>
                <w:sz w:val="24"/>
                <w:szCs w:val="24"/>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Section 7.01.</w:t>
            </w:r>
          </w:p>
        </w:tc>
        <w:tc>
          <w:tcPr>
            <w:tcW w:w="876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7.02.</w:t>
            </w:r>
          </w:p>
        </w:tc>
        <w:tc>
          <w:tcPr>
            <w:tcW w:w="876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7.03.</w:t>
            </w:r>
          </w:p>
        </w:tc>
        <w:tc>
          <w:tcPr>
            <w:tcW w:w="8760" w:type="dxa"/>
            <w:vAlign w:val="bottom"/>
          </w:tcPr>
          <w:p>
            <w:pPr>
              <w:ind w:left="120"/>
              <w:spacing w:after="0"/>
              <w:rPr>
                <w:sz w:val="20"/>
                <w:szCs w:val="20"/>
                <w:color w:val="auto"/>
              </w:rPr>
            </w:pPr>
            <w:r>
              <w:rPr>
                <w:rFonts w:ascii="Arial" w:cs="Arial" w:eastAsia="Arial" w:hAnsi="Arial"/>
                <w:sz w:val="18"/>
                <w:szCs w:val="18"/>
                <w:color w:val="auto"/>
              </w:rPr>
              <w:t>Individual Rights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7.04.</w:t>
            </w:r>
          </w:p>
        </w:tc>
        <w:tc>
          <w:tcPr>
            <w:tcW w:w="876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7.05.</w:t>
            </w:r>
          </w:p>
        </w:tc>
        <w:tc>
          <w:tcPr>
            <w:tcW w:w="876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7.06.</w:t>
            </w:r>
          </w:p>
        </w:tc>
        <w:tc>
          <w:tcPr>
            <w:tcW w:w="876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13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7.07.</w:t>
            </w:r>
          </w:p>
        </w:tc>
        <w:tc>
          <w:tcPr>
            <w:tcW w:w="876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7.08.</w:t>
            </w:r>
          </w:p>
        </w:tc>
        <w:tc>
          <w:tcPr>
            <w:tcW w:w="8760" w:type="dxa"/>
            <w:vAlign w:val="bottom"/>
          </w:tcPr>
          <w:p>
            <w:pPr>
              <w:ind w:left="120"/>
              <w:spacing w:after="0"/>
              <w:rPr>
                <w:sz w:val="20"/>
                <w:szCs w:val="20"/>
                <w:color w:val="auto"/>
              </w:rPr>
            </w:pPr>
            <w:r>
              <w:rPr>
                <w:rFonts w:ascii="Arial" w:cs="Arial" w:eastAsia="Arial" w:hAnsi="Arial"/>
                <w:sz w:val="18"/>
                <w:szCs w:val="18"/>
                <w:color w:val="auto"/>
              </w:rPr>
              <w:t>Successor Trustee by Merger, Etc.</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7.09.</w:t>
            </w:r>
          </w:p>
        </w:tc>
        <w:tc>
          <w:tcPr>
            <w:tcW w:w="876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7.10.</w:t>
            </w:r>
          </w:p>
        </w:tc>
        <w:tc>
          <w:tcPr>
            <w:tcW w:w="8760" w:type="dxa"/>
            <w:vAlign w:val="bottom"/>
          </w:tcPr>
          <w:p>
            <w:pPr>
              <w:ind w:left="120"/>
              <w:spacing w:after="0"/>
              <w:rPr>
                <w:sz w:val="20"/>
                <w:szCs w:val="20"/>
                <w:color w:val="auto"/>
              </w:rPr>
            </w:pPr>
            <w:r>
              <w:rPr>
                <w:rFonts w:ascii="Arial" w:cs="Arial" w:eastAsia="Arial" w:hAnsi="Arial"/>
                <w:sz w:val="18"/>
                <w:szCs w:val="18"/>
                <w:color w:val="auto"/>
              </w:rPr>
              <w:t>Certain Tax Matters</w:t>
            </w: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7.11.</w:t>
            </w:r>
          </w:p>
        </w:tc>
        <w:tc>
          <w:tcPr>
            <w:tcW w:w="8760" w:type="dxa"/>
            <w:vAlign w:val="bottom"/>
          </w:tcPr>
          <w:p>
            <w:pPr>
              <w:ind w:left="120"/>
              <w:spacing w:after="0"/>
              <w:rPr>
                <w:sz w:val="20"/>
                <w:szCs w:val="20"/>
                <w:color w:val="auto"/>
              </w:rPr>
            </w:pPr>
            <w:r>
              <w:rPr>
                <w:rFonts w:ascii="Arial" w:cs="Arial" w:eastAsia="Arial" w:hAnsi="Arial"/>
                <w:sz w:val="18"/>
                <w:szCs w:val="18"/>
                <w:color w:val="auto"/>
              </w:rPr>
              <w:t>Security Documents; Intercreditor Agreements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392"/>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8"/>
              </w:rPr>
              <w:t>Article 8</w:t>
            </w:r>
          </w:p>
        </w:tc>
        <w:tc>
          <w:tcPr>
            <w:tcW w:w="13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7"/>
              </w:rPr>
              <w:t>LEGAL DEFEASANCE AND COVENANT DEFEASANCE</w:t>
            </w:r>
          </w:p>
        </w:tc>
        <w:tc>
          <w:tcPr>
            <w:tcW w:w="1300" w:type="dxa"/>
            <w:vAlign w:val="bottom"/>
          </w:tcPr>
          <w:p>
            <w:pPr>
              <w:spacing w:after="0"/>
              <w:rPr>
                <w:sz w:val="24"/>
                <w:szCs w:val="24"/>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Section 8.01.</w:t>
            </w:r>
          </w:p>
        </w:tc>
        <w:tc>
          <w:tcPr>
            <w:tcW w:w="8760" w:type="dxa"/>
            <w:vAlign w:val="bottom"/>
          </w:tcPr>
          <w:p>
            <w:pPr>
              <w:ind w:left="120"/>
              <w:spacing w:after="0"/>
              <w:rPr>
                <w:sz w:val="20"/>
                <w:szCs w:val="20"/>
                <w:color w:val="auto"/>
              </w:rPr>
            </w:pPr>
            <w:r>
              <w:rPr>
                <w:rFonts w:ascii="Arial" w:cs="Arial" w:eastAsia="Arial" w:hAnsi="Arial"/>
                <w:sz w:val="18"/>
                <w:szCs w:val="18"/>
                <w:color w:val="auto"/>
              </w:rPr>
              <w:t>Option to Effect Legal Defeasance or 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8.02.</w:t>
            </w:r>
          </w:p>
        </w:tc>
        <w:tc>
          <w:tcPr>
            <w:tcW w:w="8760" w:type="dxa"/>
            <w:vAlign w:val="bottom"/>
          </w:tcPr>
          <w:p>
            <w:pPr>
              <w:ind w:left="120"/>
              <w:spacing w:after="0"/>
              <w:rPr>
                <w:sz w:val="20"/>
                <w:szCs w:val="20"/>
                <w:color w:val="auto"/>
              </w:rPr>
            </w:pPr>
            <w:r>
              <w:rPr>
                <w:rFonts w:ascii="Arial" w:cs="Arial" w:eastAsia="Arial" w:hAnsi="Arial"/>
                <w:sz w:val="18"/>
                <w:szCs w:val="18"/>
                <w:color w:val="auto"/>
              </w:rPr>
              <w:t>Legal Defeasance and Discharge</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8.03.</w:t>
            </w:r>
          </w:p>
        </w:tc>
        <w:tc>
          <w:tcPr>
            <w:tcW w:w="876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8.04.</w:t>
            </w:r>
          </w:p>
        </w:tc>
        <w:tc>
          <w:tcPr>
            <w:tcW w:w="8760" w:type="dxa"/>
            <w:vAlign w:val="bottom"/>
          </w:tcPr>
          <w:p>
            <w:pPr>
              <w:ind w:left="120"/>
              <w:spacing w:after="0"/>
              <w:rPr>
                <w:sz w:val="20"/>
                <w:szCs w:val="20"/>
                <w:color w:val="auto"/>
              </w:rPr>
            </w:pPr>
            <w:r>
              <w:rPr>
                <w:rFonts w:ascii="Arial" w:cs="Arial" w:eastAsia="Arial" w:hAnsi="Arial"/>
                <w:sz w:val="18"/>
                <w:szCs w:val="18"/>
                <w:color w:val="auto"/>
              </w:rPr>
              <w:t>Conditions to Legal or Covenant Defeasance</w:t>
            </w: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8.05.</w:t>
            </w:r>
          </w:p>
        </w:tc>
        <w:tc>
          <w:tcPr>
            <w:tcW w:w="8760" w:type="dxa"/>
            <w:vAlign w:val="bottom"/>
          </w:tcPr>
          <w:p>
            <w:pPr>
              <w:ind w:left="12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8.06.</w:t>
            </w:r>
          </w:p>
        </w:tc>
        <w:tc>
          <w:tcPr>
            <w:tcW w:w="8760" w:type="dxa"/>
            <w:vAlign w:val="bottom"/>
          </w:tcPr>
          <w:p>
            <w:pPr>
              <w:ind w:left="120"/>
              <w:spacing w:after="0"/>
              <w:rPr>
                <w:sz w:val="20"/>
                <w:szCs w:val="20"/>
                <w:color w:val="auto"/>
              </w:rPr>
            </w:pPr>
            <w:r>
              <w:rPr>
                <w:rFonts w:ascii="Arial" w:cs="Arial" w:eastAsia="Arial" w:hAnsi="Arial"/>
                <w:sz w:val="18"/>
                <w:szCs w:val="18"/>
                <w:color w:val="auto"/>
              </w:rPr>
              <w:t>Repayment to Issuer</w:t>
            </w: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8.07.</w:t>
            </w:r>
          </w:p>
        </w:tc>
        <w:tc>
          <w:tcPr>
            <w:tcW w:w="876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391"/>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8"/>
              </w:rPr>
              <w:t>Article 9</w:t>
            </w:r>
          </w:p>
        </w:tc>
        <w:tc>
          <w:tcPr>
            <w:tcW w:w="13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60" w:type="dxa"/>
            <w:vAlign w:val="bottom"/>
          </w:tcPr>
          <w:p>
            <w:pPr>
              <w:jc w:val="center"/>
              <w:ind w:left="50"/>
              <w:spacing w:after="0"/>
              <w:rPr>
                <w:sz w:val="20"/>
                <w:szCs w:val="20"/>
                <w:color w:val="auto"/>
              </w:rPr>
            </w:pPr>
            <w:r>
              <w:rPr>
                <w:rFonts w:ascii="Arial" w:cs="Arial" w:eastAsia="Arial" w:hAnsi="Arial"/>
                <w:sz w:val="18"/>
                <w:szCs w:val="18"/>
                <w:color w:val="auto"/>
                <w:w w:val="97"/>
              </w:rPr>
              <w:t>AMENDMENT, SUPPLEMENT AND WAIVER</w:t>
            </w:r>
          </w:p>
        </w:tc>
        <w:tc>
          <w:tcPr>
            <w:tcW w:w="1300" w:type="dxa"/>
            <w:vAlign w:val="bottom"/>
          </w:tcPr>
          <w:p>
            <w:pPr>
              <w:spacing w:after="0"/>
              <w:rPr>
                <w:sz w:val="24"/>
                <w:szCs w:val="24"/>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8760" w:type="dxa"/>
            <w:vAlign w:val="bottom"/>
          </w:tcPr>
          <w:p>
            <w:pPr>
              <w:ind w:left="120"/>
              <w:spacing w:after="0"/>
              <w:rPr>
                <w:sz w:val="20"/>
                <w:szCs w:val="20"/>
                <w:color w:val="auto"/>
              </w:rPr>
            </w:pPr>
            <w:r>
              <w:rPr>
                <w:rFonts w:ascii="Arial" w:cs="Arial" w:eastAsia="Arial" w:hAnsi="Arial"/>
                <w:sz w:val="18"/>
                <w:szCs w:val="18"/>
                <w:color w:val="auto"/>
              </w:rPr>
              <w:t>Without Consent of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8760" w:type="dxa"/>
            <w:vAlign w:val="bottom"/>
          </w:tcPr>
          <w:p>
            <w:pPr>
              <w:ind w:left="120"/>
              <w:spacing w:after="0"/>
              <w:rPr>
                <w:sz w:val="20"/>
                <w:szCs w:val="20"/>
                <w:color w:val="auto"/>
              </w:rPr>
            </w:pPr>
            <w:r>
              <w:rPr>
                <w:rFonts w:ascii="Arial" w:cs="Arial" w:eastAsia="Arial" w:hAnsi="Arial"/>
                <w:sz w:val="18"/>
                <w:szCs w:val="18"/>
                <w:color w:val="auto"/>
              </w:rPr>
              <w:t>With Consent of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87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8760" w:type="dxa"/>
            <w:vAlign w:val="bottom"/>
          </w:tcPr>
          <w:p>
            <w:pPr>
              <w:ind w:left="120"/>
              <w:spacing w:after="0"/>
              <w:rPr>
                <w:sz w:val="20"/>
                <w:szCs w:val="20"/>
                <w:color w:val="auto"/>
              </w:rPr>
            </w:pPr>
            <w:r>
              <w:rPr>
                <w:rFonts w:ascii="Arial" w:cs="Arial" w:eastAsia="Arial" w:hAnsi="Arial"/>
                <w:sz w:val="18"/>
                <w:szCs w:val="18"/>
                <w:color w:val="auto"/>
              </w:rPr>
              <w:t>Revocation and Effect of Consents</w:t>
            </w: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8760" w:type="dxa"/>
            <w:vAlign w:val="bottom"/>
          </w:tcPr>
          <w:p>
            <w:pPr>
              <w:ind w:left="120"/>
              <w:spacing w:after="0"/>
              <w:rPr>
                <w:sz w:val="20"/>
                <w:szCs w:val="20"/>
                <w:color w:val="auto"/>
              </w:rPr>
            </w:pPr>
            <w:r>
              <w:rPr>
                <w:rFonts w:ascii="Arial" w:cs="Arial" w:eastAsia="Arial" w:hAnsi="Arial"/>
                <w:sz w:val="18"/>
                <w:szCs w:val="18"/>
                <w:color w:val="auto"/>
              </w:rPr>
              <w:t>Notation on or Exchange of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9.06.</w:t>
            </w:r>
          </w:p>
        </w:tc>
        <w:tc>
          <w:tcPr>
            <w:tcW w:w="8760" w:type="dxa"/>
            <w:vAlign w:val="bottom"/>
          </w:tcPr>
          <w:p>
            <w:pPr>
              <w:ind w:left="120"/>
              <w:spacing w:after="0"/>
              <w:rPr>
                <w:sz w:val="20"/>
                <w:szCs w:val="20"/>
                <w:color w:val="auto"/>
              </w:rPr>
            </w:pPr>
            <w:r>
              <w:rPr>
                <w:rFonts w:ascii="Arial" w:cs="Arial" w:eastAsia="Arial" w:hAnsi="Arial"/>
                <w:sz w:val="18"/>
                <w:szCs w:val="18"/>
                <w:color w:val="auto"/>
              </w:rPr>
              <w:t>Trustee to Sign Amendments, Etc.</w:t>
            </w: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392"/>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5"/>
              </w:rPr>
              <w:t>Article 10</w:t>
            </w:r>
          </w:p>
        </w:tc>
        <w:tc>
          <w:tcPr>
            <w:tcW w:w="130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760" w:type="dxa"/>
            <w:vAlign w:val="bottom"/>
          </w:tcPr>
          <w:p>
            <w:pPr>
              <w:jc w:val="center"/>
              <w:ind w:left="30"/>
              <w:spacing w:after="0"/>
              <w:rPr>
                <w:sz w:val="20"/>
                <w:szCs w:val="20"/>
                <w:color w:val="auto"/>
              </w:rPr>
            </w:pPr>
            <w:r>
              <w:rPr>
                <w:rFonts w:ascii="Arial" w:cs="Arial" w:eastAsia="Arial" w:hAnsi="Arial"/>
                <w:sz w:val="18"/>
                <w:szCs w:val="18"/>
                <w:color w:val="auto"/>
                <w:w w:val="96"/>
              </w:rPr>
              <w:t>GUARANTEES</w:t>
            </w:r>
          </w:p>
        </w:tc>
        <w:tc>
          <w:tcPr>
            <w:tcW w:w="1300" w:type="dxa"/>
            <w:vAlign w:val="bottom"/>
          </w:tcPr>
          <w:p>
            <w:pPr>
              <w:spacing w:after="0"/>
              <w:rPr>
                <w:sz w:val="24"/>
                <w:szCs w:val="24"/>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8760" w:type="dxa"/>
            <w:vAlign w:val="bottom"/>
          </w:tcPr>
          <w:p>
            <w:pPr>
              <w:ind w:left="120"/>
              <w:spacing w:after="0"/>
              <w:rPr>
                <w:sz w:val="20"/>
                <w:szCs w:val="20"/>
                <w:color w:val="auto"/>
              </w:rPr>
            </w:pPr>
            <w:r>
              <w:rPr>
                <w:rFonts w:ascii="Arial" w:cs="Arial" w:eastAsia="Arial" w:hAnsi="Arial"/>
                <w:sz w:val="18"/>
                <w:szCs w:val="18"/>
                <w:color w:val="auto"/>
              </w:rPr>
              <w:t>Guarantee</w:t>
            </w:r>
          </w:p>
        </w:tc>
        <w:tc>
          <w:tcPr>
            <w:tcW w:w="130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10.02.   Limitation on Guarantor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10.03.   Execution and Delivery</w:t>
            </w:r>
          </w:p>
        </w:tc>
        <w:tc>
          <w:tcPr>
            <w:tcW w:w="20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8020" w:type="dxa"/>
            <w:vAlign w:val="bottom"/>
          </w:tcPr>
          <w:p>
            <w:pPr>
              <w:ind w:left="120"/>
              <w:spacing w:after="0"/>
              <w:rPr>
                <w:sz w:val="20"/>
                <w:szCs w:val="20"/>
                <w:color w:val="auto"/>
              </w:rPr>
            </w:pPr>
            <w:r>
              <w:rPr>
                <w:rFonts w:ascii="Arial" w:cs="Arial" w:eastAsia="Arial" w:hAnsi="Arial"/>
                <w:sz w:val="18"/>
                <w:szCs w:val="18"/>
                <w:color w:val="auto"/>
              </w:rPr>
              <w:t>Subrogation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8020" w:type="dxa"/>
            <w:vAlign w:val="bottom"/>
          </w:tcPr>
          <w:p>
            <w:pPr>
              <w:ind w:left="120"/>
              <w:spacing w:after="0"/>
              <w:rPr>
                <w:sz w:val="20"/>
                <w:szCs w:val="20"/>
                <w:color w:val="auto"/>
              </w:rPr>
            </w:pPr>
            <w:r>
              <w:rPr>
                <w:rFonts w:ascii="Arial" w:cs="Arial" w:eastAsia="Arial" w:hAnsi="Arial"/>
                <w:sz w:val="18"/>
                <w:szCs w:val="18"/>
                <w:color w:val="auto"/>
              </w:rPr>
              <w:t>Benefits Acknowledged</w:t>
            </w:r>
          </w:p>
        </w:tc>
        <w:tc>
          <w:tcPr>
            <w:tcW w:w="20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10.06.   Release of Note Guarantees</w:t>
            </w:r>
          </w:p>
        </w:tc>
        <w:tc>
          <w:tcPr>
            <w:tcW w:w="20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392"/>
        </w:trPr>
        <w:tc>
          <w:tcPr>
            <w:tcW w:w="118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5"/>
              </w:rPr>
              <w:t>Article 11</w:t>
            </w:r>
          </w:p>
        </w:tc>
        <w:tc>
          <w:tcPr>
            <w:tcW w:w="20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6"/>
              </w:rPr>
              <w:t>SATISFACTION AND DISCHARGE</w:t>
            </w:r>
          </w:p>
        </w:tc>
        <w:tc>
          <w:tcPr>
            <w:tcW w:w="2040" w:type="dxa"/>
            <w:vAlign w:val="bottom"/>
          </w:tcPr>
          <w:p>
            <w:pPr>
              <w:spacing w:after="0"/>
              <w:rPr>
                <w:sz w:val="24"/>
                <w:szCs w:val="24"/>
                <w:color w:val="auto"/>
              </w:rPr>
            </w:pPr>
          </w:p>
        </w:tc>
      </w:tr>
      <w:tr>
        <w:trPr>
          <w:trHeight w:val="377"/>
        </w:trPr>
        <w:tc>
          <w:tcPr>
            <w:tcW w:w="9200" w:type="dxa"/>
            <w:vAlign w:val="bottom"/>
            <w:gridSpan w:val="2"/>
          </w:tcPr>
          <w:p>
            <w:pPr>
              <w:spacing w:after="0"/>
              <w:rPr>
                <w:sz w:val="20"/>
                <w:szCs w:val="20"/>
                <w:color w:val="auto"/>
              </w:rPr>
            </w:pPr>
            <w:r>
              <w:rPr>
                <w:rFonts w:ascii="Arial" w:cs="Arial" w:eastAsia="Arial" w:hAnsi="Arial"/>
                <w:sz w:val="18"/>
                <w:szCs w:val="18"/>
                <w:color w:val="auto"/>
              </w:rPr>
              <w:t>Section 11.01.   Satisfaction and Discharge</w:t>
            </w:r>
          </w:p>
        </w:tc>
        <w:tc>
          <w:tcPr>
            <w:tcW w:w="20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11.02.   Application of Trust Money</w:t>
            </w:r>
          </w:p>
        </w:tc>
        <w:tc>
          <w:tcPr>
            <w:tcW w:w="20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92"/>
        </w:trPr>
        <w:tc>
          <w:tcPr>
            <w:tcW w:w="118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5"/>
              </w:rPr>
              <w:t>Article 12</w:t>
            </w:r>
          </w:p>
        </w:tc>
        <w:tc>
          <w:tcPr>
            <w:tcW w:w="20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9"/>
              </w:rPr>
              <w:t>COLLATERAL</w:t>
            </w:r>
          </w:p>
        </w:tc>
        <w:tc>
          <w:tcPr>
            <w:tcW w:w="2040" w:type="dxa"/>
            <w:vAlign w:val="bottom"/>
          </w:tcPr>
          <w:p>
            <w:pPr>
              <w:spacing w:after="0"/>
              <w:rPr>
                <w:sz w:val="24"/>
                <w:szCs w:val="24"/>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8020" w:type="dxa"/>
            <w:vAlign w:val="bottom"/>
          </w:tcPr>
          <w:p>
            <w:pPr>
              <w:ind w:left="120"/>
              <w:spacing w:after="0"/>
              <w:rPr>
                <w:sz w:val="20"/>
                <w:szCs w:val="20"/>
                <w:color w:val="auto"/>
              </w:rPr>
            </w:pPr>
            <w:r>
              <w:rPr>
                <w:rFonts w:ascii="Arial" w:cs="Arial" w:eastAsia="Arial" w:hAnsi="Arial"/>
                <w:sz w:val="18"/>
                <w:szCs w:val="18"/>
                <w:color w:val="auto"/>
              </w:rPr>
              <w:t>Security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12.02.   Release of Collateral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12.03.   Suits to Protect the Collateral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12.04.   Authorization of Receipt of Funds by the Trustee Under the Security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8020" w:type="dxa"/>
            <w:vAlign w:val="bottom"/>
          </w:tcPr>
          <w:p>
            <w:pPr>
              <w:ind w:left="120"/>
              <w:spacing w:after="0"/>
              <w:rPr>
                <w:sz w:val="20"/>
                <w:szCs w:val="20"/>
                <w:color w:val="auto"/>
              </w:rPr>
            </w:pPr>
            <w:r>
              <w:rPr>
                <w:rFonts w:ascii="Arial" w:cs="Arial" w:eastAsia="Arial" w:hAnsi="Arial"/>
                <w:sz w:val="18"/>
                <w:szCs w:val="18"/>
                <w:color w:val="auto"/>
              </w:rPr>
              <w:t>Purchaser Protected</w:t>
            </w:r>
          </w:p>
        </w:tc>
        <w:tc>
          <w:tcPr>
            <w:tcW w:w="2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12.06.   Powers Exercisable by Receiver or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12.07.   Certain Limitations on Collateral</w:t>
            </w:r>
          </w:p>
        </w:tc>
        <w:tc>
          <w:tcPr>
            <w:tcW w:w="20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Section 12.08.   Notes Collateral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392"/>
        </w:trPr>
        <w:tc>
          <w:tcPr>
            <w:tcW w:w="1180" w:type="dxa"/>
            <w:vAlign w:val="bottom"/>
          </w:tcPr>
          <w:p>
            <w:pPr>
              <w:spacing w:after="0"/>
              <w:rPr>
                <w:sz w:val="24"/>
                <w:szCs w:val="24"/>
                <w:color w:val="auto"/>
              </w:rPr>
            </w:pPr>
          </w:p>
        </w:tc>
        <w:tc>
          <w:tcPr>
            <w:tcW w:w="8020" w:type="dxa"/>
            <w:vAlign w:val="bottom"/>
          </w:tcPr>
          <w:p>
            <w:pPr>
              <w:jc w:val="center"/>
              <w:ind w:left="770"/>
              <w:spacing w:after="0"/>
              <w:rPr>
                <w:sz w:val="20"/>
                <w:szCs w:val="20"/>
                <w:color w:val="auto"/>
              </w:rPr>
            </w:pPr>
            <w:r>
              <w:rPr>
                <w:rFonts w:ascii="Arial" w:cs="Arial" w:eastAsia="Arial" w:hAnsi="Arial"/>
                <w:sz w:val="18"/>
                <w:szCs w:val="18"/>
                <w:color w:val="auto"/>
                <w:w w:val="95"/>
              </w:rPr>
              <w:t>Article 13</w:t>
            </w:r>
          </w:p>
        </w:tc>
        <w:tc>
          <w:tcPr>
            <w:tcW w:w="204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8020" w:type="dxa"/>
            <w:vAlign w:val="bottom"/>
          </w:tcPr>
          <w:p>
            <w:pPr>
              <w:jc w:val="center"/>
              <w:ind w:left="790"/>
              <w:spacing w:after="0"/>
              <w:rPr>
                <w:sz w:val="20"/>
                <w:szCs w:val="20"/>
                <w:color w:val="auto"/>
              </w:rPr>
            </w:pPr>
            <w:r>
              <w:rPr>
                <w:rFonts w:ascii="Arial" w:cs="Arial" w:eastAsia="Arial" w:hAnsi="Arial"/>
                <w:sz w:val="18"/>
                <w:szCs w:val="18"/>
                <w:color w:val="auto"/>
                <w:w w:val="97"/>
              </w:rPr>
              <w:t>MISCELLANEOUS</w:t>
            </w:r>
          </w:p>
        </w:tc>
        <w:tc>
          <w:tcPr>
            <w:tcW w:w="2040" w:type="dxa"/>
            <w:vAlign w:val="bottom"/>
          </w:tcPr>
          <w:p>
            <w:pPr>
              <w:spacing w:after="0"/>
              <w:rPr>
                <w:sz w:val="24"/>
                <w:szCs w:val="24"/>
                <w:color w:val="auto"/>
              </w:rPr>
            </w:pPr>
          </w:p>
        </w:tc>
      </w:tr>
      <w:tr>
        <w:trPr>
          <w:trHeight w:val="377"/>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8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13.02.   Mexican Process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13.03.   Communication by Holders with Other 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13.04.   Certificate and Opinion as to Conditions Precedent</w:t>
            </w:r>
          </w:p>
        </w:tc>
        <w:tc>
          <w:tcPr>
            <w:tcW w:w="2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13.05.   Statements Required in Certificate or Opinion</w:t>
            </w:r>
          </w:p>
        </w:tc>
        <w:tc>
          <w:tcPr>
            <w:tcW w:w="20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13.06.   Rules by Trustee and Agents</w:t>
            </w:r>
          </w:p>
        </w:tc>
        <w:tc>
          <w:tcPr>
            <w:tcW w:w="20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13.07.   No Personal Liability of Directors, Managers, Officers, Employees and Stockholders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13.08.   Governing Law; Jurisdiction</w:t>
            </w:r>
          </w:p>
        </w:tc>
        <w:tc>
          <w:tcPr>
            <w:tcW w:w="20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13.09.   Waiver of Jury Trial</w:t>
            </w:r>
          </w:p>
        </w:tc>
        <w:tc>
          <w:tcPr>
            <w:tcW w:w="20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13.10.</w:t>
            </w:r>
          </w:p>
        </w:tc>
        <w:tc>
          <w:tcPr>
            <w:tcW w:w="8020" w:type="dxa"/>
            <w:vAlign w:val="bottom"/>
          </w:tcPr>
          <w:p>
            <w:pPr>
              <w:ind w:left="120"/>
              <w:spacing w:after="0"/>
              <w:rPr>
                <w:sz w:val="20"/>
                <w:szCs w:val="20"/>
                <w:color w:val="auto"/>
              </w:rPr>
            </w:pPr>
            <w:r>
              <w:rPr>
                <w:rFonts w:ascii="Arial" w:cs="Arial" w:eastAsia="Arial" w:hAnsi="Arial"/>
                <w:sz w:val="18"/>
                <w:szCs w:val="18"/>
                <w:color w:val="auto"/>
              </w:rPr>
              <w:t>Force Majeure</w:t>
            </w:r>
          </w:p>
        </w:tc>
        <w:tc>
          <w:tcPr>
            <w:tcW w:w="20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Section 13.11.   No Adverse Interpretation of Other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13.12.</w:t>
            </w:r>
          </w:p>
        </w:tc>
        <w:tc>
          <w:tcPr>
            <w:tcW w:w="802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20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13.13.</w:t>
            </w:r>
          </w:p>
        </w:tc>
        <w:tc>
          <w:tcPr>
            <w:tcW w:w="80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13.14.</w:t>
            </w:r>
          </w:p>
        </w:tc>
        <w:tc>
          <w:tcPr>
            <w:tcW w:w="8020" w:type="dxa"/>
            <w:vAlign w:val="bottom"/>
          </w:tcPr>
          <w:p>
            <w:pPr>
              <w:ind w:left="120"/>
              <w:spacing w:after="0"/>
              <w:rPr>
                <w:sz w:val="20"/>
                <w:szCs w:val="20"/>
                <w:color w:val="auto"/>
              </w:rPr>
            </w:pPr>
            <w:r>
              <w:rPr>
                <w:rFonts w:ascii="Arial" w:cs="Arial" w:eastAsia="Arial" w:hAnsi="Arial"/>
                <w:sz w:val="18"/>
                <w:szCs w:val="18"/>
                <w:color w:val="auto"/>
              </w:rPr>
              <w:t>Intercreditor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13.15.</w:t>
            </w:r>
          </w:p>
        </w:tc>
        <w:tc>
          <w:tcPr>
            <w:tcW w:w="8020" w:type="dxa"/>
            <w:vAlign w:val="bottom"/>
          </w:tcPr>
          <w:p>
            <w:pPr>
              <w:ind w:left="120"/>
              <w:spacing w:after="0"/>
              <w:rPr>
                <w:sz w:val="20"/>
                <w:szCs w:val="20"/>
                <w:color w:val="auto"/>
              </w:rPr>
            </w:pPr>
            <w:r>
              <w:rPr>
                <w:rFonts w:ascii="Arial" w:cs="Arial" w:eastAsia="Arial" w:hAnsi="Arial"/>
                <w:sz w:val="18"/>
                <w:szCs w:val="18"/>
                <w:color w:val="auto"/>
              </w:rPr>
              <w:t>Counterpart Originals</w:t>
            </w:r>
          </w:p>
        </w:tc>
        <w:tc>
          <w:tcPr>
            <w:tcW w:w="2040" w:type="dxa"/>
            <w:vAlign w:val="bottom"/>
          </w:tcPr>
          <w:p>
            <w:pPr>
              <w:jc w:val="right"/>
              <w:spacing w:after="0"/>
              <w:rPr>
                <w:sz w:val="20"/>
                <w:szCs w:val="20"/>
                <w:color w:val="auto"/>
              </w:rPr>
            </w:pPr>
            <w:r>
              <w:rPr>
                <w:rFonts w:ascii="Arial" w:cs="Arial" w:eastAsia="Arial" w:hAnsi="Arial"/>
                <w:sz w:val="18"/>
                <w:szCs w:val="18"/>
                <w:color w:val="auto"/>
              </w:rPr>
              <w:t>199</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13.16.</w:t>
            </w:r>
          </w:p>
        </w:tc>
        <w:tc>
          <w:tcPr>
            <w:tcW w:w="7680" w:type="dxa"/>
            <w:vAlign w:val="bottom"/>
          </w:tcPr>
          <w:p>
            <w:pPr>
              <w:ind w:left="120"/>
              <w:spacing w:after="0"/>
              <w:rPr>
                <w:sz w:val="20"/>
                <w:szCs w:val="20"/>
                <w:color w:val="auto"/>
              </w:rPr>
            </w:pPr>
            <w:r>
              <w:rPr>
                <w:rFonts w:ascii="Arial" w:cs="Arial" w:eastAsia="Arial" w:hAnsi="Arial"/>
                <w:sz w:val="18"/>
                <w:szCs w:val="18"/>
                <w:color w:val="auto"/>
              </w:rPr>
              <w:t>Table of Contents, Headings, Etc.</w:t>
            </w:r>
          </w:p>
        </w:tc>
        <w:tc>
          <w:tcPr>
            <w:tcW w:w="2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13.17.</w:t>
            </w:r>
          </w:p>
        </w:tc>
        <w:tc>
          <w:tcPr>
            <w:tcW w:w="768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2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432"/>
        </w:trPr>
        <w:tc>
          <w:tcPr>
            <w:tcW w:w="11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76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A</w:t>
            </w:r>
          </w:p>
        </w:tc>
        <w:tc>
          <w:tcPr>
            <w:tcW w:w="7680" w:type="dxa"/>
            <w:vAlign w:val="bottom"/>
          </w:tcPr>
          <w:p>
            <w:pPr>
              <w:ind w:left="120"/>
              <w:spacing w:after="0"/>
              <w:rPr>
                <w:sz w:val="20"/>
                <w:szCs w:val="20"/>
                <w:color w:val="auto"/>
              </w:rPr>
            </w:pPr>
            <w:r>
              <w:rPr>
                <w:rFonts w:ascii="Arial" w:cs="Arial" w:eastAsia="Arial" w:hAnsi="Arial"/>
                <w:sz w:val="18"/>
                <w:szCs w:val="18"/>
                <w:color w:val="auto"/>
              </w:rPr>
              <w:t>Form of Note</w:t>
            </w:r>
          </w:p>
        </w:tc>
        <w:tc>
          <w:tcPr>
            <w:tcW w:w="238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7680" w:type="dxa"/>
            <w:vAlign w:val="bottom"/>
          </w:tcPr>
          <w:p>
            <w:pPr>
              <w:ind w:left="120"/>
              <w:spacing w:after="0"/>
              <w:rPr>
                <w:sz w:val="20"/>
                <w:szCs w:val="20"/>
                <w:color w:val="auto"/>
              </w:rPr>
            </w:pPr>
            <w:r>
              <w:rPr>
                <w:rFonts w:ascii="Arial" w:cs="Arial" w:eastAsia="Arial" w:hAnsi="Arial"/>
                <w:sz w:val="18"/>
                <w:szCs w:val="18"/>
                <w:color w:val="auto"/>
              </w:rPr>
              <w:t>Form of Certificate of Transfer</w:t>
            </w:r>
          </w:p>
        </w:tc>
        <w:tc>
          <w:tcPr>
            <w:tcW w:w="238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7680" w:type="dxa"/>
            <w:vAlign w:val="bottom"/>
          </w:tcPr>
          <w:p>
            <w:pPr>
              <w:ind w:left="120"/>
              <w:spacing w:after="0"/>
              <w:rPr>
                <w:sz w:val="20"/>
                <w:szCs w:val="20"/>
                <w:color w:val="auto"/>
              </w:rPr>
            </w:pPr>
            <w:r>
              <w:rPr>
                <w:rFonts w:ascii="Arial" w:cs="Arial" w:eastAsia="Arial" w:hAnsi="Arial"/>
                <w:sz w:val="18"/>
                <w:szCs w:val="18"/>
                <w:color w:val="auto"/>
              </w:rPr>
              <w:t>Form of Certificate of Exchange</w:t>
            </w:r>
          </w:p>
        </w:tc>
        <w:tc>
          <w:tcPr>
            <w:tcW w:w="238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7680" w:type="dxa"/>
            <w:vAlign w:val="bottom"/>
          </w:tcPr>
          <w:p>
            <w:pPr>
              <w:ind w:left="12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2380" w:type="dxa"/>
            <w:vAlign w:val="bottom"/>
          </w:tcPr>
          <w:p>
            <w:pPr>
              <w:spacing w:after="0"/>
              <w:rPr>
                <w:sz w:val="24"/>
                <w:szCs w:val="24"/>
                <w:color w:val="auto"/>
              </w:rPr>
            </w:pPr>
          </w:p>
        </w:tc>
      </w:tr>
      <w:tr>
        <w:trPr>
          <w:trHeight w:val="607"/>
        </w:trPr>
        <w:tc>
          <w:tcPr>
            <w:tcW w:w="1180" w:type="dxa"/>
            <w:vAlign w:val="bottom"/>
          </w:tcPr>
          <w:p>
            <w:pPr>
              <w:spacing w:after="0"/>
              <w:rPr>
                <w:sz w:val="24"/>
                <w:szCs w:val="24"/>
                <w:color w:val="auto"/>
              </w:rPr>
            </w:pPr>
          </w:p>
        </w:tc>
        <w:tc>
          <w:tcPr>
            <w:tcW w:w="7680" w:type="dxa"/>
            <w:vAlign w:val="bottom"/>
          </w:tcPr>
          <w:p>
            <w:pPr>
              <w:ind w:left="4400"/>
              <w:spacing w:after="0"/>
              <w:rPr>
                <w:sz w:val="20"/>
                <w:szCs w:val="20"/>
                <w:color w:val="auto"/>
              </w:rPr>
            </w:pPr>
            <w:r>
              <w:rPr>
                <w:rFonts w:ascii="Arial" w:cs="Arial" w:eastAsia="Arial" w:hAnsi="Arial"/>
                <w:sz w:val="18"/>
                <w:szCs w:val="18"/>
                <w:color w:val="auto"/>
              </w:rPr>
              <w:t>v</w:t>
            </w:r>
          </w:p>
        </w:tc>
        <w:tc>
          <w:tcPr>
            <w:tcW w:w="2380" w:type="dxa"/>
            <w:vAlign w:val="bottom"/>
          </w:tcPr>
          <w:p>
            <w:pPr>
              <w:spacing w:after="0"/>
              <w:rPr>
                <w:sz w:val="24"/>
                <w:szCs w:val="24"/>
                <w:color w:val="auto"/>
              </w:rPr>
            </w:pPr>
          </w:p>
        </w:tc>
      </w:tr>
      <w:tr>
        <w:trPr>
          <w:trHeight w:val="61"/>
        </w:trPr>
        <w:tc>
          <w:tcPr>
            <w:tcW w:w="1180" w:type="dxa"/>
            <w:vAlign w:val="bottom"/>
            <w:tcBorders>
              <w:bottom w:val="single" w:sz="8" w:color="auto"/>
            </w:tcBorders>
          </w:tcPr>
          <w:p>
            <w:pPr>
              <w:spacing w:after="0"/>
              <w:rPr>
                <w:sz w:val="5"/>
                <w:szCs w:val="5"/>
                <w:color w:val="auto"/>
              </w:rPr>
            </w:pPr>
          </w:p>
        </w:tc>
        <w:tc>
          <w:tcPr>
            <w:tcW w:w="768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ind w:right="180" w:firstLine="1296"/>
        <w:spacing w:after="0" w:line="263" w:lineRule="auto"/>
        <w:rPr>
          <w:sz w:val="20"/>
          <w:szCs w:val="20"/>
          <w:color w:val="auto"/>
        </w:rPr>
      </w:pPr>
      <w:r>
        <w:rPr>
          <w:rFonts w:ascii="Arial" w:cs="Arial" w:eastAsia="Arial" w:hAnsi="Arial"/>
          <w:sz w:val="18"/>
          <w:szCs w:val="18"/>
          <w:color w:val="auto"/>
        </w:rPr>
        <w:t>INDENTURE, dated as of September 2, 2020,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Guarantors (as defined herein) from time to time parties hereto and U.S. Bank National Association, a national banking corporation, as Trustee (in such capacity, the “</w:t>
      </w:r>
      <w:r>
        <w:rPr>
          <w:rFonts w:ascii="Arial" w:cs="Arial" w:eastAsia="Arial" w:hAnsi="Arial"/>
          <w:sz w:val="18"/>
          <w:szCs w:val="18"/>
          <w:u w:val="single" w:color="auto"/>
          <w:color w:val="auto"/>
        </w:rPr>
        <w:t>Trustee</w:t>
      </w:r>
      <w:r>
        <w:rPr>
          <w:rFonts w:ascii="Arial" w:cs="Arial" w:eastAsia="Arial" w:hAnsi="Arial"/>
          <w:sz w:val="18"/>
          <w:szCs w:val="18"/>
          <w:color w:val="auto"/>
        </w:rPr>
        <w:t>”) and Collateral Agent (in such capacity, the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 has duly authorized the creation of and issuance 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$1,000,000,000 aggregate principal amount of 6.750% Senior Secured Notes due 2025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 and each of the Guarantors has duly authorized the execution and delivery of this Indenture.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NOW, THEREFORE, the Issuer, the Guarantors, the Trustee and the Notes Collateral Agent agree as follows for the benefit of each other and for the equal and ratable benefit of the 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DEFINITIONS AND INCORPORATION BY REFERENCE</w:t>
      </w:r>
    </w:p>
    <w:p>
      <w:pPr>
        <w:spacing w:after="0" w:line="229"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144A Global Note</w:t>
      </w:r>
      <w:r>
        <w:rPr>
          <w:rFonts w:ascii="Arial" w:cs="Arial" w:eastAsia="Arial" w:hAnsi="Arial"/>
          <w:sz w:val="18"/>
          <w:szCs w:val="18"/>
          <w:color w:val="auto"/>
        </w:rPr>
        <w:t xml:space="preserve">” means a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with respect to any specified Person,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jc w:val="both"/>
        <w:ind w:left="660" w:right="180" w:firstLine="644"/>
        <w:spacing w:after="0" w:line="311" w:lineRule="auto"/>
        <w:tabs>
          <w:tab w:leader="none" w:pos="1833" w:val="left"/>
        </w:tabs>
        <w:numPr>
          <w:ilvl w:val="0"/>
          <w:numId w:val="2"/>
        </w:numPr>
        <w:rPr>
          <w:rFonts w:ascii="Arial" w:cs="Arial" w:eastAsia="Arial" w:hAnsi="Arial"/>
          <w:sz w:val="16"/>
          <w:szCs w:val="16"/>
          <w:color w:val="auto"/>
        </w:rPr>
      </w:pPr>
      <w:r>
        <w:rPr>
          <w:rFonts w:ascii="Arial" w:cs="Arial" w:eastAsia="Arial" w:hAnsi="Arial"/>
          <w:sz w:val="16"/>
          <w:szCs w:val="16"/>
          <w:color w:val="auto"/>
        </w:rPr>
        <w:t>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w:t>
      </w:r>
    </w:p>
    <w:p>
      <w:pPr>
        <w:spacing w:after="0" w:line="148" w:lineRule="exact"/>
        <w:rPr>
          <w:rFonts w:ascii="Arial" w:cs="Arial" w:eastAsia="Arial" w:hAnsi="Arial"/>
          <w:sz w:val="16"/>
          <w:szCs w:val="16"/>
          <w:color w:val="auto"/>
        </w:rPr>
      </w:pPr>
    </w:p>
    <w:p>
      <w:pPr>
        <w:ind w:left="1820" w:hanging="516"/>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Assets</w:t>
      </w:r>
      <w:r>
        <w:rPr>
          <w:rFonts w:ascii="Arial" w:cs="Arial" w:eastAsia="Arial" w:hAnsi="Arial"/>
          <w:sz w:val="18"/>
          <w:szCs w:val="18"/>
          <w:color w:val="auto"/>
        </w:rPr>
        <w:t xml:space="preserve">” means (1) any property or other assets used or useful in a Similar Business, (2) the Capital Stock of a Person that becomes a Restricted Subsidiary of the Issuer as a result of the acquisition of such Capital Stock by the Issuer or another Restricted Subsidiary or (3) Capital Stock constituting a minority interest in any Person that at such time is a Restricted Subsidiary of the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Restricted Subsidiary described in clause (2) or (3) above is engaged in a Similar Business.</w:t>
      </w:r>
    </w:p>
    <w:p>
      <w:pPr>
        <w:spacing w:after="0" w:line="187"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Equal Priority Obligations</w:t>
      </w:r>
      <w:r>
        <w:rPr>
          <w:rFonts w:ascii="Arial" w:cs="Arial" w:eastAsia="Arial" w:hAnsi="Arial"/>
          <w:sz w:val="18"/>
          <w:szCs w:val="18"/>
          <w:color w:val="auto"/>
        </w:rPr>
        <w:t xml:space="preserve">” means the Obligations with respect to any Indebtedness having, or intended to have, Equal Lien Priority (but without regard to the control of remedies) relative to the Notes with respect to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authorized representative of the holders of such Indebtedness shall have executed an Equal Priority Intercreditor Agreement.</w:t>
      </w:r>
    </w:p>
    <w:p>
      <w:pPr>
        <w:spacing w:after="0" w:line="184"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Equal Priority Secured Parties</w:t>
      </w:r>
      <w:r>
        <w:rPr>
          <w:rFonts w:ascii="Arial" w:cs="Arial" w:eastAsia="Arial" w:hAnsi="Arial"/>
          <w:sz w:val="18"/>
          <w:szCs w:val="18"/>
          <w:color w:val="auto"/>
        </w:rPr>
        <w:t>” means the holders of any Additional Equal Priority Obligations and any trustee, authorized representative or agent of such Additional Equal Priority Obligations.</w:t>
      </w:r>
    </w:p>
    <w:p>
      <w:pPr>
        <w:spacing w:after="0" w:line="170"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means additional Notes (other than the Initial Notes) issued under this Indenture in accordance with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4.12</w:t>
      </w:r>
      <w:r>
        <w:rPr>
          <w:rFonts w:ascii="Arial" w:cs="Arial" w:eastAsia="Arial" w:hAnsi="Arial"/>
          <w:sz w:val="18"/>
          <w:szCs w:val="18"/>
          <w:color w:val="auto"/>
        </w:rPr>
        <w:t>, as part of the same series as the Initial Notes.</w:t>
      </w:r>
    </w:p>
    <w:p>
      <w:pPr>
        <w:spacing w:after="0" w:line="17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applied to any Person, any other Person directly or indirectly Controlling, Controlled by, or under common Control with, that Person. For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or Paying Agent.</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Annualized EBITDA</w:t>
      </w:r>
      <w:r>
        <w:rPr>
          <w:rFonts w:ascii="Arial" w:cs="Arial" w:eastAsia="Arial" w:hAnsi="Arial"/>
          <w:sz w:val="18"/>
          <w:szCs w:val="18"/>
          <w:color w:val="auto"/>
        </w:rPr>
        <w:t>” means, on any date of determination, Consolidated EBITDA for the most recently ended fiscal quarter for which internal financial statements are available on or prior to the date of such determination, multiplied by four.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820" w:hanging="51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 w:name="page13"/>
    <w:bookmarkEnd w:id="12"/>
    <w:p>
      <w:pPr>
        <w:ind w:left="660" w:firstLine="644"/>
        <w:spacing w:after="0" w:line="275" w:lineRule="auto"/>
        <w:tabs>
          <w:tab w:leader="none" w:pos="183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excess, if any, of (a) the present value at such Redemption Date of (i) the redemption price of such Note at September 15, 2022 (such redemption price being set forth in the table appearing in </w:t>
      </w:r>
      <w:r>
        <w:rPr>
          <w:rFonts w:ascii="Arial" w:cs="Arial" w:eastAsia="Arial" w:hAnsi="Arial"/>
          <w:sz w:val="17"/>
          <w:szCs w:val="17"/>
          <w:u w:val="single" w:color="auto"/>
          <w:color w:val="auto"/>
        </w:rPr>
        <w:t>Section 3.07(b)</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all required remaining scheduled interest payments due on such Note through September 15, 2022 (excluding accrued but unpaid interest to the Redemption Date), computed by the Issuer on a semi-annual basis (assuming a 360-day year consisting of twelve 30-day months) using a discount rate equal to the Treasury Rate as of such Redemption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50 basis points; over (b) the principal amount of such Note.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Calculation of the Applicable Premium will be made by the Issuer and shall not be a duty or obligation of the Trustee.</w:t>
      </w:r>
    </w:p>
    <w:p>
      <w:pPr>
        <w:spacing w:after="0" w:line="225"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and/or Clearstream that apply to such transfer or exchange.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660" w:right="60" w:firstLine="644"/>
        <w:spacing w:after="0" w:line="342" w:lineRule="auto"/>
        <w:tabs>
          <w:tab w:leader="none" w:pos="183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sale, conveyance, transfer or other disposition, whether in a single transaction or a series of related transactions, of property or assets (including by way of a Sale and Lease-Back Transaction) of the Issuer or any of its Restricted Subsidiaries (a “</w:t>
      </w:r>
      <w:r>
        <w:rPr>
          <w:rFonts w:ascii="Arial" w:cs="Arial" w:eastAsia="Arial" w:hAnsi="Arial"/>
          <w:sz w:val="16"/>
          <w:szCs w:val="16"/>
          <w:u w:val="single" w:color="auto"/>
          <w:color w:val="auto"/>
        </w:rPr>
        <w:t>Disposition</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660" w:right="300" w:firstLine="644"/>
        <w:spacing w:after="0" w:line="263" w:lineRule="auto"/>
        <w:tabs>
          <w:tab w:leader="none" w:pos="183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sale of Equity Interests of any Restricted Subsidiary (other than Preferred Stock of Restricted Subsidiaries issued in compliance with </w:t>
      </w:r>
      <w:r>
        <w:rPr>
          <w:rFonts w:ascii="Arial" w:cs="Arial" w:eastAsia="Arial" w:hAnsi="Arial"/>
          <w:sz w:val="18"/>
          <w:szCs w:val="18"/>
          <w:u w:val="single" w:color="auto"/>
          <w:color w:val="auto"/>
        </w:rPr>
        <w:t>Section 4.09</w:t>
      </w:r>
      <w:r>
        <w:rPr>
          <w:rFonts w:ascii="Arial" w:cs="Arial" w:eastAsia="Arial" w:hAnsi="Arial"/>
          <w:sz w:val="18"/>
          <w:szCs w:val="18"/>
          <w:color w:val="auto"/>
        </w:rPr>
        <w:t>), whether in a single transaction or a series of related transactions and whether effected pursuant to a Division or otherwise; in each case, other than:</w:t>
      </w:r>
    </w:p>
    <w:p>
      <w:pPr>
        <w:spacing w:after="0" w:line="184" w:lineRule="exact"/>
        <w:rPr>
          <w:sz w:val="20"/>
          <w:szCs w:val="20"/>
          <w:color w:val="auto"/>
        </w:rPr>
      </w:pPr>
    </w:p>
    <w:p>
      <w:pPr>
        <w:ind w:left="660" w:right="100" w:firstLine="644"/>
        <w:spacing w:after="0" w:line="277" w:lineRule="auto"/>
        <w:tabs>
          <w:tab w:leader="none" w:pos="182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Disposition of all or substantially all of the assets of the Issuer or any Restricted Subsidiary in a manner permitted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or any Disposition that constitutes a Change of Control pursuant to this Indenture;</w:t>
      </w:r>
    </w:p>
    <w:p>
      <w:pPr>
        <w:spacing w:after="0" w:line="170"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Dispositions (including of Equity Interests issued by any Restricted Subsidiary) among the Issuer and/or any Restricted Subsidiary (upon voluntary liquidation or otherwise);</w:t>
      </w:r>
    </w:p>
    <w:p>
      <w:pPr>
        <w:spacing w:after="0" w:line="170" w:lineRule="exact"/>
        <w:rPr>
          <w:rFonts w:ascii="Arial" w:cs="Arial" w:eastAsia="Arial" w:hAnsi="Arial"/>
          <w:sz w:val="18"/>
          <w:szCs w:val="18"/>
          <w:color w:val="auto"/>
        </w:rPr>
      </w:pPr>
    </w:p>
    <w:p>
      <w:pPr>
        <w:ind w:left="660" w:right="60" w:firstLine="644"/>
        <w:spacing w:after="0" w:line="272" w:lineRule="auto"/>
        <w:tabs>
          <w:tab w:leader="none" w:pos="1823"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 the liquidation or dissolution of any Restricted Subsidiary if the Issuer determines in good faith that such liquidation or dissolution is in the best interests of the Issuer or such Restricted Subsidiary, is not materially disadvantageous to the Holders, and the Issuer or any Restricted Subsidiary receives any assets of the relevant dissolved or liquidated Restricted Subsidiary, (ii) any merger, amalgamation, dissolution, liquidation or consolidation, the purpose of which is to effect (A) any Disposition referred to in clauses (d) through (jj) of this definition or (B) any Permitted Investment or any Investment permitted under </w:t>
      </w:r>
      <w:r>
        <w:rPr>
          <w:rFonts w:ascii="Arial" w:cs="Arial" w:eastAsia="Arial" w:hAnsi="Arial"/>
          <w:sz w:val="17"/>
          <w:szCs w:val="17"/>
          <w:u w:val="single" w:color="auto"/>
          <w:color w:val="auto"/>
        </w:rPr>
        <w:t>Section 4.07</w:t>
      </w:r>
      <w:r>
        <w:rPr>
          <w:rFonts w:ascii="Arial" w:cs="Arial" w:eastAsia="Arial" w:hAnsi="Arial"/>
          <w:sz w:val="17"/>
          <w:szCs w:val="17"/>
          <w:color w:val="auto"/>
        </w:rPr>
        <w:t>; and (iii) the conversion of the Issuer or any Restricted Subsidiary into another form of entity (and solely with respect to the Issuer, organized in the U.S., any state thereof or the District of Columbia), so long as such conversion does not adversely affect the Note Guarantees, taken as a whole;</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4" w:right="20" w:firstLine="689"/>
        <w:spacing w:after="0" w:line="271" w:lineRule="auto"/>
        <w:tabs>
          <w:tab w:leader="none" w:pos="1222" w:val="left"/>
        </w:tabs>
        <w:numPr>
          <w:ilvl w:val="2"/>
          <w:numId w:val="7"/>
        </w:numPr>
        <w:rPr>
          <w:rFonts w:ascii="Arial" w:cs="Arial" w:eastAsia="Arial" w:hAnsi="Arial"/>
          <w:sz w:val="17"/>
          <w:szCs w:val="17"/>
          <w:color w:val="auto"/>
        </w:rPr>
      </w:pPr>
      <w:r>
        <w:rPr>
          <w:rFonts w:ascii="Arial" w:cs="Arial" w:eastAsia="Arial" w:hAnsi="Arial"/>
          <w:sz w:val="17"/>
          <w:szCs w:val="17"/>
          <w:color w:val="auto"/>
        </w:rPr>
        <w:t>(i) Dispositions of inventory or other assets (including the Disposition of tankers or other marine vessels (other than tankers or other marine vessels that constitute Collateral), trucks, rail cars, ISO containers, natural gas, steam and power) in the ordinary course of business, consistent with past practice or consistent with industry norm (including on an intercompany basis among the Issuer and its Restricted Subsidiaries), (ii) the conversion of accounts receivable for notes receivable or other Dispositions of accounts receivable in connection with the collection or compromise thereof and (iii) the leasing, assignment, subleasing, licensing or sublicensing of any real or personal property (including the provision of software under an open source license and including ground leases) in the ordinary course of business, consistent with past practice or consistent with industry norm and the sale of leased, subleased, licensed or sublicensed assets to customers purchasing natural gas in the ordinary course of business, consistent with past practice or consistent with industry norm;</w:t>
      </w:r>
    </w:p>
    <w:p>
      <w:pPr>
        <w:spacing w:after="0" w:line="178" w:lineRule="exact"/>
        <w:rPr>
          <w:rFonts w:ascii="Arial" w:cs="Arial" w:eastAsia="Arial" w:hAnsi="Arial"/>
          <w:sz w:val="17"/>
          <w:szCs w:val="17"/>
          <w:color w:val="auto"/>
        </w:rPr>
      </w:pPr>
    </w:p>
    <w:p>
      <w:pPr>
        <w:ind w:left="4" w:right="260" w:firstLine="644"/>
        <w:spacing w:after="0" w:line="291" w:lineRule="auto"/>
        <w:tabs>
          <w:tab w:leader="none" w:pos="1167"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Dispositions of surplus, obsolete, damaged, used or worn out property or other property (including IP Rights) that, in the reasonable judgment of the Issuer, is (i) no longer used or useful in its business (or in the business of any Restricted Subsidiary of the Issuer) or</w:t>
      </w:r>
    </w:p>
    <w:p>
      <w:pPr>
        <w:ind w:left="264" w:hanging="264"/>
        <w:spacing w:after="0"/>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economically impracticable to maintain;</w:t>
      </w:r>
    </w:p>
    <w:p>
      <w:pPr>
        <w:spacing w:after="0" w:line="210" w:lineRule="exact"/>
        <w:rPr>
          <w:rFonts w:ascii="Arial" w:cs="Arial" w:eastAsia="Arial" w:hAnsi="Arial"/>
          <w:sz w:val="18"/>
          <w:szCs w:val="18"/>
          <w:color w:val="auto"/>
        </w:rPr>
      </w:pPr>
    </w:p>
    <w:p>
      <w:pPr>
        <w:ind w:left="4" w:right="660" w:firstLine="644"/>
        <w:spacing w:after="0" w:line="277" w:lineRule="auto"/>
        <w:tabs>
          <w:tab w:leader="none" w:pos="114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Dispositions of cash, Cash Equivalents, and/or Investment Grade Assets and/or other assets that were Cash Equivalents or Investment Grade Assets when the relevant original Investment was made;</w:t>
      </w:r>
    </w:p>
    <w:p>
      <w:pPr>
        <w:spacing w:after="0" w:line="170" w:lineRule="exact"/>
        <w:rPr>
          <w:rFonts w:ascii="Arial" w:cs="Arial" w:eastAsia="Arial" w:hAnsi="Arial"/>
          <w:sz w:val="18"/>
          <w:szCs w:val="18"/>
          <w:color w:val="auto"/>
        </w:rPr>
      </w:pPr>
    </w:p>
    <w:p>
      <w:pPr>
        <w:ind w:left="4" w:right="300" w:firstLine="644"/>
        <w:spacing w:after="0" w:line="263" w:lineRule="auto"/>
        <w:tabs>
          <w:tab w:leader="none" w:pos="1177"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Dispositions, mergers, amalgamations, consolidations or conveyances that constitute (i) Permitted Investments (other than pursuant to clause (j) of the definition thereof), (ii) Liens not prohibited under this Indenture or (iii) Restricted Payments permitted to be made, and that are made, under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4.07(b)(ix)</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24" w:hanging="576"/>
        <w:spacing w:after="0"/>
        <w:tabs>
          <w:tab w:leader="none" w:pos="1224"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120" w:firstLine="644"/>
        <w:spacing w:after="0" w:line="277" w:lineRule="auto"/>
        <w:tabs>
          <w:tab w:leader="none" w:pos="1137"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70" w:lineRule="exact"/>
        <w:rPr>
          <w:rFonts w:ascii="Arial" w:cs="Arial" w:eastAsia="Arial" w:hAnsi="Arial"/>
          <w:sz w:val="18"/>
          <w:szCs w:val="18"/>
          <w:color w:val="auto"/>
        </w:rPr>
      </w:pPr>
    </w:p>
    <w:p>
      <w:pPr>
        <w:ind w:left="4" w:right="140" w:firstLine="644"/>
        <w:spacing w:after="0" w:line="342" w:lineRule="auto"/>
        <w:tabs>
          <w:tab w:leader="none" w:pos="1137"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Dispositions of Investments in joint ventures to the extent required by, or made pursuant to, buy/sell and/or put/call arrangements between joint venture or similar parties set forth in the relevant joint venture arrangements and/or similar binding arrangements;</w:t>
      </w:r>
    </w:p>
    <w:p>
      <w:pPr>
        <w:spacing w:after="0" w:line="123" w:lineRule="exact"/>
        <w:rPr>
          <w:rFonts w:ascii="Arial" w:cs="Arial" w:eastAsia="Arial" w:hAnsi="Arial"/>
          <w:sz w:val="16"/>
          <w:szCs w:val="16"/>
          <w:color w:val="auto"/>
        </w:rPr>
      </w:pPr>
    </w:p>
    <w:p>
      <w:pPr>
        <w:ind w:left="4" w:firstLine="644"/>
        <w:spacing w:after="0" w:line="257" w:lineRule="auto"/>
        <w:tabs>
          <w:tab w:leader="none" w:pos="1177"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Dispositions of (i) accounts receivable, or participations therein, in the ordinary course of business, consistent with past practice or consistent with industry norm (including any discount and/or forgiveness thereof and sales to factors or similar third parties) or in connection with the collection or compromise thereof and (ii) receivables, or participations therein, and related assets (or the Equity Interests in a Subsidiary, all or substantially all of the assets of which are receivables, or participations therein, and related assets) pursuant to any Permitted Receivables Financing;</w:t>
      </w:r>
    </w:p>
    <w:p>
      <w:pPr>
        <w:spacing w:after="0" w:line="390"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14" w:name="page15"/>
    <w:bookmarkEnd w:id="14"/>
    <w:p>
      <w:pPr>
        <w:ind w:left="-460" w:firstLine="689"/>
        <w:spacing w:after="0" w:line="263" w:lineRule="auto"/>
        <w:tabs>
          <w:tab w:leader="none" w:pos="7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and/or terminations of leases, subleases, licenses or sublicenses (including the provision of software under any open source license), (i) the Disposition or termination of which will not materially interfere with the business of the Issuer and its Restricted Subsidiaries or (ii) that relate to closed facilities or the discontinuation of any product or business line;</w:t>
      </w:r>
    </w:p>
    <w:p>
      <w:pPr>
        <w:spacing w:after="0" w:line="184" w:lineRule="exact"/>
        <w:rPr>
          <w:sz w:val="20"/>
          <w:szCs w:val="20"/>
          <w:color w:val="auto"/>
        </w:rPr>
      </w:pPr>
    </w:p>
    <w:p>
      <w:pPr>
        <w:ind w:left="-460" w:right="40" w:firstLine="644"/>
        <w:spacing w:after="0" w:line="255" w:lineRule="auto"/>
        <w:tabs>
          <w:tab w:leader="none" w:pos="7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any termination of any lease, assignment, sublease, license or sublicense in the ordinary course of business, consistent with past practice or consistent with industry norm, (ii) any expiration of any option agreement in respect of real or personal property and (iii) any surrender or waiver of contractual rights or the settlement, release or surrender of contractual rights or litigation claims (including in tort) in the ordinary course of business, consistent with past practice or consistent with industry norm or otherwise if the Issuer determines in good faith that such action is in the best interests of the Issuer and the Restricted Subsidiaries, taken as a whole, and is not materially disadvantageous to the Holders;</w:t>
      </w:r>
    </w:p>
    <w:p>
      <w:pPr>
        <w:spacing w:after="0" w:line="192" w:lineRule="exact"/>
        <w:rPr>
          <w:rFonts w:ascii="Arial" w:cs="Arial" w:eastAsia="Arial" w:hAnsi="Arial"/>
          <w:sz w:val="18"/>
          <w:szCs w:val="18"/>
          <w:color w:val="auto"/>
        </w:rPr>
      </w:pPr>
    </w:p>
    <w:p>
      <w:pPr>
        <w:ind w:left="-460" w:right="40" w:firstLine="644"/>
        <w:spacing w:after="0" w:line="259" w:lineRule="auto"/>
        <w:tabs>
          <w:tab w:leader="none" w:pos="7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Dispositions of property subject to foreclosure, casualty, eminent domain, expropriation, forced dispositions or condemnation proceedings (including in lieu thereof or any similar proceeding), (ii) any involuntary loss, damage or destruction of any property and (iii) transfers of any property that have been subject to a casualty event to the respective insurer of such property as part of an insurance settlement or upon receipt of the net proceeds of such casualty event;</w:t>
      </w:r>
    </w:p>
    <w:p>
      <w:pPr>
        <w:spacing w:after="0" w:line="186" w:lineRule="exact"/>
        <w:rPr>
          <w:rFonts w:ascii="Arial" w:cs="Arial" w:eastAsia="Arial" w:hAnsi="Arial"/>
          <w:sz w:val="18"/>
          <w:szCs w:val="18"/>
          <w:color w:val="auto"/>
        </w:rPr>
      </w:pPr>
    </w:p>
    <w:p>
      <w:pPr>
        <w:ind w:left="-460" w:right="20" w:firstLine="644"/>
        <w:spacing w:after="0" w:line="308" w:lineRule="auto"/>
        <w:tabs>
          <w:tab w:leader="none" w:pos="7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Dispositions or consignments of equipment, inventory or other assets (including leasehold interests in real property) with respect to facilities that are temporarily not in use, held for sale or closed (or otherwise in connection with the closing or sale of any facility);</w:t>
      </w:r>
    </w:p>
    <w:p>
      <w:pPr>
        <w:spacing w:after="0" w:line="146" w:lineRule="exact"/>
        <w:rPr>
          <w:rFonts w:ascii="Arial" w:cs="Arial" w:eastAsia="Arial" w:hAnsi="Arial"/>
          <w:sz w:val="17"/>
          <w:szCs w:val="17"/>
          <w:color w:val="auto"/>
        </w:rPr>
      </w:pPr>
    </w:p>
    <w:p>
      <w:pPr>
        <w:ind w:left="700" w:hanging="51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40" w:firstLine="644"/>
        <w:spacing w:after="0" w:line="263" w:lineRule="auto"/>
        <w:tabs>
          <w:tab w:leader="none" w:pos="7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Dispositions of non-core assets (including Equity Interests) and sales of real estate assets acquired in a transaction after the Issue Date that the Issuer determines in good faith will not be used or useful for the continued operation of the Issuer or any of its Restricted Subsidiaries or any of their respective businesses;</w:t>
      </w:r>
    </w:p>
    <w:p>
      <w:pPr>
        <w:spacing w:after="0" w:line="183" w:lineRule="exact"/>
        <w:rPr>
          <w:rFonts w:ascii="Arial" w:cs="Arial" w:eastAsia="Arial" w:hAnsi="Arial"/>
          <w:sz w:val="18"/>
          <w:szCs w:val="18"/>
          <w:color w:val="auto"/>
        </w:rPr>
      </w:pPr>
    </w:p>
    <w:p>
      <w:pPr>
        <w:ind w:left="-460" w:right="280" w:firstLine="644"/>
        <w:spacing w:after="0" w:line="342" w:lineRule="auto"/>
        <w:tabs>
          <w:tab w:leader="none" w:pos="6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exchanges or swaps, including transactions covered by Section 1031 of the Code (or any comparable provision of any foreign jurisdiction), of assets so long as any such exchange or swap is made for fair value (as reasonably determined by the Issuer) for like assets;</w:t>
      </w:r>
    </w:p>
    <w:p>
      <w:pPr>
        <w:spacing w:after="0" w:line="123" w:lineRule="exact"/>
        <w:rPr>
          <w:rFonts w:ascii="Arial" w:cs="Arial" w:eastAsia="Arial" w:hAnsi="Arial"/>
          <w:sz w:val="16"/>
          <w:szCs w:val="16"/>
          <w:color w:val="auto"/>
        </w:rPr>
      </w:pPr>
    </w:p>
    <w:p>
      <w:pPr>
        <w:ind w:left="680" w:hanging="49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20" w:firstLine="644"/>
        <w:spacing w:after="0" w:line="255" w:lineRule="auto"/>
        <w:tabs>
          <w:tab w:leader="none" w:pos="6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licensing, sub-licensing and cross-licensing arrangements involving any technology, intellectual property, other IP Rights or other general intangibles of the Issuer or any Restricted Subsidiary in the ordinary course of business, consistent with past practice or consistent with industry norm or that is immaterial; and (ii) Dispositions, abandonments, cancellations or lapses of IP Rights, or issuance or registration, or applications for issuance or registration, of IP Rights, which, in the reasonable business judgment of the Issuer, are not material to the conduct of the business of the Issuer and its Restricted Subsidiaries, taken as a whole, or are no longer economically practicable or commercially reasonable to maintain;</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341" w:right="459" w:bottom="1440" w:gutter="0" w:footer="0" w:header="0"/>
        </w:sectPr>
      </w:pPr>
    </w:p>
    <w:bookmarkStart w:id="15" w:name="page16"/>
    <w:bookmarkEnd w:id="15"/>
    <w:p>
      <w:pPr>
        <w:ind w:left="700" w:hanging="51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terminations or unwinds of Derivative Transactions and Banking Services;</w:t>
      </w:r>
    </w:p>
    <w:p>
      <w:pPr>
        <w:spacing w:after="0" w:line="225" w:lineRule="exact"/>
        <w:rPr>
          <w:rFonts w:ascii="Arial" w:cs="Arial" w:eastAsia="Arial" w:hAnsi="Arial"/>
          <w:sz w:val="18"/>
          <w:szCs w:val="18"/>
          <w:color w:val="auto"/>
        </w:rPr>
      </w:pPr>
    </w:p>
    <w:p>
      <w:pPr>
        <w:ind w:left="-460" w:right="260" w:firstLine="644"/>
        <w:spacing w:after="0" w:line="263" w:lineRule="auto"/>
        <w:tabs>
          <w:tab w:leader="none" w:pos="7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Disposition of Equity Interests of, or sale of Indebtedness or other securities of, an Unrestricted Subsidiary (or a Restricted Subsidiary that owns an Unrestricted Subsidiary so long as such Restricted Subsidiary owns no assets other than the Equity Interests of such Unrestricted Subsidiary);</w:t>
      </w:r>
    </w:p>
    <w:p>
      <w:pPr>
        <w:spacing w:after="0" w:line="183" w:lineRule="exact"/>
        <w:rPr>
          <w:rFonts w:ascii="Arial" w:cs="Arial" w:eastAsia="Arial" w:hAnsi="Arial"/>
          <w:sz w:val="18"/>
          <w:szCs w:val="18"/>
          <w:color w:val="auto"/>
        </w:rPr>
      </w:pPr>
    </w:p>
    <w:p>
      <w:pPr>
        <w:ind w:left="-460" w:right="160" w:firstLine="644"/>
        <w:spacing w:after="0" w:line="286" w:lineRule="auto"/>
        <w:tabs>
          <w:tab w:leader="none" w:pos="7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Dispositions of real estate assets and related assets in the ordinary course of business, consistent with past practice or consistent with industry norm of the Issuer and/or its Restricted Subsidiaries in connection with relocation activities for directors, officers, employees, members of management, managers, partners or consultants of the Issuer and/or any Restricted Subsidiary;</w:t>
      </w:r>
    </w:p>
    <w:p>
      <w:pPr>
        <w:spacing w:after="0" w:line="165" w:lineRule="exact"/>
        <w:rPr>
          <w:rFonts w:ascii="Arial" w:cs="Arial" w:eastAsia="Arial" w:hAnsi="Arial"/>
          <w:sz w:val="17"/>
          <w:szCs w:val="17"/>
          <w:color w:val="auto"/>
        </w:rPr>
      </w:pPr>
    </w:p>
    <w:p>
      <w:pPr>
        <w:ind w:left="-460" w:right="20" w:firstLine="644"/>
        <w:spacing w:after="0" w:line="263" w:lineRule="auto"/>
        <w:tabs>
          <w:tab w:leader="none" w:pos="7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Dispositions made to comply with any order of any governmental authority or any applicable Requirements of Law (including the Dispositions of any assets (including Equity Interests) made to obtain the approval of any applicable antitrust authority in connection with any acquisition);</w:t>
      </w:r>
    </w:p>
    <w:p>
      <w:pPr>
        <w:spacing w:after="0" w:line="183" w:lineRule="exact"/>
        <w:rPr>
          <w:rFonts w:ascii="Arial" w:cs="Arial" w:eastAsia="Arial" w:hAnsi="Arial"/>
          <w:sz w:val="18"/>
          <w:szCs w:val="18"/>
          <w:color w:val="auto"/>
        </w:rPr>
      </w:pPr>
    </w:p>
    <w:p>
      <w:pPr>
        <w:ind w:left="-460" w:right="20" w:firstLine="644"/>
        <w:spacing w:after="0" w:line="342" w:lineRule="auto"/>
        <w:tabs>
          <w:tab w:leader="none" w:pos="7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merger, consolidation, Disposition or conveyance the sole purpose of which is to reincorporate or reorganize (i) any Domestic Subsidiary in the U.S., any state thereof or the District of Columbia and/or (ii) any Foreign Subsidiary in the U.S. or any other jurisdiction;</w:t>
      </w:r>
    </w:p>
    <w:p>
      <w:pPr>
        <w:spacing w:after="0" w:line="123" w:lineRule="exact"/>
        <w:rPr>
          <w:rFonts w:ascii="Arial" w:cs="Arial" w:eastAsia="Arial" w:hAnsi="Arial"/>
          <w:sz w:val="16"/>
          <w:szCs w:val="16"/>
          <w:color w:val="auto"/>
        </w:rPr>
      </w:pPr>
    </w:p>
    <w:p>
      <w:pPr>
        <w:ind w:left="700" w:hanging="51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sale of equipment purchased at the end of an operating lease and resold thereafter;</w:t>
      </w:r>
    </w:p>
    <w:p>
      <w:pPr>
        <w:spacing w:after="0" w:line="225" w:lineRule="exact"/>
        <w:rPr>
          <w:sz w:val="20"/>
          <w:szCs w:val="20"/>
          <w:color w:val="auto"/>
        </w:rPr>
      </w:pPr>
    </w:p>
    <w:p>
      <w:pPr>
        <w:ind w:left="680" w:hanging="49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hanging="47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sale of Equity Interests of the Issuer;</w:t>
      </w:r>
    </w:p>
    <w:p>
      <w:pPr>
        <w:spacing w:after="0" w:line="225" w:lineRule="exact"/>
        <w:rPr>
          <w:rFonts w:ascii="Arial" w:cs="Arial" w:eastAsia="Arial" w:hAnsi="Arial"/>
          <w:sz w:val="18"/>
          <w:szCs w:val="18"/>
          <w:color w:val="auto"/>
        </w:rPr>
      </w:pPr>
    </w:p>
    <w:p>
      <w:pPr>
        <w:ind w:left="640" w:hanging="45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Disposition made in connection with any tax restructuring;</w:t>
      </w:r>
    </w:p>
    <w:p>
      <w:pPr>
        <w:spacing w:after="0" w:line="225" w:lineRule="exact"/>
        <w:rPr>
          <w:rFonts w:ascii="Arial" w:cs="Arial" w:eastAsia="Arial" w:hAnsi="Arial"/>
          <w:sz w:val="18"/>
          <w:szCs w:val="18"/>
          <w:color w:val="auto"/>
        </w:rPr>
      </w:pPr>
    </w:p>
    <w:p>
      <w:pPr>
        <w:ind w:left="-460" w:right="140" w:firstLine="644"/>
        <w:spacing w:after="0" w:line="277" w:lineRule="auto"/>
        <w:tabs>
          <w:tab w:leader="none" w:pos="6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financing transaction with respect to property built or acquired by the Issuer or any Restricted Subsidiary after the Issue Date, including Sale and Lease-Back Transactions and asset securitizations permitted hereby;</w:t>
      </w:r>
    </w:p>
    <w:p>
      <w:pPr>
        <w:spacing w:after="0" w:line="170" w:lineRule="exact"/>
        <w:rPr>
          <w:rFonts w:ascii="Arial" w:cs="Arial" w:eastAsia="Arial" w:hAnsi="Arial"/>
          <w:sz w:val="18"/>
          <w:szCs w:val="18"/>
          <w:color w:val="auto"/>
        </w:rPr>
      </w:pPr>
    </w:p>
    <w:p>
      <w:pPr>
        <w:ind w:left="-460" w:firstLine="644"/>
        <w:spacing w:after="0" w:line="259" w:lineRule="auto"/>
        <w:tabs>
          <w:tab w:leader="none" w:pos="6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Disposition of Equity Interests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of acquisition;</w:t>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6" w:name="page17"/>
    <w:bookmarkEnd w:id="16"/>
    <w:p>
      <w:pPr>
        <w:ind w:left="660" w:right="480" w:firstLine="689"/>
        <w:spacing w:after="0" w:line="308" w:lineRule="auto"/>
        <w:tabs>
          <w:tab w:leader="none" w:pos="18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any sale of property or assets, if the acquisition of such property or assets was financed with Excluded Contributions and the proceeds of such sale are used to make a Restricted Payment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4.07(b)(iii)</w:t>
      </w:r>
      <w:r>
        <w:rPr>
          <w:rFonts w:ascii="Arial" w:cs="Arial" w:eastAsia="Arial" w:hAnsi="Arial"/>
          <w:sz w:val="17"/>
          <w:szCs w:val="17"/>
          <w:color w:val="auto"/>
        </w:rPr>
        <w:t>;</w:t>
      </w:r>
    </w:p>
    <w:p>
      <w:pPr>
        <w:spacing w:after="0" w:line="146" w:lineRule="exact"/>
        <w:rPr>
          <w:sz w:val="20"/>
          <w:szCs w:val="20"/>
          <w:color w:val="auto"/>
        </w:rPr>
      </w:pPr>
    </w:p>
    <w:p>
      <w:pPr>
        <w:ind w:left="660" w:right="420" w:firstLine="644"/>
        <w:spacing w:after="0" w:line="277" w:lineRule="auto"/>
        <w:tabs>
          <w:tab w:leader="none" w:pos="17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Disposition of non-revenue producing assets to a Person who is providing services related to such assets, the provision of which have been or are to be outsourced by the Issuer or any Restricted Subsidiaries to such Person;</w:t>
      </w:r>
    </w:p>
    <w:p>
      <w:pPr>
        <w:spacing w:after="0" w:line="170" w:lineRule="exact"/>
        <w:rPr>
          <w:rFonts w:ascii="Arial" w:cs="Arial" w:eastAsia="Arial" w:hAnsi="Arial"/>
          <w:sz w:val="18"/>
          <w:szCs w:val="18"/>
          <w:color w:val="auto"/>
        </w:rPr>
      </w:pPr>
    </w:p>
    <w:p>
      <w:pPr>
        <w:ind w:left="660" w:right="60" w:firstLine="644"/>
        <w:spacing w:after="0" w:line="263" w:lineRule="auto"/>
        <w:tabs>
          <w:tab w:leader="none" w:pos="17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Dispositions (including those of the type otherwise described herein) involving assets having a fair market value of not more than the greater of $20.0 million and 5.0% of Annualized EBITDA of the Issuer and its Restricted Subsidiaries (measured at the time of contractually agreeing to such Disposition);</w:t>
      </w:r>
    </w:p>
    <w:p>
      <w:pPr>
        <w:spacing w:after="0" w:line="183" w:lineRule="exact"/>
        <w:rPr>
          <w:rFonts w:ascii="Arial" w:cs="Arial" w:eastAsia="Arial" w:hAnsi="Arial"/>
          <w:sz w:val="18"/>
          <w:szCs w:val="18"/>
          <w:color w:val="auto"/>
        </w:rPr>
      </w:pPr>
    </w:p>
    <w:p>
      <w:pPr>
        <w:ind w:left="1800" w:hanging="496"/>
        <w:spacing w:after="0"/>
        <w:tabs>
          <w:tab w:leader="none" w:pos="1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issuance of directors’ qualifying shares and shares issued to foreign nationals or other third parties as required by applicable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 and</w:t>
      </w:r>
    </w:p>
    <w:p>
      <w:pPr>
        <w:spacing w:after="0" w:line="210" w:lineRule="exact"/>
        <w:rPr>
          <w:rFonts w:ascii="Arial" w:cs="Arial" w:eastAsia="Arial" w:hAnsi="Arial"/>
          <w:sz w:val="16"/>
          <w:szCs w:val="16"/>
          <w:color w:val="auto"/>
        </w:rPr>
      </w:pPr>
    </w:p>
    <w:p>
      <w:pPr>
        <w:jc w:val="both"/>
        <w:ind w:left="660" w:right="140" w:firstLine="644"/>
        <w:spacing w:after="0" w:line="263" w:lineRule="auto"/>
        <w:tabs>
          <w:tab w:leader="none" w:pos="179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sale, conveyance, transfer or other disposition to effect the formation of any Restricted Subsidiary that has been formed upon the consummation of a Division;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Disposition or other allocation of assets (including any equity interests of such Subsidiary) in connection therewith is otherwise not prohibited under this Indenture.</w:t>
      </w:r>
    </w:p>
    <w:p>
      <w:pPr>
        <w:spacing w:after="0" w:line="184"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In the event that a transaction (or any portion thereof) meets the criteria of a permitted Asset Sale (or constitutes a permitted exception to the definition of “Asset Sale”) and would also be a permitted Restricted Payment or Permitted Investment, the Issuer, in its sole discretion, will be entitled to divide and classify such transaction (or a portion thereof) as an Asset Sale (or a permitted exception thereto) and/or one or more of the types of permitted Restricted Payments or Permitted Investments.</w:t>
      </w:r>
    </w:p>
    <w:p>
      <w:pPr>
        <w:spacing w:after="0" w:line="187" w:lineRule="exact"/>
        <w:rPr>
          <w:sz w:val="20"/>
          <w:szCs w:val="20"/>
          <w:color w:val="auto"/>
        </w:rPr>
      </w:pPr>
    </w:p>
    <w:p>
      <w:pPr>
        <w:ind w:right="2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the Bankruptcy Code and any similar federal, state or foreign law for the relief of debtors.</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or functional equivalent thereof with respect to the relevant Board of Directors.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820" w:hanging="516"/>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160" w:firstLine="644"/>
        <w:spacing w:after="0" w:line="277" w:lineRule="auto"/>
        <w:tabs>
          <w:tab w:leader="none" w:pos="1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or membership interests (whether general or limited); and</w:t>
      </w:r>
    </w:p>
    <w:p>
      <w:pPr>
        <w:spacing w:after="0" w:line="248" w:lineRule="exact"/>
        <w:rPr>
          <w:rFonts w:ascii="Arial" w:cs="Arial" w:eastAsia="Arial" w:hAnsi="Arial"/>
          <w:sz w:val="16"/>
          <w:szCs w:val="16"/>
          <w:color w:val="auto"/>
        </w:rPr>
      </w:pPr>
    </w:p>
    <w:p>
      <w:pPr>
        <w:ind w:left="660" w:right="40" w:firstLine="644"/>
        <w:spacing w:after="0" w:line="277" w:lineRule="auto"/>
        <w:tabs>
          <w:tab w:leader="none" w:pos="1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w:t>
      </w:r>
    </w:p>
    <w:p>
      <w:pPr>
        <w:spacing w:after="0" w:line="170"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the Issuer and its Restricted Subsidiaries during such period in respect of purchased software or internally developed software, implementation costs of cloud computing arrangements and software enhancements that, in conformity with GAAP, are or are required to be reflected as capitalized costs on the consolidated balance sheet of the Issuer and its Restricted Subsidiaries.</w:t>
      </w:r>
    </w:p>
    <w:p>
      <w:pPr>
        <w:spacing w:after="0" w:line="187"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Restricted Subsidiary of the Issuer that is subject to regulation as an insurance company (and any Restricted Subsidiary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as at any date of determination,</w:t>
      </w:r>
    </w:p>
    <w:p>
      <w:pPr>
        <w:spacing w:after="0" w:line="225" w:lineRule="exact"/>
        <w:rPr>
          <w:sz w:val="20"/>
          <w:szCs w:val="20"/>
          <w:color w:val="auto"/>
        </w:rPr>
      </w:pPr>
    </w:p>
    <w:p>
      <w:pPr>
        <w:jc w:val="both"/>
        <w:ind w:left="660" w:right="160" w:firstLine="644"/>
        <w:spacing w:after="0" w:line="311" w:lineRule="auto"/>
        <w:tabs>
          <w:tab w:leader="none" w:pos="1823"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United States dollars, Australian Dollars, Canadian Dollars, Euros, Japanese Yen, New Swedish Krona, Pounds Sterling, Swiss Francs, any national currency of any member nation of the European Union, Yuan or such other currencies held by the Issuer and its Restricted Subsidiaries from time to time in the ordinary course of business, consistent with past practice or consistent with industry norm;</w:t>
      </w:r>
    </w:p>
    <w:p>
      <w:pPr>
        <w:spacing w:after="0" w:line="148" w:lineRule="exact"/>
        <w:rPr>
          <w:rFonts w:ascii="Arial" w:cs="Arial" w:eastAsia="Arial" w:hAnsi="Arial"/>
          <w:sz w:val="16"/>
          <w:szCs w:val="16"/>
          <w:color w:val="auto"/>
        </w:rPr>
      </w:pPr>
    </w:p>
    <w:p>
      <w:pPr>
        <w:ind w:left="660" w:right="20" w:firstLine="644"/>
        <w:spacing w:after="0" w:line="271" w:lineRule="auto"/>
        <w:tabs>
          <w:tab w:leader="none" w:pos="183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8" w:name="page19"/>
    <w:bookmarkEnd w:id="18"/>
    <w:p>
      <w:pPr>
        <w:ind w:left="-460" w:right="60" w:firstLine="689"/>
        <w:spacing w:after="0" w:line="275" w:lineRule="auto"/>
        <w:tabs>
          <w:tab w:leader="none" w:pos="7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nationally recognized statistical rating agency) and, in each case, repurchase agreements and reverse repurchase agreements relating thereto;</w:t>
      </w:r>
    </w:p>
    <w:p>
      <w:pPr>
        <w:spacing w:after="0" w:line="176" w:lineRule="exact"/>
        <w:rPr>
          <w:rFonts w:ascii="Arial" w:cs="Arial" w:eastAsia="Arial" w:hAnsi="Arial"/>
          <w:sz w:val="17"/>
          <w:szCs w:val="17"/>
          <w:color w:val="auto"/>
        </w:rPr>
      </w:pPr>
    </w:p>
    <w:p>
      <w:pPr>
        <w:ind w:left="-460" w:right="80" w:firstLine="644"/>
        <w:spacing w:after="0" w:line="259" w:lineRule="auto"/>
        <w:tabs>
          <w:tab w:leader="none" w:pos="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spacing w:after="0" w:line="186" w:lineRule="exact"/>
        <w:rPr>
          <w:rFonts w:ascii="Arial" w:cs="Arial" w:eastAsia="Arial" w:hAnsi="Arial"/>
          <w:sz w:val="18"/>
          <w:szCs w:val="18"/>
          <w:color w:val="auto"/>
        </w:rPr>
      </w:pPr>
    </w:p>
    <w:p>
      <w:pPr>
        <w:ind w:left="-460" w:right="20" w:firstLine="644"/>
        <w:spacing w:after="0" w:line="275" w:lineRule="auto"/>
        <w:tabs>
          <w:tab w:leader="none" w:pos="703"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spacing w:after="0" w:line="176" w:lineRule="exact"/>
        <w:rPr>
          <w:rFonts w:ascii="Arial" w:cs="Arial" w:eastAsia="Arial" w:hAnsi="Arial"/>
          <w:sz w:val="17"/>
          <w:szCs w:val="17"/>
          <w:color w:val="auto"/>
        </w:rPr>
      </w:pPr>
    </w:p>
    <w:p>
      <w:pPr>
        <w:ind w:left="-460" w:right="500" w:firstLine="644"/>
        <w:spacing w:after="0" w:line="277" w:lineRule="auto"/>
        <w:tabs>
          <w:tab w:leader="none" w:pos="6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with maturities of six months or less from the date of acquisition backed by standby letters of credit issued by any financial institution meeting the qualifications specified in clause (e) above;</w:t>
      </w:r>
    </w:p>
    <w:p>
      <w:pPr>
        <w:spacing w:after="0" w:line="170" w:lineRule="exact"/>
        <w:rPr>
          <w:rFonts w:ascii="Arial" w:cs="Arial" w:eastAsia="Arial" w:hAnsi="Arial"/>
          <w:sz w:val="18"/>
          <w:szCs w:val="18"/>
          <w:color w:val="auto"/>
        </w:rPr>
      </w:pPr>
    </w:p>
    <w:p>
      <w:pPr>
        <w:jc w:val="both"/>
        <w:ind w:left="-460" w:right="40" w:firstLine="644"/>
        <w:spacing w:after="0" w:line="263" w:lineRule="auto"/>
        <w:tabs>
          <w:tab w:leader="none" w:pos="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ind w:left="-460" w:right="140" w:firstLine="644"/>
        <w:spacing w:after="0" w:line="263" w:lineRule="auto"/>
        <w:tabs>
          <w:tab w:leader="none" w:pos="7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spacing w:after="0" w:line="183" w:lineRule="exact"/>
        <w:rPr>
          <w:rFonts w:ascii="Arial" w:cs="Arial" w:eastAsia="Arial" w:hAnsi="Arial"/>
          <w:sz w:val="18"/>
          <w:szCs w:val="18"/>
          <w:color w:val="auto"/>
        </w:rPr>
      </w:pPr>
    </w:p>
    <w:p>
      <w:pPr>
        <w:ind w:left="-460" w:firstLine="644"/>
        <w:spacing w:after="0" w:line="263" w:lineRule="auto"/>
        <w:tabs>
          <w:tab w:leader="none" w:pos="6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w:t>
      </w:r>
    </w:p>
    <w:p>
      <w:pPr>
        <w:spacing w:after="0" w:line="38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9" w:name="page20"/>
    <w:bookmarkEnd w:id="19"/>
    <w:p>
      <w:pPr>
        <w:ind w:left="660" w:right="180" w:firstLine="644"/>
        <w:spacing w:after="0" w:line="259" w:lineRule="auto"/>
        <w:tabs>
          <w:tab w:leader="none" w:pos="18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w:t>
      </w:r>
    </w:p>
    <w:p>
      <w:pPr>
        <w:spacing w:after="0" w:line="186" w:lineRule="exact"/>
        <w:rPr>
          <w:rFonts w:ascii="Arial" w:cs="Arial" w:eastAsia="Arial" w:hAnsi="Arial"/>
          <w:sz w:val="18"/>
          <w:szCs w:val="18"/>
          <w:color w:val="auto"/>
        </w:rPr>
      </w:pPr>
    </w:p>
    <w:p>
      <w:pPr>
        <w:ind w:left="660" w:right="40" w:firstLine="689"/>
        <w:spacing w:after="0" w:line="263" w:lineRule="auto"/>
        <w:tabs>
          <w:tab w:leader="none" w:pos="18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(j) above and clauses (l) and (m) below comparable in credit quality and tenor to those referred to in such clauses and customarily used by companies for cash management purposes in any jurisdiction outside the U.S. in which any Subsidiary operates;</w:t>
      </w:r>
    </w:p>
    <w:p>
      <w:pPr>
        <w:spacing w:after="0" w:line="184" w:lineRule="exact"/>
        <w:rPr>
          <w:sz w:val="20"/>
          <w:szCs w:val="20"/>
          <w:color w:val="auto"/>
        </w:rPr>
      </w:pPr>
    </w:p>
    <w:p>
      <w:pPr>
        <w:ind w:left="660" w:firstLine="644"/>
        <w:spacing w:after="0" w:line="259" w:lineRule="auto"/>
        <w:tabs>
          <w:tab w:leader="none" w:pos="18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Issuer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investment funds investing at least 90.0% of their assets in the types of investments referred to in clauses (a) through (l) above;</w:t>
      </w:r>
    </w:p>
    <w:p>
      <w:pPr>
        <w:spacing w:after="0" w:line="248" w:lineRule="exact"/>
        <w:rPr>
          <w:rFonts w:ascii="Arial" w:cs="Arial" w:eastAsia="Arial" w:hAnsi="Arial"/>
          <w:sz w:val="16"/>
          <w:szCs w:val="16"/>
          <w:color w:val="auto"/>
        </w:rPr>
      </w:pPr>
    </w:p>
    <w:p>
      <w:pPr>
        <w:ind w:left="660" w:right="160" w:firstLine="644"/>
        <w:spacing w:after="0" w:line="277" w:lineRule="auto"/>
        <w:tabs>
          <w:tab w:leader="none" w:pos="1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with respect to any Captive Insurance Subsidiary, any investment that such Captive Insurance Subsidiary is not prohibited to make in accordance with applicable law; and</w:t>
      </w:r>
    </w:p>
    <w:p>
      <w:pPr>
        <w:spacing w:after="0" w:line="170" w:lineRule="exact"/>
        <w:rPr>
          <w:rFonts w:ascii="Arial" w:cs="Arial" w:eastAsia="Arial" w:hAnsi="Arial"/>
          <w:sz w:val="18"/>
          <w:szCs w:val="18"/>
          <w:color w:val="auto"/>
        </w:rPr>
      </w:pPr>
    </w:p>
    <w:p>
      <w:pPr>
        <w:ind w:left="660" w:right="20" w:firstLine="644"/>
        <w:spacing w:after="0" w:line="301" w:lineRule="auto"/>
        <w:tabs>
          <w:tab w:leader="none" w:pos="1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 investments of the type and maturity described in clauses (a) through (n) above of foreign obligors, which Investments or obligors (or the parent companies thereof) have the ratings described in such clauses or equivalent ratings from comparable foreign rating agencies and (ii) other investments utilized by any Foreign Subsidiary and customarily used by companies in the jurisdiction of such Foreign Subsidiary for cash management purposes that are analogous to the investments described in clauses (a) through (n) above and in clause (i) of this </w:t>
      </w:r>
      <w:r>
        <w:rPr>
          <w:rFonts w:ascii="Arial" w:cs="Arial" w:eastAsia="Arial" w:hAnsi="Arial"/>
          <w:sz w:val="16"/>
          <w:szCs w:val="16"/>
          <w:u w:val="single" w:color="auto"/>
          <w:color w:val="auto"/>
        </w:rPr>
        <w:t>clause (o)</w:t>
      </w:r>
      <w:r>
        <w:rPr>
          <w:rFonts w:ascii="Arial" w:cs="Arial" w:eastAsia="Arial" w:hAnsi="Arial"/>
          <w:sz w:val="16"/>
          <w:szCs w:val="16"/>
          <w:color w:val="auto"/>
        </w:rPr>
        <w:t>.</w:t>
      </w:r>
    </w:p>
    <w:p>
      <w:pPr>
        <w:spacing w:after="0" w:line="15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clause (a)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clause (a) as promptly as practicable and in any event within ten Business Days following the receipt of such amounts.</w:t>
      </w:r>
    </w:p>
    <w:p>
      <w:pPr>
        <w:spacing w:after="0" w:line="184"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will be deemed to be Cash Equivalents under this Indenture regardless of the treatment of such items under GAAP.</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one or more of the following events after the Issue Date:</w:t>
      </w:r>
    </w:p>
    <w:p>
      <w:pPr>
        <w:spacing w:after="0" w:line="225" w:lineRule="exact"/>
        <w:rPr>
          <w:sz w:val="20"/>
          <w:szCs w:val="20"/>
          <w:color w:val="auto"/>
        </w:rPr>
      </w:pPr>
    </w:p>
    <w:p>
      <w:pPr>
        <w:ind w:right="440" w:firstLine="1304"/>
        <w:spacing w:after="0" w:line="277" w:lineRule="auto"/>
        <w:tabs>
          <w:tab w:leader="none" w:pos="18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Issuer and its Subsidiaries, taken as a whole, to any Person other than one or more Permitted Holders; or</w:t>
      </w:r>
    </w:p>
    <w:p>
      <w:pPr>
        <w:spacing w:after="0" w:line="170" w:lineRule="exact"/>
        <w:rPr>
          <w:rFonts w:ascii="Arial" w:cs="Arial" w:eastAsia="Arial" w:hAnsi="Arial"/>
          <w:sz w:val="18"/>
          <w:szCs w:val="18"/>
          <w:color w:val="auto"/>
        </w:rPr>
      </w:pPr>
    </w:p>
    <w:p>
      <w:pPr>
        <w:ind w:left="660" w:right="100" w:firstLine="644"/>
        <w:spacing w:after="0" w:line="271" w:lineRule="auto"/>
        <w:tabs>
          <w:tab w:leader="none" w:pos="18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Issuer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Equity Interests of the Issuer (within the meaning of Rule 13d-5(b)(1) under the Exchange Act), other than the Permitted Holders, in a single transaction or in a related series of transactions, by way of merger, consolidation or other business combination or purchase, of beneficial ownership (within the meaning of Rule 13d-3 under the Exchange Act) representing more than 50.0% of the total voting power of all of the outstanding Voting Stock of the Issuer, unless the Permitted Holders otherwise have the right (pursuant to contract, proxy or otherwise), directly or indirectly, to designate, nominate or appoint directors having a majority of the aggregate votes on the Board of Directors of the Issuer.</w:t>
      </w:r>
    </w:p>
    <w:p>
      <w:pPr>
        <w:spacing w:after="0" w:line="178"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Notwithstanding anything to the contrary in this definition or any provision of Rule 13d-3 of the Exchange Act, (i) a Person or group shall not be deemed to beneficially own Voting Stock (x) to be acquired by such Person or group pursuant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or (y) solely as a result of veto or approval rights in any joint venture agreement, shareholder agreement, investor rights agreement or other similar agreement, (ii) if any group (other than a Permitted Holder) includes one or more Permitted Holders, the issued and outstanding Voting Stock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(other than Permitted Holders) will not be deemed to beneficially own Voting Stock of another Person as a result of its ownership of Equity Interests or other securities of such other Person’s parent (or related contractual rights) unless it owns more than 50.0% of the total voting power of the Voting Stock of such Person’s parent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Charge</w:t>
      </w:r>
      <w:r>
        <w:rPr>
          <w:rFonts w:ascii="Arial" w:cs="Arial" w:eastAsia="Arial" w:hAnsi="Arial"/>
          <w:sz w:val="16"/>
          <w:szCs w:val="16"/>
          <w:color w:val="auto"/>
        </w:rPr>
        <w:t>” means any fee, loss, charge, expense, cost, accrual or reserve of any kind (in each case, if applicable, as defined under GAAP).</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any successor thereto.</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1" w:name="page22"/>
    <w:bookmarkEnd w:id="21"/>
    <w:p>
      <w:pPr>
        <w:ind w:firstLine="13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assets and property of the Issuer or any Guarantor, whether real, personal or mixed, securing or purported to secure any Secured Notes Obligations, other than Excluded Assets.</w:t>
      </w:r>
    </w:p>
    <w:p>
      <w:pPr>
        <w:spacing w:after="0" w:line="170"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(1) in the case of the Secured Notes Obligations, the Notes Collateral Agent and (2) in the case of any Additional Equal Priority Obligations, the collateral agent, administrative agent or the trustee with respect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with respect to any Person for any Test Period, the sum of:</w:t>
      </w:r>
    </w:p>
    <w:p>
      <w:pPr>
        <w:spacing w:after="0" w:line="225" w:lineRule="exact"/>
        <w:rPr>
          <w:sz w:val="20"/>
          <w:szCs w:val="20"/>
          <w:color w:val="auto"/>
        </w:rPr>
      </w:pPr>
    </w:p>
    <w:p>
      <w:pPr>
        <w:ind w:left="1820" w:hanging="516"/>
        <w:spacing w:after="0"/>
        <w:tabs>
          <w:tab w:leader="none" w:pos="1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Consolidated Net Income of such Person for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firstLine="644"/>
        <w:spacing w:after="0" w:line="342" w:lineRule="auto"/>
        <w:tabs>
          <w:tab w:leader="none" w:pos="1833"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without duplication and, other than with respect to clauses (b)(vii), (xiii) and (xv) of this definition of “Consolidated EBITDA”, to the extent already deducted (and not added back) or not included in arriving at such Consolidated Net Income, the sum of the following amounts:</w:t>
      </w:r>
    </w:p>
    <w:p>
      <w:pPr>
        <w:spacing w:after="0" w:line="123" w:lineRule="exact"/>
        <w:rPr>
          <w:rFonts w:ascii="Arial" w:cs="Arial" w:eastAsia="Arial" w:hAnsi="Arial"/>
          <w:sz w:val="16"/>
          <w:szCs w:val="16"/>
          <w:color w:val="auto"/>
        </w:rPr>
      </w:pPr>
    </w:p>
    <w:p>
      <w:pPr>
        <w:ind w:left="1960" w:right="80" w:firstLine="640"/>
        <w:spacing w:after="0" w:line="279" w:lineRule="auto"/>
        <w:tabs>
          <w:tab w:leader="none" w:pos="30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Fixed Charges and, to the extent not reflected in such Fixed Charges, any losses on hedging obligations or other derivative instruments entered into for the purpose of hedging interest rate risk, and bank and letter of credit fees, debt rating monitoring fees and costs of surety, performance or completion bonds, together with items excluded from the definition of “Consolidated Interest Expense” pursuant to clauses (a) through (n) thereof;</w:t>
      </w:r>
    </w:p>
    <w:p>
      <w:pPr>
        <w:spacing w:after="0" w:line="171" w:lineRule="exact"/>
        <w:rPr>
          <w:rFonts w:ascii="Arial" w:cs="Arial" w:eastAsia="Arial" w:hAnsi="Arial"/>
          <w:sz w:val="17"/>
          <w:szCs w:val="17"/>
          <w:color w:val="auto"/>
        </w:rPr>
      </w:pPr>
    </w:p>
    <w:p>
      <w:pPr>
        <w:ind w:left="1960" w:firstLine="640"/>
        <w:spacing w:after="0" w:line="255" w:lineRule="auto"/>
        <w:tabs>
          <w:tab w:leader="none" w:pos="31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taxes paid and any provision for taxes, including income, capital, profit, revenue, federal, state, foreign, provincial, franchise, unitary, excise and similar taxes, property taxes, foreign withholding taxes and foreign unreimbursed value added taxes (including (x) penalties and interest related to any such tax or arising from any tax examination, (y) pursuant to any tax sharing arrangement or as a result of any tax distribution and (z) in respect of repatriated funds) of such Person paid or accrued during such period, any net tax expense associated with any adjustment made pursuant to clauses (a) through (w) of the definition of “Consolidated Net Income”;</w:t>
      </w:r>
    </w:p>
    <w:p>
      <w:pPr>
        <w:spacing w:after="0" w:line="192" w:lineRule="exact"/>
        <w:rPr>
          <w:rFonts w:ascii="Arial" w:cs="Arial" w:eastAsia="Arial" w:hAnsi="Arial"/>
          <w:sz w:val="18"/>
          <w:szCs w:val="18"/>
          <w:color w:val="auto"/>
        </w:rPr>
      </w:pPr>
    </w:p>
    <w:p>
      <w:pPr>
        <w:ind w:left="1960" w:right="140" w:firstLine="640"/>
        <w:spacing w:after="0" w:line="272" w:lineRule="auto"/>
        <w:tabs>
          <w:tab w:leader="none" w:pos="31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depreciation and (B) amortization (including capitalized fees and costs, including in respect of any Permitted Receivables Financing, and amortization of goodwill, software, internal labor costs, deferred financing fees or costs, original issue discount resulting from the issuance of Indebtedness at less than par and other debt issuance costs, commissions, fees and expenses, other intangible assets (including intangible assets established through purchase accounting of such Person and its Restricted Subsidiaries for such period on a consolidated basis and otherwise determined in accordance with GAAP), customer acquisition costs, capitalized expenditures (including Capitalized Software Expenditures) and incentive payments, conversion costs, and contract acquisition costs);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left="840" w:right="20" w:firstLine="685"/>
        <w:spacing w:after="0" w:line="254" w:lineRule="auto"/>
        <w:tabs>
          <w:tab w:leader="none" w:pos="21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non-cash Charge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be subtracted from Consolidated EBITDA (as a deduction in calculating net income or otherwise) to such extent in such period and (y) any non-cash Charge representing amortization of a prepaid cash item that was paid and not expensed in a prior period, except for non-cash Charges in respect of prepaid installation and construction Charges, shall be excluded);</w:t>
      </w:r>
    </w:p>
    <w:p>
      <w:pPr>
        <w:spacing w:after="0" w:line="194" w:lineRule="exact"/>
        <w:rPr>
          <w:rFonts w:ascii="Arial" w:cs="Arial" w:eastAsia="Arial" w:hAnsi="Arial"/>
          <w:sz w:val="18"/>
          <w:szCs w:val="18"/>
          <w:color w:val="auto"/>
        </w:rPr>
      </w:pPr>
    </w:p>
    <w:p>
      <w:pPr>
        <w:ind w:left="840" w:right="40" w:firstLine="640"/>
        <w:spacing w:after="0" w:line="269" w:lineRule="auto"/>
        <w:tabs>
          <w:tab w:leader="none" w:pos="201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any Charge incurred as a result of, in connection with or pursuant to any management equity plan, profits interest or stock option plan, phantom equity plan or any other management or employee benefit plan or agreement, any severance agreement, any pension plan (including any post-employment benefit scheme to which the relevant pension trustee has agreed), any stock subscription or shareholder agreement,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Charge incurred in connection with the rollover, acceleration or payout of Equity Interests held by directors, officers, managers and/or employees (or any Immediate Family Member thereof) of such Person or any of its Restricted Subsidiaries;</w:t>
      </w:r>
    </w:p>
    <w:p>
      <w:pPr>
        <w:spacing w:after="0" w:line="185" w:lineRule="exact"/>
        <w:rPr>
          <w:rFonts w:ascii="Arial" w:cs="Arial" w:eastAsia="Arial" w:hAnsi="Arial"/>
          <w:sz w:val="17"/>
          <w:szCs w:val="17"/>
          <w:color w:val="auto"/>
        </w:rPr>
      </w:pPr>
    </w:p>
    <w:p>
      <w:pPr>
        <w:ind w:left="2100" w:hanging="620"/>
        <w:spacing w:after="0"/>
        <w:tabs>
          <w:tab w:leader="none" w:pos="2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40" w:firstLine="640"/>
        <w:spacing w:after="0" w:line="263" w:lineRule="auto"/>
        <w:tabs>
          <w:tab w:leader="none" w:pos="21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amount of Consolidated Net Income for such period attributable to non-controlling interests and/or minority interests of third parties in any non-Wholly-Owned Subsidiary, excluding cash distributions in respect thereof to the extent already included in Consolidated Net Income;</w:t>
      </w:r>
    </w:p>
    <w:p>
      <w:pPr>
        <w:spacing w:after="0" w:line="183" w:lineRule="exact"/>
        <w:rPr>
          <w:rFonts w:ascii="Arial" w:cs="Arial" w:eastAsia="Arial" w:hAnsi="Arial"/>
          <w:sz w:val="18"/>
          <w:szCs w:val="18"/>
          <w:color w:val="auto"/>
        </w:rPr>
      </w:pPr>
    </w:p>
    <w:p>
      <w:pPr>
        <w:ind w:left="2160" w:hanging="680"/>
        <w:spacing w:after="0"/>
        <w:tabs>
          <w:tab w:leader="none" w:pos="2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of any contingent payments in connection with the licensing of intellectual property or other</w:t>
      </w:r>
    </w:p>
    <w:p>
      <w:pPr>
        <w:spacing w:after="0" w:line="34"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assets;</w:t>
      </w:r>
    </w:p>
    <w:p>
      <w:pPr>
        <w:spacing w:after="0" w:line="210" w:lineRule="exact"/>
        <w:rPr>
          <w:rFonts w:ascii="Arial" w:cs="Arial" w:eastAsia="Arial" w:hAnsi="Arial"/>
          <w:sz w:val="17"/>
          <w:szCs w:val="17"/>
          <w:color w:val="auto"/>
        </w:rPr>
      </w:pPr>
    </w:p>
    <w:p>
      <w:pPr>
        <w:ind w:left="2100" w:hanging="620"/>
        <w:spacing w:after="0"/>
        <w:tabs>
          <w:tab w:leader="none" w:pos="2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3" w:name="page24"/>
    <w:bookmarkEnd w:id="23"/>
    <w:p>
      <w:pPr>
        <w:ind w:left="2100" w:hanging="575"/>
        <w:spacing w:after="0"/>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fees, Charges, expense reimbursements and indemnities paid to directors;</w:t>
      </w:r>
    </w:p>
    <w:p>
      <w:pPr>
        <w:spacing w:after="0" w:line="225" w:lineRule="exact"/>
        <w:rPr>
          <w:rFonts w:ascii="Arial" w:cs="Arial" w:eastAsia="Arial" w:hAnsi="Arial"/>
          <w:sz w:val="18"/>
          <w:szCs w:val="18"/>
          <w:color w:val="auto"/>
        </w:rPr>
      </w:pPr>
    </w:p>
    <w:p>
      <w:pPr>
        <w:ind w:left="840" w:right="400" w:firstLine="640"/>
        <w:spacing w:after="0" w:line="277" w:lineRule="auto"/>
        <w:tabs>
          <w:tab w:leader="none" w:pos="20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any Charge incurred or accrued in connection with sales of receivables and related assets in connection with any Permitted Receivables Financing;</w:t>
      </w:r>
    </w:p>
    <w:p>
      <w:pPr>
        <w:spacing w:after="0" w:line="170" w:lineRule="exact"/>
        <w:rPr>
          <w:rFonts w:ascii="Arial" w:cs="Arial" w:eastAsia="Arial" w:hAnsi="Arial"/>
          <w:sz w:val="18"/>
          <w:szCs w:val="18"/>
          <w:color w:val="auto"/>
        </w:rPr>
      </w:pPr>
    </w:p>
    <w:p>
      <w:pPr>
        <w:ind w:left="840" w:firstLine="640"/>
        <w:spacing w:after="0" w:line="259" w:lineRule="auto"/>
        <w:tabs>
          <w:tab w:leader="none" w:pos="2113"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 and any other items of a similar nature;</w:t>
      </w:r>
    </w:p>
    <w:p>
      <w:pPr>
        <w:spacing w:after="0" w:line="186" w:lineRule="exact"/>
        <w:rPr>
          <w:rFonts w:ascii="Arial" w:cs="Arial" w:eastAsia="Arial" w:hAnsi="Arial"/>
          <w:sz w:val="18"/>
          <w:szCs w:val="18"/>
          <w:color w:val="auto"/>
        </w:rPr>
      </w:pPr>
    </w:p>
    <w:p>
      <w:pPr>
        <w:ind w:left="2160" w:hanging="680"/>
        <w:spacing w:after="0"/>
        <w:tabs>
          <w:tab w:leader="none" w:pos="21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adjustments permitted or required by Article 11 of Regulation S-X of the Securities Act;</w:t>
      </w:r>
    </w:p>
    <w:p>
      <w:pPr>
        <w:spacing w:after="0" w:line="225" w:lineRule="exact"/>
        <w:rPr>
          <w:rFonts w:ascii="Arial" w:cs="Arial" w:eastAsia="Arial" w:hAnsi="Arial"/>
          <w:sz w:val="18"/>
          <w:szCs w:val="18"/>
          <w:color w:val="auto"/>
        </w:rPr>
      </w:pPr>
    </w:p>
    <w:p>
      <w:pPr>
        <w:ind w:left="840" w:firstLine="640"/>
        <w:spacing w:after="0" w:line="277" w:lineRule="auto"/>
        <w:tabs>
          <w:tab w:leader="none" w:pos="2153" w:val="left"/>
        </w:tabs>
        <w:numPr>
          <w:ilvl w:val="2"/>
          <w:numId w:val="26"/>
        </w:numPr>
        <w:rPr>
          <w:rFonts w:ascii="Arial" w:cs="Arial" w:eastAsia="Arial" w:hAnsi="Arial"/>
          <w:sz w:val="18"/>
          <w:szCs w:val="18"/>
          <w:color w:val="auto"/>
        </w:rPr>
      </w:pPr>
      <w:r>
        <w:rPr>
          <w:rFonts w:ascii="Arial" w:cs="Arial" w:eastAsia="Arial" w:hAnsi="Arial"/>
          <w:sz w:val="18"/>
          <w:szCs w:val="18"/>
          <w:color w:val="auto"/>
        </w:rPr>
        <w:t>expenses consisting of internal software development costs that are expensed during the period but could have been capitalized under alternative accounting policies in accordance with GAAP; and</w:t>
      </w:r>
    </w:p>
    <w:p>
      <w:pPr>
        <w:spacing w:after="0" w:line="170" w:lineRule="exact"/>
        <w:rPr>
          <w:rFonts w:ascii="Arial" w:cs="Arial" w:eastAsia="Arial" w:hAnsi="Arial"/>
          <w:sz w:val="18"/>
          <w:szCs w:val="18"/>
          <w:color w:val="auto"/>
        </w:rPr>
      </w:pPr>
    </w:p>
    <w:p>
      <w:pPr>
        <w:ind w:left="840" w:right="200" w:firstLine="640"/>
        <w:spacing w:after="0" w:line="296" w:lineRule="auto"/>
        <w:tabs>
          <w:tab w:leader="none" w:pos="2103"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with respect to any joint venture that is not a Subsidiary of the Issuer or that is accounted for by the equity method of accounting, an amount equal to the proportion of those items described in clauses (i), (ii) and (iii) above relating to such joint venture corresponding to such Person and its Restricted Subsidiaries’ proportionate share of such joint venture’s Consolidated Net Income (determined as if such joint venture were a Restricted Subsidiary), except to the extent such joint venture’s Consolidated Net Income is excluded from such Person’s Consolidated Net Income; </w:t>
      </w:r>
      <w:r>
        <w:rPr>
          <w:rFonts w:ascii="Arial" w:cs="Arial" w:eastAsia="Arial" w:hAnsi="Arial"/>
          <w:sz w:val="16"/>
          <w:szCs w:val="16"/>
          <w:u w:val="single" w:color="auto"/>
          <w:color w:val="auto"/>
        </w:rPr>
        <w:t>plus</w:t>
      </w:r>
    </w:p>
    <w:p>
      <w:pPr>
        <w:spacing w:after="0" w:line="161" w:lineRule="exact"/>
        <w:rPr>
          <w:rFonts w:ascii="Arial" w:cs="Arial" w:eastAsia="Arial" w:hAnsi="Arial"/>
          <w:sz w:val="16"/>
          <w:szCs w:val="16"/>
          <w:color w:val="auto"/>
        </w:rPr>
      </w:pPr>
    </w:p>
    <w:p>
      <w:pPr>
        <w:ind w:left="-460" w:right="160" w:firstLine="644"/>
        <w:spacing w:after="0" w:line="259" w:lineRule="auto"/>
        <w:tabs>
          <w:tab w:leader="none" w:pos="7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without duplication and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EBITDA pursuant to clause (f) below for any previous period and not added back; </w:t>
      </w:r>
      <w:r>
        <w:rPr>
          <w:rFonts w:ascii="Arial" w:cs="Arial" w:eastAsia="Arial" w:hAnsi="Arial"/>
          <w:sz w:val="18"/>
          <w:szCs w:val="18"/>
          <w:u w:val="single" w:color="auto"/>
          <w:color w:val="auto"/>
        </w:rPr>
        <w:t>plus</w:t>
      </w:r>
    </w:p>
    <w:p>
      <w:pPr>
        <w:spacing w:after="0" w:line="186" w:lineRule="exact"/>
        <w:rPr>
          <w:rFonts w:ascii="Arial" w:cs="Arial" w:eastAsia="Arial" w:hAnsi="Arial"/>
          <w:sz w:val="18"/>
          <w:szCs w:val="18"/>
          <w:color w:val="auto"/>
        </w:rPr>
      </w:pPr>
    </w:p>
    <w:p>
      <w:pPr>
        <w:ind w:left="-460" w:right="20" w:firstLine="644"/>
        <w:spacing w:after="0" w:line="268" w:lineRule="auto"/>
        <w:tabs>
          <w:tab w:leader="none" w:pos="713"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without duplication, the amount of “run rate” cost savings, operating expense reductions, synergies and operating improvements (including the entry into or termination of material contracts (including Customer Contracts) and arrangements) (collectively, “</w:t>
      </w:r>
      <w:r>
        <w:rPr>
          <w:rFonts w:ascii="Arial" w:cs="Arial" w:eastAsia="Arial" w:hAnsi="Arial"/>
          <w:sz w:val="17"/>
          <w:szCs w:val="17"/>
          <w:u w:val="single" w:color="auto"/>
          <w:color w:val="auto"/>
        </w:rPr>
        <w:t>Run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Benefits</w:t>
      </w:r>
      <w:r>
        <w:rPr>
          <w:rFonts w:ascii="Arial" w:cs="Arial" w:eastAsia="Arial" w:hAnsi="Arial"/>
          <w:sz w:val="17"/>
          <w:szCs w:val="17"/>
          <w:color w:val="auto"/>
        </w:rPr>
        <w:t>”) related to any acquisition, Investment, disposition, incurrence, repayment or refinancing of Indebtedness, Restricted Payment, Subsidiary designation, operating improvement, tax restructuring or other restructuring, cost savings initiative and/or any similar transaction or initiative (any such operating improvement, restructuring, cost savings initiative or other transaction, action or initiative, a “</w:t>
      </w:r>
      <w:r>
        <w:rPr>
          <w:rFonts w:ascii="Arial" w:cs="Arial" w:eastAsia="Arial" w:hAnsi="Arial"/>
          <w:sz w:val="17"/>
          <w:szCs w:val="17"/>
          <w:u w:val="single" w:color="auto"/>
          <w:color w:val="auto"/>
        </w:rPr>
        <w:t>Run Rate Initiative</w:t>
      </w:r>
      <w:r>
        <w:rPr>
          <w:rFonts w:ascii="Arial" w:cs="Arial" w:eastAsia="Arial" w:hAnsi="Arial"/>
          <w:sz w:val="17"/>
          <w:szCs w:val="17"/>
          <w:color w:val="auto"/>
        </w:rPr>
        <w:t xml:space="preserve">”) projected by the Issuer in good faith, including as a result of any alternative arrangements projected by the Issuer in good faith to be available, to be realized as a result of actions that have been taken or initiated (or with respect to which substantial steps have been taken or initiated) or are expected to be taken (in the good faith determination of the Issuer), including any cost savings, expenses and Charges (including restructuring and integration charges) in connection with, or incurred by or on behalf of, the Issuer or any of its Restricted Subsidiaries within 24 months after such Run Rate Initiative (which Run Rate Benefits shall be added to Consolidated EBITDA until fully realized and calculated on a pro forma basis as though such Run Rate Benefits had been realized on the first day of the relevant period), in each case net of the amount of actual benefits realized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cost savings are reasonably identifiable (for the avoidance of doubt, whether or not permitted to be added back under the rules and regulations of the SEC) and (B) no Run Rate Benefits shall be added pursuant to this clause (d) to the extent duplicative of any Charges relating to such Run Rate Benefits that increased Consolidated Net Income pursuant to clause (d) of the definition thereof (it being understood and agreed that “</w:t>
      </w:r>
      <w:r>
        <w:rPr>
          <w:rFonts w:ascii="Arial" w:cs="Arial" w:eastAsia="Arial" w:hAnsi="Arial"/>
          <w:sz w:val="17"/>
          <w:szCs w:val="17"/>
          <w:u w:val="single" w:color="auto"/>
          <w:color w:val="auto"/>
        </w:rPr>
        <w:t>run rate</w:t>
      </w:r>
      <w:r>
        <w:rPr>
          <w:rFonts w:ascii="Arial" w:cs="Arial" w:eastAsia="Arial" w:hAnsi="Arial"/>
          <w:sz w:val="17"/>
          <w:szCs w:val="17"/>
          <w:color w:val="auto"/>
        </w:rPr>
        <w:t xml:space="preserve">” shall mean the full recurring benefit that is associated with any action taken or initiated or that is expected to be taken); </w:t>
      </w:r>
      <w:r>
        <w:rPr>
          <w:rFonts w:ascii="Arial" w:cs="Arial" w:eastAsia="Arial" w:hAnsi="Arial"/>
          <w:sz w:val="17"/>
          <w:szCs w:val="17"/>
          <w:u w:val="single" w:color="auto"/>
          <w:color w:val="auto"/>
        </w:rPr>
        <w:t>plus</w:t>
      </w:r>
    </w:p>
    <w:p>
      <w:pPr>
        <w:spacing w:after="0" w:line="3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24" w:name="page25"/>
    <w:bookmarkEnd w:id="24"/>
    <w:p>
      <w:pPr>
        <w:ind w:left="660" w:right="200" w:firstLine="689"/>
        <w:spacing w:after="0" w:line="291" w:lineRule="auto"/>
        <w:tabs>
          <w:tab w:leader="none" w:pos="1868"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(i) the aggregate amount of “run rate” income that would have been earned pursuant to Customer Contracts entered into on or prior to the last day of such period (net of actual income earned pursuant to such Customer Contracts during such period) as estimated by the Issuer in good faith as if such Customer Contract had been entered into at the beginning of such period and determined assuming the contracted pricing for such Customer Contract was applicable (at the highest contracted rate and calculated based on assumed volumes, costs and margin determined by the Issuer to be a reasonable good faith estimate of the actual volumes and costs associated with such Customer Contract) during the entire Test Period, less (ii) any actual income earned under any Customer Contract that was cancelled or otherwise terminated in accordance with its terms during such period, or for which the Issuer has received notice that such cancellation or termination will occur; </w:t>
      </w:r>
      <w:r>
        <w:rPr>
          <w:rFonts w:ascii="Arial" w:cs="Arial" w:eastAsia="Arial" w:hAnsi="Arial"/>
          <w:sz w:val="16"/>
          <w:szCs w:val="16"/>
          <w:u w:val="single" w:color="auto"/>
          <w:color w:val="auto"/>
        </w:rPr>
        <w:t>minus</w:t>
      </w:r>
    </w:p>
    <w:p>
      <w:pPr>
        <w:spacing w:after="0" w:line="166" w:lineRule="exact"/>
        <w:rPr>
          <w:rFonts w:ascii="Arial" w:cs="Arial" w:eastAsia="Arial" w:hAnsi="Arial"/>
          <w:sz w:val="16"/>
          <w:szCs w:val="16"/>
          <w:color w:val="auto"/>
        </w:rPr>
      </w:pPr>
    </w:p>
    <w:p>
      <w:pPr>
        <w:ind w:left="660" w:firstLine="644"/>
        <w:spacing w:after="0" w:line="259" w:lineRule="auto"/>
        <w:tabs>
          <w:tab w:leader="none" w:pos="18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without duplication, any amount that, in the determination of such Consolidated Net Income for such period, has been included for any non-cash income or non-cash gain, all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8"/>
          <w:szCs w:val="18"/>
          <w:u w:val="single" w:color="auto"/>
          <w:color w:val="auto"/>
        </w:rPr>
        <w:t>minus</w:t>
      </w:r>
    </w:p>
    <w:p>
      <w:pPr>
        <w:spacing w:after="0" w:line="186" w:lineRule="exact"/>
        <w:rPr>
          <w:rFonts w:ascii="Arial" w:cs="Arial" w:eastAsia="Arial" w:hAnsi="Arial"/>
          <w:sz w:val="18"/>
          <w:szCs w:val="18"/>
          <w:color w:val="auto"/>
        </w:rPr>
      </w:pPr>
    </w:p>
    <w:p>
      <w:pPr>
        <w:ind w:left="660" w:right="20" w:firstLine="644"/>
        <w:spacing w:after="0" w:line="311" w:lineRule="auto"/>
        <w:tabs>
          <w:tab w:leader="none" w:pos="183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without duplication, the amount of any cash payment made during such period in respect of any non-cash accrual, reserve or other non-cash Charge that is accounted for in a prior period and that was added to Consolidated Net Income of the Issuer to determine Consolidated EBITDA of the Issuer for such prior period and that does not otherwise reduce such Consolidated Net Income for the current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of the Issuer and its Restricted Subsidiaries for any period shall be calculated on a pro forma basis.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Debt</w:t>
      </w:r>
      <w:r>
        <w:rPr>
          <w:rFonts w:ascii="Arial" w:cs="Arial" w:eastAsia="Arial" w:hAnsi="Arial"/>
          <w:sz w:val="17"/>
          <w:szCs w:val="17"/>
          <w:color w:val="auto"/>
        </w:rPr>
        <w:t>” means, as to any Person at any date of determination, the aggregate principal amount of Consolidated Total Debt of such Person outstanding on such date (a) that constitutes Secured Notes Obligations or (b) that is secured by a Lien on the Collateral that does not rank junior to the Liens on the Collateral securing the Secured Notes Obligations (excluding, for the avoidance of doubt, any obligation with respect to a Financing Lease of the Issuer or any Restricted Subsidiary secured by Liens on the assets subject thereto).</w:t>
      </w:r>
    </w:p>
    <w:p>
      <w:pPr>
        <w:spacing w:after="0" w:line="171"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Debt Ratio</w:t>
      </w:r>
      <w:r>
        <w:rPr>
          <w:rFonts w:ascii="Arial" w:cs="Arial" w:eastAsia="Arial" w:hAnsi="Arial"/>
          <w:sz w:val="18"/>
          <w:szCs w:val="18"/>
          <w:color w:val="auto"/>
        </w:rPr>
        <w:t>” means the ratio, as of any date of determination, of (a) Consolidated First Lien Debt as of the last day of the Test Period then most recently ended on or prior to such date of determination to (b) Annualized EBITDA, in each case of the Issuer and its Restricted Subsidiaries on a consolidated basis.</w:t>
      </w:r>
    </w:p>
    <w:p>
      <w:pPr>
        <w:spacing w:after="0" w:line="184"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cash interest expense (including that attributable to Financing Leases), net of cash interest income of the Issuer and the Restricted Subsidiaries with respect to all outstanding Indebtedness of the Issuer and the Restricted Subsidiaries to the extent included in the calculation of Consolidated Total Debt, including all commissions, discounts and other cash fees and Charges owed with respect to letters of credit and bankers’ acceptance financing and net costs (less net cash payments in connection therewith) under Specified Hedge Agreements and any Restricted Payments on account of Disqualified Stock made pursuant to </w:t>
      </w:r>
      <w:r>
        <w:rPr>
          <w:rFonts w:ascii="Arial" w:cs="Arial" w:eastAsia="Arial" w:hAnsi="Arial"/>
          <w:sz w:val="16"/>
          <w:szCs w:val="16"/>
          <w:u w:val="single" w:color="auto"/>
          <w:color w:val="auto"/>
        </w:rPr>
        <w:t>Section 4.07(b)(xiv)</w:t>
      </w:r>
      <w:r>
        <w:rPr>
          <w:rFonts w:ascii="Arial" w:cs="Arial" w:eastAsia="Arial" w:hAnsi="Arial"/>
          <w:sz w:val="16"/>
          <w:szCs w:val="16"/>
          <w:color w:val="auto"/>
        </w:rPr>
        <w:t>, but in any event excluding, for the avoidance of doubt, (a) amortization of original issue discount resulting from the issuance of Indebtedness at less than par, amortization of deferred financing costs, amendment and consent fees, debt issuance costs, commissions, fees, expenses and discounted liabilities and any other amounts of non-cash interest expense and any capitalized interest, whether paid or accrued (including as a result of the effects of purchase accounting or pushdown accounting), (b) any capitalized interest, whether paid in cash or otherwise, and any other non-cash interest expense, whether paid in cash or accrued, (c) any one-time cash costs associated with breakage in respect of Hedge Agreements for interest rates, (d) commissions, discounts, yield, make-whole premium and other fees and Charges (including any interest expense) incurred in connection with any Permitted Receivables Financing, (e) all non-recurring interest expense or “additional interest”, “special interest” or “liquidated damages” for failure to timely comply with registration rights obligations, (f) any interest expense attributable to the exercise of appraisal rights and the settlement of any claims or actions (whether actual, contingent or potential) with respect thereto and with respect to any acquisition or Investment, all as calculated on a consolidated basis in accordance with GAAP, (g) any payments with respect to make-whole premiums or other breakage costs of any Indebtedness, (h) penalties and interest relating to taxes, (i) accretion or accrual of discounted liabilities not constituting Indebtedness, (j) [Reserved], (k) any expense resulting from the discounting of Indebtedness in connection with the application of recapitalization or purchase accounting, (l) any expensing of bridge, arrangement, structuring, commitment or other financing fees or closing payments related to any transaction on or after the Issue Date, (m) any lease, rental or other expense, in connection with Non-Financing Lease Obligations or (n) annual agency or similar fees paid to the administrative agents, collateral agents and other agents under any Credit Facility.</w:t>
      </w:r>
    </w:p>
    <w:p>
      <w:pPr>
        <w:spacing w:after="0" w:line="169" w:lineRule="exact"/>
        <w:rPr>
          <w:sz w:val="20"/>
          <w:szCs w:val="20"/>
          <w:color w:val="auto"/>
        </w:rPr>
      </w:pPr>
    </w:p>
    <w:p>
      <w:pPr>
        <w:ind w:right="460" w:firstLine="1296"/>
        <w:spacing w:after="0" w:line="263" w:lineRule="auto"/>
        <w:rPr>
          <w:sz w:val="20"/>
          <w:szCs w:val="20"/>
          <w:color w:val="auto"/>
        </w:rPr>
      </w:pPr>
      <w:r>
        <w:rPr>
          <w:rFonts w:ascii="Arial" w:cs="Arial" w:eastAsia="Arial" w:hAnsi="Arial"/>
          <w:sz w:val="18"/>
          <w:szCs w:val="18"/>
          <w:color w:val="auto"/>
        </w:rPr>
        <w:t>For purposes of this definition, interest on obligations in respect of Financing Leases shall be deemed to accrue at an interest rate reasonably determined by such Person to be the rate of interest implicit in such obligations in accordance with GAAP (or, if not implicit, as otherwise determined in accordance with GAAP).</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40" w:firstLine="134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for any Test Period, an amount equal to the net income (loss), determined in accordance with GAAP, attributable to such Person and its Restricted Subsidiaries on a consolidated basis, but excluding (and excluding the effect of), without duplication:</w:t>
      </w:r>
    </w:p>
    <w:p>
      <w:pPr>
        <w:spacing w:after="0" w:line="184" w:lineRule="exact"/>
        <w:rPr>
          <w:sz w:val="20"/>
          <w:szCs w:val="20"/>
          <w:color w:val="auto"/>
        </w:rPr>
      </w:pPr>
    </w:p>
    <w:p>
      <w:pPr>
        <w:ind w:left="660" w:right="20" w:firstLine="644"/>
        <w:spacing w:after="0" w:line="272" w:lineRule="auto"/>
        <w:tabs>
          <w:tab w:leader="none" w:pos="1823"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the income of any Person (other than a Restricted Subsidiary of the Subject Person) in which any other Person (other than the Subject Person or any of its Restricted Subsidiaries) has an interest, except to the extent of the amount of dividends or distributions or other payments (including any ordinary course dividend, distribution or other payment) paid in cash or Cash Equivalents (or to the extent converted into cash or into Cash Equivalents) to the Subject Person or any of its Restricted Subsidiaries by such Person during such period or (ii) the loss of any Person (other than a Restricted Subsidiary of the Subject Person) in which any other Person (other than the Subject Person or any of its Restricted Subsidiaries) has an interest, other than to the extent that the Subject Person or any of its Restricted Subsidiaries has contributed cash or Cash Equivalents to such Person in respect of such loss during such period;</w:t>
      </w:r>
    </w:p>
    <w:p>
      <w:pPr>
        <w:spacing w:after="0" w:line="177" w:lineRule="exact"/>
        <w:rPr>
          <w:rFonts w:ascii="Arial" w:cs="Arial" w:eastAsia="Arial" w:hAnsi="Arial"/>
          <w:sz w:val="17"/>
          <w:szCs w:val="17"/>
          <w:color w:val="auto"/>
        </w:rPr>
      </w:pPr>
    </w:p>
    <w:p>
      <w:pPr>
        <w:ind w:left="1820" w:hanging="516"/>
        <w:spacing w:after="0"/>
        <w:tabs>
          <w:tab w:leader="none" w:pos="1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right="120" w:firstLine="644"/>
        <w:spacing w:after="0" w:line="263" w:lineRule="auto"/>
        <w:tabs>
          <w:tab w:leader="none" w:pos="18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gain or Charge from (A) any extraordinary or exceptional items and/or (B) any non-recurring or unusual item (including any non-recurring or unusual accruals or reserves in respect of any extraordinary, exceptional, non-recurring or unusual items) and/or (C) any Charge associated with and/or payment of any actual or prospective legal settlement, fine, judgment or order;</w:t>
      </w:r>
    </w:p>
    <w:p>
      <w:pPr>
        <w:spacing w:after="0" w:line="183" w:lineRule="exact"/>
        <w:rPr>
          <w:rFonts w:ascii="Arial" w:cs="Arial" w:eastAsia="Arial" w:hAnsi="Arial"/>
          <w:sz w:val="18"/>
          <w:szCs w:val="18"/>
          <w:color w:val="auto"/>
        </w:rPr>
      </w:pPr>
    </w:p>
    <w:p>
      <w:pPr>
        <w:ind w:left="660" w:firstLine="644"/>
        <w:spacing w:after="0" w:line="286" w:lineRule="auto"/>
        <w:tabs>
          <w:tab w:leader="none" w:pos="18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Charge attributable to the development, undertaking and/or implementation of any Run Rate Initiatives (including in connection with any integration, restructuring, strategic initiative or transition, any reconstruction, decommissioning, recommissioning or reconfiguration of fixed assets for alternative uses, any facility/location opening and/or pre-opening, any inventory optimization program and/or any curtailment), any business optimization Charge (including related to rate changes, new product or service introductions and other strategic or cost savings initiatives), any duplicative running costs, any restructuring Charge (including any Charge relating to any tax restructuring and/or acquisitions and adjustments to existing reserves and whether or not classified as a restructuring expense on the consolidated financial statements), any Charge relating to the closure or consolidation of any facility or location and/or discontinued operations (including severance, rent termination costs, contract termination costs, moving costs and legal costs), any systems implementation Charge, any severance Charge, any Charge relating to entry into a new market, any Charge relating to any strategic initiative (including any multi-year strategic initiative), any signing Charge, any retention or completion bonus, any other recruiting, signing and retention Charges, any expansion and/or relocation Charge, any Charge associated with any curtailments or modification to any pension and post-retirement employee benefit plan (including any settlement of pension liabilities and charges resulting from changes in estimates, valuations and judgments thereof), any software or other intellectual property development Charge, any Charge associated with new systems design, any implementation Charge, any startup Charge, any Charge in connection with new operations, any consulting Charge and/or any business development Charge;</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left="660" w:hanging="47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rFonts w:ascii="Arial" w:cs="Arial" w:eastAsia="Arial" w:hAnsi="Arial"/>
          <w:sz w:val="18"/>
          <w:szCs w:val="18"/>
          <w:color w:val="auto"/>
        </w:rPr>
      </w:pPr>
    </w:p>
    <w:p>
      <w:pPr>
        <w:ind w:left="-460" w:firstLine="644"/>
        <w:spacing w:after="0" w:line="269" w:lineRule="auto"/>
        <w:tabs>
          <w:tab w:leader="none" w:pos="6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Charge (including any transaction or retention bonus or similar payment or any amortization thereof for such period) incurred in connection with the consummation of any transaction (including any such transaction consummated prior to the Issue Date and any such transaction undertaken but not completed), including any issuance or offering of Equity Interests, any disposition, any spin-off transaction, any recapitalization, any acquisition, merger, consolidation or amalgamation, any option buyout or any incurrence, repayment, refinancing, amendment, termination or modification of Indebtedness (including any amortization or write-off of debt issuance or deferred financing costs, premiums and prepayment penalties) or any similar transaction and/or any Investment, including any acquisition, and/or “growth” capital expenditure including, in each case, any earn-out or other contingent consideration obligation expense or purchase price adjustment, integration expense or nonrecurring merger costs incurred during such period as a result of any such transactions, in each case whether or not successful (including, for the avoidance of doubt, the effects of expensing all transaction- related expenses in accordance with FASB Accounting Standards Codification Topic 805 and gains or losses associated with FASB Accounting Standards Codification Topic 460) and any adjustments of any of the foregoing, including such Charges related to (i) the Transactions and (ii) any amendment, termination or other modification of the Notes or other Indebtedness;</w:t>
      </w:r>
    </w:p>
    <w:p>
      <w:pPr>
        <w:spacing w:after="0" w:line="178" w:lineRule="exact"/>
        <w:rPr>
          <w:rFonts w:ascii="Arial" w:cs="Arial" w:eastAsia="Arial" w:hAnsi="Arial"/>
          <w:sz w:val="17"/>
          <w:szCs w:val="17"/>
          <w:color w:val="auto"/>
        </w:rPr>
      </w:pPr>
    </w:p>
    <w:p>
      <w:pPr>
        <w:ind w:left="-460" w:right="80" w:firstLine="644"/>
        <w:spacing w:after="0" w:line="257" w:lineRule="auto"/>
        <w:tabs>
          <w:tab w:leader="none" w:pos="7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amount of any Charge that is actually reimbursed (or reimbursable by one or more third parties pursuant to indemnification or reimbursement provisions or similar agreements or 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relevant Person in good faith expects to receive reimbursement for such Charge within the next four fiscal quarters (it being understood that to the extent any reimbursement amount is not actually received within such four fiscal quarters, such reimbursement amount shall be deducted in calculating Consolidated Net Income in the next succeeding fiscal quarter);</w:t>
      </w:r>
    </w:p>
    <w:p>
      <w:pPr>
        <w:spacing w:after="0" w:line="187" w:lineRule="exact"/>
        <w:rPr>
          <w:rFonts w:ascii="Arial" w:cs="Arial" w:eastAsia="Arial" w:hAnsi="Arial"/>
          <w:sz w:val="18"/>
          <w:szCs w:val="18"/>
          <w:color w:val="auto"/>
        </w:rPr>
      </w:pPr>
    </w:p>
    <w:p>
      <w:pPr>
        <w:ind w:left="-460" w:right="60" w:firstLine="644"/>
        <w:spacing w:after="0" w:line="257" w:lineRule="auto"/>
        <w:tabs>
          <w:tab w:leader="none" w:pos="7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net gain or Charge (less all fees and expenses chargeable thereto) with respect to (i) any disposed, abandoned, divested and/or discontinued asset, property or operation (including asset retirement costs, but other than (A) at the option of the Issuer, any asset, property or operation pending the disposal, abandonment, divestiture and/or termination thereof and (B) dispositions of inventory in the ordinary course of business), (ii) any location that has been closed during such period and/or (iii) any returned or surplus assets outside the ordinary course of business;</w:t>
      </w:r>
    </w:p>
    <w:p>
      <w:pPr>
        <w:spacing w:after="0" w:line="187" w:lineRule="exact"/>
        <w:rPr>
          <w:rFonts w:ascii="Arial" w:cs="Arial" w:eastAsia="Arial" w:hAnsi="Arial"/>
          <w:sz w:val="18"/>
          <w:szCs w:val="18"/>
          <w:color w:val="auto"/>
        </w:rPr>
      </w:pPr>
    </w:p>
    <w:p>
      <w:pPr>
        <w:ind w:left="-460" w:right="180" w:firstLine="644"/>
        <w:spacing w:after="0" w:line="342" w:lineRule="auto"/>
        <w:tabs>
          <w:tab w:leader="none" w:pos="6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net income or Charge that is established, adjusted and/or incurred, as applicable, and attributable to the early extinguishment of Indebtedness, any Hedge Agreement or other derivative instrument (including deferred financing costs written off and premiums paid);</w:t>
      </w:r>
    </w:p>
    <w:p>
      <w:pPr>
        <w:spacing w:after="0" w:line="32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8" w:name="page29"/>
    <w:bookmarkEnd w:id="28"/>
    <w:p>
      <w:pPr>
        <w:ind w:left="-460" w:right="180" w:firstLine="689"/>
        <w:spacing w:after="0" w:line="263" w:lineRule="auto"/>
        <w:tabs>
          <w:tab w:leader="none" w:pos="7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Charge that is established, adjusted or incurred, as applicable, within 24 months of the closing of any acquisition or other Investment, in each case, in accordance with GAAP (including any adjustment of estimated payouts on existing earn-outs) or changes as a result of the adoption or modification of accounting policies during such period;</w:t>
      </w:r>
    </w:p>
    <w:p>
      <w:pPr>
        <w:spacing w:after="0" w:line="183" w:lineRule="exact"/>
        <w:rPr>
          <w:rFonts w:ascii="Arial" w:cs="Arial" w:eastAsia="Arial" w:hAnsi="Arial"/>
          <w:sz w:val="18"/>
          <w:szCs w:val="18"/>
          <w:color w:val="auto"/>
        </w:rPr>
      </w:pPr>
    </w:p>
    <w:p>
      <w:pPr>
        <w:ind w:left="-460" w:right="20" w:firstLine="644"/>
        <w:spacing w:after="0" w:line="288" w:lineRule="auto"/>
        <w:tabs>
          <w:tab w:leader="none" w:pos="713" w:val="left"/>
        </w:tabs>
        <w:numPr>
          <w:ilvl w:val="1"/>
          <w:numId w:val="32"/>
        </w:numPr>
        <w:rPr>
          <w:rFonts w:ascii="Arial" w:cs="Arial" w:eastAsia="Arial" w:hAnsi="Arial"/>
          <w:sz w:val="16"/>
          <w:szCs w:val="16"/>
          <w:color w:val="auto"/>
        </w:rPr>
      </w:pPr>
      <w:r>
        <w:rPr>
          <w:rFonts w:ascii="Arial" w:cs="Arial" w:eastAsia="Arial" w:hAnsi="Arial"/>
          <w:sz w:val="16"/>
          <w:szCs w:val="16"/>
          <w:color w:val="auto"/>
        </w:rPr>
        <w:t>(i) the effects of adjustments (including the effects of such adjustments pushed down to the relevant Person and its Subsidiaries) resulting from the application of acquisition method, purchase and/or recapitalization accounting in relation to any consummated acquisition or similar transaction or recapitalization accounting or the amortization or write-off of any amounts thereof, net of taxes including adjustments in component amounts required or permitted by GAAP (including in the inventory, property and equipment, lease, software, goodwill, intangible asset, in-process research and development, Deferred Revenue, advanced billing and debt line items thereof) and/or (ii) at the election of the Issuer with respect to any fiscal quarter, and subject to the last paragraph of the definition of “GAAP”, the cumulative effect of any change in accounting principles or standards (effected by way of either a cumulative effect adjustment or a retroactive application, in each case, in accordance with GAAP) and/or any change resulting from the adoption or modification of accounting principles, standards and/or policies (including any impact resulting from an election by the Issuer to apply IFRS or other accounting changes) and any costs, charges, losses, fees or expenses in connection with the implementation or tracking of such changes or modifications;</w:t>
      </w:r>
    </w:p>
    <w:p>
      <w:pPr>
        <w:spacing w:after="0" w:line="168" w:lineRule="exact"/>
        <w:rPr>
          <w:rFonts w:ascii="Arial" w:cs="Arial" w:eastAsia="Arial" w:hAnsi="Arial"/>
          <w:sz w:val="16"/>
          <w:szCs w:val="16"/>
          <w:color w:val="auto"/>
        </w:rPr>
      </w:pPr>
    </w:p>
    <w:p>
      <w:pPr>
        <w:ind w:left="-460" w:firstLine="644"/>
        <w:spacing w:after="0" w:line="269" w:lineRule="auto"/>
        <w:tabs>
          <w:tab w:leader="none" w:pos="673"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any compensation Charge and/or any other Charge arising from the granting, rollover, acceleration or payment of any stock-based awards, partnership interest-based awards and similar awards or arrangements (including with respect to any profits interest relating to membership interests or partnership interests in any limited liability company or partnership, and including any stock option, profits interest, restricted stock or equity incentive payments) and the granting, rollover, acceleration or payment of any stock appreciation or similar right, management equity plan, employee benefit plan or agreement, stock option plan and/or similar arrangement (including any repricing, amendment, modification, substitution or change of any such stock option, stock appreciation right, profits interest or similar arrangement) and (ii) payments made to option, phantom equity or profits interests holders of such Person in connection with, or as a result of, any distribution made to equity holders of such Person, which payments are being made to compensate such option, phantom equity or profits interests holders as though they were equity holders at the time of, and entitled to share in, such distribution, including any cash consideration for any repurchase of equity, in each case, to the extent permitted under this Indenture (including expenses relating to distributions made to equity holders of such Person resulting from the application of FASB Accounting Standards Codification Topic 718);</w:t>
      </w:r>
    </w:p>
    <w:p>
      <w:pPr>
        <w:spacing w:after="0" w:line="181" w:lineRule="exact"/>
        <w:rPr>
          <w:rFonts w:ascii="Arial" w:cs="Arial" w:eastAsia="Arial" w:hAnsi="Arial"/>
          <w:sz w:val="17"/>
          <w:szCs w:val="17"/>
          <w:color w:val="auto"/>
        </w:rPr>
      </w:pPr>
    </w:p>
    <w:p>
      <w:pPr>
        <w:ind w:left="760" w:hanging="57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of intangible assets;</w:t>
      </w:r>
    </w:p>
    <w:p>
      <w:pPr>
        <w:spacing w:after="0" w:line="225" w:lineRule="exact"/>
        <w:rPr>
          <w:rFonts w:ascii="Arial" w:cs="Arial" w:eastAsia="Arial" w:hAnsi="Arial"/>
          <w:sz w:val="18"/>
          <w:szCs w:val="18"/>
          <w:color w:val="auto"/>
        </w:rPr>
      </w:pPr>
    </w:p>
    <w:p>
      <w:pPr>
        <w:ind w:left="-460" w:right="320" w:firstLine="644"/>
        <w:spacing w:after="0" w:line="277" w:lineRule="auto"/>
        <w:tabs>
          <w:tab w:leader="none" w:pos="7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impairment charge or asset write-off or write-down (including related to intangible assets (including goodwill), long-lived assets, leased right of use assets and investments in debt and equity securities);</w:t>
      </w:r>
    </w:p>
    <w:p>
      <w:pPr>
        <w:spacing w:after="0" w:line="3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9" w:name="page30"/>
    <w:bookmarkEnd w:id="29"/>
    <w:p>
      <w:pPr>
        <w:ind w:left="-460" w:firstLine="689"/>
        <w:spacing w:after="0" w:line="268" w:lineRule="auto"/>
        <w:tabs>
          <w:tab w:leader="none" w:pos="758"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under </w:t>
      </w:r>
      <w:r>
        <w:rPr>
          <w:rFonts w:ascii="Arial" w:cs="Arial" w:eastAsia="Arial" w:hAnsi="Arial"/>
          <w:sz w:val="17"/>
          <w:szCs w:val="17"/>
          <w:u w:val="single" w:color="auto"/>
          <w:color w:val="auto"/>
        </w:rPr>
        <w:t>clause (2)(a)(ii)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the net income in such period of any Restricted Subsidiary (other than any Guarantor) that, as of the date of determination, is subject to any restriction on its ability to pay dividends or make other distributions, directly or indirectly, by operation of its organizational documents or any agreement, instrument, judgment, decree, order or Requirements of Law applicable thereto (other than (A) any restriction that has been waived or otherwise released, (B) any restriction set forth in this Indenture or the documentation governing the South Power Bonds, similar restrictions (or other customary restrictions, as determined in good faith by the Issuer) set forth in any Credit Facilities or other Indebtedness and any restriction set forth in the documents relating to any Refinancing Indebtedness in respect of any of the foregoing and/or (C) restrictions arising pursuant to other agreements or instruments if the encumbrances and restrictions contained in any such agreement or instrument taken as a whole are not materially less favorable to Holders than the encumbrances and restrictions contained in this Indenture, the documentation governing the South Power Bonds or any Credit Facilities or other Indebtedness contemplated by the preceding clause (B) (as determined by the Issuer in good faith)); it being understood and agreed that Consolidated Net Income will be increased by the amount of any payments made in cash (or converted into cash) or in Cash Equivalents to the Issuer or any Restricted Subsidiary (other than the Restricted Subsidiary that is subject to the relevant restriction) in respect of any such income;</w:t>
      </w:r>
    </w:p>
    <w:p>
      <w:pPr>
        <w:spacing w:after="0" w:line="186" w:lineRule="exact"/>
        <w:rPr>
          <w:rFonts w:ascii="Arial" w:cs="Arial" w:eastAsia="Arial" w:hAnsi="Arial"/>
          <w:sz w:val="17"/>
          <w:szCs w:val="17"/>
          <w:color w:val="auto"/>
        </w:rPr>
      </w:pPr>
    </w:p>
    <w:p>
      <w:pPr>
        <w:ind w:left="-460" w:right="80" w:firstLine="644"/>
        <w:spacing w:after="0" w:line="293" w:lineRule="auto"/>
        <w:tabs>
          <w:tab w:leader="none" w:pos="71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any realized or unrealized gain or loss in respect of (A) any obligation under any Hedge Agreement as determined in accordance with GAAP and/or (B) any other derivative instrument pursuant to FASB Accounting Standards Codification Topic 815-Derivatives and Hedging or any other financial instrument pursuant to FASB Accounting Standards Codification Topic 825 and (ii) any realized or unrealized foreign currency exchange gain or loss (including any currency re-measurement of Indebtedness or other balance sheet items, any net gain or loss resulting from Hedge Agreements for currency exchange risk associated with the foregoing or any other currency related risk and any gain or loss resulting from revaluation of intercompany balances (including Indebtedness and other balance sheet items);</w:t>
      </w:r>
    </w:p>
    <w:p>
      <w:pPr>
        <w:spacing w:after="0" w:line="164" w:lineRule="exact"/>
        <w:rPr>
          <w:rFonts w:ascii="Arial" w:cs="Arial" w:eastAsia="Arial" w:hAnsi="Arial"/>
          <w:sz w:val="16"/>
          <w:szCs w:val="16"/>
          <w:color w:val="auto"/>
        </w:rPr>
      </w:pPr>
    </w:p>
    <w:p>
      <w:pPr>
        <w:ind w:left="-460" w:right="420" w:firstLine="644"/>
        <w:spacing w:after="0" w:line="277" w:lineRule="auto"/>
        <w:tabs>
          <w:tab w:leader="none" w:pos="7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deferred tax expense associated with any tax deduction or net operating loss arising as a result of the Transactions, or the release of any valuation allowance related to any such item;</w:t>
      </w:r>
    </w:p>
    <w:p>
      <w:pPr>
        <w:spacing w:after="0" w:line="170" w:lineRule="exact"/>
        <w:rPr>
          <w:rFonts w:ascii="Arial" w:cs="Arial" w:eastAsia="Arial" w:hAnsi="Arial"/>
          <w:sz w:val="18"/>
          <w:szCs w:val="18"/>
          <w:color w:val="auto"/>
        </w:rPr>
      </w:pPr>
    </w:p>
    <w:p>
      <w:pPr>
        <w:jc w:val="both"/>
        <w:ind w:left="-460" w:right="60" w:firstLine="644"/>
        <w:spacing w:after="0" w:line="259" w:lineRule="auto"/>
        <w:tabs>
          <w:tab w:leader="none" w:pos="6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reserves, accruals or non-cash Charges related to adjustments to historical tax exposures, including social security, federal unemployment, state unemployment and state disability taxes deducted in the calculation of net income during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the cash payment in respect thereof in such future period shall be subtracted from Consolidated Net Income for the period in which such cash payment was made);</w:t>
      </w:r>
    </w:p>
    <w:p>
      <w:pPr>
        <w:spacing w:after="0" w:line="186" w:lineRule="exact"/>
        <w:rPr>
          <w:rFonts w:ascii="Arial" w:cs="Arial" w:eastAsia="Arial" w:hAnsi="Arial"/>
          <w:sz w:val="18"/>
          <w:szCs w:val="18"/>
          <w:color w:val="auto"/>
        </w:rPr>
      </w:pPr>
    </w:p>
    <w:p>
      <w:pPr>
        <w:ind w:left="-460" w:right="640" w:firstLine="644"/>
        <w:spacing w:after="0" w:line="342" w:lineRule="auto"/>
        <w:tabs>
          <w:tab w:leader="none" w:pos="69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accruals or obligations accrued related to workers’ compensation programs to the extent that expenses deducted in the calculation of net income exceed the net amounts paid in cash related to workers’ compensation programs in that period;</w:t>
      </w:r>
    </w:p>
    <w:p>
      <w:pPr>
        <w:spacing w:after="0" w:line="32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0" w:name="page31"/>
    <w:bookmarkEnd w:id="30"/>
    <w:p>
      <w:pPr>
        <w:ind w:left="1780" w:hanging="476"/>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net income or Charge attributable to deferred compensation plans or trusts;</w:t>
      </w:r>
    </w:p>
    <w:p>
      <w:pPr>
        <w:spacing w:after="0" w:line="225" w:lineRule="exact"/>
        <w:rPr>
          <w:rFonts w:ascii="Arial" w:cs="Arial" w:eastAsia="Arial" w:hAnsi="Arial"/>
          <w:sz w:val="18"/>
          <w:szCs w:val="18"/>
          <w:color w:val="auto"/>
        </w:rPr>
      </w:pPr>
    </w:p>
    <w:p>
      <w:pPr>
        <w:ind w:left="660" w:right="320" w:firstLine="644"/>
        <w:spacing w:after="0" w:line="277" w:lineRule="auto"/>
        <w:tabs>
          <w:tab w:leader="none" w:pos="18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income or expense related to changes in the fair value of contingent liability in connection with earn-out obligations, purchase price adjustments and similar liabilities in connection with any acquisition or Investment;</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any non-cash interest expense or non-cash interest income, in each case, to the extent that there is no associated cash disbursement</w:t>
      </w:r>
    </w:p>
    <w:p>
      <w:pPr>
        <w:spacing w:after="0" w:line="57"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8"/>
          <w:szCs w:val="18"/>
          <w:color w:val="auto"/>
        </w:rPr>
        <w:t>or receipt; and</w:t>
      </w:r>
    </w:p>
    <w:p>
      <w:pPr>
        <w:spacing w:after="0" w:line="210" w:lineRule="exact"/>
        <w:rPr>
          <w:rFonts w:ascii="Arial" w:cs="Arial" w:eastAsia="Arial" w:hAnsi="Arial"/>
          <w:sz w:val="15"/>
          <w:szCs w:val="15"/>
          <w:color w:val="auto"/>
        </w:rPr>
      </w:pPr>
    </w:p>
    <w:p>
      <w:pPr>
        <w:ind w:left="660" w:right="120" w:firstLine="644"/>
        <w:spacing w:after="0" w:line="277" w:lineRule="auto"/>
        <w:tabs>
          <w:tab w:leader="none" w:pos="18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adjustments to accruals and reserves during a period relating to any change in the methodology of calculating reserves for returns, rebates and other chargebacks (including government program rebates).</w:t>
      </w:r>
    </w:p>
    <w:p>
      <w:pPr>
        <w:spacing w:after="0" w:line="170" w:lineRule="exact"/>
        <w:rPr>
          <w:sz w:val="20"/>
          <w:szCs w:val="20"/>
          <w:color w:val="auto"/>
        </w:rPr>
      </w:pPr>
    </w:p>
    <w:p>
      <w:pPr>
        <w:ind w:right="80" w:firstLine="1296"/>
        <w:spacing w:after="0" w:line="291" w:lineRule="auto"/>
        <w:rPr>
          <w:sz w:val="20"/>
          <w:szCs w:val="20"/>
          <w:color w:val="auto"/>
        </w:rPr>
      </w:pPr>
      <w:r>
        <w:rPr>
          <w:rFonts w:ascii="Arial" w:cs="Arial" w:eastAsia="Arial" w:hAnsi="Arial"/>
          <w:sz w:val="16"/>
          <w:szCs w:val="16"/>
          <w:color w:val="auto"/>
        </w:rPr>
        <w:t>In addition, to the extent not already included in Consolidated Net Income, Consolidated Net Income shall include (i) the amount of proceeds received or due from business interruption insurance in an amount representing the earnings for the applicable period that such proceeds are intended to replace and reimbursement of expenses and charges that are covered by indemnification, insurance and other reimbursement provisions, including to the extent such insurance proceeds or reimbursement relate to events or periods occurring prior to the Issue Date (whether or not received during such period so long as such Person in good faith expects to receive the same within the next four fiscal quarters; it being understood that to the extent such proceeds are not actually received within the next four fiscal quarters, such proceeds shall be deducted in calculating Consolidated Net Income for such fiscal quarters) and (ii) the amount of any cash tax benefits related to the tax amortization of intangible assets in such period.</w:t>
      </w:r>
    </w:p>
    <w:p>
      <w:pPr>
        <w:spacing w:after="0" w:line="166" w:lineRule="exact"/>
        <w:rPr>
          <w:sz w:val="20"/>
          <w:szCs w:val="20"/>
          <w:color w:val="auto"/>
        </w:rPr>
      </w:pPr>
    </w:p>
    <w:p>
      <w:pPr>
        <w:ind w:right="160" w:firstLine="1296"/>
        <w:spacing w:after="0" w:line="257" w:lineRule="auto"/>
        <w:rPr>
          <w:sz w:val="20"/>
          <w:szCs w:val="20"/>
          <w:color w:val="auto"/>
        </w:rPr>
      </w:pPr>
      <w:r>
        <w:rPr>
          <w:rFonts w:ascii="Arial" w:cs="Arial" w:eastAsia="Arial" w:hAnsi="Arial"/>
          <w:sz w:val="18"/>
          <w:szCs w:val="18"/>
          <w:color w:val="auto"/>
        </w:rPr>
        <w:t xml:space="preserve">For the purpose of </w:t>
      </w:r>
      <w:r>
        <w:rPr>
          <w:rFonts w:ascii="Arial" w:cs="Arial" w:eastAsia="Arial" w:hAnsi="Arial"/>
          <w:sz w:val="18"/>
          <w:szCs w:val="18"/>
          <w:u w:val="single" w:color="auto"/>
          <w:color w:val="auto"/>
        </w:rPr>
        <w:t>clause (2)(a)(ii)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only, there shall be excluded from Consolidated Net Income any income arising from the sale or other disposition of Restricted Investments, from repurchases or redemptions of Restricted Investments, from repayments of loans or advances that constituted Restricted Investments or from any dividends, repayments of loans or advances or other transfers of assets from Unrestricted Subsidiaries, in each case to the extent such amounts increase the amount of Restricted Payments permitted under such covenant pursuant to </w:t>
      </w:r>
      <w:r>
        <w:rPr>
          <w:rFonts w:ascii="Arial" w:cs="Arial" w:eastAsia="Arial" w:hAnsi="Arial"/>
          <w:sz w:val="18"/>
          <w:szCs w:val="18"/>
          <w:u w:val="single" w:color="auto"/>
          <w:color w:val="auto"/>
        </w:rPr>
        <w:t>clause (2)(a)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(2)(a)(vi)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(2)(a)(vii)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188" w:lineRule="exact"/>
        <w:rPr>
          <w:sz w:val="20"/>
          <w:szCs w:val="20"/>
          <w:color w:val="auto"/>
        </w:rPr>
      </w:pPr>
    </w:p>
    <w:p>
      <w:pPr>
        <w:jc w:val="both"/>
        <w:ind w:right="4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Secured Debt</w:t>
      </w:r>
      <w:r>
        <w:rPr>
          <w:rFonts w:ascii="Arial" w:cs="Arial" w:eastAsia="Arial" w:hAnsi="Arial"/>
          <w:sz w:val="17"/>
          <w:szCs w:val="17"/>
          <w:color w:val="auto"/>
        </w:rPr>
        <w:t>” means, as to any Person at any date of determination, the aggregate principal amount of Consolidated Total Debt of such Person outstanding on such date that is secured by a Lien on the Collateral (excluding, for the avoidance of doubt, any obligation with respect to a Financing Lease of the Issuer or any Restricted Subsidiary secured by Liens on the assets subject thereto).</w:t>
      </w:r>
    </w:p>
    <w:p>
      <w:pPr>
        <w:spacing w:after="0" w:line="165"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Secured Debt Ratio</w:t>
      </w:r>
      <w:r>
        <w:rPr>
          <w:rFonts w:ascii="Arial" w:cs="Arial" w:eastAsia="Arial" w:hAnsi="Arial"/>
          <w:sz w:val="18"/>
          <w:szCs w:val="18"/>
          <w:color w:val="auto"/>
        </w:rPr>
        <w:t>” means the ratio, as of any date of determination, of (a) Consolidated Secured Debt as of the last day of the Test Period then most recently ended on or prior to such date of determination to (b) Annualized EBITDA, in each case of the Issuer and its Restricted Subsidiaries on a consolidated basis.</w:t>
      </w:r>
    </w:p>
    <w:p>
      <w:pPr>
        <w:spacing w:after="0" w:line="184"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at any date, all amounts that would, in conformity with GAAP, be set forth opposite the caption “total assets” (or any like caption) on a consolidated balance sheet of the applicable Person at such date (assuming, for such purpose, that such Person’s only Subsidiaries are its Restricted Subsidiaries).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right="40" w:firstLine="13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to any Person at any date of determination, an amount equal to the sum of (1) the aggregate principal amount of all third party debt for borrowed money (including letter of credit drawings that have not been reimbursed within ten Business Days and the outstanding principal balance of all Indebtedness of such Person represented by notes, bonds and similar instruments), obligations in respect of Financing Leases and purchase money Indebtedness (but excluding, for the avoidance of doubt, (a) undrawn letters of credit, (b) Hedging Obligations, (c) all undrawn amounts under revolving credit facilities (except to the extent of any Elected Amounts) and (d) all obligations relating to Permitted Receivables Financings) and (2) the aggregate amount of all outstanding Disqualified Stock of such Person and all Preferred Stock of its Restricted Subsidiaries on a consolidated basis, with the amount of such Disqualified Stock and Preferred Stock equal to the greater of their respective voluntary or involuntary liquidation preferences and maximum fixed repurchase prices, in each case of such Person and its Restricted Subsidiaries on such date, on a consolidated basis and determined in accordance with GAAP (excluding, in any event, the effects of any discounting of Indebtedness resulting from the application of purchase or pushdown accounting in connection with any acquisition, Investment or other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be calculated (i) net of all unrestricted cash and Cash Equivalents of such Person and its Restricted Subsidiaries at such date of determination and (ii) to exclude any obligation, liability or indebtedness of such Person if, upon or prior to the maturity thereof, such Person has irrevocably deposited with the proper Person in trust or escrow the necessary funds (or evidence of indebtedness) for the payment, redemption or satisfaction of such obligation, liability or indebtedness, and thereafter such funds and evidences of such obligation, liability or indebtedness or other security so deposited are not included in the calculation of cash and Cash Equivalents.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Debt shall be required to be determined pursuant to this Indenture, and if such price is based upon, or measured by, the fair market value of such Disqualified Stock or Preferred Stock, such fair market value shall be determined in good faith by the Board of Directors or senior management of such Person.</w:t>
      </w:r>
    </w:p>
    <w:p>
      <w:pPr>
        <w:spacing w:after="0" w:line="16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 Ratio</w:t>
      </w:r>
      <w:r>
        <w:rPr>
          <w:rFonts w:ascii="Arial" w:cs="Arial" w:eastAsia="Arial" w:hAnsi="Arial"/>
          <w:sz w:val="18"/>
          <w:szCs w:val="18"/>
          <w:color w:val="auto"/>
        </w:rPr>
        <w:t>” means the ratio, as of any date of determination, of (a) Consolidated Total Debt outstanding as of the last day of the Test Period then most recently ended on or prior to such date of determination to (b) Annualized EBITDA, in each case of the Issuer and its Restricted Subsidiaries on a consolidated basis.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32" w:name="page33"/>
    <w:bookmarkEnd w:id="32"/>
    <w:p>
      <w:pPr>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Obligations</w:t>
      </w:r>
      <w:r>
        <w:rPr>
          <w:rFonts w:ascii="Arial" w:cs="Arial" w:eastAsia="Arial" w:hAnsi="Arial"/>
          <w:sz w:val="17"/>
          <w:szCs w:val="17"/>
          <w:color w:val="auto"/>
        </w:rPr>
        <w:t>” means, with respect to any Person, any obligation of such Person guaranteeing any leases, dividends or other obligations that do not constitute Indebtedness (“</w:t>
      </w:r>
      <w:r>
        <w:rPr>
          <w:rFonts w:ascii="Arial" w:cs="Arial" w:eastAsia="Arial" w:hAnsi="Arial"/>
          <w:sz w:val="17"/>
          <w:szCs w:val="17"/>
          <w:u w:val="single" w:color="auto"/>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respect of such primary obligations in any manner, whether directly or indirectly, including any obligation of such Person, whether or not contingent,</w:t>
      </w:r>
    </w:p>
    <w:p>
      <w:pPr>
        <w:spacing w:after="0" w:line="165" w:lineRule="exact"/>
        <w:rPr>
          <w:sz w:val="20"/>
          <w:szCs w:val="20"/>
          <w:color w:val="auto"/>
        </w:rPr>
      </w:pPr>
    </w:p>
    <w:p>
      <w:pPr>
        <w:ind w:left="1820" w:hanging="516"/>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purchase any such primary obligation or any property constituting direct or indirect security therefor,</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advance or supply funds:</w:t>
      </w:r>
    </w:p>
    <w:p>
      <w:pPr>
        <w:spacing w:after="0" w:line="225" w:lineRule="exact"/>
        <w:rPr>
          <w:rFonts w:ascii="Arial" w:cs="Arial" w:eastAsia="Arial" w:hAnsi="Arial"/>
          <w:sz w:val="18"/>
          <w:szCs w:val="18"/>
          <w:color w:val="auto"/>
        </w:rPr>
      </w:pPr>
    </w:p>
    <w:p>
      <w:pPr>
        <w:ind w:left="3080" w:hanging="480"/>
        <w:spacing w:after="0"/>
        <w:tabs>
          <w:tab w:leader="none" w:pos="3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purchase or payment of any such primary obligation, or</w:t>
      </w:r>
    </w:p>
    <w:p>
      <w:pPr>
        <w:spacing w:after="0" w:line="225" w:lineRule="exact"/>
        <w:rPr>
          <w:rFonts w:ascii="Arial" w:cs="Arial" w:eastAsia="Arial" w:hAnsi="Arial"/>
          <w:sz w:val="18"/>
          <w:szCs w:val="18"/>
          <w:color w:val="auto"/>
        </w:rPr>
      </w:pPr>
    </w:p>
    <w:p>
      <w:pPr>
        <w:ind w:left="1960" w:right="260" w:firstLine="640"/>
        <w:spacing w:after="0" w:line="277" w:lineRule="auto"/>
        <w:tabs>
          <w:tab w:leader="none" w:pos="31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w:t>
      </w:r>
    </w:p>
    <w:p>
      <w:pPr>
        <w:spacing w:after="0" w:line="170" w:lineRule="exact"/>
        <w:rPr>
          <w:rFonts w:ascii="Arial" w:cs="Arial" w:eastAsia="Arial" w:hAnsi="Arial"/>
          <w:sz w:val="18"/>
          <w:szCs w:val="18"/>
          <w:color w:val="auto"/>
        </w:rPr>
      </w:pPr>
    </w:p>
    <w:p>
      <w:pPr>
        <w:ind w:left="660" w:right="180" w:firstLine="644"/>
        <w:spacing w:after="0" w:line="277" w:lineRule="auto"/>
        <w:tabs>
          <w:tab w:leader="none" w:pos="18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70"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Collateral Agent</w:t>
      </w:r>
      <w:r>
        <w:rPr>
          <w:rFonts w:ascii="Arial" w:cs="Arial" w:eastAsia="Arial" w:hAnsi="Arial"/>
          <w:sz w:val="18"/>
          <w:szCs w:val="18"/>
          <w:color w:val="auto"/>
        </w:rPr>
        <w:t>” means, with respect to any Shared Collateral, the Collateral Agent designated as the Controlling Collateral Agent pursuant to the Equal Priority Intercreditor Agreement.</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principal corporate trust office of the Trustee, at which at any particular time its corporate trust business in relation to this Indenture shall be administered, which office at the date of execution of this Indenture is located at U.S. Bank National Association, U.S. Bank National Association, EP-MN-WS3C, 60 Livingston Avenue, Saint Paul, MN 55107,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spacing w:after="0" w:line="188"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Facility</w:t>
      </w:r>
      <w:r>
        <w:rPr>
          <w:rFonts w:ascii="Arial" w:cs="Arial" w:eastAsia="Arial" w:hAnsi="Arial"/>
          <w:sz w:val="17"/>
          <w:szCs w:val="17"/>
          <w:color w:val="auto"/>
        </w:rPr>
        <w:t>” means, with respect to the Issuer or any of its Restricted Subsidiaries, one or more debt facilities or other financing arrangements (including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refundings, replacements, exchanges or refinancings thereof, in whole or in part, and any financing arrangements that amend, supplement, modify, extend, renew, restate, refund, replace, exchange or refinance any part thereof, including any such amended, supplemented, modified, extended, renewed, restated, refunding, replacement, exchanged or refinancing financing arrangement that increases the amount permitted to be borrowed or issued thereunder or alters the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increase in borrowings or issuance is permitted under </w:t>
      </w:r>
      <w:r>
        <w:rPr>
          <w:rFonts w:ascii="Arial" w:cs="Arial" w:eastAsia="Arial" w:hAnsi="Arial"/>
          <w:sz w:val="17"/>
          <w:szCs w:val="17"/>
          <w:u w:val="single" w:color="auto"/>
          <w:color w:val="auto"/>
        </w:rPr>
        <w:t>Section 4.09</w:t>
      </w:r>
      <w:r>
        <w:rPr>
          <w:rFonts w:ascii="Arial" w:cs="Arial" w:eastAsia="Arial" w:hAnsi="Arial"/>
          <w:sz w:val="17"/>
          <w:szCs w:val="17"/>
          <w:color w:val="auto"/>
        </w:rPr>
        <w:t>) or adds Restricted Subsidiaries as additional borrowers or guarantors thereunder and whether by the same or any other agent, trustee, lender or group of lenders, investors, holders or otherwise.</w:t>
      </w:r>
    </w:p>
    <w:p>
      <w:pPr>
        <w:spacing w:after="0" w:line="181"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Contracts</w:t>
      </w:r>
      <w:r>
        <w:rPr>
          <w:rFonts w:ascii="Arial" w:cs="Arial" w:eastAsia="Arial" w:hAnsi="Arial"/>
          <w:sz w:val="18"/>
          <w:szCs w:val="18"/>
          <w:color w:val="auto"/>
        </w:rPr>
        <w:t>” means contracts entered into by the Issuer or any of its Restricted Subsidiaries for the sale, lease and/or other provision of products, goods and services by the Issuer or any such Restricted Subsidiary.</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determination</w:t>
      </w:r>
      <w:r>
        <w:rPr>
          <w:rFonts w:ascii="Arial" w:cs="Arial" w:eastAsia="Arial" w:hAnsi="Arial"/>
          <w:sz w:val="18"/>
          <w:szCs w:val="18"/>
          <w:color w:val="auto"/>
        </w:rPr>
        <w:t>” means the applicable date of determination for the specified ratio, amount or percentage.</w:t>
      </w:r>
    </w:p>
    <w:p>
      <w:pPr>
        <w:spacing w:after="0" w:line="225"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means the aggregate amount of any Net Proceeds that are declined by the Holders of the Notes or holders of Pari Passu Indebtedness in connection with any Asset Sale Offer or Advance Offer made by the Issuer or any Restricted Subsidiary in accordance with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84"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means any event that is, or after notice or lapse of time or both would become,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184"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Revenue</w:t>
      </w:r>
      <w:r>
        <w:rPr>
          <w:rFonts w:ascii="Arial" w:cs="Arial" w:eastAsia="Arial" w:hAnsi="Arial"/>
          <w:sz w:val="18"/>
          <w:szCs w:val="18"/>
          <w:color w:val="auto"/>
        </w:rPr>
        <w:t xml:space="preserve">” means, at any date, the amount set forth opposite the caption “deferred revenue” (or any like caption or included in any other caption, including current and non-current designations) on a consolidated balance sheet at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balance shall be determined excluding the effects of acquisition method accounting.</w:t>
      </w:r>
    </w:p>
    <w:p>
      <w:pPr>
        <w:spacing w:after="0" w:line="184"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xml:space="preserve">” means a certificated Note registered in the name of the Holder thereof and issued in accordance with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except that such Note shall not bear the Global Note Legend and shall not have the “Schedule of Exchanges of Interests in the Global Note” attached thereto.</w:t>
      </w:r>
    </w:p>
    <w:p>
      <w:pPr>
        <w:spacing w:after="0" w:line="184" w:lineRule="exact"/>
        <w:rPr>
          <w:sz w:val="20"/>
          <w:szCs w:val="20"/>
          <w:color w:val="auto"/>
        </w:rPr>
      </w:pPr>
    </w:p>
    <w:p>
      <w:pPr>
        <w:ind w:right="36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 Account</w:t>
      </w:r>
      <w:r>
        <w:rPr>
          <w:rFonts w:ascii="Arial" w:cs="Arial" w:eastAsia="Arial" w:hAnsi="Arial"/>
          <w:sz w:val="17"/>
          <w:szCs w:val="17"/>
          <w:color w:val="auto"/>
        </w:rPr>
        <w:t>” means a demand, time, savings, passbook or like account with a bank, excluding, for the avoidance of doubt, any investment property (within the meaning of the UCC) or any account evidenced by an instrument (within the meaning of the UCC).</w:t>
      </w:r>
    </w:p>
    <w:p>
      <w:pPr>
        <w:spacing w:after="0" w:line="146"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means, with respect to the Notes issuable or issued in whole or in part in global form, the Person specified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as the Depositary with respect to the Notes, and any and all successors thereto appointed as Depositary under this Indenture and having become such pursuant to the applicable provision of this Indenture.</w:t>
      </w:r>
    </w:p>
    <w:p>
      <w:pPr>
        <w:spacing w:after="0" w:line="184"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Derivative Instrument</w:t>
      </w:r>
      <w:r>
        <w:rPr>
          <w:rFonts w:ascii="Arial" w:cs="Arial" w:eastAsia="Arial" w:hAnsi="Arial"/>
          <w:sz w:val="18"/>
          <w:szCs w:val="18"/>
          <w:color w:val="auto"/>
        </w:rPr>
        <w:t>”, with respect to a Person, means any contract, instrument or other right to receive payment or delivery of cash or other assets (including a physical short position)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any securities of the Issuer and/or the creditworthiness of the Issuer and/or any one or more of the Guarantors (the “</w:t>
      </w:r>
      <w:r>
        <w:rPr>
          <w:rFonts w:ascii="Arial" w:cs="Arial" w:eastAsia="Arial" w:hAnsi="Arial"/>
          <w:sz w:val="18"/>
          <w:szCs w:val="18"/>
          <w:u w:val="single" w:color="auto"/>
          <w:color w:val="auto"/>
        </w:rPr>
        <w:t>Performance References</w:t>
      </w:r>
      <w:r>
        <w:rPr>
          <w:rFonts w:ascii="Arial" w:cs="Arial" w:eastAsia="Arial" w:hAnsi="Arial"/>
          <w:sz w:val="18"/>
          <w:szCs w:val="18"/>
          <w:color w:val="auto"/>
        </w:rPr>
        <w:t>”). For the avoidance of doubt, the term “Derivative Instrument” shall not include any Notes.</w:t>
      </w:r>
    </w:p>
    <w:p>
      <w:pPr>
        <w:spacing w:after="0" w:line="192"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Derivative Transaction</w:t>
      </w:r>
      <w:r>
        <w:rPr>
          <w:rFonts w:ascii="Arial" w:cs="Arial" w:eastAsia="Arial" w:hAnsi="Arial"/>
          <w:sz w:val="17"/>
          <w:szCs w:val="17"/>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members of management, managers, members, partners, independent contractors or consultants of the Issuer or its Subsidiaries shall constitute a Derivative Transaction.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right="6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xml:space="preserve">” means the fair market value of non-cash consideration received by the Issuer or a Restricted Subsidiary in connection with an Asset Sale that is designated as Designated Non-Cash Consideration pursuant to an Officer’s Certificate, setting forth the basis of such valuation (which amount shall be reduced by the amount of cash or Cash Equivalents received in connection with a subsequent sale or conversion of such Designated Non-Cash Consideration to cash or Cash Equivalents). A particular item of Designated Non-Cash Consideration will no longer be considered to be outstanding when and to the extent it has been paid, redeemed or otherwise retired or sold or otherwise disposed of in exchange for, in each case, cash or Cash Equivalents in compliance with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178"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Preferred Stock</w:t>
      </w:r>
      <w:r>
        <w:rPr>
          <w:rFonts w:ascii="Arial" w:cs="Arial" w:eastAsia="Arial" w:hAnsi="Arial"/>
          <w:sz w:val="16"/>
          <w:szCs w:val="16"/>
          <w:color w:val="auto"/>
        </w:rPr>
        <w:t xml:space="preserve">” means Preferred Stock of the Issuer (other than Disqualified Stock) that is issued for cash (other than to the Issuer or a Restricted Subsidiary or an employee stock ownership plan or trust established by the Issuer or any of its Subsidiaries) and is so designated as Designated Preferred Stock, the cash proceeds of which shall be excluded from the calculation set forth in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4.07(a)</w:t>
      </w:r>
      <w:r>
        <w:rPr>
          <w:rFonts w:ascii="Arial" w:cs="Arial" w:eastAsia="Arial" w:hAnsi="Arial"/>
          <w:sz w:val="16"/>
          <w:szCs w:val="16"/>
          <w:color w:val="auto"/>
        </w:rPr>
        <w:t>.</w:t>
      </w:r>
    </w:p>
    <w:p>
      <w:pPr>
        <w:spacing w:after="0" w:line="149" w:lineRule="exact"/>
        <w:rPr>
          <w:sz w:val="20"/>
          <w:szCs w:val="20"/>
          <w:color w:val="auto"/>
        </w:rPr>
      </w:pPr>
    </w:p>
    <w:p>
      <w:pPr>
        <w:ind w:right="1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Designs</w:t>
      </w:r>
      <w:r>
        <w:rPr>
          <w:rFonts w:ascii="Arial" w:cs="Arial" w:eastAsia="Arial" w:hAnsi="Arial"/>
          <w:sz w:val="18"/>
          <w:szCs w:val="18"/>
          <w:color w:val="auto"/>
        </w:rPr>
        <w:t>” means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spacing w:after="0" w:line="188" w:lineRule="exact"/>
        <w:rPr>
          <w:sz w:val="20"/>
          <w:szCs w:val="20"/>
          <w:color w:val="auto"/>
        </w:rPr>
      </w:pPr>
    </w:p>
    <w:p>
      <w:pPr>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Stock</w:t>
      </w:r>
      <w:r>
        <w:rPr>
          <w:rFonts w:ascii="Arial" w:cs="Arial" w:eastAsia="Arial" w:hAnsi="Arial"/>
          <w:sz w:val="17"/>
          <w:szCs w:val="17"/>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following the maturity date of the Notes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following the maturity date of the Notes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of the Notes at the time such Capital Stock is issued (it being understood that if any such repurchase obligation is in part, only such part coming into effect prior to the date that is 91 days following the maturity date of the Notes shall constitute Disqualified Stock) or (d) provides for the scheduled payments of dividends in cash on or prior to the date that is 91 days following the maturity date of the Notes at the time such Capital Stock is issued;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any casualty or condemnation event or eminent domain) or similar event shall not constitute Disqualified Stock.</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 w:name="page36"/>
    <w:bookmarkEnd w:id="35"/>
    <w:p>
      <w:pPr>
        <w:ind w:firstLine="1296"/>
        <w:spacing w:after="0" w:line="269" w:lineRule="auto"/>
        <w:rPr>
          <w:sz w:val="20"/>
          <w:szCs w:val="20"/>
          <w:color w:val="auto"/>
        </w:rPr>
      </w:pPr>
      <w:r>
        <w:rPr>
          <w:rFonts w:ascii="Arial" w:cs="Arial" w:eastAsia="Arial" w:hAnsi="Arial"/>
          <w:sz w:val="17"/>
          <w:szCs w:val="17"/>
          <w:color w:val="auto"/>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Issuer or any Restricted Subsidiary,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Issuer (or by any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Division</w:t>
      </w:r>
      <w:r>
        <w:rPr>
          <w:rFonts w:ascii="Arial" w:cs="Arial" w:eastAsia="Arial" w:hAnsi="Arial"/>
          <w:sz w:val="17"/>
          <w:szCs w:val="17"/>
          <w:color w:val="auto"/>
        </w:rPr>
        <w:t>” means the division of the assets, liabilities and/or obligations of a Person (the “</w:t>
      </w:r>
      <w:r>
        <w:rPr>
          <w:rFonts w:ascii="Arial" w:cs="Arial" w:eastAsia="Arial" w:hAnsi="Arial"/>
          <w:sz w:val="17"/>
          <w:szCs w:val="17"/>
          <w:u w:val="single" w:color="auto"/>
          <w:color w:val="auto"/>
        </w:rPr>
        <w:t>Dividing Person</w:t>
      </w:r>
      <w:r>
        <w:rPr>
          <w:rFonts w:ascii="Arial" w:cs="Arial" w:eastAsia="Arial" w:hAnsi="Arial"/>
          <w:sz w:val="17"/>
          <w:szCs w:val="17"/>
          <w:color w:val="auto"/>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spacing w:after="0" w:line="16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Restricted Subsidiary (other than a Foreign Subsidiary) that is organized or existing under the laws of the United States, any state thereof or the District of Columbia.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Equal Lien Priority</w:t>
      </w:r>
      <w:r>
        <w:rPr>
          <w:rFonts w:ascii="Arial" w:cs="Arial" w:eastAsia="Arial" w:hAnsi="Arial"/>
          <w:sz w:val="17"/>
          <w:szCs w:val="17"/>
          <w:color w:val="auto"/>
        </w:rPr>
        <w:t>” means, with respect to specified Indebtedness, such Indebtedness is secured by a Lien that is equal in priority to the Liens on specified Collateral (but without regard to control of remedies) and is subject to the Equal Priority Intercreditor Agreement (or such other intercreditor agreement having substantially similar terms as the Equal Priority Intercreditor Agreement, taken as a whole).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 Priority Collateral Agent</w:t>
      </w:r>
      <w:r>
        <w:rPr>
          <w:rFonts w:ascii="Arial" w:cs="Arial" w:eastAsia="Arial" w:hAnsi="Arial"/>
          <w:sz w:val="18"/>
          <w:szCs w:val="18"/>
          <w:color w:val="auto"/>
        </w:rPr>
        <w:t>” means the Equal Priority Representative for the holders of the Equal Priority Obligations.</w:t>
      </w:r>
    </w:p>
    <w:p>
      <w:pPr>
        <w:spacing w:after="0" w:line="225"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Equal Priority Intercreditor Agreement</w:t>
      </w:r>
      <w:r>
        <w:rPr>
          <w:rFonts w:ascii="Arial" w:cs="Arial" w:eastAsia="Arial" w:hAnsi="Arial"/>
          <w:sz w:val="17"/>
          <w:szCs w:val="17"/>
          <w:color w:val="auto"/>
        </w:rPr>
        <w:t>” means an intercreditor agreement with respect to the Collateral, entered into by, among others, the Notes Collateral Agent and the other applicable Equal Priority Collateral Agent(s), containing terms substantially the same as those described in the “Description of Notes—Security for the Notes—Equal Priority Intercreditor Agreement” section of the Offering Memorandum and other usual or customary terms (as the same may be amended, restated, renewed, replaced or otherwise modified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Equal Priority Obligations</w:t>
      </w:r>
      <w:r>
        <w:rPr>
          <w:rFonts w:ascii="Arial" w:cs="Arial" w:eastAsia="Arial" w:hAnsi="Arial"/>
          <w:sz w:val="17"/>
          <w:szCs w:val="17"/>
          <w:color w:val="auto"/>
        </w:rPr>
        <w:t>” means, collectively, (1) the Secured Notes Obligations and (2) each Series of Additional Equal Priority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right="8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Equal Priority Representative</w:t>
      </w:r>
      <w:r>
        <w:rPr>
          <w:rFonts w:ascii="Arial" w:cs="Arial" w:eastAsia="Arial" w:hAnsi="Arial"/>
          <w:sz w:val="18"/>
          <w:szCs w:val="18"/>
          <w:color w:val="auto"/>
        </w:rPr>
        <w:t>” means any duly authorized representative of any holders of Equal Priority Obligations, which representative is named as such in the Equal Priority Intercreditor Agreement or any joinder thereto.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Equal Priority Secured Parties</w:t>
      </w:r>
      <w:r>
        <w:rPr>
          <w:rFonts w:ascii="Arial" w:cs="Arial" w:eastAsia="Arial" w:hAnsi="Arial"/>
          <w:sz w:val="16"/>
          <w:szCs w:val="16"/>
          <w:color w:val="auto"/>
        </w:rPr>
        <w:t>” means collectively, (1) the Secured Notes Secured Parties and (2) any Additional Equal Priority Secured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Offering</w:t>
      </w:r>
      <w:r>
        <w:rPr>
          <w:rFonts w:ascii="Arial" w:cs="Arial" w:eastAsia="Arial" w:hAnsi="Arial"/>
          <w:sz w:val="18"/>
          <w:szCs w:val="18"/>
          <w:color w:val="auto"/>
        </w:rPr>
        <w:t>” means any public or private sale or issuance of common equity or Preferred Stock of the Issuer (excluding Disqualified Stock), other than:</w:t>
      </w:r>
    </w:p>
    <w:p>
      <w:pPr>
        <w:spacing w:after="0" w:line="170" w:lineRule="exact"/>
        <w:rPr>
          <w:sz w:val="20"/>
          <w:szCs w:val="20"/>
          <w:color w:val="auto"/>
        </w:rPr>
      </w:pPr>
    </w:p>
    <w:p>
      <w:pPr>
        <w:ind w:left="2000" w:hanging="696"/>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 offerings with respect to the Issuer’s common stock registered on Form S-8;</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issuances to any Subsidiary of the Issuer; and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such public or private sale or issuance that constitutes an Excluded Contribution.</w:t>
      </w:r>
    </w:p>
    <w:p>
      <w:pPr>
        <w:spacing w:after="0" w:line="225"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(with respect to the definitions of “Change of Control” and “Permitted Holders” only, as in effect on the Issue Date).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the following:</w:t>
      </w:r>
    </w:p>
    <w:p>
      <w:pPr>
        <w:spacing w:after="0" w:line="225" w:lineRule="exact"/>
        <w:rPr>
          <w:sz w:val="20"/>
          <w:szCs w:val="20"/>
          <w:color w:val="auto"/>
        </w:rPr>
      </w:pPr>
    </w:p>
    <w:p>
      <w:pPr>
        <w:ind w:left="4" w:firstLine="644"/>
        <w:spacing w:after="0" w:line="283" w:lineRule="auto"/>
        <w:tabs>
          <w:tab w:leader="none" w:pos="135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asset the grant of a security interest in which would (i) be prohibited by any enforceable anti-assignment provision set forth in any contract relating to such asset that is permitted or otherwise not prohibited by the terms of this Indenture, (ii) violate the terms of any contract relating to such asset that is permitted or otherwise not prohibited by the terms of this Indenture (in the case of clause (i) above, this clause (ii) and clause (iii) below, after giving effect to any applicable anti-assignment provision of the UCC or other applicable Requirements of Law) or (iii) trigger termination of, or a right of termination or any other modification of any rights under, any contract relating to such asset that is permitted or otherwise not prohibited by the terms of this Indenture pursuant to any “change of control” or similar provision; it being understood that (A) the term “Excluded Asset” shall not include proceeds or receivables arising out of any contract described in this clause (1) to the extent that the assignment of such proceeds or receivables is expressly deemed to be effective under the UCC or any other applicable Requirements of Law notwithstanding the relevant prohibition, violation or termination right, (B) the exclusions referenced in clauses (1)(i), (1)(ii) and (1)(iii) above shall not apply to the extent that the relevant contract expressly permits the grant of a security interest in all or substantially all of the assets of the Issuer or any Guarantor and (C) the exclusion set forth in this clause (1) shall only apply if the contractual prohibitions or contractual provisions that would be so violated or that would trigger any such termination, right or modification under clause (1)(i), (1)(ii) or (1)</w:t>
      </w:r>
    </w:p>
    <w:p>
      <w:pPr>
        <w:spacing w:after="0" w:line="2" w:lineRule="exact"/>
        <w:rPr>
          <w:rFonts w:ascii="Arial" w:cs="Arial" w:eastAsia="Arial" w:hAnsi="Arial"/>
          <w:sz w:val="16"/>
          <w:szCs w:val="16"/>
          <w:color w:val="auto"/>
        </w:rPr>
      </w:pPr>
    </w:p>
    <w:p>
      <w:pPr>
        <w:jc w:val="both"/>
        <w:ind w:left="4" w:right="220" w:hanging="4"/>
        <w:spacing w:after="0" w:line="255"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above (x) existed on the Issue Date (or in the case of any contract of a Subsidiary that is acquired following the Issue Date, as of the date of such acquisition) and were not entered into in contemplation of the Issue Date (or such acquisition) and (y) cannot be waived unilaterally by the Issuer or any of its Wholly-Owned Subsidiaries;</w:t>
      </w:r>
    </w:p>
    <w:p>
      <w:pPr>
        <w:spacing w:after="0" w:line="189" w:lineRule="exact"/>
        <w:rPr>
          <w:rFonts w:ascii="Arial" w:cs="Arial" w:eastAsia="Arial" w:hAnsi="Arial"/>
          <w:sz w:val="18"/>
          <w:szCs w:val="18"/>
          <w:color w:val="auto"/>
        </w:rPr>
      </w:pPr>
    </w:p>
    <w:p>
      <w:pPr>
        <w:ind w:left="4" w:right="140" w:firstLine="644"/>
        <w:spacing w:after="0" w:line="263" w:lineRule="auto"/>
        <w:tabs>
          <w:tab w:leader="none" w:pos="135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Equity Interests of any (A) Captive Insurance Subsidiary, (B) Unrestricted Subsidiary, (C) not-for-profit or special purpose Subsidiary, (D) Receivables Subsidiary, (E) Qualified Liquefaction Development Entity or (F) Immaterial Subsidiary (other than NFE Shannon Holdings Limited);</w:t>
      </w:r>
    </w:p>
    <w:p>
      <w:pPr>
        <w:spacing w:after="0" w:line="183" w:lineRule="exact"/>
        <w:rPr>
          <w:rFonts w:ascii="Arial" w:cs="Arial" w:eastAsia="Arial" w:hAnsi="Arial"/>
          <w:sz w:val="18"/>
          <w:szCs w:val="18"/>
          <w:color w:val="auto"/>
        </w:rPr>
      </w:pPr>
    </w:p>
    <w:p>
      <w:pPr>
        <w:ind w:left="4" w:right="140" w:firstLine="644"/>
        <w:spacing w:after="0" w:line="277" w:lineRule="auto"/>
        <w:tabs>
          <w:tab w:leader="none" w:pos="135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intent-to-use (or similar) trademark application prior to the filing and acceptance of a “</w:t>
      </w:r>
      <w:r>
        <w:rPr>
          <w:rFonts w:ascii="Arial" w:cs="Arial" w:eastAsia="Arial" w:hAnsi="Arial"/>
          <w:sz w:val="18"/>
          <w:szCs w:val="18"/>
          <w:u w:val="single" w:color="auto"/>
          <w:color w:val="auto"/>
        </w:rPr>
        <w:t>Statement of Use</w:t>
      </w:r>
      <w:r>
        <w:rPr>
          <w:rFonts w:ascii="Arial" w:cs="Arial" w:eastAsia="Arial" w:hAnsi="Arial"/>
          <w:sz w:val="18"/>
          <w:szCs w:val="18"/>
          <w:color w:val="auto"/>
        </w:rPr>
        <w:t>” or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to Allege Use</w:t>
      </w:r>
      <w:r>
        <w:rPr>
          <w:rFonts w:ascii="Arial" w:cs="Arial" w:eastAsia="Arial" w:hAnsi="Arial"/>
          <w:sz w:val="18"/>
          <w:szCs w:val="18"/>
          <w:color w:val="auto"/>
        </w:rPr>
        <w:t>” notice and/or filing with respect thereto;</w:t>
      </w:r>
    </w:p>
    <w:p>
      <w:pPr>
        <w:spacing w:after="0" w:line="170" w:lineRule="exact"/>
        <w:rPr>
          <w:rFonts w:ascii="Arial" w:cs="Arial" w:eastAsia="Arial" w:hAnsi="Arial"/>
          <w:sz w:val="18"/>
          <w:szCs w:val="18"/>
          <w:color w:val="auto"/>
        </w:rPr>
      </w:pPr>
    </w:p>
    <w:p>
      <w:pPr>
        <w:ind w:left="4" w:right="40" w:firstLine="644"/>
        <w:spacing w:after="0" w:line="269" w:lineRule="auto"/>
        <w:tabs>
          <w:tab w:leader="none" w:pos="135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asset, the grant of a security interest in which would (i) require any governmental consent, approval, license, permit or authorization (collectively,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that has not been obtained (provided that, in the case of the Issuer’s port lease in San Juan, Puerto Rico and the concession in respect of the Issuer’s LNG regasification terminal at the Puerto Pichilingue in Baja California Sur, Mexico (the “</w:t>
      </w:r>
      <w:r>
        <w:rPr>
          <w:rFonts w:ascii="Arial" w:cs="Arial" w:eastAsia="Arial" w:hAnsi="Arial"/>
          <w:sz w:val="17"/>
          <w:szCs w:val="17"/>
          <w:u w:val="single" w:color="auto"/>
          <w:color w:val="auto"/>
        </w:rPr>
        <w:t>La Paz Facility Concession</w:t>
      </w:r>
      <w:r>
        <w:rPr>
          <w:rFonts w:ascii="Arial" w:cs="Arial" w:eastAsia="Arial" w:hAnsi="Arial"/>
          <w:sz w:val="17"/>
          <w:szCs w:val="17"/>
          <w:color w:val="auto"/>
        </w:rPr>
        <w:t>”), the Issuer has used commercially reasonable efforts to obtain any Governmental Consents necessary to grant a mortgage or similar security instrument thereon), (ii) be prohibited by applicable Requirements of Law, except, in each case of clause (i) above and this clause (ii), to the extent such requirement or prohibition would be rendered ineffective under the UCC or any other applicable Requirements of Law notwithstanding such requirement or prohibition; it being understood that the term “Excluded Asset” shall not include proceeds or receivables arising out of any asset described in clause (4)(i) or clause (4)(ii) to the extent that the assignment of such proceeds or receivables is expressly deemed to be effective under the UCC or any other applicable Requirements of Law notwithstanding the relevant requirement or prohibition or (iii) result in material adverse tax consequences to the Issuer or any of its direct or indirect Subsidiaries as reasonably determined by the Issuer, including as a result of the operation of Section 956 of the Code;</w:t>
      </w:r>
    </w:p>
    <w:p>
      <w:pPr>
        <w:spacing w:after="0" w:line="35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38" w:name="page39"/>
    <w:bookmarkEnd w:id="38"/>
    <w:p>
      <w:pPr>
        <w:ind w:left="-460" w:right="20" w:firstLine="644"/>
        <w:spacing w:after="0" w:line="255"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any leasehold real property interests (other than the leasehold of property located at 6800 NW 72nd Street, Miami, Florida, or the leasehold interest relating to the LNG storage and regasification facility at the Port of Montego Bay, Jamaica) or concessions (provided that, in the case of our port lease in San Juan, Puerto Rico and the La Paz Facility Concession, the Issuer has used commercially reasonable efforts to obtain any Governmental Consents necessary to grant a mortgage or similar security instrument thereon) and (ii) any fee owned real property that is not a Material Real Estate Asset or that is located in a “special flood zone” (and no landlord lien waivers, estoppels or collateral access letters shall be required to be delivered);</w:t>
      </w:r>
    </w:p>
    <w:p>
      <w:pPr>
        <w:spacing w:after="0" w:line="192" w:lineRule="exact"/>
        <w:rPr>
          <w:rFonts w:ascii="Arial" w:cs="Arial" w:eastAsia="Arial" w:hAnsi="Arial"/>
          <w:sz w:val="18"/>
          <w:szCs w:val="18"/>
          <w:color w:val="auto"/>
        </w:rPr>
      </w:pPr>
    </w:p>
    <w:p>
      <w:pPr>
        <w:ind w:left="-460" w:firstLine="644"/>
        <w:spacing w:after="0" w:line="255"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interest in any partnership, joint venture or non-Wholly-Owned Subsidiary that cannot be pledged without (i) the consent of one or more third parties other than the Issuer or any of its Restricted Subsidiaries under the organizational documents (and/or shareholders’ or similar agreement) of such partnership, joint venture or non-Wholly-Owned Subsidiary or (ii) giving rise to a “right of first refusal”, a “right of first offer” or a similar right permitted or otherwise not prohibited by the terms of this Indenture that may be exercised by any third party other than the Issuer or any of its Restricted Subsidiaries in accordance with the organizational documents (and/or shareholders’ or similar agreement) of such partnership, joint venture or non-Wholly-Owned Subsidiary;</w:t>
      </w:r>
    </w:p>
    <w:p>
      <w:pPr>
        <w:spacing w:after="0" w:line="192" w:lineRule="exact"/>
        <w:rPr>
          <w:rFonts w:ascii="Arial" w:cs="Arial" w:eastAsia="Arial" w:hAnsi="Arial"/>
          <w:sz w:val="18"/>
          <w:szCs w:val="18"/>
          <w:color w:val="auto"/>
        </w:rPr>
      </w:pPr>
    </w:p>
    <w:p>
      <w:pPr>
        <w:ind w:left="-460" w:right="60" w:firstLine="644"/>
        <w:spacing w:after="0" w:line="257"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motor vehicles, tankers, marine vessels, ISO containers and other assets subject to certificates of title, other than any tankers or other marine vessels with a value (as reasonably estimated by the Issuer) in excess of $40.0 million, (ii) letter-of-credit rights not constituting supporting obligations of other Collateral and (iii) commercial tort claims with a value (as reasonably estimated by the Issuer) of less than $40.0 million, except, in each case of clauses (i)-(iii), to the extent a security interest therein can be perfected solely by the filing of a UCC financing statement;</w:t>
      </w:r>
    </w:p>
    <w:p>
      <w:pPr>
        <w:spacing w:after="0" w:line="187" w:lineRule="exact"/>
        <w:rPr>
          <w:rFonts w:ascii="Arial" w:cs="Arial" w:eastAsia="Arial" w:hAnsi="Arial"/>
          <w:sz w:val="18"/>
          <w:szCs w:val="18"/>
          <w:color w:val="auto"/>
        </w:rPr>
      </w:pPr>
    </w:p>
    <w:p>
      <w:pPr>
        <w:ind w:left="880" w:hanging="696"/>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margin stock;</w:t>
      </w:r>
    </w:p>
    <w:p>
      <w:pPr>
        <w:spacing w:after="0" w:line="225" w:lineRule="exact"/>
        <w:rPr>
          <w:rFonts w:ascii="Arial" w:cs="Arial" w:eastAsia="Arial" w:hAnsi="Arial"/>
          <w:sz w:val="18"/>
          <w:szCs w:val="18"/>
          <w:color w:val="auto"/>
        </w:rPr>
      </w:pPr>
    </w:p>
    <w:p>
      <w:pPr>
        <w:ind w:left="-460" w:right="200" w:firstLine="644"/>
        <w:spacing w:after="0" w:line="342" w:lineRule="auto"/>
        <w:tabs>
          <w:tab w:leader="none" w:pos="893"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cash or Cash Equivalents, Deposit Account, commodities account or securities account (including securities entitlements and related assets but excluding cash and Cash Equivalents representing the proceeds of assets otherwise constituting Collateral);</w:t>
      </w:r>
    </w:p>
    <w:p>
      <w:pPr>
        <w:spacing w:after="0" w:line="123" w:lineRule="exact"/>
        <w:rPr>
          <w:rFonts w:ascii="Arial" w:cs="Arial" w:eastAsia="Arial" w:hAnsi="Arial"/>
          <w:sz w:val="16"/>
          <w:szCs w:val="16"/>
          <w:color w:val="auto"/>
        </w:rPr>
      </w:pPr>
    </w:p>
    <w:p>
      <w:pPr>
        <w:ind w:left="-460" w:right="60" w:firstLine="644"/>
        <w:spacing w:after="0" w:line="271" w:lineRule="auto"/>
        <w:tabs>
          <w:tab w:leader="none" w:pos="8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lease, license or other agreement or contract or any asset subject thereto (including pursuant to a purchase money security interest, Financing Lease or similar arrangement) that is, in each case, not prohibited by the terms of this Indenture to the extent that the grant of a security interest therein would violate or invalidate such lease, license or agreement or contract or purchase money, Financing Lease or similar arrangement or trigger a right of termination in favor of any other party thereto (other than the Issuer or any of its Restricted Subsidiaries) after giving effect to the applicable anti-assignment provisions of the UCC or any other applicable Requirements of Law; it being understood that the term “Excluded Asset” shall not include any proceeds or receivables arising out of any asset described in this clause (10) to the extent that the assignment of such proceeds or receivables is expressly deemed to be effective under the UCC or any other applicable Requirements of Law notwithstanding the relevant requirement or prohibition;</w:t>
      </w:r>
    </w:p>
    <w:p>
      <w:pPr>
        <w:spacing w:after="0" w:line="35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39" w:name="page40"/>
    <w:bookmarkEnd w:id="39"/>
    <w:p>
      <w:pPr>
        <w:jc w:val="both"/>
        <w:ind w:left="660" w:right="60" w:firstLine="644"/>
        <w:spacing w:after="0" w:line="259" w:lineRule="auto"/>
        <w:tabs>
          <w:tab w:leader="none" w:pos="20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asset with respect to which the Issuer and the Notes Collateral Agent has reasonably agreed that the cost, burden, difficulty or consequence (including any effect on the ability of the Issuer or any Guarantor to conduct its operations and business in the ordinary course of business) of obtaining or perfecting a security interest therein outweighs the benefit of a security interest to the Holders of the security afforded thereby, which determination is evidenced in writing;</w:t>
      </w:r>
    </w:p>
    <w:p>
      <w:pPr>
        <w:spacing w:after="0" w:line="186" w:lineRule="exact"/>
        <w:rPr>
          <w:rFonts w:ascii="Arial" w:cs="Arial" w:eastAsia="Arial" w:hAnsi="Arial"/>
          <w:sz w:val="18"/>
          <w:szCs w:val="18"/>
          <w:color w:val="auto"/>
        </w:rPr>
      </w:pPr>
    </w:p>
    <w:p>
      <w:pPr>
        <w:ind w:left="660" w:right="40" w:firstLine="644"/>
        <w:spacing w:after="0" w:line="342" w:lineRule="auto"/>
        <w:tabs>
          <w:tab w:leader="none" w:pos="20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receivables and related assets (or interests therein) (i) disposed of to any Receivables Subsidiary in connection with a Permitted Receivables Financing or (ii) otherwise pledged, factored, transferred or sold in connection with any Permitted Receivables Financing; and</w:t>
      </w:r>
    </w:p>
    <w:p>
      <w:pPr>
        <w:spacing w:after="0" w:line="123" w:lineRule="exact"/>
        <w:rPr>
          <w:rFonts w:ascii="Arial" w:cs="Arial" w:eastAsia="Arial" w:hAnsi="Arial"/>
          <w:sz w:val="16"/>
          <w:szCs w:val="16"/>
          <w:color w:val="auto"/>
        </w:rPr>
      </w:pPr>
    </w:p>
    <w:p>
      <w:pPr>
        <w:ind w:left="660" w:right="160" w:firstLine="644"/>
        <w:spacing w:after="0" w:line="301" w:lineRule="auto"/>
        <w:tabs>
          <w:tab w:leader="none" w:pos="20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governmental licenses, permits or authorizations, or U.S. or foreign state or local franchises, charters or authorizations, to the extent a security interest in any such license, permit, franchise, charter or authorization would be prohibited or restricted thereby (including any legally effective prohibition or restriction) or where the effect thereof would be to limit or diminish the Issuer’s or any Guarantor’s ability to utilize such license, permit franchise, charter or authorization in the conduct of its business in the ordinary course.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Contribution</w:t>
      </w:r>
      <w:r>
        <w:rPr>
          <w:rFonts w:ascii="Arial" w:cs="Arial" w:eastAsia="Arial" w:hAnsi="Arial"/>
          <w:sz w:val="16"/>
          <w:szCs w:val="16"/>
          <w:color w:val="auto"/>
        </w:rPr>
        <w:t>” means the aggregate amount of cash or Cash Equivalents or the fair market value of other assets received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 or any of its Restricted Subsidiaries after the Issue Date from:</w:t>
      </w:r>
    </w:p>
    <w:p>
      <w:pPr>
        <w:spacing w:after="0" w:line="211" w:lineRule="exact"/>
        <w:rPr>
          <w:sz w:val="20"/>
          <w:szCs w:val="20"/>
          <w:color w:val="auto"/>
        </w:rPr>
      </w:pPr>
    </w:p>
    <w:p>
      <w:pPr>
        <w:ind w:left="660" w:right="260" w:firstLine="644"/>
        <w:spacing w:after="0" w:line="277" w:lineRule="auto"/>
        <w:tabs>
          <w:tab w:leader="none" w:pos="20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contributions in respect of Qualified Capital Stock of the Issuer or any of its Restricted Subsidiaries (other than any amounts received from the Issuer or any of its Restricted Subsidiaries),</w:t>
      </w:r>
    </w:p>
    <w:p>
      <w:pPr>
        <w:spacing w:after="0" w:line="170" w:lineRule="exact"/>
        <w:rPr>
          <w:rFonts w:ascii="Arial" w:cs="Arial" w:eastAsia="Arial" w:hAnsi="Arial"/>
          <w:sz w:val="18"/>
          <w:szCs w:val="18"/>
          <w:color w:val="auto"/>
        </w:rPr>
      </w:pPr>
    </w:p>
    <w:p>
      <w:pPr>
        <w:ind w:left="660" w:firstLine="644"/>
        <w:spacing w:after="0" w:line="255" w:lineRule="auto"/>
        <w:tabs>
          <w:tab w:leader="none" w:pos="20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sale of Qualified Capital Stock of the Issuer (other than (i) to any Restricted Subsidiary of the Issuer, (ii) pursuant to any management equity plan or stock option plan or any other management or employee benefit plan, (iii) with the proceeds of any loan or advance made pursuant to clause (h)(i) of the definition of “Permitted Investments” or (iv) Designated Preferred Stock), including any addition to capital as a result of any consolidation, merger or similar transaction with the Issuer or any Restricted Subsidiary, to the extent designated as an Excluded Contribution and the proceeds of which have not been applied in reliance on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or to make a Restricted Payment pursuant to </w:t>
      </w:r>
      <w:r>
        <w:rPr>
          <w:rFonts w:ascii="Arial" w:cs="Arial" w:eastAsia="Arial" w:hAnsi="Arial"/>
          <w:sz w:val="18"/>
          <w:szCs w:val="18"/>
          <w:u w:val="single" w:color="auto"/>
          <w:color w:val="auto"/>
        </w:rPr>
        <w:t>Section 4.07(b)(ii)(B)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4.07(b)(xxix)(A)</w:t>
      </w:r>
      <w:r>
        <w:rPr>
          <w:rFonts w:ascii="Arial" w:cs="Arial" w:eastAsia="Arial" w:hAnsi="Arial"/>
          <w:sz w:val="18"/>
          <w:szCs w:val="18"/>
          <w:color w:val="auto"/>
        </w:rPr>
        <w:t>, and</w:t>
      </w:r>
    </w:p>
    <w:p>
      <w:pPr>
        <w:spacing w:after="0" w:line="192" w:lineRule="exact"/>
        <w:rPr>
          <w:rFonts w:ascii="Arial" w:cs="Arial" w:eastAsia="Arial" w:hAnsi="Arial"/>
          <w:sz w:val="18"/>
          <w:szCs w:val="18"/>
          <w:color w:val="auto"/>
        </w:rPr>
      </w:pPr>
    </w:p>
    <w:p>
      <w:pPr>
        <w:ind w:left="660" w:right="660" w:firstLine="644"/>
        <w:spacing w:after="0" w:line="277" w:lineRule="auto"/>
        <w:tabs>
          <w:tab w:leader="none" w:pos="2003"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dividends, distributions, other Returns, fees and other payments from any Unrestricted Subsidiaries or joint ventures or Investments in entities that are not Restricted Subsidiaries.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2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Issuer.</w:t>
      </w:r>
    </w:p>
    <w:p>
      <w:pPr>
        <w:spacing w:after="0" w:line="187"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Lease</w:t>
      </w:r>
      <w:r>
        <w:rPr>
          <w:rFonts w:ascii="Arial" w:cs="Arial" w:eastAsia="Arial" w:hAnsi="Arial"/>
          <w:sz w:val="16"/>
          <w:szCs w:val="16"/>
          <w:color w:val="auto"/>
        </w:rPr>
        <w:t>” means,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 subsidiary of Fimalac, S.A., and any successor to its rating agency business.</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means, as of any date of determination, the ratio of (a) Annualized EBITDA to (b) (i) Fixed Charges for the period of four consecutive fiscal quarters then most recently ended for which internal financial statements are available on or prior to the date of such determination, in each case of the Issuer and its Restricted Subsidiaries on a consolidated basis.</w:t>
      </w:r>
    </w:p>
    <w:p>
      <w:pPr>
        <w:spacing w:after="0" w:line="184"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as to the Issuer and its Restricted Subsidiaries at any date of determination, on a consolidated basis, for any period, the sum of (without duplication):</w:t>
      </w:r>
    </w:p>
    <w:p>
      <w:pPr>
        <w:spacing w:after="0" w:line="170" w:lineRule="exact"/>
        <w:rPr>
          <w:sz w:val="20"/>
          <w:szCs w:val="20"/>
          <w:color w:val="auto"/>
        </w:rPr>
      </w:pPr>
    </w:p>
    <w:p>
      <w:pPr>
        <w:ind w:left="2000" w:hanging="696"/>
        <w:spacing w:after="0"/>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Interest Expense for such period;</w:t>
      </w:r>
    </w:p>
    <w:p>
      <w:pPr>
        <w:spacing w:after="0" w:line="225" w:lineRule="exact"/>
        <w:rPr>
          <w:rFonts w:ascii="Arial" w:cs="Arial" w:eastAsia="Arial" w:hAnsi="Arial"/>
          <w:sz w:val="18"/>
          <w:szCs w:val="18"/>
          <w:color w:val="auto"/>
        </w:rPr>
      </w:pPr>
    </w:p>
    <w:p>
      <w:pPr>
        <w:ind w:left="660" w:right="140" w:firstLine="644"/>
        <w:spacing w:after="0" w:line="277" w:lineRule="auto"/>
        <w:tabs>
          <w:tab w:leader="none" w:pos="20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Preferred Stock of the Issuer and its Restricted Subsidiaries made during such period; and</w:t>
      </w:r>
    </w:p>
    <w:p>
      <w:pPr>
        <w:spacing w:after="0" w:line="170" w:lineRule="exact"/>
        <w:rPr>
          <w:rFonts w:ascii="Arial" w:cs="Arial" w:eastAsia="Arial" w:hAnsi="Arial"/>
          <w:sz w:val="18"/>
          <w:szCs w:val="18"/>
          <w:color w:val="auto"/>
        </w:rPr>
      </w:pPr>
    </w:p>
    <w:p>
      <w:pPr>
        <w:ind w:left="660" w:right="120" w:firstLine="644"/>
        <w:spacing w:after="0" w:line="277" w:lineRule="auto"/>
        <w:tabs>
          <w:tab w:leader="none" w:pos="20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Stock of the Issuer and its Restricted Subsidiaries made during such period.</w:t>
      </w:r>
    </w:p>
    <w:p>
      <w:pPr>
        <w:spacing w:after="0" w:line="170"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Restricted Subsidiary that is not organized under the laws of the United States, any state thereof or the District of Columbia and any Restricted Subsidiary of such Foreign Subsidiary.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Fortress</w:t>
      </w:r>
      <w:r>
        <w:rPr>
          <w:rFonts w:ascii="Arial" w:cs="Arial" w:eastAsia="Arial" w:hAnsi="Arial"/>
          <w:sz w:val="18"/>
          <w:szCs w:val="18"/>
          <w:color w:val="auto"/>
        </w:rPr>
        <w:t>” means Fortress Investment Group LLC.</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at the election of the Issuer, (i) the accounting standards and interpretations adopted by the International Accounting Standards Board, as in effect from time to time (“</w:t>
      </w:r>
      <w:r>
        <w:rPr>
          <w:rFonts w:ascii="Arial" w:cs="Arial" w:eastAsia="Arial" w:hAnsi="Arial"/>
          <w:sz w:val="17"/>
          <w:szCs w:val="17"/>
          <w:u w:val="single" w:color="auto"/>
          <w:color w:val="auto"/>
        </w:rPr>
        <w:t>IFRS</w:t>
      </w:r>
      <w:r>
        <w:rPr>
          <w:rFonts w:ascii="Arial" w:cs="Arial" w:eastAsia="Arial" w:hAnsi="Arial"/>
          <w:sz w:val="17"/>
          <w:szCs w:val="17"/>
          <w:color w:val="auto"/>
        </w:rPr>
        <w:t xml:space="preserve">”) if the Issuer’s financial statements are at such time prepared in accordance with IFRS or (ii)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all terms of an accounting or financial nature used herein shall be construed, and all computations of amounts and ratios referred to herein shall be made without giving effect to (x)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Issuer or any Subsidiary at “fair value”, as defined therein and (y)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(b) any calculation or determination in this Indenture that requires the application of GAAP across multiple quarters need not be calculated or determined using the same accounting standard for each constituent quarter.</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 w:name="page42"/>
    <w:bookmarkEnd w:id="41"/>
    <w:p>
      <w:pPr>
        <w:ind w:right="260" w:firstLine="1296"/>
        <w:spacing w:after="0" w:line="259" w:lineRule="auto"/>
        <w:rPr>
          <w:sz w:val="20"/>
          <w:szCs w:val="20"/>
          <w:color w:val="auto"/>
        </w:rPr>
      </w:pPr>
      <w:r>
        <w:rPr>
          <w:rFonts w:ascii="Arial" w:cs="Arial" w:eastAsia="Arial" w:hAnsi="Arial"/>
          <w:sz w:val="18"/>
          <w:szCs w:val="18"/>
          <w:color w:val="auto"/>
        </w:rPr>
        <w:t>For avoidance of doubt, notwithstanding any classification under GAAP of any Person or business in respect of which a definitive agreement for the disposition thereof has been entered into as discontinued operations, the Consolidated Net Income and Consolidated EBITDA of such Person or business shall not be excluded from the calculation of Consolidated Net Income or Consolidated EBITDA, respectively, until such disposition shall have been consummated.</w:t>
      </w:r>
    </w:p>
    <w:p>
      <w:pPr>
        <w:spacing w:after="0" w:line="187"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If there occurs or has occurred a change in generally accepted accounting principles and such change would cause a change in the method of calculation of any standard, term or measure used in this Indenture (an “</w:t>
      </w:r>
      <w:r>
        <w:rPr>
          <w:rFonts w:ascii="Arial" w:cs="Arial" w:eastAsia="Arial" w:hAnsi="Arial"/>
          <w:sz w:val="17"/>
          <w:szCs w:val="17"/>
          <w:u w:val="single" w:color="auto"/>
          <w:color w:val="auto"/>
        </w:rPr>
        <w:t>Accounting Change</w:t>
      </w:r>
      <w:r>
        <w:rPr>
          <w:rFonts w:ascii="Arial" w:cs="Arial" w:eastAsia="Arial" w:hAnsi="Arial"/>
          <w:sz w:val="17"/>
          <w:szCs w:val="17"/>
          <w:color w:val="auto"/>
        </w:rPr>
        <w:t xml:space="preserve">”), then the Issuer may elect, as evidenced by a written notice of the Issuer to the Trustee, that such standard, term or measure shall be calculated as if such Accounting Change had not occurred. For the avoidance of doubt, solely making an election (without any other action) referred to in this definition will not (1) be treated as an incurrence of Indebtedness or (2) have the effect of rendering invalid any Restricted Payment, Investment or other action made prior to the date of such election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any incurrence of Indebtedness incurred prior to the date of such election pursuant to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or any incurrence of Liens pursuant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(or any other action conditioned on compliance with a financial ratio or test) if such Restricted Payment, Investment, incurrence or other action was valid under this Indenture on the date made, incurred or taken, as the case may be.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Global Note Legend</w:t>
      </w:r>
      <w:r>
        <w:rPr>
          <w:rFonts w:ascii="Arial" w:cs="Arial" w:eastAsia="Arial" w:hAnsi="Arial"/>
          <w:sz w:val="16"/>
          <w:szCs w:val="16"/>
          <w:color w:val="auto"/>
        </w:rPr>
        <w:t xml:space="preserve">” means the legend set forth in </w:t>
      </w:r>
      <w:r>
        <w:rPr>
          <w:rFonts w:ascii="Arial" w:cs="Arial" w:eastAsia="Arial" w:hAnsi="Arial"/>
          <w:sz w:val="16"/>
          <w:szCs w:val="16"/>
          <w:u w:val="single" w:color="auto"/>
          <w:color w:val="auto"/>
        </w:rPr>
        <w:t>Section 2.06(g)(ii)</w:t>
      </w:r>
      <w:r>
        <w:rPr>
          <w:rFonts w:ascii="Arial" w:cs="Arial" w:eastAsia="Arial" w:hAnsi="Arial"/>
          <w:sz w:val="16"/>
          <w:szCs w:val="16"/>
          <w:color w:val="auto"/>
        </w:rPr>
        <w:t>, which is required to be placed on all Global Notes issued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1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Notes</w:t>
      </w:r>
      <w:r>
        <w:rPr>
          <w:rFonts w:ascii="Arial" w:cs="Arial" w:eastAsia="Arial" w:hAnsi="Arial"/>
          <w:sz w:val="18"/>
          <w:szCs w:val="18"/>
          <w:color w:val="auto"/>
        </w:rPr>
        <w:t xml:space="preserve">” means, individually and collectively, each of the Restricted Global Notes and the Unrestricted Global Notes,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issued in accordance with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2.06(d)</w:t>
      </w:r>
      <w:r>
        <w:rPr>
          <w:rFonts w:ascii="Arial" w:cs="Arial" w:eastAsia="Arial" w:hAnsi="Arial"/>
          <w:sz w:val="18"/>
          <w:szCs w:val="18"/>
          <w:color w:val="auto"/>
        </w:rPr>
        <w:t>.</w:t>
      </w:r>
    </w:p>
    <w:p>
      <w:pPr>
        <w:spacing w:after="0" w:line="170"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Subsidiary of the Issuer that executes this Indenture as a guarantor on the Issue Date and each other Subsidiary of the Issuer that thereafter guarantees the Notes in accordance with the terms of this Indenture, for such period that such Person guarantees the Notes in accordance with the terms of this Indenture (including the release provisions of Section 10.06).</w:t>
      </w:r>
    </w:p>
    <w:p>
      <w:pPr>
        <w:spacing w:after="0" w:line="184"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any agreement with respect to any Derivative Transaction between the Issuer, any Guarantor or any Restricted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means the obligations of the Issuer, any Guarantor or any Restricted Subsidiary under any Hedge Agreement.</w:t>
      </w:r>
    </w:p>
    <w:p>
      <w:pPr>
        <w:spacing w:after="0" w:line="248" w:lineRule="exact"/>
        <w:rPr>
          <w:sz w:val="20"/>
          <w:szCs w:val="20"/>
          <w:color w:val="auto"/>
        </w:rPr>
      </w:pPr>
    </w:p>
    <w:p>
      <w:pPr>
        <w:jc w:val="both"/>
        <w:ind w:right="2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a Note is registered on the registrar’s books.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accounting standards as promulgated by the International Accounting Standards Board.</w:t>
      </w:r>
    </w:p>
    <w:p>
      <w:pPr>
        <w:spacing w:after="0" w:line="225"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as of any date of determination, any Restricted Subsidiary of the Issuer (a) the assets of which (on a standalone basis, when combined with the assets of such Restricted Subsidiary’s subsidiaries attributable to such Restricted Subsidiary’s economic interest therein) do not exceed 3.0% of Consolidated Total Assets of the Issuer and (b) the contribution to Annualized EBITDA of which (on a standalone basis, when combined with the contribution to Annualized EBITDA of such Restricted Subsidiary’s subsidiaries, after intercompany eliminations) does not exceed 3.0% of the Annualized EBITDA of the Issuer, in each case, as of the last day of or for the most recently ended Test Period on or prior to such date of determination.</w:t>
      </w:r>
    </w:p>
    <w:p>
      <w:pPr>
        <w:spacing w:after="0" w:line="192"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applied to any Person means, without duplication:</w:t>
      </w:r>
    </w:p>
    <w:p>
      <w:pPr>
        <w:spacing w:after="0" w:line="225" w:lineRule="exact"/>
        <w:rPr>
          <w:sz w:val="20"/>
          <w:szCs w:val="20"/>
          <w:color w:val="auto"/>
        </w:rPr>
      </w:pPr>
    </w:p>
    <w:p>
      <w:pPr>
        <w:ind w:left="880" w:hanging="69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indebtedness for borrowed money;</w:t>
      </w:r>
    </w:p>
    <w:p>
      <w:pPr>
        <w:spacing w:after="0" w:line="225" w:lineRule="exact"/>
        <w:rPr>
          <w:rFonts w:ascii="Arial" w:cs="Arial" w:eastAsia="Arial" w:hAnsi="Arial"/>
          <w:sz w:val="18"/>
          <w:szCs w:val="18"/>
          <w:color w:val="auto"/>
        </w:rPr>
      </w:pPr>
    </w:p>
    <w:p>
      <w:pPr>
        <w:ind w:left="880" w:hanging="69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obligations with respect to Financing Leases;</w:t>
      </w:r>
    </w:p>
    <w:p>
      <w:pPr>
        <w:spacing w:after="0" w:line="225" w:lineRule="exact"/>
        <w:rPr>
          <w:rFonts w:ascii="Arial" w:cs="Arial" w:eastAsia="Arial" w:hAnsi="Arial"/>
          <w:sz w:val="18"/>
          <w:szCs w:val="18"/>
          <w:color w:val="auto"/>
        </w:rPr>
      </w:pPr>
    </w:p>
    <w:p>
      <w:pPr>
        <w:ind w:left="880" w:hanging="69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w:t>
      </w:r>
    </w:p>
    <w:p>
      <w:pPr>
        <w:spacing w:after="0" w:line="225" w:lineRule="exact"/>
        <w:rPr>
          <w:rFonts w:ascii="Arial" w:cs="Arial" w:eastAsia="Arial" w:hAnsi="Arial"/>
          <w:sz w:val="18"/>
          <w:szCs w:val="18"/>
          <w:color w:val="auto"/>
        </w:rPr>
      </w:pPr>
    </w:p>
    <w:p>
      <w:pPr>
        <w:ind w:left="-460" w:right="60" w:firstLine="644"/>
        <w:spacing w:after="0" w:line="255" w:lineRule="auto"/>
        <w:tabs>
          <w:tab w:leader="none" w:pos="8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obligation of such Person to pay the deferred purchase price of property or services (excluding (i) any earn-out obligation, purchase price adjustment or similar obligation, unless such obligation has not been paid within 60 days after becoming due and payable and becomes a liability on the balance sheet of such Person in accordance with GAAP and (ii) any such obligations incurred under the Employee Retirement Income Security Act of 1974, as amended from time to time, and the regulations promulgated and rulings issued thereunder), which purchase price is (A) due more than 365 days from the date of incurrence of the obligation in respect thereof or (B) evidenced by a note or similar written instrument;</w:t>
      </w:r>
    </w:p>
    <w:p>
      <w:pPr>
        <w:spacing w:after="0" w:line="192" w:lineRule="exact"/>
        <w:rPr>
          <w:rFonts w:ascii="Arial" w:cs="Arial" w:eastAsia="Arial" w:hAnsi="Arial"/>
          <w:sz w:val="18"/>
          <w:szCs w:val="18"/>
          <w:color w:val="auto"/>
        </w:rPr>
      </w:pPr>
    </w:p>
    <w:p>
      <w:pPr>
        <w:ind w:left="-460" w:right="280" w:firstLine="644"/>
        <w:spacing w:after="0" w:line="259" w:lineRule="auto"/>
        <w:tabs>
          <w:tab w:leader="none" w:pos="8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all Indebtedness of others that is secured by any Lien on any asset owned or held by such Person regardless of whether the Indebtedness secured thereby has been assumed by such Person or is non-recourse to the credit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Indebtedness of any Person for purposes of this clause (e) shall be deemed to be equal to the lesser of (A) the aggregate unpaid amount of such Indebtedness and (B) the fair market value of the property encumbered thereby;</w:t>
      </w:r>
    </w:p>
    <w:p>
      <w:pPr>
        <w:spacing w:after="0" w:line="186" w:lineRule="exact"/>
        <w:rPr>
          <w:rFonts w:ascii="Arial" w:cs="Arial" w:eastAsia="Arial" w:hAnsi="Arial"/>
          <w:sz w:val="18"/>
          <w:szCs w:val="18"/>
          <w:color w:val="auto"/>
        </w:rPr>
      </w:pPr>
    </w:p>
    <w:p>
      <w:pPr>
        <w:ind w:left="-460" w:right="40" w:firstLine="644"/>
        <w:spacing w:after="0" w:line="277" w:lineRule="auto"/>
        <w:tabs>
          <w:tab w:leader="none" w:pos="9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letters of credit or bankers’ acceptances issued for the account of such Person or as to which such Person is otherwise liable for reimbursement of drawings;</w:t>
      </w:r>
    </w:p>
    <w:p>
      <w:pPr>
        <w:spacing w:after="0" w:line="170" w:lineRule="exact"/>
        <w:rPr>
          <w:rFonts w:ascii="Arial" w:cs="Arial" w:eastAsia="Arial" w:hAnsi="Arial"/>
          <w:sz w:val="18"/>
          <w:szCs w:val="18"/>
          <w:color w:val="auto"/>
        </w:rPr>
      </w:pPr>
    </w:p>
    <w:p>
      <w:pPr>
        <w:ind w:left="-460" w:firstLine="644"/>
        <w:spacing w:after="0" w:line="279" w:lineRule="auto"/>
        <w:tabs>
          <w:tab w:leader="none" w:pos="89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guarantee by such Person of the Indebtedness of another, other than by endorsement of negotiable instruments for collection in the ordinary course of business; provided that the amount of Indebtedness of any Person for purposes of this clause (g) shall be deemed to be equal to the lesser of (i) the aggregate unpaid amount of such Indebtedness and (ii) in the case of Indebtedness that is non-recourse to the credit of the Issuer or a Restricted Subsidiary, the fair market value of the property encumbered thereby;</w:t>
      </w:r>
    </w:p>
    <w:p>
      <w:pPr>
        <w:spacing w:after="0" w:line="171" w:lineRule="exact"/>
        <w:rPr>
          <w:rFonts w:ascii="Arial" w:cs="Arial" w:eastAsia="Arial" w:hAnsi="Arial"/>
          <w:sz w:val="17"/>
          <w:szCs w:val="17"/>
          <w:color w:val="auto"/>
        </w:rPr>
      </w:pPr>
    </w:p>
    <w:p>
      <w:pPr>
        <w:ind w:left="880" w:hanging="696"/>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obligations of such Person in respect of any Disqualified Stock; and</w:t>
      </w:r>
    </w:p>
    <w:p>
      <w:pPr>
        <w:spacing w:after="0" w:line="225" w:lineRule="exact"/>
        <w:rPr>
          <w:rFonts w:ascii="Arial" w:cs="Arial" w:eastAsia="Arial" w:hAnsi="Arial"/>
          <w:sz w:val="18"/>
          <w:szCs w:val="18"/>
          <w:color w:val="auto"/>
        </w:rPr>
      </w:pPr>
    </w:p>
    <w:p>
      <w:pPr>
        <w:ind w:left="-460" w:firstLine="644"/>
        <w:spacing w:after="0" w:line="275" w:lineRule="auto"/>
        <w:tabs>
          <w:tab w:leader="none" w:pos="89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net obligations of such Person in respect of any Derivative Transaction, whether or not entered into for hedging or speculative purposes, other than those providing for the delivery of a commodity pursuant to forward contracts (any such Derivative Transaction pursuant to a Hedge Agreement, a “</w:t>
      </w:r>
      <w:r>
        <w:rPr>
          <w:rFonts w:ascii="Arial" w:cs="Arial" w:eastAsia="Arial" w:hAnsi="Arial"/>
          <w:sz w:val="17"/>
          <w:szCs w:val="17"/>
          <w:u w:val="single" w:color="auto"/>
          <w:color w:val="auto"/>
        </w:rPr>
        <w:t>Specified Hedge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obligation under any Derivative Transaction be deemed “</w:t>
      </w:r>
      <w:r>
        <w:rPr>
          <w:rFonts w:ascii="Arial" w:cs="Arial" w:eastAsia="Arial" w:hAnsi="Arial"/>
          <w:sz w:val="17"/>
          <w:szCs w:val="17"/>
          <w:u w:val="single" w:color="auto"/>
          <w:color w:val="auto"/>
        </w:rPr>
        <w:t>Indebtedness</w:t>
      </w:r>
      <w:r>
        <w:rPr>
          <w:rFonts w:ascii="Arial" w:cs="Arial" w:eastAsia="Arial" w:hAnsi="Arial"/>
          <w:sz w:val="17"/>
          <w:szCs w:val="17"/>
          <w:color w:val="auto"/>
        </w:rPr>
        <w:t>” for any calculation of the Consolidated Total Debt Ratio, Consolidated First Lien Debt Ratio, Consolidated Secured Debt Ratio, Fixed Charge Coverage Ratio or any other financial ratio under this Indenture;</w:t>
      </w:r>
    </w:p>
    <w:p>
      <w:pPr>
        <w:spacing w:after="0" w:line="3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44" w:name="page45"/>
    <w:bookmarkEnd w:id="44"/>
    <w:p>
      <w:pPr>
        <w:ind w:right="160"/>
        <w:spacing w:after="0" w:line="277" w:lineRule="auto"/>
        <w:rPr>
          <w:sz w:val="20"/>
          <w:szCs w:val="20"/>
          <w:color w:val="auto"/>
        </w:rPr>
      </w:pPr>
      <w:r>
        <w:rPr>
          <w:rFonts w:ascii="Arial" w:cs="Arial" w:eastAsia="Arial" w:hAnsi="Arial"/>
          <w:sz w:val="18"/>
          <w:szCs w:val="18"/>
          <w:color w:val="auto"/>
        </w:rPr>
        <w:t>in each case, to the extent the same would appear as a liability on a balance sheet (excluding the footnotes thereto) of such Person prepared in accordance with GAAP.</w:t>
      </w:r>
    </w:p>
    <w:p>
      <w:pPr>
        <w:spacing w:after="0" w:line="170"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term “Indebtedness” shall not include, and shall be calculated without giving effect to, (x) the effects of Accounting Standards Codification Topic 815 or International Accounting Standard 39 and related interpretations to the extent such effects would otherwise increase or decrease an amount of Indebtedness for any purpose under this Indenture as a result of accounting for any embedded derivatives created by the terms of such Indebtedness (it being understood that any such amounts that would have constituted Indebtedness under this Indenture but for the application of this proviso shall not be deemed an incurrence of Indebtedness under this Indenture) and (y) the effects of Statement of Financial Accounting Standards No. 133 and related interpretations to the extent such effects would otherwise increase or decrease an amount of Indebtedness for any purpose under this Indenture as a result of accounting for any embedded derivative created by the terms of such Indebtedness (it being understood that any such amount that would have constituted Indebtedness under this Indenture but for the application of this sentence shall not be deemed to be an incurrence of Indebtedness under this Indenture).</w:t>
      </w:r>
    </w:p>
    <w:p>
      <w:pPr>
        <w:spacing w:after="0" w:line="174"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For all purposes hereof, the Indebtedness of the Issuer and its Restricted Subsidiaries shall exclude (i) intercompany liabilities arising from cash management and accounting operations and intercompany loans, advances or Indebtedness among the Issuer and its Restricted Subsidiaries having a term not exceeding 364 days (inclusive of any rollover or extensions of terms) and made in the ordinary course of business, consistent with past practice or consistent with industry norm, (ii) any amounts payable or other liabilities to trade creditors (including undrawn letters of credit) arising in the ordinary course of business, consistent with past practice or consistent with industry norm, including any deferred or prepaid revenue, (iii) purchase price holdbacks in respect of a portion of the purchase price of an asset to satisfy warranty or other unperformed obligations of the seller, (iv) any obligations attributable to the exercise of appraisal rights and the settlement of any claims or actions (whether actual, contingent or potential) with respect thereto (including any accrued interest), (v) Indebtedness appearing on the balance sheet of the Issuer solely by reason of pushdown accounting under GAAP, (vi) accrued expenses and royalties, (vii) asset retirement obligations and obligations in respect of performance bonds, reclamation and workers’ compensation claims, retirement, post-employment or termination obligations (including pensions and retiree medical care), pension fund obligations or contributions or similar claims, or social security or wage taxes or contributions, (viii) accrued expenses or current trade or other ordinary course payables or liabilities incurred in the ordinary course of business, consistent with past practice or consistent with industry norm (including on an intercompany basis), and obligations resulting from take-or-pay contracts entered into in the ordinary course of business, consistent with past practice or consistent with industry norm, and other liabilities associated with customer prepayments and deposits, (ix) liabilities associated with customer prepayments and deposits and other accrued obligations (including transfer pricing), in each case incurred in the ordinary course of business, consistent with past practice or consistent with industry norm, (x) Non-Financing Lease Obligations or other obligations under or in respect of straight-line leases, operating leases or Sale and Lease-Back Transactions (except to the extent resulting in a Financing Lease), (xi) customary obligations under employment agreements and deferred compensation arrangements, (xii) Contingent Obligations, (xiii) obligations under any license, permit or other approval (or guarantees given in respect of such obligations) incurred prior to the Issue Date or in the ordinary course of business, consistent with past practice or consistent with industry norm, (xiv) any liability for taxes and (xv) any land and port concessions.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Financial Advisor</w:t>
      </w:r>
      <w:r>
        <w:rPr>
          <w:rFonts w:ascii="Arial" w:cs="Arial" w:eastAsia="Arial" w:hAnsi="Arial"/>
          <w:sz w:val="17"/>
          <w:szCs w:val="17"/>
          <w:color w:val="auto"/>
        </w:rPr>
        <w:t>” means an accounting, appraisal or investment banking firm or consultant of nationally recognized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standing.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means any Equal Priority Intercreditor Agreement and any Junior Priority Intercreditor Agreement.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March 15 and September 15 of each year to stated maturity, commencing on March 15, 2021.</w:t>
      </w:r>
    </w:p>
    <w:p>
      <w:pPr>
        <w:spacing w:after="0" w:line="237"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 any purchase or other acquisition by the Issuer or any of its Restricted Subsidiaries of any of the securities of any other Person (other than the Issuer or any Guarantor), (b) the acquisition by purchase or otherwise (other than any purchase or other acquisition of inventory, materials, supplies and/or equipment in the ordinary course of business) of all or substantially all the business, property or fixed assets of any other Person or any division or line of business or other business unit of any other Person and (c) any loan, advance or capital contribution (other than accounts receivable, trade credit, advances to customers, intercompany loans, advances or Indebtedness having a term not exceeding 364 days (inclusive of any roll-over or extensions of terms) or any advance to any current or former employee, officer, director, member of management, manager, member, partner, consultant or independent contractor of the Issuer or any Restricted Subsidiary for moving, entertainment and travel expenses, drawing accounts and similar expenditures, in each case in the ordinary course of business, consistent with practice or consistent with industry norm of the Issuer and/or its Subsidiaries) by the Issuer or any of its Restricted Subsidiaries to any other Person.</w:t>
      </w:r>
    </w:p>
    <w:p>
      <w:pPr>
        <w:spacing w:after="0" w:line="181"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 xml:space="preserve">The amount of any Investment outstanding at any time shall be the original cost of such Investment (determined, in the case of an Investment made with assets of the Issuer or any Restricted Subsidiary, based on the net book value of the assets invested),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any payments actually received by such investor representing a Return in respect of such Investment (without duplication of amounts increasing </w:t>
      </w:r>
      <w:r>
        <w:rPr>
          <w:rFonts w:ascii="Arial" w:cs="Arial" w:eastAsia="Arial" w:hAnsi="Arial"/>
          <w:sz w:val="18"/>
          <w:szCs w:val="18"/>
          <w:u w:val="single" w:color="auto"/>
          <w:color w:val="auto"/>
        </w:rPr>
        <w:t>clause (2)(a)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 but without any other adjustment for increases or decreases in value of, or write-ups, write-downs or write-offs with respect to, such Investment after the date of such Investment.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firstLine="1296"/>
        <w:spacing w:after="0" w:line="263" w:lineRule="auto"/>
        <w:rPr>
          <w:sz w:val="20"/>
          <w:szCs w:val="20"/>
          <w:color w:val="auto"/>
        </w:rPr>
      </w:pPr>
      <w:r>
        <w:rPr>
          <w:rFonts w:ascii="Arial" w:cs="Arial" w:eastAsia="Arial" w:hAnsi="Arial"/>
          <w:sz w:val="18"/>
          <w:szCs w:val="18"/>
          <w:color w:val="auto"/>
        </w:rPr>
        <w:t>If the Issuer or any Restricted Subsidiary issues, sells or otherwise disposes of any Capital Stock of a Person that is a Restricted Subsidiary such that, after giving effect thereto, such Person is no longer a Restricted Subsidiary, any Investment by the Issuer or any Restricted Subsidiary in such Person remaining after giving effect thereto shall not be deemed to be an Investment at such time.</w:t>
      </w:r>
    </w:p>
    <w:p>
      <w:pPr>
        <w:spacing w:after="0" w:line="18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Assets</w:t>
      </w:r>
      <w:r>
        <w:rPr>
          <w:rFonts w:ascii="Arial" w:cs="Arial" w:eastAsia="Arial" w:hAnsi="Arial"/>
          <w:sz w:val="18"/>
          <w:szCs w:val="18"/>
          <w:color w:val="auto"/>
        </w:rPr>
        <w:t>” means (a) securities issued or directly and fully guaranteed or insured by the U.S. government or any agency or instrumentality thereof (other than Cash Equivalents), (b) debt securities or debt instruments with an Investment Grade Rating, but excluding any debt securities or instruments constituting loans or advances among the Issuer and its Subsidiaries, (c) investments in any fund that invests at least 90.0% of its assets in investments of the type described in clauses (a) and (b) which fund may also hold immaterial amounts of cash pending investment or distribution and (d) corresponding instruments utilized by any Foreign Subsidiary and customarily used by companies in the jurisdiction of such Foreign Subsidiary for high quality investments.</w:t>
      </w:r>
    </w:p>
    <w:p>
      <w:pPr>
        <w:spacing w:after="0" w:line="192"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equal to or higher than Baa3 (or the equivalent) by Moody’s and BBB- (or the equivalent) by S&amp;P or Fitch or the equivalent investment grade credit rating from any other nationally recognized rating agency.</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a license or right to use all rights in Designs, patents, trademarks, domain names, copyrights, software, Trade Secrets and all other intellectual property rights.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September 2, 2020.</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Order</w:t>
      </w:r>
      <w:r>
        <w:rPr>
          <w:rFonts w:ascii="Arial" w:cs="Arial" w:eastAsia="Arial" w:hAnsi="Arial"/>
          <w:sz w:val="16"/>
          <w:szCs w:val="16"/>
          <w:color w:val="auto"/>
        </w:rPr>
        <w:t>” means a written request or order signed on behalf of the Issuer by an Officer of the Issuer and delivered to the Trustee.</w:t>
      </w:r>
    </w:p>
    <w:p>
      <w:pPr>
        <w:spacing w:after="0" w:line="248"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Lien Priority</w:t>
      </w:r>
      <w:r>
        <w:rPr>
          <w:rFonts w:ascii="Arial" w:cs="Arial" w:eastAsia="Arial" w:hAnsi="Arial"/>
          <w:sz w:val="17"/>
          <w:szCs w:val="17"/>
          <w:color w:val="auto"/>
        </w:rPr>
        <w:t>” means, with respect to specified Indebtedness, that such Indebtedness is secured by a Lien that is junior in priority to the Liens on the Collateral securing the Senior Priority Obligations and is subject to a Junior Priority Intercreditor Agreement (it being understood that junior Liens are not required to rank equally and ratably with other junior Liens, and that Indebtedness secured by junior Liens may be secured by Liens that are senior in priority to, or rank equally and ratably with, or junior in priority to, other Liens constituting junior Liens).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Collateral Agent</w:t>
      </w:r>
      <w:r>
        <w:rPr>
          <w:rFonts w:ascii="Arial" w:cs="Arial" w:eastAsia="Arial" w:hAnsi="Arial"/>
          <w:sz w:val="18"/>
          <w:szCs w:val="18"/>
          <w:color w:val="auto"/>
        </w:rPr>
        <w:t>” means the Junior Priority Representative for the holders of any Junior Priority Obligations.</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Intercreditor Agreement</w:t>
      </w:r>
      <w:r>
        <w:rPr>
          <w:rFonts w:ascii="Arial" w:cs="Arial" w:eastAsia="Arial" w:hAnsi="Arial"/>
          <w:sz w:val="18"/>
          <w:szCs w:val="18"/>
          <w:color w:val="auto"/>
        </w:rPr>
        <w:t>” means an intercreditor agreement with respect to the Collateral, entered into by, among others, the Notes Collateral Agent, the applicable Junior Priority Collateral Agent(s) and, if applicable, any other Equal Priority Collateral Agent(s), having substantially the same terms as those described in the “Description of Notes—Security for the Notes—Junior Priority Intercreditor Agreement” section of the Offering Memorandum and other usual or customary terms (as the same may be amended, restated, renewed, replaced or otherwise modified from time to time).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7" w:name="page48"/>
    <w:bookmarkEnd w:id="47"/>
    <w:p>
      <w:pPr>
        <w:jc w:val="both"/>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Obligations</w:t>
      </w:r>
      <w:r>
        <w:rPr>
          <w:rFonts w:ascii="Arial" w:cs="Arial" w:eastAsia="Arial" w:hAnsi="Arial"/>
          <w:sz w:val="18"/>
          <w:szCs w:val="18"/>
          <w:color w:val="auto"/>
        </w:rPr>
        <w:t xml:space="preserve">” means the Obligations with respect to any Indebtedness having Junior Lien Priority relative to the Secured Notes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is permitted to be incurred under this Indenture,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holders of such indebtedness or their Junior Priority Representative shall become party to a Junior Priority Intercreditor Agreement.</w:t>
      </w:r>
    </w:p>
    <w:p>
      <w:pPr>
        <w:spacing w:after="0" w:line="184" w:lineRule="exact"/>
        <w:rPr>
          <w:sz w:val="20"/>
          <w:szCs w:val="20"/>
          <w:color w:val="auto"/>
        </w:rPr>
      </w:pPr>
    </w:p>
    <w:p>
      <w:pPr>
        <w:ind w:right="8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Representative</w:t>
      </w:r>
      <w:r>
        <w:rPr>
          <w:rFonts w:ascii="Arial" w:cs="Arial" w:eastAsia="Arial" w:hAnsi="Arial"/>
          <w:sz w:val="18"/>
          <w:szCs w:val="18"/>
          <w:color w:val="auto"/>
        </w:rPr>
        <w:t>” means any duly authorized representative of any holders of Junior Priority Obligations, which representative is named as such in a Junior Priority Intercreditor Agreement or any joinder thereto.</w:t>
      </w:r>
    </w:p>
    <w:p>
      <w:pPr>
        <w:spacing w:after="0" w:line="170"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Secured Parties</w:t>
      </w:r>
      <w:r>
        <w:rPr>
          <w:rFonts w:ascii="Arial" w:cs="Arial" w:eastAsia="Arial" w:hAnsi="Arial"/>
          <w:sz w:val="18"/>
          <w:szCs w:val="18"/>
          <w:color w:val="auto"/>
        </w:rPr>
        <w:t>” means the holders from time to time of any Junior Priority Obligations, the Junior Priority Collateral Agent and each other Junior Priority Representative.</w:t>
      </w:r>
    </w:p>
    <w:p>
      <w:pPr>
        <w:spacing w:after="0" w:line="170"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Priority Security Agreement</w:t>
      </w:r>
      <w:r>
        <w:rPr>
          <w:rFonts w:ascii="Arial" w:cs="Arial" w:eastAsia="Arial" w:hAnsi="Arial"/>
          <w:sz w:val="18"/>
          <w:szCs w:val="18"/>
          <w:color w:val="auto"/>
        </w:rPr>
        <w:t>” means any security agreement covering any portion of the Collateral to be entered into by the Issuer, the Guarantors and a Junior Priority Representative.</w:t>
      </w:r>
    </w:p>
    <w:p>
      <w:pPr>
        <w:spacing w:after="0" w:line="170"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Priority Security Documents</w:t>
      </w:r>
      <w:r>
        <w:rPr>
          <w:rFonts w:ascii="Arial" w:cs="Arial" w:eastAsia="Arial" w:hAnsi="Arial"/>
          <w:sz w:val="17"/>
          <w:szCs w:val="17"/>
          <w:color w:val="auto"/>
        </w:rPr>
        <w:t>” means, collectively, the Junior Priority Security Agreement, other security agreements relating to the Collateral securing a series of Junior Priority Obligations and the mortgages and instruments filed and recorded in appropriate jurisdictions to preserve and protect the Liens on the Collateral securing a series of Junior Priority Obligations (including financing statements under the Uniform Commercial Code of the relevant states) in each case, as amended, restated, renewed, replaced or otherwise modified from time to time.</w:t>
      </w:r>
    </w:p>
    <w:p>
      <w:pPr>
        <w:spacing w:after="0" w:line="171"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are not required to be open in the State of New York or the place of payment.</w:t>
      </w:r>
    </w:p>
    <w:p>
      <w:pPr>
        <w:spacing w:after="0" w:line="170"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xml:space="preserve">” means any mortgage, pledge, hypothecation, assignment, encumbrance, lien (statutory or other), charge, or other security interest or any kind or nature whatsoever (including any conditional sale or other title retention agreement, any easement, right of way or other encumbrance on title to real property, and any Financing Lease having substantially the same economic effect as any of the foregoing), in each case, in the nature of security;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 Non-Financing Lease Obligation be deemed to constitute a Lien.</w:t>
      </w:r>
    </w:p>
    <w:p>
      <w:pPr>
        <w:spacing w:after="0" w:line="171" w:lineRule="exact"/>
        <w:rPr>
          <w:sz w:val="20"/>
          <w:szCs w:val="20"/>
          <w:color w:val="auto"/>
        </w:rPr>
      </w:pPr>
    </w:p>
    <w:p>
      <w:pPr>
        <w:ind w:right="22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(i) any acquisition or Investment, including by way of merger, amalgamation, consolidation, Division or similar transaction, not prohibited by this Indenture, in each case whose consummation is not conditioned on the availability of, or on obtaining, third party financing, (ii) any redemption, repurchase, defeasance, satisfaction and discharge or refinancing of, any Indebtedness, Disqualified Stock or Preferred Stock, (iii) any dividend to be paid on a date subsequent to the declaration thereof or (iv) any Asset Sale or disposition excluded from the definition of “Asset Sale”.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Liquefaction Development Entity</w:t>
      </w:r>
      <w:r>
        <w:rPr>
          <w:rFonts w:ascii="Arial" w:cs="Arial" w:eastAsia="Arial" w:hAnsi="Arial"/>
          <w:sz w:val="18"/>
          <w:szCs w:val="18"/>
          <w:color w:val="auto"/>
        </w:rPr>
        <w:t>” means (i) any Subsidiary of the Issuer, the principal operations of which are the construction, development, financing or operation of liquefaction facilities and (ii) one or more holding companies, the primary purpose of which is to hold the capital stock of any such entity, either directly or indirectly.</w:t>
      </w:r>
    </w:p>
    <w:p>
      <w:pPr>
        <w:spacing w:after="0" w:line="184" w:lineRule="exact"/>
        <w:rPr>
          <w:sz w:val="20"/>
          <w:szCs w:val="20"/>
          <w:color w:val="auto"/>
        </w:rPr>
      </w:pPr>
    </w:p>
    <w:p>
      <w:pPr>
        <w:ind w:right="4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 Derivative Instrument</w:t>
      </w:r>
      <w:r>
        <w:rPr>
          <w:rFonts w:ascii="Arial" w:cs="Arial" w:eastAsia="Arial" w:hAnsi="Arial"/>
          <w:sz w:val="17"/>
          <w:szCs w:val="17"/>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LNG</w:t>
      </w:r>
      <w:r>
        <w:rPr>
          <w:rFonts w:ascii="Arial" w:cs="Arial" w:eastAsia="Arial" w:hAnsi="Arial"/>
          <w:sz w:val="18"/>
          <w:szCs w:val="18"/>
          <w:color w:val="auto"/>
        </w:rPr>
        <w:t>” means natural gas in its liquid state at or below its boiling point at or near atmospheric pressure.</w:t>
      </w:r>
    </w:p>
    <w:p>
      <w:pPr>
        <w:spacing w:after="0" w:line="225" w:lineRule="exact"/>
        <w:rPr>
          <w:sz w:val="20"/>
          <w:szCs w:val="20"/>
          <w:color w:val="auto"/>
        </w:rPr>
      </w:pPr>
    </w:p>
    <w:p>
      <w:pPr>
        <w:ind w:right="30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Investors</w:t>
      </w:r>
      <w:r>
        <w:rPr>
          <w:rFonts w:ascii="Arial" w:cs="Arial" w:eastAsia="Arial" w:hAnsi="Arial"/>
          <w:sz w:val="17"/>
          <w:szCs w:val="17"/>
          <w:color w:val="auto"/>
        </w:rPr>
        <w:t>” means the current, former or future officers, directors, managers and employees (and any Immediate Family Members of the foregoing) of the Issuer or any of its Subsidiaries who are or who become direct or indirect investors in the Issuer.</w:t>
      </w:r>
    </w:p>
    <w:p>
      <w:pPr>
        <w:spacing w:after="0" w:line="146"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Estate Asset</w:t>
      </w:r>
      <w:r>
        <w:rPr>
          <w:rFonts w:ascii="Arial" w:cs="Arial" w:eastAsia="Arial" w:hAnsi="Arial"/>
          <w:sz w:val="18"/>
          <w:szCs w:val="18"/>
          <w:color w:val="auto"/>
        </w:rPr>
        <w:t>” means any “fee-owned” real estate asset owned by the Issuer or any Guarantor on the Issue Date, acquired by the Issuer or any Guarantor after the Issue Date or owned by any Person at the time such Person becomes an Issuer or a Guarantor, in each case, having a fair market value in excess of $25.0 million as of the date of acquisition thereof (or the date of substantial completion of any material improvement thereon or new construction thereof) or if the owning entity becomes an Issuer or a Guarantor after the Issue Date, as of the date such Person becomes an Issuer or a Guarantor.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or other similar agreement made by a Grantor in favor of the Notes Collateral Agent, for the benefit of the Notes Collateral Agent and the relevant Secured Notes Secured Parties, on any Material Real Estate Asset constituting Collateral, which shall be in form reasonably satisfactory to the Notes Collateral Agent and the Issuer.</w:t>
      </w:r>
    </w:p>
    <w:p>
      <w:pPr>
        <w:spacing w:after="0" w:line="184" w:lineRule="exact"/>
        <w:rPr>
          <w:sz w:val="20"/>
          <w:szCs w:val="20"/>
          <w:color w:val="auto"/>
        </w:rPr>
      </w:pPr>
    </w:p>
    <w:p>
      <w:pPr>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the cash proceeds (including Cash Equivalents and cash proceeds subsequently received (as and when received) in respect of non-cash consideration initially received) received by the Issuer and any of its Restricted Subsidiaries in respect of any Asset Sale, net of (i) all fees and out-of-pocket expenses paid by (or on behalf of) the Issuer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and the amount of all transfer and similar taxes and the Issuer’s good faith estimate of income or other taxes paid or payable (including pursuant to tax sharing arrangements or any tax distributions) in connection with such Asset Sale), (ii) amounts provided as a reserve in accordance with GAAP against any liabilities under any indemnification obligation or purchase price adjustment associated with such Asset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and at the time any such amounts are released from such reserve (other than in connection with a payment in respect of such liability), such amounts shall constitute Net Proceeds), (iii) the principal amount, premium or penalty, if any, interest and other amounts on any Indebtedness which is secured by the asset disposed of in such Asset Sale and which is required to be repaid or otherwise comes due and is repaid (other than any such Indebtedness that is assumed by the purchaser of such asset),</w:t>
      </w:r>
    </w:p>
    <w:p>
      <w:pPr>
        <w:spacing w:after="0" w:line="4" w:lineRule="exact"/>
        <w:rPr>
          <w:sz w:val="20"/>
          <w:szCs w:val="20"/>
          <w:color w:val="auto"/>
        </w:rPr>
      </w:pPr>
    </w:p>
    <w:p>
      <w:pPr>
        <w:ind w:firstLine="8"/>
        <w:spacing w:after="0" w:line="290" w:lineRule="auto"/>
        <w:tabs>
          <w:tab w:leader="none" w:pos="3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cash escrows (until released from escrow to the Issuer or any of its Restricted Subsidiaries) from the sale price for such Asset Sale, (v) the pro rata portion of such Net Proceeds (calculated without regard to this clause (v)) attributable to minority interests and not available for distribution to or for the account of the Issuer and its Restricted Subsidiaries as a result thereof, (vi) the amount of any liabilities (other than Indebtedness in respect of the Notes) directly associated with such asset and retained by the Issuer or any Restricted Subsidiary, (vii) amounts required to be applied to the repayment of principal, premium, if any, and interest on Senior Indebtedness (other than any unsecured Indebtedness) required (other than required by </w:t>
      </w:r>
      <w:r>
        <w:rPr>
          <w:rFonts w:ascii="Arial" w:cs="Arial" w:eastAsia="Arial" w:hAnsi="Arial"/>
          <w:sz w:val="16"/>
          <w:szCs w:val="16"/>
          <w:u w:val="single" w:color="auto"/>
          <w:color w:val="auto"/>
        </w:rPr>
        <w:t>Section 4.10(b)</w:t>
      </w:r>
      <w:r>
        <w:rPr>
          <w:rFonts w:ascii="Arial" w:cs="Arial" w:eastAsia="Arial" w:hAnsi="Arial"/>
          <w:sz w:val="16"/>
          <w:szCs w:val="16"/>
          <w:color w:val="auto"/>
        </w:rPr>
        <w:t>) to be paid as a result of such transaction and (viii) any costs associated with unwinding any related Hedging Obligations in connection with such Asset Sale.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16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w:t>
      </w:r>
      <w:r>
        <w:rPr>
          <w:rFonts w:ascii="Arial" w:cs="Arial" w:eastAsia="Arial" w:hAnsi="Arial"/>
          <w:sz w:val="18"/>
          <w:szCs w:val="18"/>
          <w:color w:val="auto"/>
        </w:rPr>
        <w:t xml:space="preserve">” means, with respect to a Holder or beneficial owner and the Notes, as of the date of determination, either (i) the value of its Short Derivative Instruments exceeds the sum of (x) the value of its Notes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value of its Long Derivative Instruments as of such date of determination or (ii) it is reasonably expected that the foregoing clause (i) would have been the case if a “Failure to Pay” or “Bankruptcy Credit Event” (each as defined in the 2014 ISDA Credit Derivatives Definitions) were to have occurred with respect to the Issuer or any Guarantor immediately prior to such date of determination.</w:t>
      </w:r>
    </w:p>
    <w:p>
      <w:pPr>
        <w:spacing w:after="0" w:line="188"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Non-Financing Lease Obligation</w:t>
      </w:r>
      <w:r>
        <w:rPr>
          <w:rFonts w:ascii="Arial" w:cs="Arial" w:eastAsia="Arial" w:hAnsi="Arial"/>
          <w:sz w:val="18"/>
          <w:szCs w:val="18"/>
          <w:color w:val="auto"/>
        </w:rPr>
        <w:t>” means a lease obligation that is not required to be accounted for as a financing or capital lease on both the balance sheet and the income statement for financial reporting purposes in accordance with GAAP. For avoidance of doubt, a straight-line or operating lease shall be considered a Non-Financing Lease Obligation.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Guarantee</w:t>
      </w:r>
      <w:r>
        <w:rPr>
          <w:rFonts w:ascii="Arial" w:cs="Arial" w:eastAsia="Arial" w:hAnsi="Arial"/>
          <w:sz w:val="18"/>
          <w:szCs w:val="18"/>
          <w:color w:val="auto"/>
        </w:rPr>
        <w:t>” means the guarantee by any Guarantor of the Issuer’s Obligations under this Indenture and the Notes.</w:t>
      </w:r>
    </w:p>
    <w:p>
      <w:pPr>
        <w:spacing w:after="0" w:line="225" w:lineRule="exact"/>
        <w:rPr>
          <w:sz w:val="20"/>
          <w:szCs w:val="20"/>
          <w:color w:val="auto"/>
        </w:rPr>
      </w:pPr>
    </w:p>
    <w:p>
      <w:pPr>
        <w:ind w:right="4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Notes</w:t>
      </w:r>
      <w:r>
        <w:rPr>
          <w:rFonts w:ascii="Arial" w:cs="Arial" w:eastAsia="Arial" w:hAnsi="Arial"/>
          <w:sz w:val="16"/>
          <w:szCs w:val="16"/>
          <w:color w:val="auto"/>
        </w:rPr>
        <w:t>” means the Initial Notes and more particularly means any Note authenticated and delivered under this Indenture. Unless the context requires otherwise, references to “Notes” for all purposes of this Indenture shall also include any Additional Notes that are actually issued.</w:t>
      </w:r>
    </w:p>
    <w:p>
      <w:pPr>
        <w:spacing w:after="0" w:line="124"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 means U.S. Bank National Association, as collateral agent for the holders of the Notes under the Security Documents and any successor pursuant to the provisions of this Indenture and the Security Documents.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ind w:right="100"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unpaid principal of and accrued and unpaid interest (including interest accruing during the pendency of any bankruptcy, insolvency, receivership or other similar proceeding, regardless of whether allowed or allowable in such proceeding) under the documentation governing any Indebtedness and all accrued and unpaid fees (including fees accruing during the pendency of any bankruptcy, insolvency, receivership or other similar proceeding, regardless of whether allowed or allowable in such proceeding) and all expenses, reimbursements, indemnities and all other advances to, debts, liabilities and obligations to any lender, holder of Indebtedness or any beneficiary of any indemnification obligations arising under documentation governing any Indebtedness, whether direct or indirect (including those acquired by assumption), absolute, contingent, due or to become due, now existing or hereafter arising;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Obligations with respect to the Notes shall not include fees, reimbursements or indemnifications in favor of the Trustee (which obligations with respect to such fees, reimbursements or indemnifications shall survive the payment in full of the principal of and interest on the Notes) or other third parties other than the Holders.</w:t>
      </w:r>
    </w:p>
    <w:p>
      <w:pPr>
        <w:spacing w:after="0" w:line="18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and a Note Guarantee means the Issuer and the applicable Guarantor, respectively, and any successor obligor upon the Notes and such Note Guarantee, respectively.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dated August 19, 2020 relating to the offering of the Notes.</w:t>
      </w:r>
    </w:p>
    <w:p>
      <w:pPr>
        <w:spacing w:after="0" w:line="225" w:lineRule="exact"/>
        <w:rPr>
          <w:sz w:val="20"/>
          <w:szCs w:val="20"/>
          <w:color w:val="auto"/>
        </w:rPr>
      </w:pPr>
    </w:p>
    <w:p>
      <w:pPr>
        <w:ind w:right="26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the Chairman of the Board of Directors, any Manager or Director, the Chief Executive Officer, the Chief Financial Officer, the Chief Operating Officer, the President, any Executive Vice President, Senior Vice President, Vice President or Assistant Vice President, the Treasurer, any Assistant Treasurer, the Controller, the Secretary or any Assistant Secretary of a Person, or any equivalent position in such Person’s jurisdiction of organization, or any other officer of such Person designated by any such individuals of the Issuer or any other Person, as the case may be. Unless otherwise specified, reference to an “Officer” means an Officer of the Issuer.</w:t>
      </w:r>
    </w:p>
    <w:p>
      <w:pPr>
        <w:spacing w:after="0" w:line="176" w:lineRule="exact"/>
        <w:rPr>
          <w:sz w:val="20"/>
          <w:szCs w:val="20"/>
          <w:color w:val="auto"/>
        </w:rPr>
      </w:pPr>
    </w:p>
    <w:p>
      <w:pPr>
        <w:ind w:right="2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on behalf of the Issuer by an Officer of the Issuer or on behalf of any other Person, as the case may be, that meets the requirements set forth in this Indenture and is delivered to the Trustee.</w:t>
      </w:r>
    </w:p>
    <w:p>
      <w:pPr>
        <w:spacing w:after="0" w:line="170" w:lineRule="exact"/>
        <w:rPr>
          <w:sz w:val="20"/>
          <w:szCs w:val="20"/>
          <w:color w:val="auto"/>
        </w:rPr>
      </w:pPr>
    </w:p>
    <w:p>
      <w:pPr>
        <w:ind w:right="2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who is reasonably acceptable to the Trustee (which opinion may be subject to customary assumptions and exclusions) and is delivered to the Trustee. The counsel may be an employee of, or counsel to, the Issuer.</w:t>
      </w:r>
    </w:p>
    <w:p>
      <w:pPr>
        <w:spacing w:after="0" w:line="124"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Asset Swap</w:t>
      </w:r>
      <w:r>
        <w:rPr>
          <w:rFonts w:ascii="Arial" w:cs="Arial" w:eastAsia="Arial" w:hAnsi="Arial"/>
          <w:sz w:val="17"/>
          <w:szCs w:val="17"/>
          <w:color w:val="auto"/>
        </w:rPr>
        <w:t xml:space="preserve">” means the substantially concurrent purchase and sale or exchange, including as a deposit for future purchases, of Related Business Assets or a combination of Related Business Assets and cash or Cash Equivalents between the Issuer or any of its Restricted Subsidiaries and another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cash or Cash Equivalents received must be applied in accordance with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40"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(a) any of Fortress, the Management Investors and their respective Affiliates, (b) any Person who is acting solely as an underwriter or initial purchaser in connection with a public or private offering of Equity Interests of the Issuer, acting in such capacity, (c) any group (within the meaning of Section 13(d)(3) or Section 14(d)(2) of the Exchange Act) of which any of the foregoing or any Permitted Holder specified in the last sentence of this definition are members and any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such group and any member of such group and without giving effect to the existence of such group or any other group, no Person or other group (other than the Permitted Holders specified in clauses (a),</w:t>
      </w:r>
    </w:p>
    <w:p>
      <w:pPr>
        <w:spacing w:after="0" w:line="2" w:lineRule="exact"/>
        <w:rPr>
          <w:sz w:val="20"/>
          <w:szCs w:val="20"/>
          <w:color w:val="auto"/>
        </w:rPr>
      </w:pPr>
    </w:p>
    <w:p>
      <w:pPr>
        <w:ind w:right="200" w:firstLine="8"/>
        <w:spacing w:after="0" w:line="25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 (d) of this definition) owns, directly or indirectly, more than 50.0% of the total voting power of the Voting Stock of the Issuer held by such group, and (d) any Permitted Plan. Any Person or group (within the meaning of Section 13(d)(3) or Section 14(d)(2) of the Exchange Act) whose acquisition of beneficial ownership or assets or properties of the Issuer constitutes a Change of Control in respect of which a Change of Control Offer, including for the avoidance of doubt, any Alternate Offer, is made or waived in accordance with the requirements of this Indenture will thereafter, together with its Affiliates, constitute an additional Permitted Holder.</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2000" w:hanging="696"/>
        <w:spacing w:after="0"/>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or Investments that were Cash Equivalents or Investment Grade Assets at the time made;</w:t>
      </w:r>
    </w:p>
    <w:p>
      <w:pPr>
        <w:spacing w:after="0" w:line="225" w:lineRule="exact"/>
        <w:rPr>
          <w:rFonts w:ascii="Arial" w:cs="Arial" w:eastAsia="Arial" w:hAnsi="Arial"/>
          <w:sz w:val="18"/>
          <w:szCs w:val="18"/>
          <w:color w:val="auto"/>
        </w:rPr>
      </w:pPr>
    </w:p>
    <w:p>
      <w:pPr>
        <w:ind w:left="660" w:right="180" w:firstLine="644"/>
        <w:spacing w:after="0" w:line="342" w:lineRule="auto"/>
        <w:tabs>
          <w:tab w:leader="none" w:pos="20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Investments existing on the Issue Date in the Issuer or in any Restricted Subsidiary or (ii) Investments made after the Issue Date in the Issuer and/or one or more Restricted Subsidiaries (including, in each case, guarantees of obligations of Restricted Subsidiaries);</w:t>
      </w:r>
    </w:p>
    <w:p>
      <w:pPr>
        <w:spacing w:after="0" w:line="123" w:lineRule="exact"/>
        <w:rPr>
          <w:rFonts w:ascii="Arial" w:cs="Arial" w:eastAsia="Arial" w:hAnsi="Arial"/>
          <w:sz w:val="16"/>
          <w:szCs w:val="16"/>
          <w:color w:val="auto"/>
        </w:rPr>
      </w:pPr>
    </w:p>
    <w:p>
      <w:pPr>
        <w:ind w:left="660" w:right="300" w:firstLine="644"/>
        <w:spacing w:after="0" w:line="257" w:lineRule="auto"/>
        <w:tabs>
          <w:tab w:leader="none" w:pos="20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(i) constituting deposits, prepayments, trade credit (including the creation of receivables) and/or other credits to suppliers or lessors, (ii) made in connection with obtaining, maintaining or renewing client and customer contracts and/or (iii) in the form of advances made to distributors, suppliers, lessors, licensors and licensees, in each case, in the ordinary course of business, consistent with past practice or consistent with industry norm or, in the case of clause (iii), to the extent necessary to maintain the ordinary course of supplies to the Issuer or any Restricted Subsidiary;</w:t>
      </w:r>
    </w:p>
    <w:p>
      <w:pPr>
        <w:spacing w:after="0" w:line="187" w:lineRule="exact"/>
        <w:rPr>
          <w:rFonts w:ascii="Arial" w:cs="Arial" w:eastAsia="Arial" w:hAnsi="Arial"/>
          <w:sz w:val="18"/>
          <w:szCs w:val="18"/>
          <w:color w:val="auto"/>
        </w:rPr>
      </w:pPr>
    </w:p>
    <w:p>
      <w:pPr>
        <w:ind w:left="660" w:firstLine="644"/>
        <w:spacing w:after="0" w:line="284" w:lineRule="auto"/>
        <w:tabs>
          <w:tab w:leader="none" w:pos="20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Investments in joint ventures and Unrestricted Subsidiaries (with respect to each such Investment, as valued at fair market value of such Investment at the time such Investment is made or, at the option of the Issuer, committed to be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Investment (as so valued) shall not cause the aggregate amount of all such Investments made pursuant to this clause (d) and outstanding at the time of such Investment, after giving pro forma effect to such Investment, to exceed the greater of $100.0 million and 25.0% of Annualized EBITDA of the Issuer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 however</w:t>
      </w:r>
      <w:r>
        <w:rPr>
          <w:rFonts w:ascii="Arial" w:cs="Arial" w:eastAsia="Arial" w:hAnsi="Arial"/>
          <w:sz w:val="16"/>
          <w:szCs w:val="16"/>
          <w:color w:val="auto"/>
        </w:rPr>
        <w:t>, that if any Investment pursuant to this clause (d) is made in any Person that is an Unrestricted Subsidiary at the date of the making of such Investment and such Person becomes a Restricted Subsidiary after such date, such Investment shall thereafter be deemed to have been made pursuant to clause (b) above and shall cease to have been made pursuant to this</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clause (d);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460" w:firstLine="644"/>
        <w:spacing w:after="0" w:line="277" w:lineRule="auto"/>
        <w:tabs>
          <w:tab w:leader="none" w:pos="8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Investment by the Issuer or any of its Restricted Subsidiaries of all or substantially all of the assets of, or any business line, unit, division or product line (including research and development and related assets in respect of any product):</w:t>
      </w:r>
    </w:p>
    <w:p>
      <w:pPr>
        <w:spacing w:after="0" w:line="170" w:lineRule="exact"/>
        <w:rPr>
          <w:rFonts w:ascii="Arial" w:cs="Arial" w:eastAsia="Arial" w:hAnsi="Arial"/>
          <w:sz w:val="18"/>
          <w:szCs w:val="18"/>
          <w:color w:val="auto"/>
        </w:rPr>
      </w:pPr>
    </w:p>
    <w:p>
      <w:pPr>
        <w:ind w:left="840" w:right="40" w:firstLine="640"/>
        <w:spacing w:after="0" w:line="263" w:lineRule="auto"/>
        <w:tabs>
          <w:tab w:leader="none" w:pos="20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any Person or the Equity Interests of any Person who is engaged in a Similar Business and becomes a Restricted Subsidiary (and, in any event, including by redesignation of an Unrestricted Subsidiary as a Restricted Subsidiary or by means of a Division; or</w:t>
      </w:r>
    </w:p>
    <w:p>
      <w:pPr>
        <w:spacing w:after="0" w:line="183" w:lineRule="exact"/>
        <w:rPr>
          <w:rFonts w:ascii="Arial" w:cs="Arial" w:eastAsia="Arial" w:hAnsi="Arial"/>
          <w:sz w:val="18"/>
          <w:szCs w:val="18"/>
          <w:color w:val="auto"/>
        </w:rPr>
      </w:pPr>
    </w:p>
    <w:p>
      <w:pPr>
        <w:ind w:left="840" w:right="80" w:firstLine="640"/>
        <w:spacing w:after="0" w:line="286" w:lineRule="auto"/>
        <w:tabs>
          <w:tab w:leader="none" w:pos="2023"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as a result of such Investment, such Person, in one transaction or a series of related transactions, is merged, amalgamated or consolidated with or into, or transfers or conveys substantially all of its assets (or such division, business unit, product line or line of business) to, or is liquidated into, the Issuer or a Restricted Subsidiary,</w:t>
      </w:r>
    </w:p>
    <w:p>
      <w:pPr>
        <w:spacing w:after="0" w:line="165" w:lineRule="exact"/>
        <w:rPr>
          <w:sz w:val="20"/>
          <w:szCs w:val="20"/>
          <w:color w:val="auto"/>
        </w:rPr>
      </w:pPr>
    </w:p>
    <w:p>
      <w:pPr>
        <w:jc w:val="both"/>
        <w:ind w:left="840" w:right="440"/>
        <w:spacing w:after="0" w:line="342" w:lineRule="auto"/>
        <w:rPr>
          <w:sz w:val="20"/>
          <w:szCs w:val="20"/>
          <w:color w:val="auto"/>
        </w:rPr>
      </w:pPr>
      <w:r>
        <w:rPr>
          <w:rFonts w:ascii="Arial" w:cs="Arial" w:eastAsia="Arial" w:hAnsi="Arial"/>
          <w:sz w:val="16"/>
          <w:szCs w:val="16"/>
          <w:color w:val="auto"/>
        </w:rPr>
        <w:t xml:space="preserve">and, in each case, any Investment held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was not acquired by such Person in contemplation of such acquisition, merger, amalgamation, Division, consolidation, transfer, conveyance or redesignation;</w:t>
      </w:r>
    </w:p>
    <w:p>
      <w:pPr>
        <w:spacing w:after="0" w:line="124" w:lineRule="exact"/>
        <w:rPr>
          <w:sz w:val="20"/>
          <w:szCs w:val="20"/>
          <w:color w:val="auto"/>
        </w:rPr>
      </w:pPr>
    </w:p>
    <w:p>
      <w:pPr>
        <w:jc w:val="both"/>
        <w:ind w:left="-460" w:right="140" w:firstLine="644"/>
        <w:spacing w:after="0" w:line="301" w:lineRule="auto"/>
        <w:tabs>
          <w:tab w:leader="none" w:pos="9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Investments (i) existing on, or contractually committed to or contemplated as of, the Issue Date and (ii) any modification, replacement, renewal or extension of any Investment described in clause (i) above so long as no such modification, replacement, renewal or extension increases the amount of such Investment except by the terms thereof in effect on the Issue Date (including as a result of the accrual or accretion of interest or original issue discount or the issuance of pay-in-kind securities) or as otherwise not prohibited by this Indenture;</w:t>
      </w:r>
    </w:p>
    <w:p>
      <w:pPr>
        <w:spacing w:after="0" w:line="157" w:lineRule="exact"/>
        <w:rPr>
          <w:rFonts w:ascii="Arial" w:cs="Arial" w:eastAsia="Arial" w:hAnsi="Arial"/>
          <w:sz w:val="16"/>
          <w:szCs w:val="16"/>
          <w:color w:val="auto"/>
        </w:rPr>
      </w:pPr>
    </w:p>
    <w:p>
      <w:pPr>
        <w:ind w:left="-460" w:right="60" w:firstLine="644"/>
        <w:spacing w:after="0" w:line="277" w:lineRule="auto"/>
        <w:tabs>
          <w:tab w:leader="none" w:pos="8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Investments (including earn-outs) received in lieu of cash in connection with an Asset Sale made pursuant to the provisions of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any other disposition of assets not constituting an Asset Sale;</w:t>
      </w:r>
    </w:p>
    <w:p>
      <w:pPr>
        <w:spacing w:after="0" w:line="170" w:lineRule="exact"/>
        <w:rPr>
          <w:rFonts w:ascii="Arial" w:cs="Arial" w:eastAsia="Arial" w:hAnsi="Arial"/>
          <w:sz w:val="18"/>
          <w:szCs w:val="18"/>
          <w:color w:val="auto"/>
        </w:rPr>
      </w:pPr>
    </w:p>
    <w:p>
      <w:pPr>
        <w:ind w:left="-460" w:firstLine="644"/>
        <w:spacing w:after="0" w:line="289" w:lineRule="auto"/>
        <w:tabs>
          <w:tab w:leader="none" w:pos="893"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loans or advances to, or guarantees of Indebtedness of, present or former employees, directors, members of management, officers, managers, members, partners, consultants or independent contractors (or any Immediate Family Member of the foregoing) of the Issuer, its Subsidiaries and/or any joint venture (i) to the extent permitted by applicable Requirements of Law, in connection with such Person’s purchase of Equity Interests of the Issuer, so long as any cash proceeds of such loan or advance are substantially contemporaneously contributed to the Issuer for the purchase of such Equity Interests, (ii) for reasonable and customary business-related travel, entertainment, relocation and analogous ordinary business purposes and (iii) for purposes not described in the foregoing clauses (i) and (ii);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pro forma effect to the making of any such loan, advance or guarantee, the aggregate principal amount of all loans, advances and guarantees made in reliance on this clause (h) then outstanding (measured as of the date such Investment is made or, at the option of the Issuer, committed to be made) shall not exceed the greater of $15.0 million and 5.0% of Annualized EBITDA of the Issuer and its Restricted Subsidiaries;</w:t>
      </w:r>
    </w:p>
    <w:p>
      <w:pPr>
        <w:spacing w:after="0" w:line="3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341" w:right="439" w:bottom="1440" w:gutter="0" w:footer="0" w:header="0"/>
        </w:sectPr>
      </w:pPr>
    </w:p>
    <w:bookmarkStart w:id="53" w:name="page54"/>
    <w:bookmarkEnd w:id="53"/>
    <w:p>
      <w:pPr>
        <w:ind w:left="-460" w:right="120" w:firstLine="644"/>
        <w:spacing w:after="0" w:line="257" w:lineRule="auto"/>
        <w:tabs>
          <w:tab w:leader="none" w:pos="8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(i) made in the ordinary course of business, consistent with past practice or consistent with industry norm in connection with obtaining, maintaining or renewing client contacts and loans or advances made to distributors in the ordinary course of business, consistent with past practice or consistent with industry norm or (ii) consisting of extensions of credit in the nature of accounts receivable, performance guarantees or Contingent Obligations or notes receivable arising from the grant of trade credit in the ordinary course of business, consistent with past practice or consistent with industry norm;</w:t>
      </w:r>
    </w:p>
    <w:p>
      <w:pPr>
        <w:spacing w:after="0" w:line="187" w:lineRule="exact"/>
        <w:rPr>
          <w:rFonts w:ascii="Arial" w:cs="Arial" w:eastAsia="Arial" w:hAnsi="Arial"/>
          <w:sz w:val="18"/>
          <w:szCs w:val="18"/>
          <w:color w:val="auto"/>
        </w:rPr>
      </w:pPr>
    </w:p>
    <w:p>
      <w:pPr>
        <w:jc w:val="both"/>
        <w:ind w:left="-460" w:firstLine="644"/>
        <w:spacing w:after="0" w:line="259" w:lineRule="auto"/>
        <w:tabs>
          <w:tab w:leader="none" w:pos="8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Investments consisting of (or resulting from) (i) Indebtedness permitted under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(ii) Permitted Liens, (iii) Restricted Payments permitted under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(other than a Restricted Payment permitted under </w:t>
      </w:r>
      <w:r>
        <w:rPr>
          <w:rFonts w:ascii="Arial" w:cs="Arial" w:eastAsia="Arial" w:hAnsi="Arial"/>
          <w:sz w:val="18"/>
          <w:szCs w:val="18"/>
          <w:u w:val="single" w:color="auto"/>
          <w:color w:val="auto"/>
        </w:rPr>
        <w:t>Section 4.07(b)(ix)</w:t>
      </w:r>
      <w:r>
        <w:rPr>
          <w:rFonts w:ascii="Arial" w:cs="Arial" w:eastAsia="Arial" w:hAnsi="Arial"/>
          <w:sz w:val="18"/>
          <w:szCs w:val="18"/>
          <w:color w:val="auto"/>
        </w:rPr>
        <w:t xml:space="preserve">) and (iv) Asset Sales permitted under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any other disposition not constituting an Asset Sale (other than pursuant to clause (a), (b), (c)(ii) (if made in reliance on clause (B) therein) and (g) of the definition thereof);</w:t>
      </w:r>
    </w:p>
    <w:p>
      <w:pPr>
        <w:spacing w:after="0" w:line="186" w:lineRule="exact"/>
        <w:rPr>
          <w:rFonts w:ascii="Arial" w:cs="Arial" w:eastAsia="Arial" w:hAnsi="Arial"/>
          <w:sz w:val="18"/>
          <w:szCs w:val="18"/>
          <w:color w:val="auto"/>
        </w:rPr>
      </w:pPr>
    </w:p>
    <w:p>
      <w:pPr>
        <w:ind w:left="-460" w:right="400" w:firstLine="644"/>
        <w:spacing w:after="0" w:line="277" w:lineRule="auto"/>
        <w:tabs>
          <w:tab w:leader="none" w:pos="8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consistent with past practice or consistent with industry norm consisting of endorsements for collection or deposit and customary trade arrangements with customers;</w:t>
      </w:r>
    </w:p>
    <w:p>
      <w:pPr>
        <w:spacing w:after="0" w:line="170" w:lineRule="exact"/>
        <w:rPr>
          <w:rFonts w:ascii="Arial" w:cs="Arial" w:eastAsia="Arial" w:hAnsi="Arial"/>
          <w:sz w:val="18"/>
          <w:szCs w:val="18"/>
          <w:color w:val="auto"/>
        </w:rPr>
      </w:pPr>
    </w:p>
    <w:p>
      <w:pPr>
        <w:ind w:left="-460" w:right="160" w:firstLine="644"/>
        <w:spacing w:after="0" w:line="257" w:lineRule="auto"/>
        <w:tabs>
          <w:tab w:leader="none" w:pos="8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 in connection with the bankruptcy or reorganization of any Person, (ii) in settlement of delinquent obligations of, or other disputes with, customers, suppliers and other account debtors arising in the ordinary course of business, consistent with past practice or consistent with industry norm, (iii) upon foreclosure with respect to any secured Investment or other transfer of title with respect to any secured Investment and/or (iv) as a result of the settlement, compromise, resolution of litigation, arbitration or other disputes;</w:t>
      </w:r>
    </w:p>
    <w:p>
      <w:pPr>
        <w:spacing w:after="0" w:line="187" w:lineRule="exact"/>
        <w:rPr>
          <w:rFonts w:ascii="Arial" w:cs="Arial" w:eastAsia="Arial" w:hAnsi="Arial"/>
          <w:sz w:val="18"/>
          <w:szCs w:val="18"/>
          <w:color w:val="auto"/>
        </w:rPr>
      </w:pPr>
    </w:p>
    <w:p>
      <w:pPr>
        <w:ind w:left="-460" w:right="20" w:firstLine="644"/>
        <w:spacing w:after="0" w:line="286" w:lineRule="auto"/>
        <w:tabs>
          <w:tab w:leader="none" w:pos="898" w:val="left"/>
        </w:tabs>
        <w:numPr>
          <w:ilvl w:val="0"/>
          <w:numId w:val="51"/>
        </w:numPr>
        <w:rPr>
          <w:rFonts w:ascii="Arial" w:cs="Arial" w:eastAsia="Arial" w:hAnsi="Arial"/>
          <w:sz w:val="17"/>
          <w:szCs w:val="17"/>
          <w:color w:val="auto"/>
        </w:rPr>
      </w:pPr>
      <w:r>
        <w:rPr>
          <w:rFonts w:ascii="Arial" w:cs="Arial" w:eastAsia="Arial" w:hAnsi="Arial"/>
          <w:sz w:val="17"/>
          <w:szCs w:val="17"/>
          <w:color w:val="auto"/>
        </w:rPr>
        <w:t>loans and advances of payroll payments or other compensation (including deferred compensation) to present or former employees, directors, members of management, officers, managers, members, partners, independent contractors or consultants of the Issuer and/or any Subsidiary in the ordinary course of business, consistent with past practice or consistent with industry norm;</w:t>
      </w:r>
    </w:p>
    <w:p>
      <w:pPr>
        <w:spacing w:after="0" w:line="165" w:lineRule="exact"/>
        <w:rPr>
          <w:rFonts w:ascii="Arial" w:cs="Arial" w:eastAsia="Arial" w:hAnsi="Arial"/>
          <w:sz w:val="17"/>
          <w:szCs w:val="17"/>
          <w:color w:val="auto"/>
        </w:rPr>
      </w:pPr>
    </w:p>
    <w:p>
      <w:pPr>
        <w:ind w:left="880" w:hanging="696"/>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to the extent that payment therefor is made solely with Qualified Capital Stock of the Issuer;</w:t>
      </w:r>
    </w:p>
    <w:p>
      <w:pPr>
        <w:spacing w:after="0" w:line="225" w:lineRule="exact"/>
        <w:rPr>
          <w:rFonts w:ascii="Arial" w:cs="Arial" w:eastAsia="Arial" w:hAnsi="Arial"/>
          <w:sz w:val="18"/>
          <w:szCs w:val="18"/>
          <w:color w:val="auto"/>
        </w:rPr>
      </w:pPr>
    </w:p>
    <w:p>
      <w:pPr>
        <w:ind w:left="-460" w:right="120" w:firstLine="644"/>
        <w:spacing w:after="0" w:line="293" w:lineRule="auto"/>
        <w:tabs>
          <w:tab w:leader="none" w:pos="8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 Investments of any Restricted Subsidiary that is acquired after the Issue Date, or of any Person merged into or consolidated or amalgamated with, the Issuer or any Restricted Subsidiary after the Issue Date, in each case as part of an Investment otherwise not prohibited by this Indenture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w:t>
      </w:r>
      <w:r>
        <w:rPr>
          <w:rFonts w:ascii="Arial" w:cs="Arial" w:eastAsia="Arial" w:hAnsi="Arial"/>
          <w:sz w:val="16"/>
          <w:szCs w:val="16"/>
          <w:u w:val="single" w:color="auto"/>
          <w:color w:val="auto"/>
        </w:rPr>
        <w:t>clause (o)</w:t>
      </w:r>
      <w:r>
        <w:rPr>
          <w:rFonts w:ascii="Arial" w:cs="Arial" w:eastAsia="Arial" w:hAnsi="Arial"/>
          <w:sz w:val="16"/>
          <w:szCs w:val="16"/>
          <w:color w:val="auto"/>
        </w:rPr>
        <w:t xml:space="preserve"> so long as no such modification, replacement, renewal or extension thereof increases the amount of such Investment except as otherwise not prohibited by this Indenture;</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54" w:name="page55"/>
    <w:bookmarkEnd w:id="54"/>
    <w:p>
      <w:pPr>
        <w:ind w:left="880" w:hanging="696"/>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100" w:firstLine="644"/>
        <w:spacing w:after="0" w:line="263" w:lineRule="auto"/>
        <w:tabs>
          <w:tab w:leader="none" w:pos="8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made after the Issue Date by the Issuer and/or any of its Restricted Subsidiaries in an aggregate amount (with respect to each such Investment, as valued at the fair market value of such Investment at the time such Investment is made or, at the option of the Issuer, committed to be made) then outstanding not to exceed:</w:t>
      </w:r>
    </w:p>
    <w:p>
      <w:pPr>
        <w:spacing w:after="0" w:line="183" w:lineRule="exact"/>
        <w:rPr>
          <w:rFonts w:ascii="Arial" w:cs="Arial" w:eastAsia="Arial" w:hAnsi="Arial"/>
          <w:sz w:val="18"/>
          <w:szCs w:val="18"/>
          <w:color w:val="auto"/>
        </w:rPr>
      </w:pPr>
    </w:p>
    <w:p>
      <w:pPr>
        <w:ind w:left="840" w:right="260" w:firstLine="640"/>
        <w:spacing w:after="0" w:line="342" w:lineRule="auto"/>
        <w:tabs>
          <w:tab w:leader="none" w:pos="2018"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greater of $125.0 million and 35.0% of Annualized EBITDA of the Issuer and its Restricted Subsidiaries (measured as of the date such Investment is made, or at the option of the Issuer, committed to be made); </w:t>
      </w:r>
      <w:r>
        <w:rPr>
          <w:rFonts w:ascii="Arial" w:cs="Arial" w:eastAsia="Arial" w:hAnsi="Arial"/>
          <w:sz w:val="16"/>
          <w:szCs w:val="16"/>
          <w:u w:val="single" w:color="auto"/>
          <w:color w:val="auto"/>
        </w:rPr>
        <w:t>plus</w:t>
      </w:r>
    </w:p>
    <w:p>
      <w:pPr>
        <w:spacing w:after="0" w:line="123" w:lineRule="exact"/>
        <w:rPr>
          <w:rFonts w:ascii="Arial" w:cs="Arial" w:eastAsia="Arial" w:hAnsi="Arial"/>
          <w:sz w:val="16"/>
          <w:szCs w:val="16"/>
          <w:color w:val="auto"/>
        </w:rPr>
      </w:pPr>
    </w:p>
    <w:p>
      <w:pPr>
        <w:ind w:left="840" w:firstLine="640"/>
        <w:spacing w:after="0" w:line="271" w:lineRule="auto"/>
        <w:tabs>
          <w:tab w:leader="none" w:pos="2023"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in the event that (A) the Issuer or any of its Restricted Subsidiaries makes any Investment after the Issue Date in any Person that is not a Restricted Subsidiary and (B) such Person subsequently becomes a Restricted Subsidiary, at the election of the Issuer, an amount equal to 100.0% of the fair market value of such Investment as of the date on which such Person becomes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Issuer elects to apply the fair market value of any such Investment (other than any Investment made pursuant to clause (q)(i)) in the manner described above in order to increase availability under this clause (q), then such fair market value, and such Person becoming a Restricted Subsidiary, shall not increase the amount available for Restricted Payments under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reduce the amount of outstanding Investments under the provision pursuant to which such Investment was initially made;</w:t>
      </w:r>
    </w:p>
    <w:p>
      <w:pPr>
        <w:spacing w:after="0" w:line="178" w:lineRule="exact"/>
        <w:rPr>
          <w:rFonts w:ascii="Arial" w:cs="Arial" w:eastAsia="Arial" w:hAnsi="Arial"/>
          <w:sz w:val="17"/>
          <w:szCs w:val="17"/>
          <w:color w:val="auto"/>
        </w:rPr>
      </w:pPr>
    </w:p>
    <w:p>
      <w:pPr>
        <w:ind w:left="900" w:hanging="71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400" w:firstLine="644"/>
        <w:spacing w:after="0" w:line="259" w:lineRule="auto"/>
        <w:tabs>
          <w:tab w:leader="none" w:pos="87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constituting Investments, (i) guarantees of leases (other than Financing Leases) or of other obligations not constituting Indebtedness of the Issuer and/or its Restricted Subsidiaries and (ii) guarantees of the lease obligations of suppliers, customers, franchisees and licensees of the Issuer and/or its Restricted Subsidiaries, in each case, in the ordinary course of business, consistent with past practice or consistent with industry norm;</w:t>
      </w:r>
    </w:p>
    <w:p>
      <w:pPr>
        <w:spacing w:after="0" w:line="186" w:lineRule="exact"/>
        <w:rPr>
          <w:rFonts w:ascii="Arial" w:cs="Arial" w:eastAsia="Arial" w:hAnsi="Arial"/>
          <w:sz w:val="18"/>
          <w:szCs w:val="18"/>
          <w:color w:val="auto"/>
        </w:rPr>
      </w:pPr>
    </w:p>
    <w:p>
      <w:pPr>
        <w:ind w:left="900" w:hanging="71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80" w:hanging="696"/>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55" w:name="page56"/>
    <w:bookmarkEnd w:id="55"/>
    <w:p>
      <w:pPr>
        <w:ind w:left="-460" w:right="20" w:firstLine="644"/>
        <w:spacing w:after="0" w:line="277" w:lineRule="auto"/>
        <w:tabs>
          <w:tab w:leader="none" w:pos="8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in Subsidiaries of the Issuer in connection with internal reorganizations and/or tax restructuring entered into among the Issuer and/or its Restricted Subsidiaries;</w:t>
      </w:r>
    </w:p>
    <w:p>
      <w:pPr>
        <w:spacing w:after="0" w:line="170" w:lineRule="exact"/>
        <w:rPr>
          <w:rFonts w:ascii="Arial" w:cs="Arial" w:eastAsia="Arial" w:hAnsi="Arial"/>
          <w:sz w:val="18"/>
          <w:szCs w:val="18"/>
          <w:color w:val="auto"/>
        </w:rPr>
      </w:pPr>
    </w:p>
    <w:p>
      <w:pPr>
        <w:ind w:left="800" w:hanging="61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Derivative Transactions of the type permitted under clause (s)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160" w:firstLine="644"/>
        <w:spacing w:after="0" w:line="277" w:lineRule="auto"/>
        <w:tabs>
          <w:tab w:leader="none" w:pos="802"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Investments consisting of the licensing of intellectual property or other works of authorship for the purpose of joint marketing arrangements with other Persons;</w:t>
      </w:r>
    </w:p>
    <w:p>
      <w:pPr>
        <w:spacing w:after="0" w:line="170" w:lineRule="exact"/>
        <w:rPr>
          <w:rFonts w:ascii="Arial" w:cs="Arial" w:eastAsia="Arial" w:hAnsi="Arial"/>
          <w:sz w:val="18"/>
          <w:szCs w:val="18"/>
          <w:color w:val="auto"/>
        </w:rPr>
      </w:pPr>
    </w:p>
    <w:p>
      <w:pPr>
        <w:ind w:left="760" w:hanging="576"/>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repurchases of the Notes and any other Senior Indebtedness;</w:t>
      </w:r>
    </w:p>
    <w:p>
      <w:pPr>
        <w:spacing w:after="0" w:line="225" w:lineRule="exact"/>
        <w:rPr>
          <w:rFonts w:ascii="Arial" w:cs="Arial" w:eastAsia="Arial" w:hAnsi="Arial"/>
          <w:sz w:val="18"/>
          <w:szCs w:val="18"/>
          <w:color w:val="auto"/>
        </w:rPr>
      </w:pPr>
    </w:p>
    <w:p>
      <w:pPr>
        <w:ind w:left="-460" w:right="20" w:firstLine="644"/>
        <w:spacing w:after="0" w:line="311" w:lineRule="auto"/>
        <w:tabs>
          <w:tab w:leader="none" w:pos="79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unfunded pension fund and other employee benefit plan obligations and liabilities to the extent that the same are permitted to remain unfunded under applicable Requirements of Law and (ii) Investments of assets relating to any non-qualified deferred payment plan or similar employee compensation plan in the ordinary course of business, consistent with past practice or consistent with industry norm;</w:t>
      </w:r>
    </w:p>
    <w:p>
      <w:pPr>
        <w:spacing w:after="0" w:line="149" w:lineRule="exact"/>
        <w:rPr>
          <w:sz w:val="20"/>
          <w:szCs w:val="20"/>
          <w:color w:val="auto"/>
        </w:rPr>
      </w:pPr>
    </w:p>
    <w:p>
      <w:pPr>
        <w:ind w:left="-460" w:right="20" w:firstLine="644"/>
        <w:spacing w:after="0" w:line="259"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in the Issuer, any Subsidiary and/or any joint venture in connection with intercompany cash management arrangements and related activities and/or customary buy/sell arrangements between the joint venture parties set forth in joint venture agreements and similar binding arrangements, in each case, entered into in the ordinary course of business, consistent with past practice or consistent with industry norm;</w:t>
      </w:r>
    </w:p>
    <w:p>
      <w:pPr>
        <w:spacing w:after="0" w:line="186" w:lineRule="exact"/>
        <w:rPr>
          <w:rFonts w:ascii="Arial" w:cs="Arial" w:eastAsia="Arial" w:hAnsi="Arial"/>
          <w:sz w:val="18"/>
          <w:szCs w:val="18"/>
          <w:color w:val="auto"/>
        </w:rPr>
      </w:pPr>
    </w:p>
    <w:p>
      <w:pPr>
        <w:ind w:left="-460" w:right="240" w:firstLine="644"/>
        <w:spacing w:after="0" w:line="277" w:lineRule="auto"/>
        <w:tabs>
          <w:tab w:leader="none" w:pos="7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Investments so long as, after giving effect thereto on a pro forma basis, the Consolidated Total Debt Ratio does not exceed 2.50 to 1.00;</w:t>
      </w:r>
    </w:p>
    <w:p>
      <w:pPr>
        <w:spacing w:after="0" w:line="170" w:lineRule="exact"/>
        <w:rPr>
          <w:rFonts w:ascii="Arial" w:cs="Arial" w:eastAsia="Arial" w:hAnsi="Arial"/>
          <w:sz w:val="18"/>
          <w:szCs w:val="18"/>
          <w:color w:val="auto"/>
        </w:rPr>
      </w:pPr>
    </w:p>
    <w:p>
      <w:pPr>
        <w:ind w:left="-460" w:right="100" w:firstLine="644"/>
        <w:spacing w:after="0" w:line="263"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183" w:lineRule="exact"/>
        <w:rPr>
          <w:rFonts w:ascii="Arial" w:cs="Arial" w:eastAsia="Arial" w:hAnsi="Arial"/>
          <w:sz w:val="18"/>
          <w:szCs w:val="18"/>
          <w:color w:val="auto"/>
        </w:rPr>
      </w:pPr>
    </w:p>
    <w:p>
      <w:pPr>
        <w:ind w:left="760" w:hanging="576"/>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640" w:firstLine="644"/>
        <w:spacing w:after="0" w:line="263" w:lineRule="auto"/>
        <w:tabs>
          <w:tab w:leader="none" w:pos="7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Investments in Receivables Subsidiaries required in connection with a Permitted Receivables Financing (including the contribution or lending of cash and Cash Equivalents to Receivables Subsidiaries to finance the purchase of assets from the Issuer or any Restricted Subsidiary or to otherwise fund required reserves);</w:t>
      </w:r>
    </w:p>
    <w:p>
      <w:pPr>
        <w:spacing w:after="0" w:line="183" w:lineRule="exact"/>
        <w:rPr>
          <w:rFonts w:ascii="Arial" w:cs="Arial" w:eastAsia="Arial" w:hAnsi="Arial"/>
          <w:sz w:val="18"/>
          <w:szCs w:val="18"/>
          <w:color w:val="auto"/>
        </w:rPr>
      </w:pPr>
    </w:p>
    <w:p>
      <w:pPr>
        <w:ind w:left="-460" w:right="120" w:firstLine="644"/>
        <w:spacing w:after="0" w:line="263" w:lineRule="auto"/>
        <w:tabs>
          <w:tab w:leader="none" w:pos="7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(or any Immediate Family Member of the foregoing) subject to claims of creditors in the case of a bankruptcy of the Issuer or any Restricted Subsidiary;</w:t>
      </w:r>
    </w:p>
    <w:p>
      <w:pPr>
        <w:spacing w:after="0" w:line="183" w:lineRule="exact"/>
        <w:rPr>
          <w:rFonts w:ascii="Arial" w:cs="Arial" w:eastAsia="Arial" w:hAnsi="Arial"/>
          <w:sz w:val="18"/>
          <w:szCs w:val="18"/>
          <w:color w:val="auto"/>
        </w:rPr>
      </w:pPr>
    </w:p>
    <w:p>
      <w:pPr>
        <w:jc w:val="both"/>
        <w:ind w:left="-460" w:firstLine="644"/>
        <w:spacing w:after="0" w:line="259" w:lineRule="auto"/>
        <w:tabs>
          <w:tab w:leader="none" w:pos="7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extent that they constitute Investments, purchases, acquisitions, licenses or leases of inventory, supplies, materials or equipment or purchases, acquisitions, licenses or leases of other assets, intellectual property, or other rights or the contribution of IP Rights pursuant to joint marketing arrangements, in each case in the ordinary course of business, consistent with past practice or consistent with industry norm;</w:t>
      </w:r>
    </w:p>
    <w:p>
      <w:pPr>
        <w:spacing w:after="0" w:line="36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1440" w:top="341" w:right="439" w:bottom="1440" w:gutter="0" w:footer="0" w:header="0"/>
        </w:sectPr>
      </w:pPr>
    </w:p>
    <w:bookmarkStart w:id="56" w:name="page57"/>
    <w:bookmarkEnd w:id="56"/>
    <w:p>
      <w:pPr>
        <w:ind w:left="4" w:right="20" w:firstLine="644"/>
        <w:spacing w:after="0" w:line="342" w:lineRule="auto"/>
        <w:tabs>
          <w:tab w:leader="none" w:pos="12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intercompany current liabilities owed to Unrestricted Subsidiaries or joint ventures incurred in the ordinary course of business, consistent with past practice or consistent with industry norm or in connection with cash management operations of the Issuer and its Subsidiaries;</w:t>
      </w:r>
    </w:p>
    <w:p>
      <w:pPr>
        <w:spacing w:after="0" w:line="123" w:lineRule="exact"/>
        <w:rPr>
          <w:rFonts w:ascii="Arial" w:cs="Arial" w:eastAsia="Arial" w:hAnsi="Arial"/>
          <w:sz w:val="16"/>
          <w:szCs w:val="16"/>
          <w:color w:val="auto"/>
        </w:rPr>
      </w:pPr>
    </w:p>
    <w:p>
      <w:pPr>
        <w:ind w:left="4" w:right="320" w:firstLine="644"/>
        <w:spacing w:after="0" w:line="277" w:lineRule="auto"/>
        <w:tabs>
          <w:tab w:leader="none" w:pos="1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made from casualty insurance proceeds in connection with the replacement, substitution, restoration or repair of assets on account of a casualty event;</w:t>
      </w:r>
    </w:p>
    <w:p>
      <w:pPr>
        <w:spacing w:after="0" w:line="170" w:lineRule="exact"/>
        <w:rPr>
          <w:rFonts w:ascii="Arial" w:cs="Arial" w:eastAsia="Arial" w:hAnsi="Arial"/>
          <w:sz w:val="18"/>
          <w:szCs w:val="18"/>
          <w:color w:val="auto"/>
        </w:rPr>
      </w:pPr>
    </w:p>
    <w:p>
      <w:pPr>
        <w:ind w:left="4" w:right="140" w:firstLine="644"/>
        <w:spacing w:after="0" w:line="277" w:lineRule="auto"/>
        <w:tabs>
          <w:tab w:leader="none" w:pos="1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Investments to the extent required by applicable rules under the Exchange Act or by any governmental authority, including any Investment made in order to avoid early warning or notice requirements under such rules or requirements;</w:t>
      </w:r>
    </w:p>
    <w:p>
      <w:pPr>
        <w:spacing w:after="0" w:line="170" w:lineRule="exact"/>
        <w:rPr>
          <w:rFonts w:ascii="Arial" w:cs="Arial" w:eastAsia="Arial" w:hAnsi="Arial"/>
          <w:sz w:val="18"/>
          <w:szCs w:val="18"/>
          <w:color w:val="auto"/>
        </w:rPr>
      </w:pPr>
    </w:p>
    <w:p>
      <w:pPr>
        <w:ind w:left="1264" w:hanging="616"/>
        <w:spacing w:after="0"/>
        <w:tabs>
          <w:tab w:leader="none" w:pos="12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4" w:right="120" w:firstLine="644"/>
        <w:spacing w:after="0" w:line="263" w:lineRule="auto"/>
        <w:tabs>
          <w:tab w:leader="none" w:pos="1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not prohibited by and is made in accordance with the provisions of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(except transactions permitted by clause (d)(i) of the second paragraph of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by reference to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or this definition and clauses (o) and (s) of the second paragraph of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jc w:val="both"/>
        <w:ind w:left="4" w:right="240" w:firstLine="644"/>
        <w:spacing w:after="0" w:line="263" w:lineRule="auto"/>
        <w:tabs>
          <w:tab w:leader="none" w:pos="12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under Credit Facilities, including any letter of credit facility relating thereto, that was, at the time such Indebtedness is deemed to be incurred, not prohibited or deemed to be not prohibited by the terms of this Indenture to be incurred pursuant to clause (a)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firstLine="644"/>
        <w:spacing w:after="0" w:line="287" w:lineRule="auto"/>
        <w:tabs>
          <w:tab w:leader="none" w:pos="1266" w:val="left"/>
        </w:tabs>
        <w:numPr>
          <w:ilvl w:val="1"/>
          <w:numId w:val="56"/>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(i) which are not overdue for a period of more than 60 days or not yet payable or subject to penalties for nonpayment, (ii) which are being contested in good faith by appropriate actions diligently conducted, if adequate reserves with respect thereto are maintained on the books of the Issuer or any of its Restricted Subsidiaries in accordance with GAAP,</w:t>
      </w:r>
    </w:p>
    <w:p>
      <w:pPr>
        <w:spacing w:after="0" w:line="2" w:lineRule="exact"/>
        <w:rPr>
          <w:rFonts w:ascii="Arial" w:cs="Arial" w:eastAsia="Arial" w:hAnsi="Arial"/>
          <w:sz w:val="16"/>
          <w:szCs w:val="16"/>
          <w:color w:val="auto"/>
        </w:rPr>
      </w:pPr>
    </w:p>
    <w:p>
      <w:pPr>
        <w:ind w:left="4" w:hanging="4"/>
        <w:spacing w:after="0" w:line="253" w:lineRule="auto"/>
        <w:tabs>
          <w:tab w:leader="none" w:pos="3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which are on property that the Issuer or any of its Restricted Subsidiaries has determined to abandon if the sole recourse for such tax, assessment, charge, levy or claim is to such property or (iv) with respect to which the failure to make payment would not reasonably be expected to have a material adverse effect on the business, results of operations or financial condition of the Issuer and its Restricted Subsidiaries, taken as a whole;</w:t>
      </w:r>
    </w:p>
    <w:p>
      <w:pPr>
        <w:spacing w:after="0" w:line="192" w:lineRule="exact"/>
        <w:rPr>
          <w:rFonts w:ascii="Arial" w:cs="Arial" w:eastAsia="Arial" w:hAnsi="Arial"/>
          <w:sz w:val="18"/>
          <w:szCs w:val="18"/>
          <w:color w:val="auto"/>
        </w:rPr>
      </w:pPr>
    </w:p>
    <w:p>
      <w:pPr>
        <w:ind w:left="4" w:right="20" w:firstLine="644"/>
        <w:spacing w:after="0" w:line="291" w:lineRule="auto"/>
        <w:tabs>
          <w:tab w:leader="none" w:pos="1256" w:val="left"/>
        </w:tabs>
        <w:numPr>
          <w:ilvl w:val="1"/>
          <w:numId w:val="57"/>
        </w:numPr>
        <w:rPr>
          <w:rFonts w:ascii="Arial" w:cs="Arial" w:eastAsia="Arial" w:hAnsi="Arial"/>
          <w:sz w:val="16"/>
          <w:szCs w:val="16"/>
          <w:color w:val="auto"/>
        </w:rPr>
      </w:pPr>
      <w:r>
        <w:rPr>
          <w:rFonts w:ascii="Arial" w:cs="Arial" w:eastAsia="Arial" w:hAnsi="Arial"/>
          <w:sz w:val="16"/>
          <w:szCs w:val="16"/>
          <w:color w:val="auto"/>
        </w:rPr>
        <w:t>Liens (and rights of set-off) of landlords, banks, carriers, warehousemen, mechanics, repairmen, workmen and materialmen, and other Liens imposed by applicable Requirements of Law, in each case incurred in the ordinary course of business, consistent with past practice or consistent with industry norm (i) for amounts not yet overdue by more than 60 days, (ii) for amounts that are overdue by more than 60 days or that are unfiled and no other action has been taken to enforce such Liens or those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 on the business, results of operations or financial condition of the Issuer and its Restricted Subsidiaries, taken as a whole;</w:t>
      </w:r>
    </w:p>
    <w:p>
      <w:pPr>
        <w:spacing w:after="0" w:line="34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57" w:name="page58"/>
    <w:bookmarkEnd w:id="57"/>
    <w:p>
      <w:pPr>
        <w:ind w:left="1264" w:hanging="616"/>
        <w:spacing w:after="0"/>
        <w:tabs>
          <w:tab w:leader="none" w:pos="1264" w:val="left"/>
        </w:tabs>
        <w:numPr>
          <w:ilvl w:val="1"/>
          <w:numId w:val="58"/>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consistent with past practice or consistent with industry norm</w:t>
      </w:r>
    </w:p>
    <w:p>
      <w:pPr>
        <w:spacing w:after="0" w:line="46" w:lineRule="exact"/>
        <w:rPr>
          <w:rFonts w:ascii="Arial" w:cs="Arial" w:eastAsia="Arial" w:hAnsi="Arial"/>
          <w:sz w:val="16"/>
          <w:szCs w:val="16"/>
          <w:color w:val="auto"/>
        </w:rPr>
      </w:pPr>
    </w:p>
    <w:p>
      <w:pPr>
        <w:ind w:left="4" w:hanging="4"/>
        <w:spacing w:after="0" w:line="267" w:lineRule="auto"/>
        <w:tabs>
          <w:tab w:leader="none" w:pos="219"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connection with workers’ compensation, pension, unemployment insurance, employers’ health tax and other types of social security or similar laws and regulations or other insurance related obligations (including in respect of deductibles, self-insured retention amounts and premiums and adjustments thereto), (ii) to secure the performance of tenders, statutory obligations, surety, stay, customs, appeal, performance and/or completion bonds, bids, leases, government contracts, trade contracts, performance and return-of-money bonds and other similar obligations (including those to secure health, safety and environmental obligations but exclusive of obligations for the payment of borrowed money), (iii) securing or in connection with (x) any liability for reimbursement or indemnification obligations of (including obligations in respect of letters of credit or bank guarantees or similar instruments for the benefit of) insurance carriers providing property, casualty, liability or other insurance (including self-insurance) to the Issuer or its Subsidiaries or otherwise supporting the payment of items set forth in the foregoing clause (i) or (y) leases or licenses of property otherwise not prohibited by this Indenture and use and occupancy agreements, utility services and similar transactions entered into in the ordinary course of business, consistent with past practice or consistent with industry norm and (iv) to secure obligations in respect of letters of credit, bank guaranties, surety bonds, performance bonds, completion bonds or similar instruments posted with respect to the items described in clauses (i) through (iii) above;</w:t>
      </w:r>
    </w:p>
    <w:p>
      <w:pPr>
        <w:spacing w:after="0" w:line="184" w:lineRule="exact"/>
        <w:rPr>
          <w:rFonts w:ascii="Arial" w:cs="Arial" w:eastAsia="Arial" w:hAnsi="Arial"/>
          <w:sz w:val="17"/>
          <w:szCs w:val="17"/>
          <w:color w:val="auto"/>
        </w:rPr>
      </w:pPr>
    </w:p>
    <w:p>
      <w:pPr>
        <w:ind w:left="4" w:right="100" w:firstLine="644"/>
        <w:spacing w:after="0" w:line="286" w:lineRule="auto"/>
        <w:tabs>
          <w:tab w:leader="none" w:pos="1256" w:val="left"/>
        </w:tabs>
        <w:numPr>
          <w:ilvl w:val="1"/>
          <w:numId w:val="59"/>
        </w:numPr>
        <w:rPr>
          <w:rFonts w:ascii="Arial" w:cs="Arial" w:eastAsia="Arial" w:hAnsi="Arial"/>
          <w:sz w:val="17"/>
          <w:szCs w:val="17"/>
          <w:color w:val="auto"/>
        </w:rPr>
      </w:pPr>
      <w:r>
        <w:rPr>
          <w:rFonts w:ascii="Arial" w:cs="Arial" w:eastAsia="Arial" w:hAnsi="Arial"/>
          <w:sz w:val="17"/>
          <w:szCs w:val="17"/>
          <w:color w:val="auto"/>
        </w:rPr>
        <w:t>Liens consisting of survey exceptions, easements, rights-of-way, restrictions, encroachments, and other similar encumbrances or minor defects or irregularities in title, in each case that would not reasonably be expected to result in a material adverse effect on the business, results of operations or financial condition of the Issuer and its Restricted Subsidiaries, taken as a whole;</w:t>
      </w:r>
    </w:p>
    <w:p>
      <w:pPr>
        <w:spacing w:after="0" w:line="165" w:lineRule="exact"/>
        <w:rPr>
          <w:rFonts w:ascii="Arial" w:cs="Arial" w:eastAsia="Arial" w:hAnsi="Arial"/>
          <w:sz w:val="17"/>
          <w:szCs w:val="17"/>
          <w:color w:val="auto"/>
        </w:rPr>
      </w:pPr>
    </w:p>
    <w:p>
      <w:pPr>
        <w:ind w:left="4" w:firstLine="644"/>
        <w:spacing w:after="0" w:line="301" w:lineRule="auto"/>
        <w:tabs>
          <w:tab w:leader="none" w:pos="1281" w:val="left"/>
        </w:tabs>
        <w:numPr>
          <w:ilvl w:val="1"/>
          <w:numId w:val="59"/>
        </w:numPr>
        <w:rPr>
          <w:rFonts w:ascii="Arial" w:cs="Arial" w:eastAsia="Arial" w:hAnsi="Arial"/>
          <w:sz w:val="16"/>
          <w:szCs w:val="16"/>
          <w:color w:val="auto"/>
        </w:rPr>
      </w:pPr>
      <w:r>
        <w:rPr>
          <w:rFonts w:ascii="Arial" w:cs="Arial" w:eastAsia="Arial" w:hAnsi="Arial"/>
          <w:sz w:val="16"/>
          <w:szCs w:val="16"/>
          <w:color w:val="auto"/>
        </w:rPr>
        <w:t>Liens consisting of any (i) interest or title of a lessor or sub-lessor under any lease of real estate entered into by the Issuer or any of its Restricted Subsidiaries in the ordinary course of business, consistent with past practice or consistent with industry norm, (ii) landlord lien not prohibited by the terms of any lease, (iii) restriction or encumbrance to which the interest or title of such lessor or sub-lessor may be subject or (iv) subordination of the interest of the lessee or sub-lessee under such lease to any restriction or encumbrance referred to in the preceding clause (iii);</w:t>
      </w:r>
    </w:p>
    <w:p>
      <w:pPr>
        <w:spacing w:after="0" w:line="157" w:lineRule="exact"/>
        <w:rPr>
          <w:rFonts w:ascii="Arial" w:cs="Arial" w:eastAsia="Arial" w:hAnsi="Arial"/>
          <w:sz w:val="16"/>
          <w:szCs w:val="16"/>
          <w:color w:val="auto"/>
        </w:rPr>
      </w:pPr>
    </w:p>
    <w:p>
      <w:pPr>
        <w:ind w:left="4" w:right="80" w:firstLine="644"/>
        <w:spacing w:after="0" w:line="342" w:lineRule="auto"/>
        <w:tabs>
          <w:tab w:leader="none" w:pos="12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Liens solely on any cash advance, earnest money or escrow deposits made by the Issuer and/or any of its Restricted Subsidiaries in connection with any letter of intent or purchase agreement with respect to any Investment or disposition not prohibited under this Indenture;</w:t>
      </w:r>
    </w:p>
    <w:p>
      <w:pPr>
        <w:spacing w:after="0" w:line="29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58" w:name="page59"/>
    <w:bookmarkEnd w:id="58"/>
    <w:p>
      <w:pPr>
        <w:ind w:left="-460" w:right="180" w:firstLine="644"/>
        <w:spacing w:after="0" w:line="301" w:lineRule="auto"/>
        <w:tabs>
          <w:tab w:leader="none" w:pos="8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Liens or purported Liens evidenced by the filing of UCC financing statements, including precautionary UCC financing statements, or any similar filings made in respect of (i) Non-Financing Lease Obligations or consignment or bailee arrangements entered into by the Issuer or any of its Restricted Subsidiaries and/or (ii) the sale of accounts receivable in the ordinary course of business, consistent with past practice or consistent with industry norm (to the extent otherwise permitted herein) for which a UCC financing statement is required;</w:t>
      </w:r>
    </w:p>
    <w:p>
      <w:pPr>
        <w:spacing w:after="0" w:line="157" w:lineRule="exact"/>
        <w:rPr>
          <w:rFonts w:ascii="Arial" w:cs="Arial" w:eastAsia="Arial" w:hAnsi="Arial"/>
          <w:sz w:val="16"/>
          <w:szCs w:val="16"/>
          <w:color w:val="auto"/>
        </w:rPr>
      </w:pPr>
    </w:p>
    <w:p>
      <w:pPr>
        <w:ind w:left="-460" w:right="200" w:firstLine="644"/>
        <w:spacing w:after="0" w:line="277" w:lineRule="auto"/>
        <w:tabs>
          <w:tab w:leader="none" w:pos="808"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460" w:right="20" w:firstLine="644"/>
        <w:spacing w:after="0" w:line="293" w:lineRule="auto"/>
        <w:tabs>
          <w:tab w:leader="none" w:pos="8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Liens in connection with any zoning, building, land use or similar Requirements of Law or right reserved to or vested in any governmental authority by any statutory provision or by the terms of any lease, license, franchise, grant or permit of the Issuer or any of its Restricted Subsidiaries to (i) control or regulate the use of any or dimensions of real property or the structure thereon that would not reasonably be expected to have a material adverse effect on the business, results of operations or financial condition of the Issuer and its Restricted Subsidiaries, taken as a whole, including Liens in connection with any condemnation or eminent domain proceeding or compulsory purchase order or (ii) terminate any such lease, license, franchise, grant or permit or to require annual or other payments as a condition to the continuation thereof;</w:t>
      </w:r>
    </w:p>
    <w:p>
      <w:pPr>
        <w:spacing w:after="0" w:line="164" w:lineRule="exact"/>
        <w:rPr>
          <w:rFonts w:ascii="Arial" w:cs="Arial" w:eastAsia="Arial" w:hAnsi="Arial"/>
          <w:sz w:val="16"/>
          <w:szCs w:val="16"/>
          <w:color w:val="auto"/>
        </w:rPr>
      </w:pPr>
    </w:p>
    <w:p>
      <w:pPr>
        <w:ind w:left="-460" w:firstLine="644"/>
        <w:spacing w:after="0" w:line="284" w:lineRule="auto"/>
        <w:tabs>
          <w:tab w:leader="none" w:pos="80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Liens securing Refinancing Indebtedness permitted pursuant to clause (q)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(solely with respect to the permitted refinancing of (x) Indebtedness permitted pursuant to the first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or clauses (a), (b), (j), (k), (n), (o), (q), (r), (u), (w), (x) or (y)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or (y) Indebtedness that is secured in reliance on clause (u) below (without duplication of any amount outstanding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Lien extends to any property or asset of the Issuer or any Restricted Subsidiary that did not secure the Indebtedness being refinanced, other than (A) after-acquired property that is affixed to or incorporated into the property covered by such Lien, (B) in the case of any property or assets financed by Indebtedness, Disqualified Stock or Preferred Stock or subject to a Lien securing Indebtedness, in each case, not prohibited by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the terms of which Indebtedness, Disqualified Stock or Preferred Stock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clause (n)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provided by any lender may be cross-collateralized to other financings of such type provided by such lender or its Affiliates) and (ii) if such Liens are consensual Liens that are secured by the Collateral, then the Issuer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(I) if the Liens on the Collateral that secured the Indebtedness that was refinanced by such Refinancing Indebtedness ranked equal in priority with the Liens on the Collateral securing the Secured Notes Obligations, at the option of the Issuer, either equal in priority (but without regard to the control of remedies) with the Liens on the Collateral (other than cash and Cash Equivalents) securing the Secured Notes Obligations or junior in priority to the Liens on the Collateral securing the Secured Notes Obligations or (II) if the Liens on the Collateral that secured the Indebtedness that was refinanced by such Refinancing Indebtedness ranked junior in priority to the Liens on the Collateral securing the Secured Notes Obligations, junior in priority to the Liens on the Collateral securing the Secured Notes Obligations but, in any event, shall not be required to enter into any such intercreditor agreement with respect to any Collateral consisting of cash and Cash Equivalents;</w:t>
      </w:r>
    </w:p>
    <w:p>
      <w:pPr>
        <w:spacing w:after="0" w:line="3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59" w:name="page60"/>
    <w:bookmarkEnd w:id="59"/>
    <w:p>
      <w:pPr>
        <w:ind w:left="4" w:firstLine="644"/>
        <w:spacing w:after="0" w:line="269" w:lineRule="auto"/>
        <w:tabs>
          <w:tab w:leader="none" w:pos="1272"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Liens existing on the Issue Date or pursuant to agreements in existence on the Issue Date and any modification, replacement, refinancing, renewal or extension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Lien extends to any property or asset of the Issuer or any Restricted Subsidiary that was not subject to the original Lien, other than (A) after-acquired property that is affixed to or incorporated into the property covered by such Lien, (B) in the case of any property or assets financed by Indebtedness or subject to a Lien securing Indebtedness, in either case permitted under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the terms of which Indebtedness require or include a pledge of after-acquired property to secure such Indebtedness and related obligations, any such after-acquired property and (C) the proceeds and products thereof, accessions thereto and improvements thereon (it being understood that individual financings of the type permitted under clause (n)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the same constitute Indebtedness, is not prohibited by </w:t>
      </w:r>
      <w:r>
        <w:rPr>
          <w:rFonts w:ascii="Arial" w:cs="Arial" w:eastAsia="Arial" w:hAnsi="Arial"/>
          <w:sz w:val="17"/>
          <w:szCs w:val="17"/>
          <w:u w:val="single" w:color="auto"/>
          <w:color w:val="auto"/>
        </w:rPr>
        <w:t>Section 4.09</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4" w:right="200" w:firstLine="644"/>
        <w:spacing w:after="0" w:line="277" w:lineRule="auto"/>
        <w:tabs>
          <w:tab w:leader="none" w:pos="12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Liens arising out of Sale and Lease-Back Transactions permitted under clause (y)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customary security deposits, related contract rights and payment intangibles related thereto;</w:t>
      </w:r>
    </w:p>
    <w:p>
      <w:pPr>
        <w:spacing w:after="0" w:line="170" w:lineRule="exact"/>
        <w:rPr>
          <w:rFonts w:ascii="Arial" w:cs="Arial" w:eastAsia="Arial" w:hAnsi="Arial"/>
          <w:sz w:val="18"/>
          <w:szCs w:val="18"/>
          <w:color w:val="auto"/>
        </w:rPr>
      </w:pPr>
    </w:p>
    <w:p>
      <w:pPr>
        <w:ind w:left="4" w:firstLine="644"/>
        <w:spacing w:after="0" w:line="291" w:lineRule="auto"/>
        <w:tabs>
          <w:tab w:leader="none" w:pos="1266"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pursuant to clause (n), (r) or (u)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Liens securing Indebtedness permitted pursuant to clause (n) of the second paragraph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any such Lien shall encumber only</w:t>
      </w:r>
    </w:p>
    <w:p>
      <w:pPr>
        <w:ind w:left="224" w:hanging="224"/>
        <w:spacing w:after="0"/>
        <w:tabs>
          <w:tab w:leader="none" w:pos="2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property, equipment or other asset the acquisition, construction, lease, expansion, development, design, installation, repair, replacement,</w:t>
      </w:r>
    </w:p>
    <w:p>
      <w:pPr>
        <w:spacing w:after="0" w:line="32" w:lineRule="exact"/>
        <w:rPr>
          <w:rFonts w:ascii="Arial" w:cs="Arial" w:eastAsia="Arial" w:hAnsi="Arial"/>
          <w:sz w:val="16"/>
          <w:szCs w:val="16"/>
          <w:color w:val="auto"/>
        </w:rPr>
      </w:pPr>
    </w:p>
    <w:p>
      <w:pPr>
        <w:ind w:left="4" w:right="60"/>
        <w:spacing w:after="0" w:line="271" w:lineRule="auto"/>
        <w:rPr>
          <w:rFonts w:ascii="Arial" w:cs="Arial" w:eastAsia="Arial" w:hAnsi="Arial"/>
          <w:sz w:val="16"/>
          <w:szCs w:val="16"/>
          <w:color w:val="auto"/>
        </w:rPr>
      </w:pPr>
      <w:r>
        <w:rPr>
          <w:rFonts w:ascii="Arial" w:cs="Arial" w:eastAsia="Arial" w:hAnsi="Arial"/>
          <w:sz w:val="17"/>
          <w:szCs w:val="17"/>
          <w:color w:val="auto"/>
        </w:rPr>
        <w:t>relocation, renewal, maintenance, upgrade or improvement in connection with which such Indebtedness was incurred or issued (for the avoidance of doubt, giving effect to the proviso in such clause (n)) (and any replacements, additions and accessions thereto, any improvements thereon and any proceeds or products thereof), (ii) any ancillary rights thereto and (iii) customary security deposits, related contract rights and payment intangibles and other assets related thereto (it being understood that individual financings provided by any lender may be cross-collateralized to other financings of such type provided by such lender or its Affiliates);</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41" w:right="379" w:bottom="1440" w:gutter="0" w:footer="0" w:header="0"/>
        </w:sectPr>
      </w:pPr>
    </w:p>
    <w:bookmarkStart w:id="60" w:name="page61"/>
    <w:bookmarkEnd w:id="60"/>
    <w:p>
      <w:pPr>
        <w:ind w:left="-460" w:right="60" w:firstLine="644"/>
        <w:spacing w:after="0" w:line="287" w:lineRule="auto"/>
        <w:tabs>
          <w:tab w:leader="none" w:pos="80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pursuant to clause (o)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on the property or other asset the acquisition or Investment in which is financed thereby or on the Equity Interests and assets of the newly acquired Restricted Subsidiary or Liens otherwise existing on property at the time of its acquisition or existing on the property or Equity Interests or other assets of any Person at the time such Person becomes a Restricted Subsidiary (including by the designation of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Lien (A) extends to or covers any other assets (other than (x) any replacements, additions and accessions thereto, any improvements thereon and any proceeds or products thereof, (y) after-acquired property to the extent such Indebtedness requires or includes, pursuant to its terms at the time assumed, a pledge of after-acquired property of such Person, and any replacements, additions and accessions thereto, any improvements thereon and any proceeds or products thereof, and customary security deposits in respect thereof and (z) in the case of multiple financings of equipment provided by any lender or its Affiliates, other equipment financed by such lender or its Affiliates, it being understood that such requirement shall not be permitted to apply to any property to which such requirement would not have applied but for such acquisition) or (B) was created in contemplation of the applicable acquisition of the Person, assets or Equity Interests;</w:t>
      </w:r>
    </w:p>
    <w:p>
      <w:pPr>
        <w:spacing w:after="0" w:line="171" w:lineRule="exact"/>
        <w:rPr>
          <w:rFonts w:ascii="Arial" w:cs="Arial" w:eastAsia="Arial" w:hAnsi="Arial"/>
          <w:sz w:val="16"/>
          <w:szCs w:val="16"/>
          <w:color w:val="auto"/>
        </w:rPr>
      </w:pPr>
    </w:p>
    <w:p>
      <w:pPr>
        <w:ind w:left="-460" w:firstLine="644"/>
        <w:spacing w:after="0" w:line="269" w:lineRule="auto"/>
        <w:tabs>
          <w:tab w:leader="none" w:pos="80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 Liens that are contractual rights of setoff or netting relating to (A) the establishment of depositary relations with banks not granted in connection with the issuance of Indebtedness, (B) pooled deposit or sweep accounts of the Issuer or any Restricted Subsidiary to permit satisfaction of overdraft or similar obligations incurred in the ordinary course of business, consistent with past practice or consistent with industry norm of the Issuer or any Restricted Subsidiary, (C) purchase orders and other agreements entered into with customers of the Issuer or any Restricted Subsidiary in the ordinary course of business, consistent with past practice or consistent with industry norm and (D) commodity trading or other brokerage accounts incurred in the ordinary course of business, consistent with past practice or consistent with industry norm, (ii) Liens encumbering reasonable customary initial deposits and margin deposits, (iii) bankers Liens and rights and remedies as to Deposit Accounts, (iv) Liens on the proceeds of any Indebtedness in favor of the holders of such Indebtedness incurred in connection with any transaction permitted under this Indenture, which proceeds have been deposited into an escrow account on customary terms to secure such Indebtedness pending the application of such proceeds to finance such transaction and (v) Liens consisting of an agreement to dispose of any property in a disposition permitted under </w:t>
      </w:r>
      <w:r>
        <w:rPr>
          <w:rFonts w:ascii="Arial" w:cs="Arial" w:eastAsia="Arial" w:hAnsi="Arial"/>
          <w:sz w:val="17"/>
          <w:szCs w:val="17"/>
          <w:u w:val="single" w:color="auto"/>
          <w:color w:val="auto"/>
        </w:rPr>
        <w:t>Section 4.10</w:t>
      </w:r>
      <w:r>
        <w:rPr>
          <w:rFonts w:ascii="Arial" w:cs="Arial" w:eastAsia="Arial" w:hAnsi="Arial"/>
          <w:sz w:val="17"/>
          <w:szCs w:val="17"/>
          <w:color w:val="auto"/>
        </w:rPr>
        <w:t>, in each case, solely to the extent such Investment or disposition, as the case may be, would have been permitted on the date of the creation of such Lien;</w:t>
      </w:r>
    </w:p>
    <w:p>
      <w:pPr>
        <w:spacing w:after="0" w:line="178" w:lineRule="exact"/>
        <w:rPr>
          <w:rFonts w:ascii="Arial" w:cs="Arial" w:eastAsia="Arial" w:hAnsi="Arial"/>
          <w:sz w:val="17"/>
          <w:szCs w:val="17"/>
          <w:color w:val="auto"/>
        </w:rPr>
      </w:pPr>
    </w:p>
    <w:p>
      <w:pPr>
        <w:ind w:left="800" w:hanging="616"/>
        <w:spacing w:after="0"/>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Liens on assets of Restricted Subsidiaries that are not Guarantors (including Equity Interests owned by such Persons);</w:t>
      </w:r>
    </w:p>
    <w:p>
      <w:pPr>
        <w:spacing w:after="0" w:line="236" w:lineRule="exact"/>
        <w:rPr>
          <w:rFonts w:ascii="Arial" w:cs="Arial" w:eastAsia="Arial" w:hAnsi="Arial"/>
          <w:sz w:val="17"/>
          <w:szCs w:val="17"/>
          <w:color w:val="auto"/>
        </w:rPr>
      </w:pPr>
    </w:p>
    <w:p>
      <w:pPr>
        <w:ind w:left="-460" w:firstLine="644"/>
        <w:spacing w:after="0" w:line="257" w:lineRule="auto"/>
        <w:tabs>
          <w:tab w:leader="none" w:pos="81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Liens securing obligations (other than obligations representing indebtedness for borrowed money) under operating, reciprocal easement or similar agreements entered into in the ordinary course of business, consistent with past practice or consistent with industry norm of the Issuer and/or its Restricted Subsidiaries and (ii) Liens not securing indebtedness for borrowed money that are granted in the ordinary course of business, consistent with past practice or consistent with industry norm and customary in the operation of the business of the Issuer and its Restricted Subsidiaries;</w:t>
      </w: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341" w:right="379" w:bottom="1440" w:gutter="0" w:footer="0" w:header="0"/>
        </w:sectPr>
      </w:pPr>
    </w:p>
    <w:bookmarkStart w:id="61" w:name="page62"/>
    <w:bookmarkEnd w:id="61"/>
    <w:p>
      <w:pPr>
        <w:ind w:left="1240" w:hanging="596"/>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60" w:hanging="616"/>
        <w:spacing w:after="0"/>
        <w:tabs>
          <w:tab w:leader="none" w:pos="1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644"/>
        <w:spacing w:after="0" w:line="307" w:lineRule="auto"/>
        <w:tabs>
          <w:tab w:leader="none" w:pos="1262"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other Liens on assets securing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time of incurrence thereof and after giving pro forma effect thereto and the use of the proceeds thereof, the aggregate amount of Indebtedness and other obligations then outstanding and secured thereby shall not, except as contemplated by clause (q) of the second paragraph of </w:t>
      </w:r>
      <w:r>
        <w:rPr>
          <w:rFonts w:ascii="Arial" w:cs="Arial" w:eastAsia="Arial" w:hAnsi="Arial"/>
          <w:sz w:val="15"/>
          <w:szCs w:val="15"/>
          <w:u w:val="single" w:color="auto"/>
          <w:color w:val="auto"/>
        </w:rPr>
        <w:t>Section 4.09</w:t>
      </w:r>
      <w:r>
        <w:rPr>
          <w:rFonts w:ascii="Arial" w:cs="Arial" w:eastAsia="Arial" w:hAnsi="Arial"/>
          <w:sz w:val="15"/>
          <w:szCs w:val="15"/>
          <w:color w:val="auto"/>
        </w:rPr>
        <w:t>, exceed an amount equal to the greater of $100.0 million and</w:t>
      </w:r>
    </w:p>
    <w:p>
      <w:pPr>
        <w:ind w:right="100"/>
        <w:spacing w:after="0" w:line="269" w:lineRule="auto"/>
        <w:rPr>
          <w:rFonts w:ascii="Arial" w:cs="Arial" w:eastAsia="Arial" w:hAnsi="Arial"/>
          <w:sz w:val="15"/>
          <w:szCs w:val="15"/>
          <w:color w:val="auto"/>
        </w:rPr>
      </w:pPr>
      <w:r>
        <w:rPr>
          <w:rFonts w:ascii="Arial" w:cs="Arial" w:eastAsia="Arial" w:hAnsi="Arial"/>
          <w:sz w:val="17"/>
          <w:szCs w:val="17"/>
          <w:color w:val="auto"/>
        </w:rPr>
        <w:t>25.0% of Annualized EBITDA of the Issuer and its Restricted Subsidiaries provided that, if such Liens are consensual Liens that are secured by the Collateral, then the Issuer may elect to have the holders of the Indebtedness or other obligations secured thereby (or a representative or trustee on their behalf) enter into an Equal Priority Intercreditor Agreement or a Junior Priority Intercreditor Agreement, as applicable, providing that the Liens on the Collateral (other than cash and Cash Equivalents) securing such Indebtedness or other obligations shall rank, at the option of the Issuer, either equal in priority (but without regard to the control of remedies) with, or junior to, the Liens on the Collateral (other than cash and Cash Equivalents) securing the Secured Notes Obligations but, in any event, shall not be required to enter into any such intercreditor with respect to any Collateral consisting of cash and Cash Equivalents;</w:t>
      </w:r>
    </w:p>
    <w:p>
      <w:pPr>
        <w:spacing w:after="0" w:line="180" w:lineRule="exact"/>
        <w:rPr>
          <w:rFonts w:ascii="Arial" w:cs="Arial" w:eastAsia="Arial" w:hAnsi="Arial"/>
          <w:sz w:val="15"/>
          <w:szCs w:val="15"/>
          <w:color w:val="auto"/>
        </w:rPr>
      </w:pPr>
    </w:p>
    <w:p>
      <w:pPr>
        <w:ind w:right="60" w:firstLine="644"/>
        <w:spacing w:after="0" w:line="263" w:lineRule="auto"/>
        <w:tabs>
          <w:tab w:leader="none" w:pos="12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 Liens on assets securing, or otherwise arising from, judgments, awards, attachments and/or decrees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relating to litigation not constituting an Event of Default under clause (5)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(ii) any pledge and/or deposit securing any settlement of litigation;</w:t>
      </w:r>
    </w:p>
    <w:p>
      <w:pPr>
        <w:spacing w:after="0" w:line="183" w:lineRule="exact"/>
        <w:rPr>
          <w:rFonts w:ascii="Arial" w:cs="Arial" w:eastAsia="Arial" w:hAnsi="Arial"/>
          <w:sz w:val="18"/>
          <w:szCs w:val="18"/>
          <w:color w:val="auto"/>
        </w:rPr>
      </w:pPr>
    </w:p>
    <w:p>
      <w:pPr>
        <w:ind w:firstLine="644"/>
        <w:spacing w:after="0" w:line="293" w:lineRule="auto"/>
        <w:tabs>
          <w:tab w:leader="none" w:pos="12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leases (including ground leases and leases of vehicles, tankers and ISO containers), licenses, subleases or sublicenses granted to others in the ordinary course of business, consistent with past practice or consistent with industry norm (and other agreements pursuant to which the Issuer or any Restricted Subsidiary has granted rights to end users to access and use the Issuer’s or any Restricted Subsidiary’s products, technologies or services), or which would not reasonably be expected to result in a material adverse effect on the business, results of operations or financial condition of the Issuer and its Restricted Subsidiaries, taken as a whole, and (ii) ground leases, subleases, licenses or sublicenses in respect of real property on which facilities owned or leased by the Issuer or any of its Restricted Subsidiaries are located;</w:t>
      </w:r>
    </w:p>
    <w:p>
      <w:pPr>
        <w:spacing w:after="0" w:line="164" w:lineRule="exact"/>
        <w:rPr>
          <w:rFonts w:ascii="Arial" w:cs="Arial" w:eastAsia="Arial" w:hAnsi="Arial"/>
          <w:sz w:val="16"/>
          <w:szCs w:val="16"/>
          <w:color w:val="auto"/>
        </w:rPr>
      </w:pPr>
    </w:p>
    <w:p>
      <w:pPr>
        <w:ind w:right="60" w:firstLine="644"/>
        <w:spacing w:after="0" w:line="259" w:lineRule="auto"/>
        <w:tabs>
          <w:tab w:leader="none" w:pos="12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Liens on securities that are the subject of repurchase agreements constituting Permitted Investments or any Investment permitted under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arising out of such repurchase transactions and reasonable customary initial deposits and margin deposits and similar Liens attaching to pooling, commodity trading accounts or other brokerage accounts maintained in the ordinary course of business, consistent with past practice or consistent with industry norm and not for speculative purposes;</w:t>
      </w:r>
    </w:p>
    <w:p>
      <w:pPr>
        <w:spacing w:after="0" w:line="36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62" w:name="page63"/>
    <w:bookmarkEnd w:id="62"/>
    <w:p>
      <w:pPr>
        <w:ind w:left="4" w:right="40" w:firstLine="644"/>
        <w:spacing w:after="0" w:line="277" w:lineRule="auto"/>
        <w:tabs>
          <w:tab w:leader="none" w:pos="126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letters of credit, bank guaranties, surety bonds, performance bonds, completion bonds or similar instruments permitted under clause (e), (f), (h) or (aa)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right="60" w:firstLine="644"/>
        <w:spacing w:after="0" w:line="263" w:lineRule="auto"/>
        <w:tabs>
          <w:tab w:leader="none" w:pos="1256"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Liens arising (i) out of conditional sale, title retention, consignment or similar arrangements for the sale or purchase of any asset in the ordinary course of business, consistent with past practice or consistent with industry norm or (ii) by operation of law under Article 2 of the UCC (or any similar Requirements of Law under any jurisdiction);</w:t>
      </w:r>
    </w:p>
    <w:p>
      <w:pPr>
        <w:spacing w:after="0" w:line="184" w:lineRule="exact"/>
        <w:rPr>
          <w:sz w:val="20"/>
          <w:szCs w:val="20"/>
          <w:color w:val="auto"/>
        </w:rPr>
      </w:pPr>
    </w:p>
    <w:p>
      <w:pPr>
        <w:ind w:left="4" w:right="300" w:firstLine="644"/>
        <w:spacing w:after="0" w:line="311" w:lineRule="auto"/>
        <w:tabs>
          <w:tab w:leader="none" w:pos="1246"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Liens (other than, if granted in favor of any Person that is not the Issuer or a Guarantor, Liens on the Collateral ranking on an equal or senior priority basis to the Liens on the Collateral securing the Secured Notes Obligations) securing Indebtedness of the Issuer or a Restricted Subsidiary owing to the Issuer or another Restricted Subsidiary and not prohibited to be incurred in accordance with </w:t>
      </w:r>
      <w:r>
        <w:rPr>
          <w:rFonts w:ascii="Arial" w:cs="Arial" w:eastAsia="Arial" w:hAnsi="Arial"/>
          <w:sz w:val="16"/>
          <w:szCs w:val="16"/>
          <w:u w:val="single" w:color="auto"/>
          <w:color w:val="auto"/>
        </w:rPr>
        <w:t>Section 4.09</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224" w:hanging="576"/>
        <w:spacing w:after="0"/>
        <w:tabs>
          <w:tab w:leader="none" w:pos="1224" w:val="left"/>
        </w:tabs>
        <w:numPr>
          <w:ilvl w:val="1"/>
          <w:numId w:val="66"/>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left="4" w:firstLine="644"/>
        <w:spacing w:after="0" w:line="273" w:lineRule="auto"/>
        <w:tabs>
          <w:tab w:leader="none" w:pos="1246" w:val="left"/>
        </w:tabs>
        <w:numPr>
          <w:ilvl w:val="1"/>
          <w:numId w:val="66"/>
        </w:numPr>
        <w:rPr>
          <w:rFonts w:ascii="Arial" w:cs="Arial" w:eastAsia="Arial" w:hAnsi="Arial"/>
          <w:sz w:val="17"/>
          <w:szCs w:val="17"/>
          <w:color w:val="auto"/>
        </w:rPr>
      </w:pPr>
      <w:r>
        <w:rPr>
          <w:rFonts w:ascii="Arial" w:cs="Arial" w:eastAsia="Arial" w:hAnsi="Arial"/>
          <w:sz w:val="17"/>
          <w:szCs w:val="17"/>
          <w:color w:val="auto"/>
        </w:rPr>
        <w:t>(i) Liens on specific items of inventory or other goods and the proceeds thereof securing the relevant Person’s accounts payable or other obligations in respect of documentary or trade letters of credit or banker’s acceptances issued or created for the account of such Person to facilitate the purchase, shipment or storage of such inventory or other goods, (ii) Liens on bills of lading, drafts or other documents of title arising by operation of law or pursuant to standard terms of agreements relating to letters of credit, bank guarantees and other similar instruments and (iii) receipt of progress payments and advances from customers in the ordinary course of business, consistent with past practice or consistent with industry norm to the extent the same creates a Lien on the related inventory and proceeds thereof;</w:t>
      </w:r>
    </w:p>
    <w:p>
      <w:pPr>
        <w:spacing w:after="0" w:line="177" w:lineRule="exact"/>
        <w:rPr>
          <w:rFonts w:ascii="Arial" w:cs="Arial" w:eastAsia="Arial" w:hAnsi="Arial"/>
          <w:sz w:val="17"/>
          <w:szCs w:val="17"/>
          <w:color w:val="auto"/>
        </w:rPr>
      </w:pPr>
    </w:p>
    <w:p>
      <w:pPr>
        <w:ind w:left="4" w:right="40" w:firstLine="644"/>
        <w:spacing w:after="0" w:line="277" w:lineRule="auto"/>
        <w:tabs>
          <w:tab w:leader="none" w:pos="1222"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Liens securing (i) obligations of the type described in clause (g) and/or (ii) obligations of the type described in clause (s), in each case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40" w:firstLine="644"/>
        <w:spacing w:after="0" w:line="287" w:lineRule="auto"/>
        <w:tabs>
          <w:tab w:leader="none" w:pos="124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 Liens on Equity Interests of Unrestricted Subsidiaries, (ii) Liens on Equity Interests of joint ventures securing capital contributions to, or Indebtedness or other obligations of, such joint ventures, (iii) any encumbrance or restriction (including put and call arrangements) with respect to Equity Interests of any joint venture or similar arrangement pursuant to any joint venture or similar agreement and</w:t>
      </w:r>
    </w:p>
    <w:p>
      <w:pPr>
        <w:spacing w:after="0" w:line="2" w:lineRule="exact"/>
        <w:rPr>
          <w:rFonts w:ascii="Arial" w:cs="Arial" w:eastAsia="Arial" w:hAnsi="Arial"/>
          <w:sz w:val="16"/>
          <w:szCs w:val="16"/>
          <w:color w:val="auto"/>
        </w:rPr>
      </w:pPr>
    </w:p>
    <w:p>
      <w:pPr>
        <w:ind w:left="4" w:right="440" w:hanging="4"/>
        <w:spacing w:after="0" w:line="260" w:lineRule="auto"/>
        <w:tabs>
          <w:tab w:leader="none" w:pos="3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customary rights of first refusal and tag, drag and similar rights in joint venture agreements and agreements with respect to non-Wholly-Owned Subsidiaries;</w:t>
      </w:r>
    </w:p>
    <w:p>
      <w:pPr>
        <w:spacing w:after="0" w:line="185" w:lineRule="exact"/>
        <w:rPr>
          <w:rFonts w:ascii="Arial" w:cs="Arial" w:eastAsia="Arial" w:hAnsi="Arial"/>
          <w:sz w:val="18"/>
          <w:szCs w:val="18"/>
          <w:color w:val="auto"/>
        </w:rPr>
      </w:pPr>
    </w:p>
    <w:p>
      <w:pPr>
        <w:ind w:left="1244" w:hanging="596"/>
        <w:spacing w:after="0"/>
        <w:tabs>
          <w:tab w:leader="none" w:pos="1244" w:val="left"/>
        </w:tabs>
        <w:numPr>
          <w:ilvl w:val="1"/>
          <w:numId w:val="67"/>
        </w:numPr>
        <w:rPr>
          <w:rFonts w:ascii="Arial" w:cs="Arial" w:eastAsia="Arial" w:hAnsi="Arial"/>
          <w:sz w:val="17"/>
          <w:szCs w:val="17"/>
          <w:color w:val="auto"/>
        </w:rPr>
      </w:pPr>
      <w:r>
        <w:rPr>
          <w:rFonts w:ascii="Arial" w:cs="Arial" w:eastAsia="Arial" w:hAnsi="Arial"/>
          <w:sz w:val="17"/>
          <w:szCs w:val="17"/>
          <w:color w:val="auto"/>
        </w:rPr>
        <w:t>Liens on cash or Cash Equivalents arising in connection with the defeasance, satisfaction, discharge or redemption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4" w:right="140" w:firstLine="644"/>
        <w:spacing w:after="0" w:line="277" w:lineRule="auto"/>
        <w:tabs>
          <w:tab w:leader="none" w:pos="1222" w:val="left"/>
        </w:tabs>
        <w:numPr>
          <w:ilvl w:val="1"/>
          <w:numId w:val="67"/>
        </w:numPr>
        <w:rPr>
          <w:rFonts w:ascii="Arial" w:cs="Arial" w:eastAsia="Arial" w:hAnsi="Arial"/>
          <w:sz w:val="18"/>
          <w:szCs w:val="18"/>
          <w:color w:val="auto"/>
        </w:rPr>
      </w:pPr>
      <w:r>
        <w:rPr>
          <w:rFonts w:ascii="Arial" w:cs="Arial" w:eastAsia="Arial" w:hAnsi="Arial"/>
          <w:sz w:val="18"/>
          <w:szCs w:val="18"/>
          <w:color w:val="auto"/>
        </w:rPr>
        <w:t>Liens consisting of the prior rights of consignees and their lenders under consignment arrangements entered into in the ordinary course of business, consistent with past practice or consistent with industry norm;</w:t>
      </w:r>
    </w:p>
    <w:p>
      <w:pPr>
        <w:spacing w:after="0" w:line="34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41" w:right="379" w:bottom="1440" w:gutter="0" w:footer="0" w:header="0"/>
        </w:sectPr>
      </w:pPr>
    </w:p>
    <w:bookmarkStart w:id="63" w:name="page64"/>
    <w:bookmarkEnd w:id="63"/>
    <w:p>
      <w:pPr>
        <w:ind w:right="140" w:firstLine="644"/>
        <w:spacing w:after="0" w:line="277" w:lineRule="auto"/>
        <w:tabs>
          <w:tab w:leader="none" w:pos="12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disclosed in any mortgage policy or survey with respect to any Material Real Estate Asset and any replacement, extension or renewal thereof;</w:t>
      </w:r>
    </w:p>
    <w:p>
      <w:pPr>
        <w:spacing w:after="0" w:line="170" w:lineRule="exact"/>
        <w:rPr>
          <w:rFonts w:ascii="Arial" w:cs="Arial" w:eastAsia="Arial" w:hAnsi="Arial"/>
          <w:sz w:val="18"/>
          <w:szCs w:val="18"/>
          <w:color w:val="auto"/>
        </w:rPr>
      </w:pPr>
    </w:p>
    <w:p>
      <w:pPr>
        <w:ind w:left="1260" w:hanging="616"/>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on receivables and related assets incurred in connection with Permitted Receivables Financings;</w:t>
      </w:r>
    </w:p>
    <w:p>
      <w:pPr>
        <w:spacing w:after="0" w:line="225" w:lineRule="exact"/>
        <w:rPr>
          <w:rFonts w:ascii="Arial" w:cs="Arial" w:eastAsia="Arial" w:hAnsi="Arial"/>
          <w:sz w:val="18"/>
          <w:szCs w:val="18"/>
          <w:color w:val="auto"/>
        </w:rPr>
      </w:pPr>
    </w:p>
    <w:p>
      <w:pPr>
        <w:ind w:firstLine="644"/>
        <w:spacing w:after="0" w:line="259" w:lineRule="auto"/>
        <w:tabs>
          <w:tab w:leader="none" w:pos="12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4-208 or 4-210 of the UCC (or any comparable or successor provision) on the items in the course of collection and (ii) in favor of a banking or other financial institution or electronic payment service provider arising as a matter of law or under general terms and conditions encumbering deposits (including the right of setoff) and that are within the general parameters customary in the banking or finance industry;</w:t>
      </w:r>
    </w:p>
    <w:p>
      <w:pPr>
        <w:spacing w:after="0" w:line="186" w:lineRule="exact"/>
        <w:rPr>
          <w:rFonts w:ascii="Arial" w:cs="Arial" w:eastAsia="Arial" w:hAnsi="Arial"/>
          <w:sz w:val="18"/>
          <w:szCs w:val="18"/>
          <w:color w:val="auto"/>
        </w:rPr>
      </w:pPr>
    </w:p>
    <w:p>
      <w:pPr>
        <w:ind w:right="240" w:firstLine="644"/>
        <w:spacing w:after="0" w:line="342" w:lineRule="auto"/>
        <w:tabs>
          <w:tab w:leader="none" w:pos="12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security given to a public utility or any municipality or governmental authority when required by such utility or authority in connection with the operations of such Person in the ordinary course of business, consistent with past practice or consistent with industry norm;</w:t>
      </w:r>
    </w:p>
    <w:p>
      <w:pPr>
        <w:spacing w:after="0" w:line="123" w:lineRule="exact"/>
        <w:rPr>
          <w:rFonts w:ascii="Arial" w:cs="Arial" w:eastAsia="Arial" w:hAnsi="Arial"/>
          <w:sz w:val="16"/>
          <w:szCs w:val="16"/>
          <w:color w:val="auto"/>
        </w:rPr>
      </w:pPr>
    </w:p>
    <w:p>
      <w:pPr>
        <w:ind w:left="1260" w:hanging="616"/>
        <w:spacing w:after="0"/>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in reliance on clause (mm)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644"/>
        <w:spacing w:after="0" w:line="283" w:lineRule="auto"/>
        <w:tabs>
          <w:tab w:leader="none" w:pos="12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other Liens on assets securing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thereof and after giving pro forma effect thereto and the use of the proceeds thereof, the aggregate amount of Indebtedness then outstanding and secured thereby shall not exceed an amount such that (I) in the case of any such Liens secured by the Collateral that have Equal Lien Priority (but without regard to the control of remedies) relative to the Liens on the Collateral securing the Secured Notes Obligations, the Consolidated First Lien Debt Ratio does not exceed either (x) 3.00 to 1.00 (whether or not incurred in connection with an acquisition, Investment or other similar transaction) or (y) solely if incurred in connection with an acquisition, Investment or other similar transaction, the Consolidated First Lien Debt Ratio in effect immediately prior to giving effect to the incurrence of such Liens, in each case, calculated on a pro forma basis, (II) in the case of any such Liens secured by the Collateral that have Junior Lien Priority relative to the Liens securing the Secured Notes Obligations, the Consolidated Secured Debt Ratio does not exceed either (x) 4.00 to 1.00 (whether or not incurred in connection with an acquisition, Investment or other similar transaction) or (y) solely if incurred in connection with an acquisition, Investment or other similar transaction, the Consolidated Secured Debt Ratio in effect immediately prior to giving effect to the incurrence of such Liens, in each case, calculated on a pro forma basis and (III) in the case of any such Indebtedness that is secured by assets that do not constitute Collateral (assuming, for purposes of this clause (III) and future ratio calculations for so long as such Indebtedness remains outstanding, that such assets constitute Collateral), the Consolidated Secured Debt Ratio does not exceed either (x)</w:t>
      </w:r>
    </w:p>
    <w:p>
      <w:pPr>
        <w:spacing w:after="0" w:line="1"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4.00 to 1.00 (whether or not incurred in connection with an acquisition, Investment or other similar transaction) or (y) if incurred in connection with an acquisition, Investment or other similar transaction, the Consolidated Secured Debt Ratio in effect immediately prior to giving effect to the incurrence of such Liens, in each case, calculated on a pro forma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Liens are consensual Liens that are secured by the Collateral, then the holders of the Indebtedness or other obligations secured thereby (or a representative or trustee on their behalf) shall enter into an Equal Priority Intercreditor Agreement or a Junior Priority Intercreditor Agreement, as applicable, providing that the Liens on the Collateral (other than cash and Cash Equivalents) securing such Indebtedness or other obligations shall rank, at the option of the Issuer, either equal in priority (but without regard to the control of remedies) with, or junior to, the Liens on the Collateral (other than cash and Cash Equivalents) securing the Secured Notes Obligations but, in any event, shall not be required to enter into any such intercreditor agreement with respect to any Collateral consisting of cash and Cash Equivalents;</w:t>
      </w:r>
    </w:p>
    <w:p>
      <w:pPr>
        <w:spacing w:after="0" w:line="3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64" w:name="page65"/>
    <w:bookmarkEnd w:id="64"/>
    <w:p>
      <w:pPr>
        <w:ind w:left="660" w:right="220" w:firstLine="644"/>
        <w:spacing w:after="0" w:line="263" w:lineRule="auto"/>
        <w:tabs>
          <w:tab w:leader="none" w:pos="187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agreements to subordinate any interest of the Issuer or any Restricted Subsidiary in any accounts receivable or other proceeds arising from inventory consigned by the Issuer or any Restricted Subsidiary pursuant to an agreement entered into in the ordinary course of business, consistent with past practice or consistent with industry norm;</w:t>
      </w:r>
    </w:p>
    <w:p>
      <w:pPr>
        <w:spacing w:after="0" w:line="183" w:lineRule="exact"/>
        <w:rPr>
          <w:rFonts w:ascii="Arial" w:cs="Arial" w:eastAsia="Arial" w:hAnsi="Arial"/>
          <w:sz w:val="18"/>
          <w:szCs w:val="18"/>
          <w:color w:val="auto"/>
        </w:rPr>
      </w:pPr>
    </w:p>
    <w:p>
      <w:pPr>
        <w:ind w:left="660" w:firstLine="644"/>
        <w:spacing w:after="0" w:line="296" w:lineRule="auto"/>
        <w:tabs>
          <w:tab w:leader="none" w:pos="1878" w:val="left"/>
        </w:tabs>
        <w:numPr>
          <w:ilvl w:val="0"/>
          <w:numId w:val="69"/>
        </w:numPr>
        <w:rPr>
          <w:rFonts w:ascii="Arial" w:cs="Arial" w:eastAsia="Arial" w:hAnsi="Arial"/>
          <w:sz w:val="16"/>
          <w:szCs w:val="16"/>
          <w:color w:val="auto"/>
        </w:rPr>
      </w:pPr>
      <w:r>
        <w:rPr>
          <w:rFonts w:ascii="Arial" w:cs="Arial" w:eastAsia="Arial" w:hAnsi="Arial"/>
          <w:sz w:val="16"/>
          <w:szCs w:val="16"/>
          <w:color w:val="auto"/>
        </w:rPr>
        <w:t>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or incurrence of such Indebtedness) and are held in an escrow account or similar arrangement to be applied for such purpose;</w:t>
      </w:r>
    </w:p>
    <w:p>
      <w:pPr>
        <w:spacing w:after="0" w:line="161" w:lineRule="exact"/>
        <w:rPr>
          <w:rFonts w:ascii="Arial" w:cs="Arial" w:eastAsia="Arial" w:hAnsi="Arial"/>
          <w:sz w:val="16"/>
          <w:szCs w:val="16"/>
          <w:color w:val="auto"/>
        </w:rPr>
      </w:pPr>
    </w:p>
    <w:p>
      <w:pPr>
        <w:ind w:left="1880" w:hanging="576"/>
        <w:spacing w:after="0"/>
        <w:tabs>
          <w:tab w:leader="none" w:pos="1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Liens securing the Notes (other than any Additional Notes) and the related Note Guarantees; and</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definition, the term “Indebtedness” shall be deemed to include interest on such Indebtedness.</w:t>
      </w:r>
    </w:p>
    <w:p>
      <w:pPr>
        <w:spacing w:after="0" w:line="22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 plan of the Issuer or any of its Affiliates and any Person acting in its capacity as trustee, agent or other fiduciary or administrator of any such plan.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means any Receivables Financing of a Receivables Subsidiary that meets the following conditions:</w:t>
      </w:r>
    </w:p>
    <w:p>
      <w:pPr>
        <w:spacing w:after="0" w:line="46" w:lineRule="exact"/>
        <w:rPr>
          <w:sz w:val="20"/>
          <w:szCs w:val="20"/>
          <w:color w:val="auto"/>
        </w:rPr>
      </w:pPr>
    </w:p>
    <w:p>
      <w:pPr>
        <w:ind w:right="80" w:firstLine="8"/>
        <w:spacing w:after="0" w:line="292" w:lineRule="auto"/>
        <w:tabs>
          <w:tab w:leader="none" w:pos="24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Board of Directors of the Issuer or any direct or indirect parent of the Issuer shall have determined in good faith that such Receivables Financing (including financing terms, covenants, termination events and other provisions) is in the aggregate economically fair and reasonable to the Issuer and its Restricted Subsidiaries; (b) all sales of accounts receivable and related assets by the Issuer or any Restricted Subsidiary to the Receivables Subsidiary are made at fair market value; and (c) the financing terms, covenants, termination events and other provisions thereof shall be market terms at the time the Receivables Financing is first introduced (as determined in good faith by the Issuer) and may include Standard Securitization Undertakings.</w:t>
      </w: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65" w:name="page66"/>
    <w:bookmarkEnd w:id="65"/>
    <w:p>
      <w:pPr>
        <w:ind w:right="6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any other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means any Capital Stock with preferential rights of payment of dividends or upon liquidation, dissolution, or winding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w:t>
      </w:r>
    </w:p>
    <w:p>
      <w:pPr>
        <w:spacing w:after="0" w:line="21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2.06(g)(i)</w:t>
      </w:r>
      <w:r>
        <w:rPr>
          <w:rFonts w:ascii="Arial" w:cs="Arial" w:eastAsia="Arial" w:hAnsi="Arial"/>
          <w:sz w:val="18"/>
          <w:szCs w:val="18"/>
          <w:color w:val="auto"/>
        </w:rPr>
        <w:t xml:space="preserve"> to be placed on all Notes issued under this Indenture, except where otherwise permitted by the provisions of this Indenture.</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or “</w:t>
      </w: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means, with respect to any determination of the Consolidated Total Debt Ratio, Consolidated First Lien Debt Ratio, Consolidated Secured Debt Ratio, Fixed Charge Coverage Ratio, Consolidated EBITDA, Annualized EBITDA or Consolidated Total Assets (including component definitions thereof) or any other calculation under this Indenture, that each Subject Transaction required to be calculated on a pro forma basis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be deemed to have occurred as of the first day of the applicable Test Period (or, in the case of Consolidated Total Assets, as of the last day of such Test Period) with respect to any ratio, test, covenant, calculation or measurement for which such calculation is being made and that:</w:t>
      </w:r>
    </w:p>
    <w:p>
      <w:pPr>
        <w:spacing w:after="0" w:line="192" w:lineRule="exact"/>
        <w:rPr>
          <w:sz w:val="20"/>
          <w:szCs w:val="20"/>
          <w:color w:val="auto"/>
        </w:rPr>
      </w:pPr>
    </w:p>
    <w:p>
      <w:pPr>
        <w:ind w:left="660" w:right="40" w:firstLine="644"/>
        <w:spacing w:after="0" w:line="287" w:lineRule="auto"/>
        <w:tabs>
          <w:tab w:leader="none" w:pos="191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in the case of (A) any disposition of all or substantially all of the Equity Interests of any Restricted Subsidiary or any division, facility, business line and/or product line of the Issuer or any Restricted Subsidiary and (B) any designation of a Restricted Subsidiary as an Unrestricted Subsidiary, income statement items (whether positive or negative and including any Run Rate Benefits related thereto) attributable to the property or Person subject to such Subject Transaction shall be excluded as of the first day of the applicable Test Period with respect to any ratio, test, covenant, calculation or measurement for which the relevant determination is being made and (ii) in the case of any acquisition, Investment and/or designation of an Unrestricted Subsidiary as a Restricted Subsidiary described in the definition of the term “Subject Transaction”, income statement items (whether positive or negative and including any Run Rate Benefits related thereto) attributable to the property or Person subject to such Subject Transaction shall be included as of the first day of the applicable Test Period with respect to any ratio, test, covenant, calculation or measurement for which the relevant determination is being made; it being understood that any pro forma adjustment described in the definition of “Consolidated EBITDA” may be applied to any such ratio, test, covenant, calculation or measurement solely to the extent that such adjustment is consistent with the definition of “Consolidated EBITDA”,</w:t>
      </w:r>
    </w:p>
    <w:p>
      <w:pPr>
        <w:spacing w:after="0" w:line="171" w:lineRule="exact"/>
        <w:rPr>
          <w:rFonts w:ascii="Arial" w:cs="Arial" w:eastAsia="Arial" w:hAnsi="Arial"/>
          <w:sz w:val="16"/>
          <w:szCs w:val="16"/>
          <w:color w:val="auto"/>
        </w:rPr>
      </w:pPr>
    </w:p>
    <w:p>
      <w:pPr>
        <w:ind w:left="660" w:right="60" w:firstLine="644"/>
        <w:spacing w:after="0" w:line="263" w:lineRule="auto"/>
        <w:tabs>
          <w:tab w:leader="none" w:pos="19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retirement, refinancing, prepayment or repayment of Indebtedness (other than normal fluctuations in revolving Indebtedness incurred for working capital purposes) shall be deemed to have occurred as of the first day of the applicable Test Period with respect to any ratio, test, covenant, calculation or measurement for which the relevant determination is being made,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left="660" w:firstLine="644"/>
        <w:spacing w:after="0" w:line="269" w:lineRule="auto"/>
        <w:tabs>
          <w:tab w:leader="none" w:pos="191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any Indebtedness incurred by the Issuer or any of its Restricted Subsidiaries in connection therewith shall be deemed to have been incurred as of the first day of the applicable Test Period with respect to any ratio, test, covenant, calculation or measurement for which the relevant determination is being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Financing Lease shall be deemed to accrue at an interest rate reasonably determined by an officer of the Issuer to be the rate of interest implicit in such obligation in accordance with GAAP, (iii)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Issuer and (iv)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date of determination, and</w:t>
      </w:r>
    </w:p>
    <w:p>
      <w:pPr>
        <w:spacing w:after="0" w:line="178" w:lineRule="exact"/>
        <w:rPr>
          <w:rFonts w:ascii="Arial" w:cs="Arial" w:eastAsia="Arial" w:hAnsi="Arial"/>
          <w:sz w:val="17"/>
          <w:szCs w:val="17"/>
          <w:color w:val="auto"/>
        </w:rPr>
      </w:pPr>
    </w:p>
    <w:p>
      <w:pPr>
        <w:ind w:left="660" w:firstLine="644"/>
        <w:spacing w:after="0" w:line="301" w:lineRule="auto"/>
        <w:tabs>
          <w:tab w:leader="none" w:pos="192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acquisition of any asset included in calculating Consolidated Total Assets, whether pursuant to any Subject Transaction or any Person becoming a Subsidiary or merging, amalgamating or consolidating with or into the Issuer or any of its Subsidiaries, or the disposition of any asset included in calculating Consolidated Total Assets described in the definition of “Subject Transaction” shall be deemed to have occurred as of the last day of the applicable Test Period with respect to any test, covenant or calculation for which such calculation is being made.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is not Disqualified Stock.</w:t>
      </w:r>
    </w:p>
    <w:p>
      <w:pPr>
        <w:spacing w:after="0" w:line="225"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Liquefaction Development Entities</w:t>
      </w:r>
      <w:r>
        <w:rPr>
          <w:rFonts w:ascii="Arial" w:cs="Arial" w:eastAsia="Arial" w:hAnsi="Arial"/>
          <w:sz w:val="18"/>
          <w:szCs w:val="18"/>
          <w:color w:val="auto"/>
        </w:rPr>
        <w:t>” means (i) Bradford County Real Estate Holdings LLC, (ii) any Liquefaction Development Entity which is designated by the Issuer as a Qualified Liquefaction Development Entity and (iii) any Subsidiary of a Qualified Liquefaction Development Entity.</w:t>
      </w:r>
    </w:p>
    <w:p>
      <w:pPr>
        <w:spacing w:after="0" w:line="184"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(1) S&amp;P, Fitch and Moody’s or (2) if S&amp;P, Fitch or Moody’s or each of them shall not make a corporate rating with respect to the Issuer or a rating on the Notes publicly available, a nationally recognized statistical rating agency or agencies, as the case may be, selected by the Issuer, which shall be substituted for any or all of S&amp;P, Fitch or Moody’s, as the case may be, with respect to such corporate rating or the rating of the Notes, as the case may be.</w:t>
      </w:r>
    </w:p>
    <w:p>
      <w:pPr>
        <w:spacing w:after="0" w:line="187" w:lineRule="exact"/>
        <w:rPr>
          <w:sz w:val="20"/>
          <w:szCs w:val="20"/>
          <w:color w:val="auto"/>
        </w:rPr>
      </w:pPr>
    </w:p>
    <w:p>
      <w:pPr>
        <w:ind w:right="2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Fees</w:t>
      </w:r>
      <w:r>
        <w:rPr>
          <w:rFonts w:ascii="Arial" w:cs="Arial" w:eastAsia="Arial" w:hAnsi="Arial"/>
          <w:sz w:val="16"/>
          <w:szCs w:val="16"/>
          <w:color w:val="auto"/>
        </w:rPr>
        <w:t>” means distributions or payments made directly or by means of discounts with respect to any participation interest issued or sold in connection with, and other fees paid to a Person that is not a Restricted Subsidiary in connection with, any Receivables Financing.</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7" w:name="page68"/>
    <w:bookmarkEnd w:id="67"/>
    <w:p>
      <w:pPr>
        <w:ind w:right="60"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Financing</w:t>
      </w:r>
      <w:r>
        <w:rPr>
          <w:rFonts w:ascii="Arial" w:cs="Arial" w:eastAsia="Arial" w:hAnsi="Arial"/>
          <w:sz w:val="17"/>
          <w:szCs w:val="17"/>
          <w:color w:val="auto"/>
        </w:rPr>
        <w:t>” means any transaction or series of transactions that may be entered into by the Issuer or any of its Subsidiaries pursuant to which the Issuer or any of its Subsidiaries may sell, contribute, convey or otherwise transfer to (a) a Receivables Subsidiary (in the case of a transfer by the Issuer or any of its Subsidiaries), and (b) any other Person (in the case of a transfer by a Receivables Subsidiary), or may grant a security interest in, any accounts receivable (whether now existing or arising in the future) of the Issuer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and any Hedge Agreements entered into by the Issuer or any such Subsidiary in connection with such accounts receivable.</w:t>
      </w:r>
    </w:p>
    <w:p>
      <w:pPr>
        <w:spacing w:after="0" w:line="178"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Repurchase Obligation</w:t>
      </w:r>
      <w:r>
        <w:rPr>
          <w:rFonts w:ascii="Arial" w:cs="Arial" w:eastAsia="Arial" w:hAnsi="Arial"/>
          <w:sz w:val="18"/>
          <w:szCs w:val="18"/>
          <w:color w:val="auto"/>
        </w:rPr>
        <w:t>” means any obligation of a seller of receivables in a Permitted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7"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means a Restricted Subsidiary that is a Wholly-Owned Subsidiary of the Issuer (or another Person formed for the purposes of engaging in a Permitted Receivables Financing with the Issuer in which the Issuer or any Subsidiary of the Issuer or a direct or indirect parent of the Issuer makes an Investment and to which the Issuer or any Subsidiary of the Issuer or a direct or indirect parent of the Issuer transfers accounts receivable and related assets) which engages in no activities other than in connection with the financing of accounts receivable of the Issuer and its Subsidiaries or a direct or indirect parent of the Issuer and all proceeds thereof and all rights (contractual or other), collateral and other assets relating thereto, and any business or activities incidental or related to such business, and which is designated by the Board of Directors of the Issuer or any direct or indirect parent of the Issuer (as provided below) as a Receivables Subsidiary and:</w:t>
      </w:r>
    </w:p>
    <w:p>
      <w:pPr>
        <w:spacing w:after="0" w:line="177" w:lineRule="exact"/>
        <w:rPr>
          <w:sz w:val="20"/>
          <w:szCs w:val="20"/>
          <w:color w:val="auto"/>
        </w:rPr>
      </w:pPr>
    </w:p>
    <w:p>
      <w:pPr>
        <w:ind w:left="660" w:firstLine="644"/>
        <w:spacing w:after="0" w:line="296" w:lineRule="auto"/>
        <w:tabs>
          <w:tab w:leader="none" w:pos="1912"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Issuer or any other Subsidiary of the Issuer (excluding guarantees of obligations (other than the principal of, and interest on, Indebtedness) pursuant to Standard Securitization Undertakings), (ii) is recourse to or obligates the Issuer or any other Subsidiary of the Issuer in any way other than pursuant to Standard Securitization Undertakings, or (iii) subjects any property or asset of the Issuer or any other Subsidiary of the Issuer, directly or indirectly, contingently or otherwise, to the satisfaction thereof, other than pursuant to Standard Securitization Undertakings,</w:t>
      </w:r>
    </w:p>
    <w:p>
      <w:pPr>
        <w:spacing w:after="0" w:line="161" w:lineRule="exact"/>
        <w:rPr>
          <w:rFonts w:ascii="Arial" w:cs="Arial" w:eastAsia="Arial" w:hAnsi="Arial"/>
          <w:sz w:val="16"/>
          <w:szCs w:val="16"/>
          <w:color w:val="auto"/>
        </w:rPr>
      </w:pPr>
    </w:p>
    <w:p>
      <w:pPr>
        <w:ind w:left="660" w:right="320" w:firstLine="644"/>
        <w:spacing w:after="0" w:line="263" w:lineRule="auto"/>
        <w:tabs>
          <w:tab w:leader="none" w:pos="19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which neither the Issuer nor any other Subsidiary of the Issuer has any material contract, agreement, arrangement or understanding other than on terms which the Issuer reasonably believes to be no less favorable to the Issuer or such Subsidiary than those that might be obtained at the time from Persons that are not Affiliates of the Issuer, and</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68" w:name="page69"/>
    <w:bookmarkEnd w:id="68"/>
    <w:p>
      <w:pPr>
        <w:ind w:left="660" w:right="640" w:firstLine="644"/>
        <w:spacing w:after="0" w:line="277" w:lineRule="auto"/>
        <w:tabs>
          <w:tab w:leader="none" w:pos="19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which neither the Issuer nor any other Subsidiary of the Issuer has any obligation to maintain or preserve such entity’s financial condition or cause such entity to achieve certain levels of operating results.</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if any, payable on any applicable Interest Payment Date means March 1 or September 1 (whether or not a Business Day) immediately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 Global Note</w:t>
      </w:r>
      <w:r>
        <w:rPr>
          <w:rFonts w:ascii="Arial" w:cs="Arial" w:eastAsia="Arial" w:hAnsi="Arial"/>
          <w:sz w:val="17"/>
          <w:szCs w:val="17"/>
          <w:color w:val="auto"/>
        </w:rPr>
        <w:t xml:space="preserve">” means a Global Note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bearing the Global Note Legend, the Private Placement Legend and the Regulation S Global Note Legend and deposited with or on behalf of, and registered in the name of, the Depositary or its nominee, issued in a denomination equal to the outstanding principal amount of the Notes initially sold in reliance on Rule 903.</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 Global Note Legend</w:t>
      </w:r>
      <w:r>
        <w:rPr>
          <w:rFonts w:ascii="Arial" w:cs="Arial" w:eastAsia="Arial" w:hAnsi="Arial"/>
          <w:sz w:val="18"/>
          <w:szCs w:val="18"/>
          <w:color w:val="auto"/>
        </w:rPr>
        <w:t xml:space="preserve">” means the legend set forth in </w:t>
      </w:r>
      <w:r>
        <w:rPr>
          <w:rFonts w:ascii="Arial" w:cs="Arial" w:eastAsia="Arial" w:hAnsi="Arial"/>
          <w:sz w:val="18"/>
          <w:szCs w:val="18"/>
          <w:u w:val="single" w:color="auto"/>
          <w:color w:val="auto"/>
        </w:rPr>
        <w:t>Section 2.06(g)(iii)</w:t>
      </w:r>
      <w:r>
        <w:rPr>
          <w:rFonts w:ascii="Arial" w:cs="Arial" w:eastAsia="Arial" w:hAnsi="Arial"/>
          <w:sz w:val="18"/>
          <w:szCs w:val="18"/>
          <w:color w:val="auto"/>
        </w:rPr>
        <w:t>.</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the Issuer or a Restricted Subsidiary in exchange for assets transferred by the Issuer or a Restricted Subsidiary shall not be deemed to be Related Business Assets if they consist of securities of a Person, unless upon receipt of the securities of such Person, such Person would become a Restricted Subsidiary.</w:t>
      </w:r>
    </w:p>
    <w:p>
      <w:pPr>
        <w:spacing w:after="0" w:line="187"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6"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when used with respect to the Trustee, means, with respect to the Trustee, any officer assigned to the Global Corporate Trust Division (or any successor division or unit) of the Trustee located at the Corporate Trust Office of the Trustee, who shall have direct responsibility for the administration of this Indenture, and for the purposes of </w:t>
      </w:r>
      <w:r>
        <w:rPr>
          <w:rFonts w:ascii="Arial" w:cs="Arial" w:eastAsia="Arial" w:hAnsi="Arial"/>
          <w:sz w:val="17"/>
          <w:szCs w:val="17"/>
          <w:u w:val="single" w:color="auto"/>
          <w:color w:val="auto"/>
        </w:rPr>
        <w:t>Section 7.01(c)(ii)</w:t>
      </w:r>
      <w:r>
        <w:rPr>
          <w:rFonts w:ascii="Arial" w:cs="Arial" w:eastAsia="Arial" w:hAnsi="Arial"/>
          <w:sz w:val="17"/>
          <w:szCs w:val="17"/>
          <w:color w:val="auto"/>
        </w:rPr>
        <w:t xml:space="preserve"> shall also include any other officer of the Trustee to whom any corporate trust matter is referred because of such officer’s knowledge of and familiarity with the particular subject.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Definitive Note</w:t>
      </w:r>
      <w:r>
        <w:rPr>
          <w:rFonts w:ascii="Arial" w:cs="Arial" w:eastAsia="Arial" w:hAnsi="Arial"/>
          <w:sz w:val="18"/>
          <w:szCs w:val="18"/>
          <w:color w:val="auto"/>
        </w:rPr>
        <w:t>” means a Definitive Note bearing the Private Placement Legend.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in respect of any Note issued pursuant to Regulation S, the 40-day distribution compliance period as defined in Regulation S applicable to such Note.</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at any time, with respect to any Person, any direct or indirect Subsidiary of such Person (including any Foreign Subsidiary) that is not then an Unrestricted Subsidiary. Upon the occurrence of an Unrestricted Subsidiary ceasing to be an Unrestricted Subsidiary, such Subsidiary shall be a “Restricted Subsidiary”. Unless the context otherwise requires, any references to Restricted Subsidiary refer to a Restricted Subsidiary of the Issuer.</w:t>
      </w:r>
    </w:p>
    <w:p>
      <w:pPr>
        <w:spacing w:after="0" w:line="187"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Asset Sale Proceeds</w:t>
      </w:r>
      <w:r>
        <w:rPr>
          <w:rFonts w:ascii="Arial" w:cs="Arial" w:eastAsia="Arial" w:hAnsi="Arial"/>
          <w:sz w:val="18"/>
          <w:szCs w:val="18"/>
          <w:color w:val="auto"/>
        </w:rPr>
        <w:t xml:space="preserve">” means the Net Proceeds in respect of any Asset Sale not required to be applied to make a prepayment or to be reinvested under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70" w:lineRule="exact"/>
        <w:rPr>
          <w:sz w:val="20"/>
          <w:szCs w:val="20"/>
          <w:color w:val="auto"/>
        </w:rPr>
      </w:pPr>
    </w:p>
    <w:p>
      <w:pPr>
        <w:ind w:right="58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Return</w:t>
      </w:r>
      <w:r>
        <w:rPr>
          <w:rFonts w:ascii="Arial" w:cs="Arial" w:eastAsia="Arial" w:hAnsi="Arial"/>
          <w:sz w:val="17"/>
          <w:szCs w:val="17"/>
          <w:color w:val="auto"/>
        </w:rPr>
        <w:t>” means, with respect to any Investment, any dividend, distribution, interest, fee, premium, return of capital, repayment of principal, income, profit (from a disposition or otherwise) and any other similar amount received or realized in respect thereof.</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to its rating agency business.</w:t>
      </w:r>
    </w:p>
    <w:p>
      <w:pPr>
        <w:spacing w:after="0" w:line="225"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any transaction or series of related transactions pursuant to which the Issuer or any of the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spacing w:after="0" w:line="187"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Screened Affiliate</w:t>
      </w:r>
      <w:r>
        <w:rPr>
          <w:rFonts w:ascii="Arial" w:cs="Arial" w:eastAsia="Arial" w:hAnsi="Arial"/>
          <w:sz w:val="17"/>
          <w:szCs w:val="17"/>
          <w:color w:val="auto"/>
        </w:rPr>
        <w:t>” means any Affiliate of a Holder (a) that makes investment decisions independently from such Holder and any other Affiliate of such Holder that is not a Screened Affiliate, (b) that has in place customary information screens between it and such Holder and any other Affiliate of such Holder that is not a Screened Affiliate and such screens prohibit the sharing of information with respect to the Issuer or its Subsidiaries, (c) whose investment policies are not directed by such Holder or any other Affiliate of such Holder that is acting in concert with such Holder in connection with its investment in the Notes and (d) whose investment decisions are not influenced by the investment decisions of such Holder or any other Affiliate of such Holder that is acting in concert with such Holders in connection with its investment in the Notes.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Indebtedness</w:t>
      </w:r>
      <w:r>
        <w:rPr>
          <w:rFonts w:ascii="Arial" w:cs="Arial" w:eastAsia="Arial" w:hAnsi="Arial"/>
          <w:sz w:val="18"/>
          <w:szCs w:val="18"/>
          <w:color w:val="auto"/>
        </w:rPr>
        <w:t>” means any Indebtedness of the Issuer or any of its Restricted Subsidiaries secured by a Lien.</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Notes Obligations</w:t>
      </w:r>
      <w:r>
        <w:rPr>
          <w:rFonts w:ascii="Arial" w:cs="Arial" w:eastAsia="Arial" w:hAnsi="Arial"/>
          <w:sz w:val="18"/>
          <w:szCs w:val="18"/>
          <w:color w:val="auto"/>
        </w:rPr>
        <w:t>” means Obligations in respect of the Notes, this Indenture, the Note Guarantees and the Security Documents relating to the Notes.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Notes Secured Parties</w:t>
      </w:r>
      <w:r>
        <w:rPr>
          <w:rFonts w:ascii="Arial" w:cs="Arial" w:eastAsia="Arial" w:hAnsi="Arial"/>
          <w:sz w:val="18"/>
          <w:szCs w:val="18"/>
          <w:color w:val="auto"/>
        </w:rPr>
        <w:t>” means the Trustee, the Notes Collateral Agent and the 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U.S. Securities Act of 1933, as amended, and the rules and regulations of the SEC promulgated thereunder.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means that certain Security Agreement, dated as of the Issue Date, among the Issuer, the Guarantors and the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Collateral Agent.</w:t>
      </w:r>
    </w:p>
    <w:p>
      <w:pPr>
        <w:spacing w:after="0" w:line="211"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means, collectively, the Security Agreement, other security agreements relating to the Collateral securing the Secured Notes Obligations and the mortgages and instruments filed and recorded in appropriate jurisdictions to preserve and protect the Liens on the Collateral securing the Secured Notes Obligations (including financing statements under the Uniform Commercial Code of the relevant states), each for the benefit of the Notes Collateral Agent, as amended, restated, renewed, replaced or otherwise modified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means:</w:t>
      </w:r>
    </w:p>
    <w:p>
      <w:pPr>
        <w:spacing w:after="0" w:line="225" w:lineRule="exact"/>
        <w:rPr>
          <w:sz w:val="20"/>
          <w:szCs w:val="20"/>
          <w:color w:val="auto"/>
        </w:rPr>
      </w:pPr>
    </w:p>
    <w:p>
      <w:pPr>
        <w:ind w:left="660" w:right="160" w:firstLine="644"/>
        <w:spacing w:after="0" w:line="293" w:lineRule="auto"/>
        <w:tabs>
          <w:tab w:leader="none" w:pos="192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Indebtedness of the Issuer or any Restricted Subsidiary outstanding under the Notes and related Note Guarantees (including interest accruing on or after the filing of any petition in bankruptcy or similar proceeding or for reorganization of the Issuer or any Guarantor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spacing w:after="0" w:line="164" w:lineRule="exact"/>
        <w:rPr>
          <w:rFonts w:ascii="Arial" w:cs="Arial" w:eastAsia="Arial" w:hAnsi="Arial"/>
          <w:sz w:val="16"/>
          <w:szCs w:val="16"/>
          <w:color w:val="auto"/>
        </w:rPr>
      </w:pPr>
    </w:p>
    <w:p>
      <w:pPr>
        <w:ind w:left="660" w:right="360" w:firstLine="644"/>
        <w:spacing w:after="0" w:line="263" w:lineRule="auto"/>
        <w:tabs>
          <w:tab w:leader="none" w:pos="1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(a) Hedging Obligations (and guarantees thereof) and (b) Indebtedness of the Issuer and/or any Guarantor in respect of Banking Services (and guarantees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Hedging Obligations and Indebtedness, as the case may be, are permitted to be incurred under the terms of this Indenture;</w:t>
      </w:r>
    </w:p>
    <w:p>
      <w:pPr>
        <w:spacing w:after="0" w:line="183" w:lineRule="exact"/>
        <w:rPr>
          <w:rFonts w:ascii="Arial" w:cs="Arial" w:eastAsia="Arial" w:hAnsi="Arial"/>
          <w:sz w:val="18"/>
          <w:szCs w:val="18"/>
          <w:color w:val="auto"/>
        </w:rPr>
      </w:pPr>
    </w:p>
    <w:p>
      <w:pPr>
        <w:ind w:left="660" w:right="80" w:firstLine="644"/>
        <w:spacing w:after="0" w:line="263" w:lineRule="auto"/>
        <w:tabs>
          <w:tab w:leader="none" w:pos="1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Indebtedness of the Issuer or any Restricted Subsidiary permitted to be incurred under the terms of this Indenture, unless the instrument under which such Indebtedness is incurred expressly provides that it is subordinated in right of payment to the Notes or any related Note Guarantee; and</w:t>
      </w:r>
    </w:p>
    <w:p>
      <w:pPr>
        <w:spacing w:after="0" w:line="183" w:lineRule="exact"/>
        <w:rPr>
          <w:rFonts w:ascii="Arial" w:cs="Arial" w:eastAsia="Arial" w:hAnsi="Arial"/>
          <w:sz w:val="18"/>
          <w:szCs w:val="18"/>
          <w:color w:val="auto"/>
        </w:rPr>
      </w:pPr>
    </w:p>
    <w:p>
      <w:pPr>
        <w:ind w:left="660" w:right="780" w:firstLine="644"/>
        <w:spacing w:after="0" w:line="277" w:lineRule="auto"/>
        <w:tabs>
          <w:tab w:leader="none" w:pos="1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Obligations with respect to the items listed in the preceding clauses (1), (2) and (3);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Senior Indebtedness shall not include: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1" w:name="page72"/>
    <w:bookmarkEnd w:id="71"/>
    <w:p>
      <w:pPr>
        <w:ind w:left="2480" w:hanging="609"/>
        <w:spacing w:after="0"/>
        <w:tabs>
          <w:tab w:leader="none" w:pos="2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obligation of such Person to the Issuer or any of its Subsidiaries;</w:t>
      </w:r>
    </w:p>
    <w:p>
      <w:pPr>
        <w:spacing w:after="0" w:line="225" w:lineRule="exact"/>
        <w:rPr>
          <w:rFonts w:ascii="Arial" w:cs="Arial" w:eastAsia="Arial" w:hAnsi="Arial"/>
          <w:sz w:val="18"/>
          <w:szCs w:val="18"/>
          <w:color w:val="auto"/>
        </w:rPr>
      </w:pPr>
    </w:p>
    <w:p>
      <w:pPr>
        <w:ind w:left="2480" w:hanging="609"/>
        <w:spacing w:after="0"/>
        <w:tabs>
          <w:tab w:leader="none" w:pos="2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liability for U.S. or foreign federal, state, local or other taxes owed or owing by such Person;</w:t>
      </w:r>
    </w:p>
    <w:p>
      <w:pPr>
        <w:spacing w:after="0" w:line="225" w:lineRule="exact"/>
        <w:rPr>
          <w:rFonts w:ascii="Arial" w:cs="Arial" w:eastAsia="Arial" w:hAnsi="Arial"/>
          <w:sz w:val="18"/>
          <w:szCs w:val="18"/>
          <w:color w:val="auto"/>
        </w:rPr>
      </w:pPr>
    </w:p>
    <w:p>
      <w:pPr>
        <w:ind w:left="2480" w:hanging="609"/>
        <w:spacing w:after="0"/>
        <w:tabs>
          <w:tab w:leader="none" w:pos="2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accounts payable or other liability to trade creditors arising in the ordinary course of business;</w:t>
      </w:r>
    </w:p>
    <w:p>
      <w:pPr>
        <w:spacing w:after="0" w:line="225" w:lineRule="exact"/>
        <w:rPr>
          <w:rFonts w:ascii="Arial" w:cs="Arial" w:eastAsia="Arial" w:hAnsi="Arial"/>
          <w:sz w:val="18"/>
          <w:szCs w:val="18"/>
          <w:color w:val="auto"/>
        </w:rPr>
      </w:pPr>
    </w:p>
    <w:p>
      <w:pPr>
        <w:ind w:left="1220" w:right="440" w:firstLine="651"/>
        <w:spacing w:after="0" w:line="277" w:lineRule="auto"/>
        <w:tabs>
          <w:tab w:leader="none" w:pos="24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Indebtedness or other Obligation of such Person which is subordinate or junior in right of payment to any other Indebtedness or other Obligation of such Person; or</w:t>
      </w:r>
    </w:p>
    <w:p>
      <w:pPr>
        <w:spacing w:after="0" w:line="170" w:lineRule="exact"/>
        <w:rPr>
          <w:rFonts w:ascii="Arial" w:cs="Arial" w:eastAsia="Arial" w:hAnsi="Arial"/>
          <w:sz w:val="18"/>
          <w:szCs w:val="18"/>
          <w:color w:val="auto"/>
        </w:rPr>
      </w:pPr>
    </w:p>
    <w:p>
      <w:pPr>
        <w:ind w:left="2480" w:hanging="609"/>
        <w:spacing w:after="0"/>
        <w:tabs>
          <w:tab w:leader="none" w:pos="2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portion of any Indebtedness which at the time of incurrence is incurred in violation of this Indenture.</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Lien Priority</w:t>
      </w:r>
      <w:r>
        <w:rPr>
          <w:rFonts w:ascii="Arial" w:cs="Arial" w:eastAsia="Arial" w:hAnsi="Arial"/>
          <w:sz w:val="18"/>
          <w:szCs w:val="18"/>
          <w:color w:val="auto"/>
        </w:rPr>
        <w:t>” means, with respect to specified indebtedness, that such indebtedness is secured by a Lien that is senior in priority to the Liens on the Collateral securing the Junior Priority Obligations, including the Liens securing the Equal Priority Obligations, and is subject to a Junior Priority Intercreditor Agreement.</w:t>
      </w:r>
    </w:p>
    <w:p>
      <w:pPr>
        <w:spacing w:after="0" w:line="18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Obligations</w:t>
      </w:r>
      <w:r>
        <w:rPr>
          <w:rFonts w:ascii="Arial" w:cs="Arial" w:eastAsia="Arial" w:hAnsi="Arial"/>
          <w:sz w:val="18"/>
          <w:szCs w:val="18"/>
          <w:color w:val="auto"/>
        </w:rPr>
        <w:t xml:space="preserve">” means (x) the Equal Priority Obligations and (y) any Obligations with respect to any Indebtedness having a Junior Lien Priority relative to the Notes and the Note Guarantees with respect to the Collateral and having Senior Lien Priority relative to the Junior Priority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holders of such Indebtedness or their Senior Priority Representative shall become party to a Junior Priority Intercreditor Agreement and any other applicable intercreditor agreements.</w:t>
      </w:r>
    </w:p>
    <w:p>
      <w:pPr>
        <w:spacing w:after="0" w:line="187" w:lineRule="exact"/>
        <w:rPr>
          <w:sz w:val="20"/>
          <w:szCs w:val="20"/>
          <w:color w:val="auto"/>
        </w:rPr>
      </w:pPr>
    </w:p>
    <w:p>
      <w:pPr>
        <w:ind w:right="7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Priority Representative</w:t>
      </w:r>
      <w:r>
        <w:rPr>
          <w:rFonts w:ascii="Arial" w:cs="Arial" w:eastAsia="Arial" w:hAnsi="Arial"/>
          <w:sz w:val="18"/>
          <w:szCs w:val="18"/>
          <w:color w:val="auto"/>
        </w:rPr>
        <w:t>” means any duly authorized representative of any holders of Senior Priority Obligations, which representative is named as such in a Junior Priority Intercreditor Agreement or any joinder thereto.</w:t>
      </w:r>
    </w:p>
    <w:p>
      <w:pPr>
        <w:spacing w:after="0" w:line="170"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w:t>
      </w:r>
      <w:r>
        <w:rPr>
          <w:rFonts w:ascii="Arial" w:cs="Arial" w:eastAsia="Arial" w:hAnsi="Arial"/>
          <w:sz w:val="17"/>
          <w:szCs w:val="17"/>
          <w:color w:val="auto"/>
        </w:rPr>
        <w:t>” means (1) with respect to the Equal Priority Secured Parties, each of (i) the Secured Notes Secured Parties (in their capacity as such) and (ii) the Additional Equal Priority Secured Parties that are represented by a common representative (in its capacity as such for such Additional Equal Priority Secured Parties) and (2) with respect to any Equal Priority Obligations, each of (i) the Secured Notes Obligations and (ii) the Additional Equal Priority Obligations incurred pursuant to any applicable agreement, which are to be represented under an Equal Priority Intercreditor Agreement by a common representative (in its capacity as such for such Additional Equal Priority Obligations).</w:t>
      </w:r>
    </w:p>
    <w:p>
      <w:pPr>
        <w:spacing w:after="0" w:line="176"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Collateral</w:t>
      </w:r>
      <w:r>
        <w:rPr>
          <w:rFonts w:ascii="Arial" w:cs="Arial" w:eastAsia="Arial" w:hAnsi="Arial"/>
          <w:sz w:val="17"/>
          <w:szCs w:val="17"/>
          <w:color w:val="auto"/>
        </w:rPr>
        <w:t>” means, at any time, Collateral in which the holders of two or more Series of Equal Priority Obligations hold a valid and perfected security interest at such time. If more than two Series of Equal Priority Obligations are outstanding at any time and the holders of less than all Series of Equal Priority Obligations hold a valid and perfected security interest in any Collateral at such time, then such Collateral shall constitute Shared Collateral for those Series of Equal Priority Obligations that hold a valid security interest in such Collateral at such time and shall not constitute Shared Collateral for any Series that does not have a valid and perfected security interest in such Collateral at such time.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Ship Mortgage</w:t>
      </w:r>
      <w:r>
        <w:rPr>
          <w:rFonts w:ascii="Arial" w:cs="Arial" w:eastAsia="Arial" w:hAnsi="Arial"/>
          <w:sz w:val="18"/>
          <w:szCs w:val="18"/>
          <w:color w:val="auto"/>
        </w:rPr>
        <w:t>” means any mortgage, deed of trust or other similar agreement made by a Grantor in favor of the Notes Collateral Agent, for the benefit of the Notes Collateral Agent and the relevant Secured Notes Secured Parties, on any tanker or other marine vessel constituting Collateral, which shall be in form reasonably satisfactory to the Notes Collateral Agent and the Issuer.</w:t>
      </w:r>
    </w:p>
    <w:p>
      <w:pPr>
        <w:spacing w:after="0" w:line="184" w:lineRule="exact"/>
        <w:rPr>
          <w:sz w:val="20"/>
          <w:szCs w:val="20"/>
          <w:color w:val="auto"/>
        </w:rPr>
      </w:pPr>
    </w:p>
    <w:p>
      <w:pPr>
        <w:jc w:val="both"/>
        <w:ind w:right="10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Short Derivative Instrument</w:t>
      </w:r>
      <w:r>
        <w:rPr>
          <w:rFonts w:ascii="Arial" w:cs="Arial" w:eastAsia="Arial" w:hAnsi="Arial"/>
          <w:sz w:val="17"/>
          <w:szCs w:val="17"/>
          <w:color w:val="auto"/>
        </w:rPr>
        <w:t>” means a Derivative Instrument (a) the value of which generally decreases, and/or the payment or delivery obligations under which generally increase, with positive changes to the Performance References and/or (b) the value of which generally increases, and/or the payment or delivery obligations under which generally decrease, with negative changes to the Performance References.</w:t>
      </w:r>
    </w:p>
    <w:p>
      <w:pPr>
        <w:spacing w:after="0" w:line="165" w:lineRule="exact"/>
        <w:rPr>
          <w:sz w:val="20"/>
          <w:szCs w:val="20"/>
          <w:color w:val="auto"/>
        </w:rPr>
      </w:pPr>
    </w:p>
    <w:p>
      <w:pPr>
        <w:ind w:right="6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xml:space="preserve">” means any Restricted Subsidiary that would be a “significant subsidiary” of the Issuer within the meaning of Rule 1-02 under Regulation S-X promulgated by the SEC, as such Regulation is in effect on the Issue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purposes of </w:t>
      </w:r>
      <w:r>
        <w:rPr>
          <w:rFonts w:ascii="Arial" w:cs="Arial" w:eastAsia="Arial" w:hAnsi="Arial"/>
          <w:sz w:val="17"/>
          <w:szCs w:val="17"/>
          <w:u w:val="single" w:color="auto"/>
          <w:color w:val="auto"/>
        </w:rPr>
        <w:t>clause (6)</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6.01(a)</w:t>
      </w:r>
      <w:r>
        <w:rPr>
          <w:rFonts w:ascii="Arial" w:cs="Arial" w:eastAsia="Arial" w:hAnsi="Arial"/>
          <w:sz w:val="17"/>
          <w:szCs w:val="17"/>
          <w:color w:val="auto"/>
        </w:rPr>
        <w:t>, each Restricted Subsidiary forming part of a group is subject to an Event of Default under such clause.</w:t>
      </w:r>
    </w:p>
    <w:p>
      <w:pPr>
        <w:spacing w:after="0" w:line="165"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Business</w:t>
      </w:r>
      <w:r>
        <w:rPr>
          <w:rFonts w:ascii="Arial" w:cs="Arial" w:eastAsia="Arial" w:hAnsi="Arial"/>
          <w:sz w:val="16"/>
          <w:szCs w:val="16"/>
          <w:color w:val="auto"/>
        </w:rPr>
        <w:t>” means any business conducted, engaged in or proposed to be conducted by the Issuer or any of its Subsidiaries on the Issue Date or any business that is similar, incidental, complementary, ancillary, supportive, synergetic or reasonably related businesses or reasonable extensions thereof (and non-core incidental businesses acquired in connection with any acquisition or Investment or other immaterial businesses).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South Power Bonds</w:t>
      </w:r>
      <w:r>
        <w:rPr>
          <w:rFonts w:ascii="Arial" w:cs="Arial" w:eastAsia="Arial" w:hAnsi="Arial"/>
          <w:sz w:val="17"/>
          <w:szCs w:val="17"/>
          <w:color w:val="auto"/>
        </w:rPr>
        <w:t>” means, collectively, the South Power Senior Secured Bonds and the South Power Senior Unsecured Bonds.</w:t>
      </w:r>
    </w:p>
    <w:p>
      <w:pPr>
        <w:spacing w:after="0" w:line="237" w:lineRule="exact"/>
        <w:rPr>
          <w:sz w:val="20"/>
          <w:szCs w:val="20"/>
          <w:color w:val="auto"/>
        </w:rPr>
      </w:pPr>
    </w:p>
    <w:p>
      <w:pPr>
        <w:ind w:right="60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South Power Senior Secured Bonds</w:t>
      </w:r>
      <w:r>
        <w:rPr>
          <w:rFonts w:ascii="Arial" w:cs="Arial" w:eastAsia="Arial" w:hAnsi="Arial"/>
          <w:sz w:val="16"/>
          <w:szCs w:val="16"/>
          <w:color w:val="auto"/>
        </w:rPr>
        <w:t>” means the senior secured bonds issued by NFE South Power Holdings Limited, a company incorporated under the laws of Jamaica, pursuant to a facility entered into by NFE South Power Holdings Limited on September 2, 2019.</w:t>
      </w:r>
    </w:p>
    <w:p>
      <w:pPr>
        <w:spacing w:after="0" w:line="124" w:lineRule="exact"/>
        <w:rPr>
          <w:sz w:val="20"/>
          <w:szCs w:val="20"/>
          <w:color w:val="auto"/>
        </w:rPr>
      </w:pPr>
    </w:p>
    <w:p>
      <w:pPr>
        <w:ind w:right="2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South Power Senior Unsecured Bonds</w:t>
      </w:r>
      <w:r>
        <w:rPr>
          <w:rFonts w:ascii="Arial" w:cs="Arial" w:eastAsia="Arial" w:hAnsi="Arial"/>
          <w:sz w:val="17"/>
          <w:szCs w:val="17"/>
          <w:color w:val="auto"/>
        </w:rPr>
        <w:t>” means the senior unsecured bonds issued by NFE South Power Holdings Limited, a company incorporated under the laws of Jamaica, pursuant to a facility entered into by NFE South Power Holdings Limited on September 2, 2019.</w:t>
      </w:r>
    </w:p>
    <w:p>
      <w:pPr>
        <w:spacing w:after="0" w:line="146"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representations, warranties, covenants, indemnities and guarantees of performance entered into by the Issuer or any Subsidiary of the Issuer which the Issuer has determined in good faith to be customary in a Receivables Financing including those relating to the servicing of the assets of a Receivables Subsidiary, it being understood that any Receivables Repurchase Obligation shall be deemed to be a Standard Securitization Undertaking.</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Transaction</w:t>
      </w:r>
      <w:r>
        <w:rPr>
          <w:rFonts w:ascii="Arial" w:cs="Arial" w:eastAsia="Arial" w:hAnsi="Arial"/>
          <w:sz w:val="17"/>
          <w:szCs w:val="17"/>
          <w:color w:val="auto"/>
        </w:rPr>
        <w:t xml:space="preserve">” means, with respect to any Test Period, (a) the Transactions, (b) any acquisition, whether by purchase, merger or otherwise, of all or substantially all of the assets of, or any business line, unit or division of, any Person or the Capital Stock of any Person (and, in any event, including any Investment in (i) any Restricted Subsidiary the effect of which is to increase the Issuer’s or any Restricted Subsidiary’s respective equity ownership in such Restricted Subsidiary or (ii) any joint venture for the purpose of increasing the Issuer’s or its relevant Restricted Subsidiary’s ownership interest in such joint venture), in each case that is not prohibited by this Indenture, (c) any disposition of all or substantially all of the assets or Capital Stock of any Subsidiary (or any facility, business unit, line of business, product line or division of the Issuer or a Restricted Subsidiary) not prohibited by this Indenture, (d) the designation of a Restricted Subsidiary as an Unrestricted Subsidiary or an Unrestricted Subsidiary as a Restricted Subsidiary in accordance with this Indenture, (e) any incurrence or prepayment, repayment, redemption, repurchase, defeasance, satisfaction and discharge or refinancing of Indebtedness, (f) the implementation of any Run Rate Initiative, (g) any tax restructuring, (h) [Reserved], (i) the entry into any Customer Contract and/or (j) any other event that by the terms of this Indenture requires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compliance with a test or covenant or requires such test or covenant to be calculated on a pro forma basis.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with respect to the Notes and the Note Guarantees,</w:t>
      </w:r>
    </w:p>
    <w:p>
      <w:pPr>
        <w:spacing w:after="0" w:line="225" w:lineRule="exact"/>
        <w:rPr>
          <w:sz w:val="20"/>
          <w:szCs w:val="20"/>
          <w:color w:val="auto"/>
        </w:rPr>
      </w:pPr>
    </w:p>
    <w:p>
      <w:pPr>
        <w:ind w:left="1920" w:hanging="616"/>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Indebtedness of the Issuer which is by its terms subordinated in right of payment to the Notes, and</w:t>
      </w:r>
    </w:p>
    <w:p>
      <w:pPr>
        <w:spacing w:after="0" w:line="225" w:lineRule="exact"/>
        <w:rPr>
          <w:rFonts w:ascii="Arial" w:cs="Arial" w:eastAsia="Arial" w:hAnsi="Arial"/>
          <w:sz w:val="18"/>
          <w:szCs w:val="18"/>
          <w:color w:val="auto"/>
        </w:rPr>
      </w:pPr>
    </w:p>
    <w:p>
      <w:pPr>
        <w:ind w:left="660" w:right="580" w:firstLine="644"/>
        <w:spacing w:after="0" w:line="277" w:lineRule="auto"/>
        <w:tabs>
          <w:tab w:leader="none" w:pos="192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Indebtedness of any Guarantor which is by its terms subordinated in right of payment to the Note Guarantee of such Guarantor of the Notes.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660" w:right="40" w:firstLine="644"/>
        <w:spacing w:after="0" w:line="259" w:lineRule="auto"/>
        <w:tabs>
          <w:tab w:leader="none" w:pos="19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w:t>
      </w:r>
    </w:p>
    <w:p>
      <w:pPr>
        <w:spacing w:after="0" w:line="186" w:lineRule="exact"/>
        <w:rPr>
          <w:rFonts w:ascii="Arial" w:cs="Arial" w:eastAsia="Arial" w:hAnsi="Arial"/>
          <w:sz w:val="18"/>
          <w:szCs w:val="18"/>
          <w:color w:val="auto"/>
        </w:rPr>
      </w:pPr>
    </w:p>
    <w:p>
      <w:pPr>
        <w:ind w:left="1920" w:hanging="616"/>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225" w:lineRule="exact"/>
        <w:rPr>
          <w:sz w:val="20"/>
          <w:szCs w:val="20"/>
          <w:color w:val="auto"/>
        </w:rPr>
      </w:pPr>
    </w:p>
    <w:p>
      <w:pPr>
        <w:ind w:left="660" w:right="100" w:firstLine="644"/>
        <w:spacing w:after="0" w:line="263" w:lineRule="auto"/>
        <w:tabs>
          <w:tab w:leader="none" w:pos="1912"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such Person or any Restricted Subsidiary of such Person is a controlling general partner or otherwise controls such entity.</w:t>
      </w:r>
    </w:p>
    <w:p>
      <w:pPr>
        <w:spacing w:after="0" w:line="237" w:lineRule="exact"/>
        <w:rPr>
          <w:sz w:val="20"/>
          <w:szCs w:val="20"/>
          <w:color w:val="auto"/>
        </w:rPr>
      </w:pPr>
    </w:p>
    <w:p>
      <w:pPr>
        <w:ind w:right="220" w:firstLine="1296"/>
        <w:spacing w:after="0" w:line="286" w:lineRule="auto"/>
        <w:rPr>
          <w:sz w:val="20"/>
          <w:szCs w:val="20"/>
          <w:color w:val="auto"/>
        </w:rPr>
      </w:pPr>
      <w:r>
        <w:rPr>
          <w:rFonts w:ascii="Arial" w:cs="Arial" w:eastAsia="Arial" w:hAnsi="Arial"/>
          <w:sz w:val="17"/>
          <w:szCs w:val="17"/>
          <w:color w:val="auto"/>
        </w:rPr>
        <w:t>For the avoidance of doubt, any entity that is owned at a 50.0% or less level (as described above) shall not be a “Subsidiary” for any purpose under this Indenture, regardless of whether such entity is consolidated on the Issuer’s or any of its Restricted Subsidiaries’ financial statements. Unless the context otherwise requires, any references to Subsidiaries refer to Subsidiaries of the Issuer.</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4" w:name="page75"/>
    <w:bookmarkEnd w:id="74"/>
    <w:p>
      <w:pPr>
        <w:ind w:right="7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for any determination under this Indenture, the fiscal quarter then most recently ended for which financial statements are internally available.</w:t>
      </w:r>
    </w:p>
    <w:p>
      <w:pPr>
        <w:spacing w:after="0" w:line="170" w:lineRule="exact"/>
        <w:rPr>
          <w:sz w:val="20"/>
          <w:szCs w:val="20"/>
          <w:color w:val="auto"/>
        </w:rPr>
      </w:pPr>
    </w:p>
    <w:p>
      <w:pPr>
        <w:ind w:right="2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Secrets</w:t>
      </w:r>
      <w:r>
        <w:rPr>
          <w:rFonts w:ascii="Arial" w:cs="Arial" w:eastAsia="Arial" w:hAnsi="Arial"/>
          <w:sz w:val="17"/>
          <w:szCs w:val="17"/>
          <w:color w:val="auto"/>
        </w:rPr>
        <w:t>” means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spacing w:after="0" w:line="171" w:lineRule="exact"/>
        <w:rPr>
          <w:sz w:val="20"/>
          <w:szCs w:val="20"/>
          <w:color w:val="auto"/>
        </w:rPr>
      </w:pPr>
    </w:p>
    <w:p>
      <w:pPr>
        <w:ind w:right="40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means fees, premiums, expenses, closing payments and other similar transaction costs (including original issue discount or upfront fees) payable or otherwise borne by the Issuer and/or its Subsidiaries in connection with the Transactions.</w:t>
      </w:r>
    </w:p>
    <w:p>
      <w:pPr>
        <w:spacing w:after="0" w:line="146"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all the transactions (and any transactions related thereto) described in the definition of “Transactions” in the Offering Memorandum, which, for the avoidance of doubt, need not occur on the Issue Date.</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xml:space="preserve">” means, as obtained by the Issuer,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such Redemption Date to September 15, 2022;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period from such Redemption Date to September 15, 2022 is less than one year, the weekly average yield on actively traded United States Treasury securities adjusted to a constant maturity of one year will be used.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until a successor replaces it and, thereafter, means the successor.</w:t>
      </w:r>
    </w:p>
    <w:p>
      <w:pPr>
        <w:spacing w:after="0" w:line="225" w:lineRule="exact"/>
        <w:rPr>
          <w:sz w:val="20"/>
          <w:szCs w:val="20"/>
          <w:color w:val="auto"/>
        </w:rPr>
      </w:pPr>
    </w:p>
    <w:p>
      <w:pPr>
        <w:jc w:val="both"/>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Definitive Note</w:t>
      </w:r>
      <w:r>
        <w:rPr>
          <w:rFonts w:ascii="Arial" w:cs="Arial" w:eastAsia="Arial" w:hAnsi="Arial"/>
          <w:sz w:val="16"/>
          <w:szCs w:val="16"/>
          <w:color w:val="auto"/>
        </w:rPr>
        <w:t>” means one or more Definitive Notes that do not bear and are not required to bear the Private 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Legend.</w:t>
      </w:r>
    </w:p>
    <w:p>
      <w:pPr>
        <w:spacing w:after="0" w:line="211" w:lineRule="exact"/>
        <w:rPr>
          <w:sz w:val="20"/>
          <w:szCs w:val="20"/>
          <w:color w:val="auto"/>
        </w:rPr>
      </w:pPr>
    </w:p>
    <w:p>
      <w:pPr>
        <w:jc w:val="both"/>
        <w:ind w:right="2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Global Note</w:t>
      </w:r>
      <w:r>
        <w:rPr>
          <w:rFonts w:ascii="Arial" w:cs="Arial" w:eastAsia="Arial" w:hAnsi="Arial"/>
          <w:sz w:val="18"/>
          <w:szCs w:val="18"/>
          <w:color w:val="auto"/>
        </w:rPr>
        <w:t xml:space="preserve">” means a permanent Global Note,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5" w:name="page76"/>
    <w:bookmarkEnd w:id="75"/>
    <w:p>
      <w:pPr>
        <w:jc w:val="both"/>
        <w:ind w:right="3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(1) any Subsidiary of the Issuer which at the time of determination is an Unrestricted Subsidiary (as designated by the Issuer, as provided below), (2) any Subsidiary of an Unrestricted Subsidiary and (3) as of the Issue Date, NFE South Power Holdings Limited and each of its Subsidiaries.</w:t>
      </w:r>
    </w:p>
    <w:p>
      <w:pPr>
        <w:spacing w:after="0" w:line="184" w:lineRule="exact"/>
        <w:rPr>
          <w:sz w:val="20"/>
          <w:szCs w:val="20"/>
          <w:color w:val="auto"/>
        </w:rPr>
      </w:pPr>
    </w:p>
    <w:p>
      <w:pPr>
        <w:ind w:right="400" w:firstLine="1296"/>
        <w:spacing w:after="0" w:line="308" w:lineRule="auto"/>
        <w:rPr>
          <w:sz w:val="20"/>
          <w:szCs w:val="20"/>
          <w:color w:val="auto"/>
        </w:rPr>
      </w:pPr>
      <w:r>
        <w:rPr>
          <w:rFonts w:ascii="Arial" w:cs="Arial" w:eastAsia="Arial" w:hAnsi="Arial"/>
          <w:sz w:val="17"/>
          <w:szCs w:val="17"/>
          <w:color w:val="auto"/>
        </w:rPr>
        <w:t xml:space="preserve">The Issuer may designate (or redesignate) any Subsidiary of the Issuer (including any existing Subsidiary and any newly acquired or newly formed Subsidiary) to be an Unrestricted Subsidiary or any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46" w:lineRule="exact"/>
        <w:rPr>
          <w:sz w:val="20"/>
          <w:szCs w:val="20"/>
          <w:color w:val="auto"/>
        </w:rPr>
      </w:pPr>
    </w:p>
    <w:p>
      <w:pPr>
        <w:ind w:left="660" w:right="200" w:firstLine="644"/>
        <w:spacing w:after="0" w:line="263" w:lineRule="auto"/>
        <w:tabs>
          <w:tab w:leader="none" w:pos="19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giving effect to such designation, no Event of Default shall have occurred and be continuing (including after giving effect to the reclassification of Investments in, Indebtedness of and Liens on the assets of, the applicable Restricted Subsidiary or Unrestricted Subsidiary); and</w:t>
      </w:r>
    </w:p>
    <w:p>
      <w:pPr>
        <w:spacing w:after="0" w:line="183" w:lineRule="exact"/>
        <w:rPr>
          <w:rFonts w:ascii="Arial" w:cs="Arial" w:eastAsia="Arial" w:hAnsi="Arial"/>
          <w:sz w:val="18"/>
          <w:szCs w:val="18"/>
          <w:color w:val="auto"/>
        </w:rPr>
      </w:pPr>
    </w:p>
    <w:p>
      <w:pPr>
        <w:ind w:left="660" w:right="120" w:firstLine="644"/>
        <w:spacing w:after="0" w:line="277" w:lineRule="auto"/>
        <w:tabs>
          <w:tab w:leader="none" w:pos="19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date of the designation thereof, no Unrestricted Subsidiary shall own any Capital Stock in any Restricted Subsidiary of the Issuer or hold any Indebtedness of or any Lien on any property of the Issuer or any Restricted Subsidiary.</w:t>
      </w:r>
    </w:p>
    <w:p>
      <w:pPr>
        <w:spacing w:after="0" w:line="170"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The designation of any Subsidiary as an Unrestricted Subsidiary shall constitute an Investment by the Issuer (or its applicable Restricted Subsidiary) therein at the date of designation in an amount equal to the portion of the fair market value of the net assets of such Subsidiary attributable to the Issuer’s (or its applicable Restricted Subsidiary’s) equity interest therein as reasonably determined by the Issuer in good faith (and such designation shall only be permitted to the extent such Investment is permitted under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or, if on the date such Subsidiary is so designated, there are Suspended Covenants as a result of the provisions described under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such Investment would have complied with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as if such covenant was in effect for the purposes of designating Unrestricted Subsidiaries from the Issue Date to the date of such designation). The designation of any Unrestricted Subsidiary as a Restricted Subsidiary shall constitute (i) the making, incurrence or granting, as applicable, at the time of designation of any then-existing Investment, Indebtedness or Lien of such Restricted Subsidiary, as applicable and (ii) a Return on any Investment by the Issuer in Unrestricted Subsidiaries pursuant to the preceding sentence in an amount equal to the fair market value at the date of such designation of the Issuer’s or its Restricted Subsidiary’s Investment in such Subsidiary.</w:t>
      </w:r>
    </w:p>
    <w:p>
      <w:pPr>
        <w:spacing w:after="0" w:line="185"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Any such designation by the Issuer shall be notified by the Issuer to the Trustee by promptly filing with the Trustee an Officer’s Certificate certifying that such designation complied with the foregoing provisions.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660" w:firstLine="644"/>
        <w:spacing w:after="0" w:line="277" w:lineRule="auto"/>
        <w:tabs>
          <w:tab w:leader="none" w:pos="192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obligations of, or obligations guaranteed by, the United States of America for the timely payment of which its full faith and credit is pledged; or</w:t>
      </w:r>
    </w:p>
    <w:p>
      <w:pPr>
        <w:spacing w:after="0" w:line="170" w:lineRule="exact"/>
        <w:rPr>
          <w:rFonts w:ascii="Arial" w:cs="Arial" w:eastAsia="Arial" w:hAnsi="Arial"/>
          <w:sz w:val="18"/>
          <w:szCs w:val="18"/>
          <w:color w:val="auto"/>
        </w:rPr>
      </w:pPr>
    </w:p>
    <w:p>
      <w:pPr>
        <w:ind w:left="660" w:right="120" w:firstLine="644"/>
        <w:spacing w:after="0" w:line="271" w:lineRule="auto"/>
        <w:tabs>
          <w:tab w:leader="none" w:pos="1922"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U.S. person as defined in Rule 902(k) under the Securities Act.</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shares of such Person’s Capital Stock that are at the time generally entitled, without regard to contingencies, to vote in the election of the Board of Directors of such Person.</w:t>
      </w:r>
    </w:p>
    <w:p>
      <w:pPr>
        <w:spacing w:after="0" w:line="170"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Wholly-Owned Restricted Subsidiary</w:t>
      </w:r>
      <w:r>
        <w:rPr>
          <w:rFonts w:ascii="Arial" w:cs="Arial" w:eastAsia="Arial" w:hAnsi="Arial"/>
          <w:sz w:val="16"/>
          <w:szCs w:val="16"/>
          <w:color w:val="auto"/>
        </w:rPr>
        <w:t>” of any Person means a Wholly-Owned Subsidiary of such Person that is a Restricted Subsidiary.</w:t>
      </w:r>
    </w:p>
    <w:p>
      <w:pPr>
        <w:spacing w:after="0" w:line="248"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480" w:type="dxa"/>
            <w:vAlign w:val="bottom"/>
          </w:tcPr>
          <w:p>
            <w:pPr>
              <w:ind w:left="880"/>
              <w:spacing w:after="0"/>
              <w:rPr>
                <w:sz w:val="20"/>
                <w:szCs w:val="20"/>
                <w:color w:val="auto"/>
              </w:rPr>
            </w:pPr>
            <w:r>
              <w:rPr>
                <w:rFonts w:ascii="Arial" w:cs="Arial" w:eastAsia="Arial" w:hAnsi="Arial"/>
                <w:sz w:val="18"/>
                <w:szCs w:val="18"/>
                <w:color w:val="auto"/>
              </w:rPr>
              <w:t>SECTION 1.02.</w:t>
            </w:r>
          </w:p>
        </w:tc>
        <w:tc>
          <w:tcPr>
            <w:tcW w:w="8340" w:type="dxa"/>
            <w:vAlign w:val="bottom"/>
            <w:gridSpan w:val="4"/>
          </w:tcPr>
          <w:p>
            <w:pPr>
              <w:jc w:val="right"/>
              <w:ind w:right="6430"/>
              <w:spacing w:after="0"/>
              <w:rPr>
                <w:sz w:val="20"/>
                <w:szCs w:val="20"/>
                <w:color w:val="auto"/>
              </w:rPr>
            </w:pPr>
            <w:r>
              <w:rPr>
                <w:rFonts w:ascii="Arial" w:cs="Arial" w:eastAsia="Arial" w:hAnsi="Arial"/>
                <w:sz w:val="18"/>
                <w:szCs w:val="18"/>
                <w:color w:val="auto"/>
                <w:w w:val="96"/>
              </w:rPr>
              <w:t>OTHER DEFINITIONS.</w:t>
            </w:r>
          </w:p>
        </w:tc>
      </w:tr>
      <w:tr>
        <w:trPr>
          <w:trHeight w:val="412"/>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65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Defined in Section</w:t>
            </w:r>
          </w:p>
        </w:tc>
      </w:tr>
      <w:tr>
        <w:trPr>
          <w:trHeight w:val="20"/>
        </w:trPr>
        <w:tc>
          <w:tcPr>
            <w:tcW w:w="4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r>
        <w:trPr>
          <w:trHeight w:val="438"/>
        </w:trPr>
        <w:tc>
          <w:tcPr>
            <w:tcW w:w="2900" w:type="dxa"/>
            <w:vAlign w:val="bottom"/>
            <w:gridSpan w:val="2"/>
          </w:tcPr>
          <w:p>
            <w:pPr>
              <w:spacing w:after="0"/>
              <w:rPr>
                <w:sz w:val="20"/>
                <w:szCs w:val="20"/>
                <w:color w:val="auto"/>
              </w:rPr>
            </w:pPr>
            <w:r>
              <w:rPr>
                <w:rFonts w:ascii="Arial" w:cs="Arial" w:eastAsia="Arial" w:hAnsi="Arial"/>
                <w:sz w:val="18"/>
                <w:szCs w:val="18"/>
                <w:color w:val="auto"/>
              </w:rPr>
              <w:t>Acceptable Commitment</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Accounting Change</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Action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12.08(v)</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Advance Offer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Advance Portion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Affiliate Transaction</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Alternate Offer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Amendment to Allege Use</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Applicable Law</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Applicable Premium Deficit</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Applicable Proceeds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Asset Sale Offer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w w:val="90"/>
              </w:rPr>
              <w:t>Asset Sale Proceeds Application Period</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Authentication Order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CERCLA</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12.08(q)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Change of Control Offer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Change of Control Payment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Change of Control Payment Date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4.14(a)(2)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Commitment Application Period</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Controlled</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Controlling</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8.03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Covenant Suspension Event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Directing Holder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Disposition</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Dividing Person</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Elected Amount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1.06(h)</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6.01(a)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Excess Proceeds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Exchange Rate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1.06(g)</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Fixed Amounts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Governmental Consents</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Increased Amount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incur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incurrence</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Incurrence-Based Amounts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Initial Default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6.02(f)</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La Paz Facility Concession</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LCT Election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LCT Test Date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Master Agreement</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Mexican Guarantor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13.02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Mexican Process Agent</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13.02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Note Register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Noteholder Direction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obligor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Offer Amount</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Offer Period</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Pari Passu Indebtedness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Performance References</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Position Representation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primary obligations</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primary obligor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Purchase Date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Redemption Date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refinance</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refinanced</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Refinanced Indebtedness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refinances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refinancing</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Refinancing Indebtedness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Refunding Capital Stock</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4.07(b)(viii)</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8340" w:type="dxa"/>
            <w:vAlign w:val="bottom"/>
            <w:gridSpan w:val="4"/>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Related Person</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12.08(b)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Restricted Debt Payments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4.07(a)(III)</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Reversion Date</w:t>
            </w: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4.16(b)</w:t>
            </w:r>
          </w:p>
        </w:tc>
      </w:tr>
    </w:tbl>
    <w:p>
      <w:pPr>
        <w:sectPr>
          <w:pgSz w:w="11900" w:h="16838" w:orient="portrait"/>
          <w:cols w:equalWidth="0" w:num="1">
            <w:col w:w="11240"/>
          </w:cols>
          <w:pgMar w:left="320" w:top="324" w:right="3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Rule 2.7 announcement</w:t>
            </w:r>
          </w:p>
        </w:tc>
        <w:tc>
          <w:tcPr>
            <w:tcW w:w="6980" w:type="dxa"/>
            <w:vAlign w:val="bottom"/>
          </w:tcPr>
          <w:p>
            <w:pPr>
              <w:jc w:val="right"/>
              <w:spacing w:after="0"/>
              <w:rPr>
                <w:sz w:val="20"/>
                <w:szCs w:val="20"/>
                <w:color w:val="auto"/>
              </w:rPr>
            </w:pPr>
            <w:r>
              <w:rPr>
                <w:rFonts w:ascii="Arial" w:cs="Arial" w:eastAsia="Arial" w:hAnsi="Arial"/>
                <w:sz w:val="18"/>
                <w:szCs w:val="18"/>
                <w:color w:val="auto"/>
              </w:rPr>
              <w:t>1.05(a)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run rate</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Run Rate Benefits</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Run Rate Initiative</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Second Change of Control Payment Date</w:t>
            </w:r>
          </w:p>
        </w:tc>
        <w:tc>
          <w:tcPr>
            <w:tcW w:w="6980" w:type="dxa"/>
            <w:vAlign w:val="bottom"/>
          </w:tcPr>
          <w:p>
            <w:pPr>
              <w:jc w:val="right"/>
              <w:spacing w:after="0"/>
              <w:rPr>
                <w:sz w:val="20"/>
                <w:szCs w:val="20"/>
                <w:color w:val="auto"/>
              </w:rPr>
            </w:pPr>
            <w:r>
              <w:rPr>
                <w:rFonts w:ascii="Arial" w:cs="Arial" w:eastAsia="Arial" w:hAnsi="Arial"/>
                <w:sz w:val="18"/>
                <w:szCs w:val="18"/>
                <w:color w:val="auto"/>
              </w:rPr>
              <w:t>4.14(d)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Security Document Order</w:t>
            </w:r>
          </w:p>
        </w:tc>
        <w:tc>
          <w:tcPr>
            <w:tcW w:w="6980" w:type="dxa"/>
            <w:vAlign w:val="bottom"/>
          </w:tcPr>
          <w:p>
            <w:pPr>
              <w:jc w:val="right"/>
              <w:spacing w:after="0"/>
              <w:rPr>
                <w:sz w:val="20"/>
                <w:szCs w:val="20"/>
                <w:color w:val="auto"/>
              </w:rPr>
            </w:pPr>
            <w:r>
              <w:rPr>
                <w:rFonts w:ascii="Arial" w:cs="Arial" w:eastAsia="Arial" w:hAnsi="Arial"/>
                <w:sz w:val="18"/>
                <w:szCs w:val="18"/>
                <w:color w:val="auto"/>
              </w:rPr>
              <w:t>12.08(r)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Specified Hedge Agreement</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specified transaction</w:t>
            </w:r>
          </w:p>
        </w:tc>
        <w:tc>
          <w:tcPr>
            <w:tcW w:w="6980" w:type="dxa"/>
            <w:vAlign w:val="bottom"/>
          </w:tcPr>
          <w:p>
            <w:pPr>
              <w:jc w:val="right"/>
              <w:spacing w:after="0"/>
              <w:rPr>
                <w:sz w:val="20"/>
                <w:szCs w:val="20"/>
                <w:color w:val="auto"/>
              </w:rPr>
            </w:pPr>
            <w:r>
              <w:rPr>
                <w:rFonts w:ascii="Arial" w:cs="Arial" w:eastAsia="Arial" w:hAnsi="Arial"/>
                <w:sz w:val="18"/>
                <w:szCs w:val="18"/>
                <w:color w:val="auto"/>
              </w:rPr>
              <w:t>1.06(g)</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Statement of Use</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Subject Lien</w:t>
            </w:r>
          </w:p>
        </w:tc>
        <w:tc>
          <w:tcPr>
            <w:tcW w:w="6980" w:type="dxa"/>
            <w:vAlign w:val="bottom"/>
          </w:tcPr>
          <w:p>
            <w:pPr>
              <w:jc w:val="right"/>
              <w:spacing w:after="0"/>
              <w:rPr>
                <w:sz w:val="20"/>
                <w:szCs w:val="20"/>
                <w:color w:val="auto"/>
              </w:rPr>
            </w:pPr>
            <w:r>
              <w:rPr>
                <w:rFonts w:ascii="Arial" w:cs="Arial" w:eastAsia="Arial" w:hAnsi="Arial"/>
                <w:sz w:val="18"/>
                <w:szCs w:val="18"/>
                <w:color w:val="auto"/>
              </w:rPr>
              <w:t>4.12(a)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Subject Person</w:t>
            </w:r>
          </w:p>
        </w:tc>
        <w:tc>
          <w:tcPr>
            <w:tcW w:w="69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Successor Company</w:t>
            </w:r>
          </w:p>
        </w:tc>
        <w:tc>
          <w:tcPr>
            <w:tcW w:w="6980" w:type="dxa"/>
            <w:vAlign w:val="bottom"/>
          </w:tcPr>
          <w:p>
            <w:pPr>
              <w:jc w:val="right"/>
              <w:spacing w:after="0"/>
              <w:rPr>
                <w:sz w:val="20"/>
                <w:szCs w:val="20"/>
                <w:color w:val="auto"/>
              </w:rPr>
            </w:pPr>
            <w:r>
              <w:rPr>
                <w:rFonts w:ascii="Arial" w:cs="Arial" w:eastAsia="Arial" w:hAnsi="Arial"/>
                <w:sz w:val="18"/>
                <w:szCs w:val="18"/>
                <w:color w:val="auto"/>
              </w:rPr>
              <w:t>5.01(a)(i)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Successor Guarantor</w:t>
            </w:r>
          </w:p>
        </w:tc>
        <w:tc>
          <w:tcPr>
            <w:tcW w:w="6980" w:type="dxa"/>
            <w:vAlign w:val="bottom"/>
          </w:tcPr>
          <w:p>
            <w:pPr>
              <w:jc w:val="right"/>
              <w:spacing w:after="0"/>
              <w:rPr>
                <w:sz w:val="20"/>
                <w:szCs w:val="20"/>
                <w:color w:val="auto"/>
              </w:rPr>
            </w:pPr>
            <w:r>
              <w:rPr>
                <w:rFonts w:ascii="Arial" w:cs="Arial" w:eastAsia="Arial" w:hAnsi="Arial"/>
                <w:sz w:val="18"/>
                <w:szCs w:val="18"/>
                <w:color w:val="auto"/>
              </w:rPr>
              <w:t>5.01(c)(1)(A)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Suspended Covenants</w:t>
            </w:r>
          </w:p>
        </w:tc>
        <w:tc>
          <w:tcPr>
            <w:tcW w:w="6980" w:type="dxa"/>
            <w:vAlign w:val="bottom"/>
          </w:tcPr>
          <w:p>
            <w:pPr>
              <w:jc w:val="right"/>
              <w:spacing w:after="0"/>
              <w:rPr>
                <w:sz w:val="20"/>
                <w:szCs w:val="20"/>
                <w:color w:val="auto"/>
              </w:rPr>
            </w:pPr>
            <w:r>
              <w:rPr>
                <w:rFonts w:ascii="Arial" w:cs="Arial" w:eastAsia="Arial" w:hAnsi="Arial"/>
                <w:sz w:val="18"/>
                <w:szCs w:val="18"/>
                <w:color w:val="auto"/>
              </w:rPr>
              <w:t>4.16(a)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Suspension Period</w:t>
            </w:r>
          </w:p>
        </w:tc>
        <w:tc>
          <w:tcPr>
            <w:tcW w:w="6980" w:type="dxa"/>
            <w:vAlign w:val="bottom"/>
          </w:tcPr>
          <w:p>
            <w:pPr>
              <w:jc w:val="right"/>
              <w:spacing w:after="0"/>
              <w:rPr>
                <w:sz w:val="20"/>
                <w:szCs w:val="20"/>
                <w:color w:val="auto"/>
              </w:rPr>
            </w:pPr>
            <w:r>
              <w:rPr>
                <w:rFonts w:ascii="Arial" w:cs="Arial" w:eastAsia="Arial" w:hAnsi="Arial"/>
                <w:sz w:val="18"/>
                <w:szCs w:val="18"/>
                <w:color w:val="auto"/>
              </w:rPr>
              <w:t>4.16(c)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Testing Party</w:t>
            </w:r>
          </w:p>
        </w:tc>
        <w:tc>
          <w:tcPr>
            <w:tcW w:w="6980" w:type="dxa"/>
            <w:vAlign w:val="bottom"/>
          </w:tcPr>
          <w:p>
            <w:pPr>
              <w:jc w:val="right"/>
              <w:spacing w:after="0"/>
              <w:rPr>
                <w:sz w:val="20"/>
                <w:szCs w:val="20"/>
                <w:color w:val="auto"/>
              </w:rPr>
            </w:pPr>
            <w:r>
              <w:rPr>
                <w:rFonts w:ascii="Arial" w:cs="Arial" w:eastAsia="Arial" w:hAnsi="Arial"/>
                <w:sz w:val="18"/>
                <w:szCs w:val="18"/>
                <w:color w:val="auto"/>
              </w:rPr>
              <w:t>1.05(a)</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Treasury Capital Stock</w:t>
            </w:r>
          </w:p>
        </w:tc>
        <w:tc>
          <w:tcPr>
            <w:tcW w:w="6980" w:type="dxa"/>
            <w:vAlign w:val="bottom"/>
          </w:tcPr>
          <w:p>
            <w:pPr>
              <w:jc w:val="right"/>
              <w:spacing w:after="0"/>
              <w:rPr>
                <w:sz w:val="20"/>
                <w:szCs w:val="20"/>
                <w:color w:val="auto"/>
              </w:rPr>
            </w:pPr>
            <w:r>
              <w:rPr>
                <w:rFonts w:ascii="Arial" w:cs="Arial" w:eastAsia="Arial" w:hAnsi="Arial"/>
                <w:sz w:val="18"/>
                <w:szCs w:val="18"/>
                <w:color w:val="auto"/>
              </w:rPr>
              <w:t>4.07(b)(viii)</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Verification Covenant</w:t>
            </w:r>
          </w:p>
        </w:tc>
        <w:tc>
          <w:tcPr>
            <w:tcW w:w="6980" w:type="dxa"/>
            <w:vAlign w:val="bottom"/>
          </w:tcPr>
          <w:p>
            <w:pPr>
              <w:jc w:val="right"/>
              <w:spacing w:after="0"/>
              <w:rPr>
                <w:sz w:val="20"/>
                <w:szCs w:val="20"/>
                <w:color w:val="auto"/>
              </w:rPr>
            </w:pPr>
            <w:r>
              <w:rPr>
                <w:rFonts w:ascii="Arial" w:cs="Arial" w:eastAsia="Arial" w:hAnsi="Arial"/>
                <w:sz w:val="18"/>
                <w:szCs w:val="18"/>
                <w:color w:val="auto"/>
              </w:rPr>
              <w:t>6.02(a)</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withdrawal deadline</w:t>
            </w:r>
          </w:p>
        </w:tc>
        <w:tc>
          <w:tcPr>
            <w:tcW w:w="6980" w:type="dxa"/>
            <w:vAlign w:val="bottom"/>
          </w:tcPr>
          <w:p>
            <w:pPr>
              <w:jc w:val="right"/>
              <w:spacing w:after="0"/>
              <w:rPr>
                <w:sz w:val="20"/>
                <w:szCs w:val="20"/>
                <w:color w:val="auto"/>
              </w:rPr>
            </w:pPr>
            <w:r>
              <w:rPr>
                <w:rFonts w:ascii="Arial" w:cs="Arial" w:eastAsia="Arial" w:hAnsi="Arial"/>
                <w:sz w:val="18"/>
                <w:szCs w:val="18"/>
                <w:color w:val="auto"/>
              </w:rPr>
              <w:t>4.14(a)(6)</w:t>
            </w:r>
          </w:p>
        </w:tc>
      </w:tr>
      <w:tr>
        <w:trPr>
          <w:trHeight w:val="608"/>
        </w:trPr>
        <w:tc>
          <w:tcPr>
            <w:tcW w:w="4260" w:type="dxa"/>
            <w:vAlign w:val="bottom"/>
          </w:tcPr>
          <w:p>
            <w:pPr>
              <w:spacing w:after="0"/>
              <w:rPr>
                <w:sz w:val="24"/>
                <w:szCs w:val="24"/>
                <w:color w:val="auto"/>
              </w:rPr>
            </w:pPr>
          </w:p>
        </w:tc>
        <w:tc>
          <w:tcPr>
            <w:tcW w:w="6980" w:type="dxa"/>
            <w:vAlign w:val="bottom"/>
          </w:tcPr>
          <w:p>
            <w:pPr>
              <w:jc w:val="right"/>
              <w:ind w:right="5430"/>
              <w:spacing w:after="0"/>
              <w:rPr>
                <w:sz w:val="20"/>
                <w:szCs w:val="20"/>
                <w:color w:val="auto"/>
              </w:rPr>
            </w:pPr>
            <w:r>
              <w:rPr>
                <w:rFonts w:ascii="Arial" w:cs="Arial" w:eastAsia="Arial" w:hAnsi="Arial"/>
                <w:sz w:val="18"/>
                <w:szCs w:val="18"/>
                <w:color w:val="auto"/>
              </w:rPr>
              <w:t>68</w:t>
            </w:r>
          </w:p>
        </w:tc>
      </w:tr>
      <w:tr>
        <w:trPr>
          <w:trHeight w:val="61"/>
        </w:trPr>
        <w:tc>
          <w:tcPr>
            <w:tcW w:w="4260" w:type="dxa"/>
            <w:vAlign w:val="bottom"/>
            <w:tcBorders>
              <w:bottom w:val="single" w:sz="8" w:color="auto"/>
            </w:tcBorders>
          </w:tcPr>
          <w:p>
            <w:pPr>
              <w:spacing w:after="0"/>
              <w:rPr>
                <w:sz w:val="5"/>
                <w:szCs w:val="5"/>
                <w:color w:val="auto"/>
              </w:rPr>
            </w:pPr>
          </w:p>
        </w:tc>
        <w:tc>
          <w:tcPr>
            <w:tcW w:w="69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79" w:name="page80"/>
    <w:bookmarkEnd w:id="79"/>
    <w:p>
      <w:pPr>
        <w:ind w:left="1300"/>
        <w:spacing w:after="0"/>
        <w:tabs>
          <w:tab w:leader="none" w:pos="29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7"/>
          <w:szCs w:val="17"/>
          <w:u w:val="single" w:color="auto"/>
          <w:color w:val="auto"/>
        </w:rPr>
        <w:t>NO INCORPORATION BY REFERENCE OF TRUST INDENTURE ACT</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Notwithstanding any other provision in this Indenture, no obligation or requirement under the Trust Indenture Act shall be applicable to the Issuer or any Guarantor.</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80" w:name="page81"/>
    <w:bookmarkEnd w:id="80"/>
    <w:p>
      <w:pPr>
        <w:ind w:left="1300"/>
        <w:spacing w:after="0"/>
        <w:tabs>
          <w:tab w:leader="none" w:pos="30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7"/>
          <w:szCs w:val="17"/>
          <w:u w:val="single" w:color="auto"/>
          <w:color w:val="auto"/>
        </w:rPr>
        <w:t>RULES OF CONSTRUCTION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640" w:hanging="688"/>
        <w:spacing w:after="0"/>
        <w:tabs>
          <w:tab w:leader="none" w:pos="2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u w:val="single" w:color="auto"/>
          <w:color w:val="auto"/>
        </w:rPr>
        <w:t>shall</w:t>
      </w:r>
      <w:r>
        <w:rPr>
          <w:rFonts w:ascii="Arial" w:cs="Arial" w:eastAsia="Arial" w:hAnsi="Arial"/>
          <w:sz w:val="18"/>
          <w:szCs w:val="18"/>
          <w:color w:val="auto"/>
        </w:rPr>
        <w:t>” and “</w:t>
      </w:r>
      <w:r>
        <w:rPr>
          <w:rFonts w:ascii="Arial" w:cs="Arial" w:eastAsia="Arial" w:hAnsi="Arial"/>
          <w:sz w:val="18"/>
          <w:szCs w:val="18"/>
          <w:u w:val="single" w:color="auto"/>
          <w:color w:val="auto"/>
        </w:rPr>
        <w:t>will</w:t>
      </w:r>
      <w:r>
        <w:rPr>
          <w:rFonts w:ascii="Arial" w:cs="Arial" w:eastAsia="Arial" w:hAnsi="Arial"/>
          <w:sz w:val="18"/>
          <w:szCs w:val="18"/>
          <w:color w:val="auto"/>
        </w:rPr>
        <w:t>” are intended to have the same meaning;</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words “without limitation”;</w:t>
      </w:r>
    </w:p>
    <w:p>
      <w:pPr>
        <w:spacing w:after="0" w:line="236" w:lineRule="exact"/>
        <w:rPr>
          <w:rFonts w:ascii="Arial" w:cs="Arial" w:eastAsia="Arial" w:hAnsi="Arial"/>
          <w:sz w:val="17"/>
          <w:szCs w:val="17"/>
          <w:color w:val="auto"/>
        </w:rPr>
      </w:pPr>
    </w:p>
    <w:p>
      <w:pPr>
        <w:ind w:left="2660" w:hanging="708"/>
        <w:spacing w:after="0"/>
        <w:tabs>
          <w:tab w:leader="none" w:pos="2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auto"/>
        </w:rPr>
      </w:pPr>
    </w:p>
    <w:p>
      <w:pPr>
        <w:ind w:right="80" w:firstLine="1952"/>
        <w:spacing w:after="0" w:line="277" w:lineRule="auto"/>
        <w:tabs>
          <w:tab w:leader="none" w:pos="26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right="400" w:firstLine="1952"/>
        <w:spacing w:after="0" w:line="277" w:lineRule="auto"/>
        <w:tabs>
          <w:tab w:leader="none" w:pos="26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“Section”, “clause” or “Exhibit” refers to an Article, Section, clause or Exhibit, as the case may be, of this Indenture;</w:t>
      </w:r>
    </w:p>
    <w:p>
      <w:pPr>
        <w:spacing w:after="0" w:line="170" w:lineRule="exact"/>
        <w:rPr>
          <w:rFonts w:ascii="Arial" w:cs="Arial" w:eastAsia="Arial" w:hAnsi="Arial"/>
          <w:sz w:val="18"/>
          <w:szCs w:val="18"/>
          <w:color w:val="auto"/>
        </w:rPr>
      </w:pPr>
    </w:p>
    <w:p>
      <w:pPr>
        <w:ind w:firstLine="1952"/>
        <w:spacing w:after="0" w:line="277" w:lineRule="auto"/>
        <w:tabs>
          <w:tab w:leader="none" w:pos="269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any particular Article, Section, clause, other subdivision or Exhibit; and</w:t>
      </w:r>
    </w:p>
    <w:p>
      <w:pPr>
        <w:spacing w:after="0" w:line="170" w:lineRule="exact"/>
        <w:rPr>
          <w:rFonts w:ascii="Arial" w:cs="Arial" w:eastAsia="Arial" w:hAnsi="Arial"/>
          <w:sz w:val="18"/>
          <w:szCs w:val="18"/>
          <w:color w:val="auto"/>
        </w:rPr>
      </w:pPr>
    </w:p>
    <w:p>
      <w:pPr>
        <w:ind w:right="120" w:firstLine="1952"/>
        <w:spacing w:after="0" w:line="263" w:lineRule="auto"/>
        <w:tabs>
          <w:tab w:leader="none" w:pos="26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otherwise specifically indicated, the term “consolidated” with respect to any Person refers to such Person on a consolidated basis in accordance with GAAP, but excluding from such consolidation any Unrestricted Subsidiary of such Person as if such Unrestricted Subsidiary were not an Affiliate of such Person.</w:t>
      </w:r>
    </w:p>
    <w:p>
      <w:pPr>
        <w:spacing w:after="0" w:line="18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7"/>
          <w:szCs w:val="17"/>
          <w:u w:val="single" w:color="auto"/>
          <w:color w:val="auto"/>
        </w:rPr>
        <w:t>LIMITED CONDITION TRANSACTIONS</w:t>
      </w:r>
      <w:r>
        <w:rPr>
          <w:rFonts w:ascii="Arial" w:cs="Arial" w:eastAsia="Arial" w:hAnsi="Arial"/>
          <w:sz w:val="17"/>
          <w:szCs w:val="17"/>
          <w:color w:val="auto"/>
        </w:rPr>
        <w:t>.</w:t>
      </w:r>
    </w:p>
    <w:p>
      <w:pPr>
        <w:spacing w:after="0" w:line="225" w:lineRule="exact"/>
        <w:rPr>
          <w:sz w:val="20"/>
          <w:szCs w:val="20"/>
          <w:color w:val="auto"/>
        </w:rPr>
      </w:pPr>
    </w:p>
    <w:p>
      <w:pPr>
        <w:ind w:left="2640" w:hanging="688"/>
        <w:spacing w:after="0"/>
        <w:tabs>
          <w:tab w:leader="none" w:pos="2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connection with any action being taken solely in connection with a Limited Condition Transaction, for purposes of:</w:t>
      </w:r>
    </w:p>
    <w:p>
      <w:pPr>
        <w:spacing w:after="0" w:line="248" w:lineRule="exact"/>
        <w:rPr>
          <w:sz w:val="20"/>
          <w:szCs w:val="20"/>
          <w:color w:val="auto"/>
        </w:rPr>
      </w:pPr>
    </w:p>
    <w:p>
      <w:pPr>
        <w:ind w:left="740" w:right="720" w:firstLine="2202"/>
        <w:spacing w:after="0" w:line="342" w:lineRule="auto"/>
        <w:tabs>
          <w:tab w:leader="none" w:pos="34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determining compliance with any provision of this Indenture that requires the calculation of the Fixed Charge Coverage Ratio, Consolidated Total Debt Ratio, Consolidated First Lien Debt Ratio or Consolidated Secured Debt Ratio;</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1" w:name="page82"/>
    <w:bookmarkEnd w:id="81"/>
    <w:p>
      <w:pPr>
        <w:ind w:left="740" w:right="860" w:firstLine="2157"/>
        <w:spacing w:after="0" w:line="277" w:lineRule="auto"/>
        <w:tabs>
          <w:tab w:leader="none" w:pos="3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whether a Default or Event of Default shall have occurred and be continuing (or any subset of Defaults or Events of Default); or</w:t>
      </w:r>
    </w:p>
    <w:p>
      <w:pPr>
        <w:spacing w:after="0" w:line="170" w:lineRule="exact"/>
        <w:rPr>
          <w:rFonts w:ascii="Arial" w:cs="Arial" w:eastAsia="Arial" w:hAnsi="Arial"/>
          <w:sz w:val="18"/>
          <w:szCs w:val="18"/>
          <w:color w:val="auto"/>
        </w:rPr>
      </w:pPr>
    </w:p>
    <w:p>
      <w:pPr>
        <w:ind w:left="740" w:right="760" w:firstLine="2157"/>
        <w:spacing w:after="0" w:line="263" w:lineRule="auto"/>
        <w:tabs>
          <w:tab w:leader="none" w:pos="3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testing availability under baskets, ratios or financial metrics under this Indenture (including those measured as a percentage of Consolidated EBITDA, Annualized EBITDA, Fixed Charges or Consolidated Total Assets or by reference to </w:t>
      </w:r>
      <w:r>
        <w:rPr>
          <w:rFonts w:ascii="Arial" w:cs="Arial" w:eastAsia="Arial" w:hAnsi="Arial"/>
          <w:sz w:val="18"/>
          <w:szCs w:val="18"/>
          <w:u w:val="single" w:color="auto"/>
          <w:color w:val="auto"/>
        </w:rPr>
        <w:t>clause (2)(a)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each case, at the option of the Issuer, any of its Restricted Subsidiaries or any successor entity of any of the foregoing (including a third party) (the</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Testing Party</w:t>
      </w:r>
      <w:r>
        <w:rPr>
          <w:rFonts w:ascii="Arial" w:cs="Arial" w:eastAsia="Arial" w:hAnsi="Arial"/>
          <w:sz w:val="16"/>
          <w:szCs w:val="16"/>
          <w:color w:val="auto"/>
        </w:rPr>
        <w:t>”, and the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with such option to be exercised on or prior to the date of execution of the definitive agreements, submission of notice or the making of a definitive declaration, as applicable, with respect to such Limited Condition Transaction, the date of determination of whether any such action is permitted under this Indenture, shall be deemed to be (a) the date the definitive agreements (or, if applicable, a binding offer or launch of a “certain funds” tender offer), notice (which may be conditional) or declaration with respect to such Limited Condition Transaction are entered into, provided or made, as applicable, or the date that an Officer’s Certificate is given with respect to the designation of a Subsidiary as restricted or unrestricted, or (b) with respect to sales in connection with an acquisition to which the United Kingdom City Code on Takeovers and Mergers applies (or similar law or practice in other jurisdictions), the date on which a “</w:t>
      </w:r>
      <w:r>
        <w:rPr>
          <w:rFonts w:ascii="Arial" w:cs="Arial" w:eastAsia="Arial" w:hAnsi="Arial"/>
          <w:sz w:val="16"/>
          <w:szCs w:val="16"/>
          <w:u w:val="single" w:color="auto"/>
          <w:color w:val="auto"/>
        </w:rPr>
        <w:t>Rule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announcement</w:t>
      </w:r>
      <w:r>
        <w:rPr>
          <w:rFonts w:ascii="Arial" w:cs="Arial" w:eastAsia="Arial" w:hAnsi="Arial"/>
          <w:sz w:val="16"/>
          <w:szCs w:val="16"/>
          <w:color w:val="auto"/>
        </w:rPr>
        <w:t>” of a firm intent to make an offer or similar announcement or determination in another jurisdiction subject to laws similar to the United Kingdom City Code on Takeovers and Mergers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is made, and if, after giving pro forma effect to the Limited Condition Transaction and the other transactions to be entered into in connection therewith (including any acquisitions, Investments, the incurrence or issuance of Indebtedness, Disqualified Stock, Preferred Stock or Liens and the use of proceeds thereof, Restricted Payments and Asset Sales) as if they had occurred at the beginning of the most recent Test Period ending prior to the LCT Test Date, the Issuer could have taken such action on the relevant LCT Test Date in compliance with such ratio, basket or financial metric, such ratio, basket or financial metric shall be deemed to have been complied with.</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ind w:firstLine="1952"/>
        <w:spacing w:after="0" w:line="284" w:lineRule="auto"/>
        <w:tabs>
          <w:tab w:leader="none" w:pos="26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For the avoidance of doubt, if the Testing Party has made an LCT Election and any of the ratios, baskets or financial metrics for which compliance was determined or tested as of the LCT Test Date are exceeded or not complied with as a result of fluctuations in any such ratio, basket or financial metrics, including due to fluctuations in Fixed Charges, Consolidated Net Income or Annualized EBITDA of the Issuer, the target company or the Person subject to such Limited Condition Transaction, at or prior to the consummation of the relevant transaction or action, such ratios, baskets or financial metrics will not be deemed to have been exceeded as a result of such fluctuations and such baskets, ratios or financial metrics shall not be tested at the consummation of the Limited Condition Transaction except as contemplated in clause (a) of the immediately succeeding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LCT Test Date, (b) if any ratios or financial metrics improve or baskets increase as a result of such fluctuations, such improved ratios, financial metrics or baskets may be utilized and (c) Fixed Charges with respect to any Indebtedness expected to be incurred in connection with such Limited Condition Transaction will, for purposes of the Fixed Charge Coverage Ratio, be calculated using an assumed interest rate based on the available documentation therefor, as determined by the Testing Party in good faith (or, if no such documentation is available, using an assumed interest rate as reasonably determined by the Testing Party in good faith). If the Testing Party has made an LCT Election for any Limited Condition Transaction, then, in connection with any subsequent calculation of the ratios, baskets or financial metrics on or following the relevant LCT Test Date and prior to the earlier of (i) the date on which such Limited Condition Transaction is consummated or (ii) the date that the definitive agreement, notice or declaration for such Limited Condition Transaction is abandoned, terminated or expires without consummation of such Limited Condition Transaction, any such ratio, basket or financial metric shall be calculated on a pro forma basis assuming such Limited Condition Transaction and other transactions in connection therewith (including any incurrence of Indebtedness or Liens and the use of proceeds thereof) have been consummated. For the avoidance of doubt, if the Testing Party has exercised its option pursuant to the foregoing and any Default or Event of Default occurs following the LCT Test Date (including any new LCT Test Date) for the applicable Limited Condition Transaction and prior to or on the date of the consummation of such Limited Condition Transaction, any such Default or Event of Default shall be deemed not to have occurred or be continuing for purposes of determining whether any action being taken in connection with such Limited Condition Transaction is permitted under this Indenture.</w:t>
      </w:r>
    </w:p>
    <w:p>
      <w:pPr>
        <w:spacing w:after="0" w:line="178"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u w:val="single" w:color="auto"/>
          <w:color w:val="auto"/>
        </w:rPr>
        <w:t>CERTAIN COMPLIANCE DETERMINATIONS</w:t>
      </w:r>
      <w:r>
        <w:rPr>
          <w:rFonts w:ascii="Arial" w:cs="Arial" w:eastAsia="Arial" w:hAnsi="Arial"/>
          <w:sz w:val="17"/>
          <w:szCs w:val="17"/>
          <w:color w:val="auto"/>
        </w:rPr>
        <w:t>.</w:t>
      </w:r>
    </w:p>
    <w:p>
      <w:pPr>
        <w:spacing w:after="0" w:line="225" w:lineRule="exact"/>
        <w:rPr>
          <w:sz w:val="20"/>
          <w:szCs w:val="20"/>
          <w:color w:val="auto"/>
        </w:rPr>
      </w:pPr>
    </w:p>
    <w:p>
      <w:pPr>
        <w:ind w:left="2640" w:hanging="688"/>
        <w:spacing w:after="0"/>
        <w:tabs>
          <w:tab w:leader="none" w:pos="2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but subject to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w:t>
      </w:r>
    </w:p>
    <w:p>
      <w:pPr>
        <w:spacing w:after="0" w:line="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u w:val="single" w:color="auto"/>
          <w:color w:val="auto"/>
        </w:rPr>
        <w:t>Section 1.06</w:t>
      </w:r>
      <w:r>
        <w:rPr>
          <w:rFonts w:ascii="Arial" w:cs="Arial" w:eastAsia="Arial" w:hAnsi="Arial"/>
          <w:sz w:val="17"/>
          <w:szCs w:val="17"/>
          <w:color w:val="auto"/>
        </w:rPr>
        <w:t>, all financial ratios, tests, covenants, calculations and measurements (including Consolidated Total Debt Ratio, Consolidated Secured Debt Ratio, Consolidated First Lien Debt Ratio, Fixed Charge Coverage Ratio, Consolidated Interest Expense, Fixed Charges, Consolidated Net Income, Consolidated Total Assets, Consolidated EBITDA, Annualized EBITDA, any Fixed Amount or any Incurrence-Based Amount) contained in this Indenture that are calculated with respect to any period during which any Subject Transaction occurs shall be calculated with respect to such period and each such Subject Transaction on a pro forma basis and may be determined with reference to the financial statements of a parent company of the Issuer instead, so long as such parent company does not hold any material assets other than, directly or indirectly, the Equity Interests of the Issuer (as determined in good faith by the Board of Directors or senior management of the Issuer (or any parent company of the Issuer)). Further, if, since the beginning of any such period and on or prior to the date of any required calculation of any financial ratio, test, covenant, calculation or measurement (i) any Subject Transaction has occurred or (ii) any Person that subsequently became a Restricted Subsidiary or was merged, amalgamated or consolidated with or into the Issuer or any of its Restricted Subsidiaries or any joint venture since the beginning of such period has consummated any Subject Transaction, then, in each case, any applicable financial ratio, test, covenant, calculation or measurement shall be calculated on a pro forma basis for such period as if such Subject Transaction (including, without duplication of any amounts otherwise reflected in Consolidated EBITDA for the applicable Test Period, any Run Rate Benefits and the “run rate” income described, and calculated as set forth, in clause (e)(i) of the definition of Consolidated EBITDA) had occurred at the beginning of the applicable period.</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right="40" w:firstLine="1952"/>
        <w:spacing w:after="0" w:line="290" w:lineRule="auto"/>
        <w:tabs>
          <w:tab w:leader="none" w:pos="26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For purposes of determining the permissibility of any action, change, transaction or event that requires a calculation of any Fixed Amounts, Incurrence-Based Amounts or financial ratio, test, covenant, calculation or measurement (including Consolidated Total Debt Ratio, Consolidated Secured Debt Ratio, Consolidated First Lien Debt Ratio, Fixed Charge Coverage Ratio, Consolidated Interest Expense, Fixed Charges, Consolidated Net Income, Consolidated Total Assets, Consolidated EBITDA and Annualized EBITDA), such Fixed Amounts, Incurrence-Based Amounts or financial ratio, test, covenant, calculation or measurement shall be calculated at the time such action is taken (subject to </w:t>
      </w:r>
      <w:r>
        <w:rPr>
          <w:rFonts w:ascii="Arial" w:cs="Arial" w:eastAsia="Arial" w:hAnsi="Arial"/>
          <w:sz w:val="16"/>
          <w:szCs w:val="16"/>
          <w:u w:val="single" w:color="auto"/>
          <w:color w:val="auto"/>
        </w:rPr>
        <w:t>Section 1.05</w:t>
      </w:r>
      <w:r>
        <w:rPr>
          <w:rFonts w:ascii="Arial" w:cs="Arial" w:eastAsia="Arial" w:hAnsi="Arial"/>
          <w:sz w:val="16"/>
          <w:szCs w:val="16"/>
          <w:color w:val="auto"/>
        </w:rPr>
        <w:t>), such change is made, such transaction is consummated or such event occurs, as the case may be, and no Default or Event of Default shall be deemed to have occurred solely as a result of a change in such Fixed Amounts, Incurrence-Based Amounts or financial ratio, test, covenant, calculation or measurement occurring after the time such action is taken, such change is made, such transaction is consummated or such event occurs, as the case may be.</w:t>
      </w:r>
    </w:p>
    <w:p>
      <w:pPr>
        <w:spacing w:after="0" w:line="165" w:lineRule="exact"/>
        <w:rPr>
          <w:rFonts w:ascii="Arial" w:cs="Arial" w:eastAsia="Arial" w:hAnsi="Arial"/>
          <w:sz w:val="16"/>
          <w:szCs w:val="16"/>
          <w:color w:val="auto"/>
        </w:rPr>
      </w:pPr>
    </w:p>
    <w:p>
      <w:pPr>
        <w:ind w:firstLine="1952"/>
        <w:spacing w:after="0" w:line="290" w:lineRule="auto"/>
        <w:tabs>
          <w:tab w:leader="none" w:pos="2639"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anything in this Indenture to the contrary, with respect to any amounts incurred or transactions entered into (or consummated) in reliance on a provision of this Indenture (including any covenant), including in connection with any Limited Condition Transaction, that does not require compliance with a financial ratio or test (including Consolidated Secured Debt Ratio, Consolidated Total Debt Ratio, Consolidated First Lien Debt Ratio and/or Fixed Charge Coverage Ratio) (any such amounts, the “</w:t>
      </w:r>
      <w:r>
        <w:rPr>
          <w:rFonts w:ascii="Arial" w:cs="Arial" w:eastAsia="Arial" w:hAnsi="Arial"/>
          <w:sz w:val="16"/>
          <w:szCs w:val="16"/>
          <w:u w:val="single" w:color="auto"/>
          <w:color w:val="auto"/>
        </w:rPr>
        <w:t>Fixed Amounts</w:t>
      </w:r>
      <w:r>
        <w:rPr>
          <w:rFonts w:ascii="Arial" w:cs="Arial" w:eastAsia="Arial" w:hAnsi="Arial"/>
          <w:sz w:val="16"/>
          <w:szCs w:val="16"/>
          <w:color w:val="auto"/>
        </w:rPr>
        <w:t>”) substantially concurrently (or in connection with the same Limited Condition Transaction) with any amounts incurred or transactions entered into (or consummated) in reliance on a provision of this Indenture that requires compliance with a financial ratio or test (including Consolidated Secured Debt Ratio, Consolidated Total Debt Ratio, Consolidated First Lien Debt Ratio and/or Fixed Charge Coverage Ratio) (any such amounts, the “</w:t>
      </w:r>
      <w:r>
        <w:rPr>
          <w:rFonts w:ascii="Arial" w:cs="Arial" w:eastAsia="Arial" w:hAnsi="Arial"/>
          <w:sz w:val="16"/>
          <w:szCs w:val="16"/>
          <w:u w:val="single" w:color="auto"/>
          <w:color w:val="auto"/>
        </w:rPr>
        <w:t>Incurrence-Based Amounts</w:t>
      </w:r>
      <w:r>
        <w:rPr>
          <w:rFonts w:ascii="Arial" w:cs="Arial" w:eastAsia="Arial" w:hAnsi="Arial"/>
          <w:sz w:val="16"/>
          <w:szCs w:val="16"/>
          <w:color w:val="auto"/>
        </w:rPr>
        <w:t>”), it is understood and agreed that the Fixed Amounts shall be disregarded in the calculation of the financial ratio or test applicable to the Incurrence-Based Amounts.</w:t>
      </w:r>
    </w:p>
    <w:p>
      <w:pPr>
        <w:spacing w:after="0" w:line="165" w:lineRule="exact"/>
        <w:rPr>
          <w:rFonts w:ascii="Arial" w:cs="Arial" w:eastAsia="Arial" w:hAnsi="Arial"/>
          <w:sz w:val="16"/>
          <w:szCs w:val="16"/>
          <w:color w:val="auto"/>
        </w:rPr>
      </w:pPr>
    </w:p>
    <w:p>
      <w:pPr>
        <w:ind w:right="60" w:firstLine="1952"/>
        <w:spacing w:after="0" w:line="257" w:lineRule="auto"/>
        <w:tabs>
          <w:tab w:leader="none" w:pos="26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anything in this Indenture to the contrary, in the event an item of Indebtedness, Disqualified Stock or Preferred Stock (or any portion thereof) is incurred or issued, any Lien is incurred or other transaction is undertaken in reliance on an Incurrence-Based Amount, such Incurrence-Based Amount shall be calculated without regard to the incurrence of any Indebtedness under any revolving facility or letter of credit facility (i) immediately prior to or in connection therewith or (ii) used to finance working capital needs of the Issuer and its Restricted Subsidiaries (as reasonably determined by the Issuer).</w:t>
      </w:r>
    </w:p>
    <w:p>
      <w:pPr>
        <w:spacing w:after="0" w:line="187" w:lineRule="exact"/>
        <w:rPr>
          <w:rFonts w:ascii="Arial" w:cs="Arial" w:eastAsia="Arial" w:hAnsi="Arial"/>
          <w:sz w:val="18"/>
          <w:szCs w:val="18"/>
          <w:color w:val="auto"/>
        </w:rPr>
      </w:pPr>
    </w:p>
    <w:p>
      <w:pPr>
        <w:ind w:firstLine="1952"/>
        <w:spacing w:after="0" w:line="268" w:lineRule="auto"/>
        <w:tabs>
          <w:tab w:leader="none" w:pos="2639"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at any time with </w:t>
      </w:r>
      <w:r>
        <w:rPr>
          <w:rFonts w:ascii="Arial" w:cs="Arial" w:eastAsia="Arial" w:hAnsi="Arial"/>
          <w:sz w:val="17"/>
          <w:szCs w:val="17"/>
          <w:u w:val="single" w:color="auto"/>
          <w:color w:val="auto"/>
        </w:rPr>
        <w:t>Sections 4.07</w:t>
      </w:r>
      <w:r>
        <w:rPr>
          <w:rFonts w:ascii="Arial" w:cs="Arial" w:eastAsia="Arial" w:hAnsi="Arial"/>
          <w:sz w:val="17"/>
          <w:szCs w:val="17"/>
          <w:color w:val="auto"/>
        </w:rPr>
        <w:t xml:space="preserve">, </w:t>
      </w:r>
      <w:r>
        <w:rPr>
          <w:rFonts w:ascii="Arial" w:cs="Arial" w:eastAsia="Arial" w:hAnsi="Arial"/>
          <w:sz w:val="17"/>
          <w:szCs w:val="17"/>
          <w:u w:val="single" w:color="auto"/>
          <w:color w:val="auto"/>
        </w:rPr>
        <w:t>4.08</w:t>
      </w:r>
      <w:r>
        <w:rPr>
          <w:rFonts w:ascii="Arial" w:cs="Arial" w:eastAsia="Arial" w:hAnsi="Arial"/>
          <w:sz w:val="17"/>
          <w:szCs w:val="17"/>
          <w:color w:val="auto"/>
        </w:rPr>
        <w:t xml:space="preserve">, </w:t>
      </w:r>
      <w:r>
        <w:rPr>
          <w:rFonts w:ascii="Arial" w:cs="Arial" w:eastAsia="Arial" w:hAnsi="Arial"/>
          <w:sz w:val="17"/>
          <w:szCs w:val="17"/>
          <w:u w:val="single" w:color="auto"/>
          <w:color w:val="auto"/>
        </w:rPr>
        <w:t>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the definition of “Permitted Investments”, in the event that any Indebtedness, Permitted Lien, Restricted Payment, Permitted Investment, disposition or Affiliate Transaction, as applicable, meets the criteria of more than one of the categories of transactions or items permitted pursuant to the first paragraph or any clause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any clause of the definition of “Permitted Liens”,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any clause of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any clause of the second paragraph of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any clause of the definition of “Permitted Investment”, any clause of the definition of “Asset Sale” and any dispositions constituting exceptions thereto and any clause under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the Issuer, in its sole discretion, may, from time to time, classify or reclassify such transaction or item (or portion thereof) and will only be required to include the amount and type of such transaction (or portion thereof) in any one category;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reclassification described in this sentence shall be deemed to have occurred automatically with respect to any such transaction or item incurred or made pursuant to a Fixed Amount that later would be permitted on a pro forma basis to be incurred or made pursuant to an Incurrence-Based Amount. It is understood and agreed that any Indebtedness, Permitted Lien, Restricted Payment, Permitted Investment, disposition and/or Affiliate Transaction need not be permitted solely by reference to one category of permitted Indebtedness, Permitted Lien, Restricted Payment, Permitted Investment, disposition and/or Affiliate Transaction under such sections, respectively, but may instead be permitted in part under any combination thereof.</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4" w:name="page85"/>
    <w:bookmarkEnd w:id="84"/>
    <w:p>
      <w:pPr>
        <w:ind w:right="20" w:firstLine="1952"/>
        <w:spacing w:after="0" w:line="255" w:lineRule="auto"/>
        <w:tabs>
          <w:tab w:leader="none" w:pos="2709"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anything in this Indenture to the contrary, so long as an action was taken (or not taken) in reliance upon a basket, ratio or test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ratio or test to be exceeded as a result of such action or inaction) shall not result in any Default or Event of Default under this Indenture.</w:t>
      </w:r>
    </w:p>
    <w:p>
      <w:pPr>
        <w:spacing w:after="0" w:line="192" w:lineRule="exact"/>
        <w:rPr>
          <w:rFonts w:ascii="Arial" w:cs="Arial" w:eastAsia="Arial" w:hAnsi="Arial"/>
          <w:sz w:val="18"/>
          <w:szCs w:val="18"/>
          <w:color w:val="auto"/>
        </w:rPr>
      </w:pPr>
    </w:p>
    <w:p>
      <w:pPr>
        <w:ind w:firstLine="1952"/>
        <w:spacing w:after="0" w:line="284" w:lineRule="auto"/>
        <w:tabs>
          <w:tab w:leader="none" w:pos="2649"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purposes of any determination under this Indenture (other than the calculation of compliance with any financial ratio for purposes of taking any action under this Indenture) with respect to the amount of any Indebtedness, Lien, Restricted Payment, Investment, Asset Sale, Sale and Lease-Back Transaction, Affiliate Transaction or other transaction, event or circumstance, or any determination under any other provision of this Indenture (any of the foregoing, a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requiring the use of a current exchange rate, (i) the equivalent amount in U.S. dollars of a specified transaction in a currency other than U.S. dollars shall be calculated based on the relevant exchange rate, as may be determined by the Issuer in good faith, for such foreign currency (the “</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For purposes of the calculation of compliance with any financial ratio for purposes of taking any action under this Indenture, on any relevant date of determination, amounts denominated in currencies other than U.S. dollars shall be translated into U.S. dollars at the applicable Exchange Rate used in preparing the financial statements delivered pursuant to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prior to the first such delivery, the most recent internally available financial statements), as applicable, for the relevant Test Period and will, with respect to any Indebtedness, reflect the currency translation effects, determined in accordance with GAAP, of any Hedge Agreement permitted under this Indenture in respect of currency exchange risks with respect to the applicable currency in effect on the date of determination for the U.S. dollar equivalent amount of such Indebtedness.</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ind w:right="140" w:firstLine="1952"/>
        <w:spacing w:after="0" w:line="269" w:lineRule="auto"/>
        <w:tabs>
          <w:tab w:leader="none" w:pos="264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For purposes of the calculation of the Consolidated First Lien Debt Ratio, Consolidated Secured Debt Ratio, Consolidated Total Debt Ratio and Fixed Charge Coverage Ratio, in connection with the incurrence of any Indebtedness pursuant to the first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such Person may elect to treat all or any portion of the commitment (such amount elected until revoked as described below, the “</w:t>
      </w:r>
      <w:r>
        <w:rPr>
          <w:rFonts w:ascii="Arial" w:cs="Arial" w:eastAsia="Arial" w:hAnsi="Arial"/>
          <w:sz w:val="17"/>
          <w:szCs w:val="17"/>
          <w:u w:val="single" w:color="auto"/>
          <w:color w:val="auto"/>
        </w:rPr>
        <w:t>Elected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under any Indebtedness which is to be incurred (or any commitment in respect thereof) or secured by such Lien (whether by the Issuer, its Restricted Subsidiaries or any third party), as the case may be, as being incurred or secured, as the case may be, as of the date of determination and (i) any subsequent incurrence of such Indebtedness under such commitment that was so treated (so long as the total amount under such Indebtedness does not exceed the Elected Amount) shall not be deemed, for purposes of this calculation, to be an incurrence of additional Indebtedness or an additional Lien at such subsequent time, (ii) such Person may revoke an election of an Elected Amount and (iii) for subsequent calculations of the Consolidated First Lien Debt Ratio, Consolidated Secured Debt Ratio, Consolidated Total Debt Ratio and Fixed Charge Coverage Ratio, the Elected Amount (if any) shall be deemed to be outstanding, whether or not such amount is actually outstanding.</w:t>
      </w:r>
    </w:p>
    <w:p>
      <w:pPr>
        <w:spacing w:after="0" w:line="185"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u w:val="single" w:color="auto"/>
          <w:color w:val="auto"/>
        </w:rPr>
        <w:t>ACTS OF HOLDERS</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73" w:lineRule="auto"/>
        <w:tabs>
          <w:tab w:leader="none" w:pos="2639"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conclusive in favor of the Trustee and the Issuer, if made in the manner provided in this </w:t>
      </w:r>
      <w:r>
        <w:rPr>
          <w:rFonts w:ascii="Arial" w:cs="Arial" w:eastAsia="Arial" w:hAnsi="Arial"/>
          <w:sz w:val="17"/>
          <w:szCs w:val="17"/>
          <w:u w:val="single" w:color="auto"/>
          <w:color w:val="auto"/>
        </w:rPr>
        <w:t>Section 1.07</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1952"/>
        <w:spacing w:after="0" w:line="255" w:lineRule="auto"/>
        <w:tabs>
          <w:tab w:leader="none" w:pos="26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left="2640" w:hanging="688"/>
        <w:spacing w:after="0"/>
        <w:tabs>
          <w:tab w:leader="none" w:pos="2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rFonts w:ascii="Arial" w:cs="Arial" w:eastAsia="Arial" w:hAnsi="Arial"/>
          <w:sz w:val="18"/>
          <w:szCs w:val="18"/>
          <w:color w:val="auto"/>
        </w:rPr>
      </w:pPr>
    </w:p>
    <w:p>
      <w:pPr>
        <w:ind w:right="100" w:firstLine="1952"/>
        <w:spacing w:after="0" w:line="259" w:lineRule="auto"/>
        <w:tabs>
          <w:tab w:leader="none" w:pos="26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86" w:lineRule="exact"/>
        <w:rPr>
          <w:rFonts w:ascii="Arial" w:cs="Arial" w:eastAsia="Arial" w:hAnsi="Arial"/>
          <w:sz w:val="18"/>
          <w:szCs w:val="18"/>
          <w:color w:val="auto"/>
        </w:rPr>
      </w:pPr>
    </w:p>
    <w:p>
      <w:pPr>
        <w:ind w:right="120" w:firstLine="1952"/>
        <w:spacing w:after="0" w:line="275" w:lineRule="auto"/>
        <w:tabs>
          <w:tab w:leader="none" w:pos="2639"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76" w:lineRule="exact"/>
        <w:rPr>
          <w:rFonts w:ascii="Arial" w:cs="Arial" w:eastAsia="Arial" w:hAnsi="Arial"/>
          <w:sz w:val="17"/>
          <w:szCs w:val="17"/>
          <w:color w:val="auto"/>
        </w:rPr>
      </w:pPr>
    </w:p>
    <w:p>
      <w:pPr>
        <w:ind w:right="20" w:firstLine="1952"/>
        <w:spacing w:after="0" w:line="257" w:lineRule="auto"/>
        <w:tabs>
          <w:tab w:leader="none" w:pos="270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Arial" w:cs="Arial" w:eastAsia="Arial" w:hAnsi="Arial"/>
          <w:sz w:val="18"/>
          <w:szCs w:val="18"/>
          <w:u w:val="single" w:color="auto"/>
          <w:color w:val="auto"/>
        </w:rPr>
        <w:t>Section 1.07(f)</w:t>
      </w:r>
      <w:r>
        <w:rPr>
          <w:rFonts w:ascii="Arial" w:cs="Arial" w:eastAsia="Arial" w:hAnsi="Arial"/>
          <w:sz w:val="18"/>
          <w:szCs w:val="18"/>
          <w:color w:val="auto"/>
        </w:rPr>
        <w:t xml:space="preserve"> shall have the same effect as if given or taken by separate Holders of each such different part.</w:t>
      </w:r>
    </w:p>
    <w:p>
      <w:pPr>
        <w:spacing w:after="0" w:line="187" w:lineRule="exact"/>
        <w:rPr>
          <w:rFonts w:ascii="Arial" w:cs="Arial" w:eastAsia="Arial" w:hAnsi="Arial"/>
          <w:sz w:val="18"/>
          <w:szCs w:val="18"/>
          <w:color w:val="auto"/>
        </w:rPr>
      </w:pPr>
    </w:p>
    <w:p>
      <w:pPr>
        <w:ind w:right="200" w:firstLine="1952"/>
        <w:spacing w:after="0" w:line="279" w:lineRule="auto"/>
        <w:tabs>
          <w:tab w:leader="none" w:pos="2649"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171" w:lineRule="exact"/>
        <w:rPr>
          <w:rFonts w:ascii="Arial" w:cs="Arial" w:eastAsia="Arial" w:hAnsi="Arial"/>
          <w:sz w:val="17"/>
          <w:szCs w:val="17"/>
          <w:color w:val="auto"/>
        </w:rPr>
      </w:pPr>
    </w:p>
    <w:p>
      <w:pPr>
        <w:ind w:firstLine="1952"/>
        <w:spacing w:after="0" w:line="254" w:lineRule="auto"/>
        <w:tabs>
          <w:tab w:leader="none" w:pos="26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THE NOTES</w:t>
      </w:r>
    </w:p>
    <w:p>
      <w:pPr>
        <w:spacing w:after="0" w:line="229"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u w:val="single" w:color="auto"/>
          <w:color w:val="auto"/>
        </w:rPr>
        <w:t>FORM AND DATING; TERMS</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86" w:lineRule="auto"/>
        <w:tabs>
          <w:tab w:leader="none" w:pos="263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Notes and the Trustee’s certificate of authentication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The Notes may have notations, legends or endorsements required by law, stock exchange rules or usage. Each Note shall be dated the date of its authentication. The Notes shall be in minimum denominations of $2,000 and integral multiples of $1,000 in excess thereof.</w:t>
      </w:r>
    </w:p>
    <w:p>
      <w:pPr>
        <w:spacing w:after="0" w:line="165" w:lineRule="exact"/>
        <w:rPr>
          <w:rFonts w:ascii="Arial" w:cs="Arial" w:eastAsia="Arial" w:hAnsi="Arial"/>
          <w:sz w:val="17"/>
          <w:szCs w:val="17"/>
          <w:color w:val="auto"/>
        </w:rPr>
      </w:pPr>
    </w:p>
    <w:p>
      <w:pPr>
        <w:ind w:right="20" w:firstLine="1952"/>
        <w:spacing w:after="0" w:line="270" w:lineRule="auto"/>
        <w:tabs>
          <w:tab w:leader="none" w:pos="2649"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Global Notes</w:t>
      </w:r>
      <w:r>
        <w:rPr>
          <w:rFonts w:ascii="Arial" w:cs="Arial" w:eastAsia="Arial" w:hAnsi="Arial"/>
          <w:sz w:val="17"/>
          <w:szCs w:val="17"/>
          <w:color w:val="auto"/>
        </w:rPr>
        <w:t xml:space="preserve">. Notes issued in global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(including the Global Note Legend thereon and the “Schedule of Exchanges of Interests in the Global Note” attached thereto). Notes issued in definitive form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repurchases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w:t>
      </w:r>
      <w:r>
        <w:rPr>
          <w:rFonts w:ascii="Arial" w:cs="Arial" w:eastAsia="Arial" w:hAnsi="Arial"/>
          <w:sz w:val="17"/>
          <w:szCs w:val="17"/>
          <w:u w:val="single" w:color="auto"/>
          <w:color w:val="auto"/>
        </w:rPr>
        <w:t>Section 2.06</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40" w:firstLine="1952"/>
        <w:spacing w:after="0" w:line="301" w:lineRule="auto"/>
        <w:tabs>
          <w:tab w:leader="none" w:pos="2638"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Regulation S Global Notes and 144A Global Notes</w:t>
      </w:r>
      <w:r>
        <w:rPr>
          <w:rFonts w:ascii="Arial" w:cs="Arial" w:eastAsia="Arial" w:hAnsi="Arial"/>
          <w:sz w:val="16"/>
          <w:szCs w:val="16"/>
          <w:color w:val="auto"/>
        </w:rPr>
        <w:t>. Notes offered and sold in reliance on (i) Regulation S shall be issued initially in the form of a Regulation S Global Note and (ii) Rule 144A shall be issued initially in the form of a 144A Global Note; each such Global note shall be deposited on behalf of the holders of the Notes represented thereby with the Trustee, as custodian for the Depositary, and registered in the name of the Depositary or the nominee of the Depositary, duly executed by the Issuer and authenticated by the Trustee as hereinafter provided.</w:t>
      </w:r>
    </w:p>
    <w:p>
      <w:pPr>
        <w:spacing w:after="0" w:line="157"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The aggregate principal amount of a Regulation S Global Note or a 144A Global Note may from time to time be increased or decreased by adjustments made on the records of the Trustee and the Depositary or its nominee, as the case may be, in connection with transfers of interest as hereinafter provided.</w:t>
      </w:r>
    </w:p>
    <w:p>
      <w:pPr>
        <w:spacing w:after="0" w:line="184" w:lineRule="exact"/>
        <w:rPr>
          <w:sz w:val="20"/>
          <w:szCs w:val="20"/>
          <w:color w:val="auto"/>
        </w:rPr>
      </w:pPr>
    </w:p>
    <w:p>
      <w:pPr>
        <w:ind w:left="2660" w:hanging="708"/>
        <w:spacing w:after="0"/>
        <w:tabs>
          <w:tab w:leader="none" w:pos="266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aggregate principal amount of Notes that may be authenticated and delivered under this Indenture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unlimited.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88" w:name="page89"/>
    <w:bookmarkEnd w:id="88"/>
    <w:p>
      <w:pPr>
        <w:ind w:right="140" w:firstLine="1296"/>
        <w:spacing w:after="0" w:line="259" w:lineRule="auto"/>
        <w:rPr>
          <w:sz w:val="20"/>
          <w:szCs w:val="20"/>
          <w:color w:val="auto"/>
        </w:rPr>
      </w:pPr>
      <w:r>
        <w:rPr>
          <w:rFonts w:ascii="Arial" w:cs="Arial" w:eastAsia="Arial" w:hAnsi="Arial"/>
          <w:sz w:val="18"/>
          <w:szCs w:val="18"/>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7"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 xml:space="preserve">The Notes shall be subject to repurchase by the Issuer pursuant to an Asset Sale Offer as provided in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or a Change of Control Offer as provided in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The Notes shall not be redeemable, other than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4.14(d)</w:t>
      </w:r>
      <w:r>
        <w:rPr>
          <w:rFonts w:ascii="Arial" w:cs="Arial" w:eastAsia="Arial" w:hAnsi="Arial"/>
          <w:sz w:val="17"/>
          <w:szCs w:val="17"/>
          <w:color w:val="auto"/>
        </w:rPr>
        <w:t>.</w:t>
      </w:r>
    </w:p>
    <w:p>
      <w:pPr>
        <w:spacing w:after="0" w:line="146"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 xml:space="preserve">Subject to compliance with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the Issuer may issue Additional Notes from time to time after the Issue Date under this Indenture without notice to or consent of the Holders. The Initial Notes and any Additional Notes shall be treated as a single class for all purposes under this Indenture, including waivers, amendments, redemptions and offers to purchase, and shall have the same terms as to status, redemption and otherwise as the Initial Notes (other than the issue date, issue price, first interest payment amount and first interest payment date,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Additional Notes are not fungible with the Notes for U.S. federal income tax purposes, such Additional Notes shall have a separate CUSIP number and ISIN from the Notes. Any Additional Notes shall be issued with the benefit of an indenture supplemental to this Indenture.</w:t>
      </w:r>
    </w:p>
    <w:p>
      <w:pPr>
        <w:spacing w:after="0" w:line="16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u w:val="single" w:color="auto"/>
          <w:color w:val="auto"/>
        </w:rPr>
        <w:t>EXECUTION AND AUTHENTICATION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 least one Officer shall execute the Notes on behalf of the Issuer by manual, facsimile or electronic transmission signature.</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 Officer whose signature is on a Note no longer holds that office at the time a Note is authenticated, the Note shall nevertheless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valid.</w:t>
      </w:r>
    </w:p>
    <w:p>
      <w:pPr>
        <w:spacing w:after="0" w:line="211"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 xml:space="preserve">A Note shall not be entitled to any benefit under this Indenture or be valid or obligatory for any purpose until authenticated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by the manual signature of the Trustee. The signature shall be conclusive evidence that the Note has been duly authenticated and delivered under this Indenture.</w:t>
      </w:r>
    </w:p>
    <w:p>
      <w:pPr>
        <w:spacing w:after="0" w:line="184" w:lineRule="exact"/>
        <w:rPr>
          <w:sz w:val="20"/>
          <w:szCs w:val="20"/>
          <w:color w:val="auto"/>
        </w:rPr>
      </w:pPr>
    </w:p>
    <w:p>
      <w:pPr>
        <w:ind w:right="80" w:firstLine="1296"/>
        <w:spacing w:after="0" w:line="286" w:lineRule="auto"/>
        <w:rPr>
          <w:sz w:val="20"/>
          <w:szCs w:val="20"/>
          <w:color w:val="auto"/>
        </w:rPr>
      </w:pPr>
      <w:r>
        <w:rPr>
          <w:rFonts w:ascii="Arial" w:cs="Arial" w:eastAsia="Arial" w:hAnsi="Arial"/>
          <w:sz w:val="17"/>
          <w:szCs w:val="17"/>
          <w:color w:val="auto"/>
        </w:rPr>
        <w:t>On the Issue Date, the Trustee shall, upon receipt of an Issuer Order (an “</w:t>
      </w:r>
      <w:r>
        <w:rPr>
          <w:rFonts w:ascii="Arial" w:cs="Arial" w:eastAsia="Arial" w:hAnsi="Arial"/>
          <w:sz w:val="17"/>
          <w:szCs w:val="17"/>
          <w:u w:val="single" w:color="auto"/>
          <w:color w:val="auto"/>
        </w:rPr>
        <w:t>Authentication Order</w:t>
      </w:r>
      <w:r>
        <w:rPr>
          <w:rFonts w:ascii="Arial" w:cs="Arial" w:eastAsia="Arial" w:hAnsi="Arial"/>
          <w:sz w:val="17"/>
          <w:szCs w:val="17"/>
          <w:color w:val="auto"/>
        </w:rPr>
        <w:t>”), authenticate and deliver the Initial Notes. In addition, at any time, from time to time, the Trustee shall upon receipt of an Authentication Order authenticate and deliver any Additional Notes for an aggregate principal amount specified in such Authentication Order for such Additional Notes issued hereunder.</w:t>
      </w:r>
    </w:p>
    <w:p>
      <w:pPr>
        <w:spacing w:after="0" w:line="16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9" w:name="page90"/>
    <w:bookmarkEnd w:id="89"/>
    <w:p>
      <w:pPr>
        <w:ind w:left="1300"/>
        <w:spacing w:after="0"/>
        <w:tabs>
          <w:tab w:leader="none" w:pos="30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7"/>
          <w:szCs w:val="17"/>
          <w:u w:val="single" w:color="auto"/>
          <w:color w:val="auto"/>
        </w:rPr>
        <w:t>REGISTRAR AND PAYING AGENT</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The Issuer shall maintain an office or agency where Notes may be presented for registration of transfer or for exchange (“</w:t>
      </w:r>
      <w:r>
        <w:rPr>
          <w:rFonts w:ascii="Arial" w:cs="Arial" w:eastAsia="Arial" w:hAnsi="Arial"/>
          <w:sz w:val="16"/>
          <w:szCs w:val="16"/>
          <w:u w:val="single" w:color="auto"/>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u w:val="single" w:color="auto"/>
          <w:color w:val="auto"/>
        </w:rPr>
        <w:t>Paying Agent</w:t>
      </w:r>
      <w:r>
        <w:rPr>
          <w:rFonts w:ascii="Arial" w:cs="Arial" w:eastAsia="Arial" w:hAnsi="Arial"/>
          <w:sz w:val="16"/>
          <w:szCs w:val="16"/>
          <w:color w:val="auto"/>
        </w:rPr>
        <w:t>”). The Registrar shall keep a register of the Notes (“</w:t>
      </w:r>
      <w:r>
        <w:rPr>
          <w:rFonts w:ascii="Arial" w:cs="Arial" w:eastAsia="Arial" w:hAnsi="Arial"/>
          <w:sz w:val="16"/>
          <w:szCs w:val="16"/>
          <w:u w:val="single" w:color="auto"/>
          <w:color w:val="auto"/>
        </w:rPr>
        <w:t>Note Register</w:t>
      </w:r>
      <w:r>
        <w:rPr>
          <w:rFonts w:ascii="Arial" w:cs="Arial" w:eastAsia="Arial" w:hAnsi="Arial"/>
          <w:sz w:val="16"/>
          <w:szCs w:val="16"/>
          <w:color w:val="auto"/>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Affiliates may act as Paying Agent or Registrar.</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Issuer initially appoints DTC to act as Depositary with respect to the Global Notes.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Issuer initially appoints the Trustee to act as the Paying Agent and Registrar for the Notes and to act as Custodian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Global Notes.</w:t>
      </w:r>
    </w:p>
    <w:p>
      <w:pPr>
        <w:spacing w:after="0" w:line="211"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PAYING AGENT TO HOLD MONEY IN TRUST</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7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HOLDER LISTS</w:t>
      </w:r>
      <w:r>
        <w:rPr>
          <w:rFonts w:ascii="Arial" w:cs="Arial" w:eastAsia="Arial" w:hAnsi="Arial"/>
          <w:sz w:val="17"/>
          <w:szCs w:val="17"/>
          <w:color w:val="auto"/>
        </w:rPr>
        <w:t>.</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7"/>
          <w:szCs w:val="17"/>
          <w:u w:val="single" w:color="auto"/>
          <w:color w:val="auto"/>
        </w:rPr>
        <w:t>TRANSFER AND EXCHANGE</w:t>
      </w:r>
      <w:r>
        <w:rPr>
          <w:rFonts w:ascii="Arial" w:cs="Arial" w:eastAsia="Arial" w:hAnsi="Arial"/>
          <w:sz w:val="17"/>
          <w:szCs w:val="17"/>
          <w:color w:val="auto"/>
        </w:rPr>
        <w:t>.</w:t>
      </w:r>
    </w:p>
    <w:p>
      <w:pPr>
        <w:spacing w:after="0" w:line="225" w:lineRule="exact"/>
        <w:rPr>
          <w:sz w:val="20"/>
          <w:szCs w:val="20"/>
          <w:color w:val="auto"/>
        </w:rPr>
      </w:pPr>
    </w:p>
    <w:p>
      <w:pPr>
        <w:ind w:right="20" w:firstLine="1952"/>
        <w:spacing w:after="0" w:line="283" w:lineRule="auto"/>
        <w:tabs>
          <w:tab w:leader="none" w:pos="2638"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Global Notes</w:t>
      </w:r>
      <w:r>
        <w:rPr>
          <w:rFonts w:ascii="Arial" w:cs="Arial" w:eastAsia="Arial" w:hAnsi="Arial"/>
          <w:sz w:val="16"/>
          <w:szCs w:val="16"/>
          <w:color w:val="auto"/>
        </w:rPr>
        <w:t xml:space="preserve">. Except as otherwise set forth in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(ii) there shall have occurred and be continuing an Event of Default with respect to the Notes. Upon the occurrence of any of the preceding events in (i) or (ii)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w:t>
      </w:r>
      <w:r>
        <w:rPr>
          <w:rFonts w:ascii="Arial" w:cs="Arial" w:eastAsia="Arial" w:hAnsi="Arial"/>
          <w:sz w:val="16"/>
          <w:szCs w:val="16"/>
          <w:u w:val="single" w:color="auto"/>
          <w:color w:val="auto"/>
        </w:rPr>
        <w:t>Sections 2.07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Every Note authenticated and delivered in exchange for, or in lieu of, a Global Note or any portion thereof,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w:t>
      </w:r>
      <w:r>
        <w:rPr>
          <w:rFonts w:ascii="Arial" w:cs="Arial" w:eastAsia="Arial" w:hAnsi="Arial"/>
          <w:sz w:val="16"/>
          <w:szCs w:val="16"/>
          <w:color w:val="auto"/>
        </w:rPr>
        <w:t>, shall be authenticated and delivered in the form of, and shall be, a Global Note, except for Definitive Notes issued subsequent to any of the preceding events in</w:t>
      </w:r>
    </w:p>
    <w:p>
      <w:pPr>
        <w:spacing w:after="0" w:line="4" w:lineRule="exact"/>
        <w:rPr>
          <w:rFonts w:ascii="Arial" w:cs="Arial" w:eastAsia="Arial" w:hAnsi="Arial"/>
          <w:sz w:val="16"/>
          <w:szCs w:val="16"/>
          <w:color w:val="auto"/>
        </w:rPr>
      </w:pPr>
    </w:p>
    <w:p>
      <w:pPr>
        <w:ind w:right="20" w:firstLine="8"/>
        <w:spacing w:after="0" w:line="323" w:lineRule="auto"/>
        <w:tabs>
          <w:tab w:leader="none" w:pos="2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or (ii) above and pursuant to </w:t>
      </w:r>
      <w:r>
        <w:rPr>
          <w:rFonts w:ascii="Arial" w:cs="Arial" w:eastAsia="Arial" w:hAnsi="Arial"/>
          <w:sz w:val="16"/>
          <w:szCs w:val="16"/>
          <w:u w:val="single" w:color="auto"/>
          <w:color w:val="auto"/>
        </w:rPr>
        <w:t>Section 2.06(b)(ii)(B)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A Global Note may not be exchanged for another Note other than as provided in this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beneficial interests in a Global Note may be transferred and exchanged as provided in </w:t>
      </w:r>
      <w:r>
        <w:rPr>
          <w:rFonts w:ascii="Arial" w:cs="Arial" w:eastAsia="Arial" w:hAnsi="Arial"/>
          <w:sz w:val="16"/>
          <w:szCs w:val="16"/>
          <w:u w:val="single" w:color="auto"/>
          <w:color w:val="auto"/>
        </w:rPr>
        <w:t>Section 2.06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0" w:name="page91"/>
    <w:bookmarkEnd w:id="90"/>
    <w:p>
      <w:pPr>
        <w:ind w:firstLine="1952"/>
        <w:spacing w:after="0" w:line="257" w:lineRule="auto"/>
        <w:tabs>
          <w:tab w:leader="none" w:pos="264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Beneficial Interests in the Global Notes</w:t>
      </w:r>
      <w:r>
        <w:rPr>
          <w:rFonts w:ascii="Arial" w:cs="Arial" w:eastAsia="Arial" w:hAnsi="Arial"/>
          <w:sz w:val="18"/>
          <w:szCs w:val="18"/>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88" w:lineRule="exact"/>
        <w:rPr>
          <w:sz w:val="20"/>
          <w:szCs w:val="20"/>
          <w:color w:val="auto"/>
        </w:rPr>
      </w:pPr>
    </w:p>
    <w:p>
      <w:pPr>
        <w:ind w:left="660" w:right="660" w:firstLine="2264"/>
        <w:spacing w:after="0" w:line="291" w:lineRule="auto"/>
        <w:tabs>
          <w:tab w:leader="none" w:pos="336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Transfer of Beneficial Interests in the Same Global Note</w:t>
      </w:r>
      <w:r>
        <w:rPr>
          <w:rFonts w:ascii="Arial" w:cs="Arial" w:eastAsia="Arial" w:hAnsi="Arial"/>
          <w:sz w:val="16"/>
          <w:szCs w:val="16"/>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the expiration of the applicable Restricted Period, transfers of beneficial interests in a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Arial" w:cs="Arial" w:eastAsia="Arial" w:hAnsi="Arial"/>
          <w:sz w:val="16"/>
          <w:szCs w:val="16"/>
          <w:u w:val="single" w:color="auto"/>
          <w:color w:val="auto"/>
        </w:rPr>
        <w:t>Section 2.06(b)(i)</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60" w:right="660" w:firstLine="2264"/>
        <w:spacing w:after="0" w:line="268" w:lineRule="auto"/>
        <w:tabs>
          <w:tab w:leader="none" w:pos="341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All Other Transfers and Exchanges of Beneficial Interests in Global Notes</w:t>
      </w:r>
      <w:r>
        <w:rPr>
          <w:rFonts w:ascii="Arial" w:cs="Arial" w:eastAsia="Arial" w:hAnsi="Arial"/>
          <w:sz w:val="17"/>
          <w:szCs w:val="17"/>
          <w:color w:val="auto"/>
        </w:rPr>
        <w:t xml:space="preserve">. In connection with all transfers and exchanges of beneficial interests that are not subject to </w:t>
      </w:r>
      <w:r>
        <w:rPr>
          <w:rFonts w:ascii="Arial" w:cs="Arial" w:eastAsia="Arial" w:hAnsi="Arial"/>
          <w:sz w:val="17"/>
          <w:szCs w:val="17"/>
          <w:u w:val="single" w:color="auto"/>
          <w:color w:val="auto"/>
        </w:rPr>
        <w:t>Section 2.06(b)(i)</w:t>
      </w:r>
      <w:r>
        <w:rPr>
          <w:rFonts w:ascii="Arial" w:cs="Arial" w:eastAsia="Arial" w:hAnsi="Arial"/>
          <w:sz w:val="17"/>
          <w:szCs w:val="17"/>
          <w:color w:val="auto"/>
        </w:rPr>
        <w:t xml:space="preserve">,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Definitive Notes be issued upon the transfer or exchange of beneficial interests in a Regulation S Global Note prior to the expiration of the applicable Restricted Period.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Arial" w:cs="Arial" w:eastAsia="Arial" w:hAnsi="Arial"/>
          <w:sz w:val="17"/>
          <w:szCs w:val="17"/>
          <w:u w:val="single" w:color="auto"/>
          <w:color w:val="auto"/>
        </w:rPr>
        <w:t>Section 2.06(h)</w:t>
      </w:r>
      <w:r>
        <w:rPr>
          <w:rFonts w:ascii="Arial" w:cs="Arial" w:eastAsia="Arial" w:hAnsi="Arial"/>
          <w:sz w:val="17"/>
          <w:szCs w:val="17"/>
          <w:color w:val="auto"/>
        </w:rPr>
        <w: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1" w:name="page92"/>
    <w:bookmarkEnd w:id="91"/>
    <w:p>
      <w:pPr>
        <w:ind w:firstLine="2264"/>
        <w:spacing w:after="0" w:line="286" w:lineRule="auto"/>
        <w:tabs>
          <w:tab w:leader="none" w:pos="280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Transfer of Beneficial Interests to Another Restricted Global Note</w:t>
      </w:r>
      <w:r>
        <w:rPr>
          <w:rFonts w:ascii="Arial" w:cs="Arial" w:eastAsia="Arial" w:hAnsi="Arial"/>
          <w:sz w:val="17"/>
          <w:szCs w:val="17"/>
          <w:color w:val="auto"/>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Arial" w:cs="Arial" w:eastAsia="Arial" w:hAnsi="Arial"/>
          <w:sz w:val="17"/>
          <w:szCs w:val="17"/>
          <w:u w:val="single" w:color="auto"/>
          <w:color w:val="auto"/>
        </w:rPr>
        <w:t>Section 2.06(b)(ii)</w:t>
      </w:r>
      <w:r>
        <w:rPr>
          <w:rFonts w:ascii="Arial" w:cs="Arial" w:eastAsia="Arial" w:hAnsi="Arial"/>
          <w:sz w:val="17"/>
          <w:szCs w:val="17"/>
          <w:color w:val="auto"/>
        </w:rPr>
        <w:t xml:space="preserve"> and the Registrar receives the following:</w:t>
      </w:r>
    </w:p>
    <w:p>
      <w:pPr>
        <w:spacing w:after="0" w:line="165" w:lineRule="exact"/>
        <w:rPr>
          <w:sz w:val="20"/>
          <w:szCs w:val="20"/>
          <w:color w:val="auto"/>
        </w:rPr>
      </w:pPr>
    </w:p>
    <w:p>
      <w:pPr>
        <w:ind w:left="3520" w:hanging="608"/>
        <w:spacing w:after="0"/>
        <w:tabs>
          <w:tab w:leader="none" w:pos="35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a 144A</w:t>
      </w:r>
    </w:p>
    <w:p>
      <w:pPr>
        <w:spacing w:after="0" w:line="23" w:lineRule="exact"/>
        <w:rPr>
          <w:rFonts w:ascii="Arial" w:cs="Arial" w:eastAsia="Arial" w:hAnsi="Arial"/>
          <w:sz w:val="18"/>
          <w:szCs w:val="18"/>
          <w:color w:val="auto"/>
        </w:rPr>
      </w:pPr>
    </w:p>
    <w:p>
      <w:pPr>
        <w:ind w:left="640" w:right="114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 or</w:t>
      </w:r>
    </w:p>
    <w:p>
      <w:pPr>
        <w:spacing w:after="0" w:line="185" w:lineRule="exact"/>
        <w:rPr>
          <w:rFonts w:ascii="Arial" w:cs="Arial" w:eastAsia="Arial" w:hAnsi="Arial"/>
          <w:sz w:val="18"/>
          <w:szCs w:val="18"/>
          <w:color w:val="auto"/>
        </w:rPr>
      </w:pPr>
    </w:p>
    <w:p>
      <w:pPr>
        <w:ind w:left="3520" w:hanging="608"/>
        <w:spacing w:after="0"/>
        <w:tabs>
          <w:tab w:leader="none" w:pos="352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a</w:t>
      </w:r>
    </w:p>
    <w:p>
      <w:pPr>
        <w:spacing w:after="0" w:line="23" w:lineRule="exact"/>
        <w:rPr>
          <w:rFonts w:ascii="Arial" w:cs="Arial" w:eastAsia="Arial" w:hAnsi="Arial"/>
          <w:sz w:val="18"/>
          <w:szCs w:val="18"/>
          <w:color w:val="auto"/>
        </w:rPr>
      </w:pPr>
    </w:p>
    <w:p>
      <w:pPr>
        <w:ind w:left="640" w:right="13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Regulation S Global Note,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w:t>
      </w:r>
    </w:p>
    <w:p>
      <w:pPr>
        <w:spacing w:after="0" w:line="185" w:lineRule="exact"/>
        <w:rPr>
          <w:rFonts w:ascii="Arial" w:cs="Arial" w:eastAsia="Arial" w:hAnsi="Arial"/>
          <w:sz w:val="18"/>
          <w:szCs w:val="18"/>
          <w:color w:val="auto"/>
        </w:rPr>
      </w:pPr>
    </w:p>
    <w:p>
      <w:pPr>
        <w:ind w:right="20" w:firstLine="2264"/>
        <w:spacing w:after="0" w:line="301" w:lineRule="auto"/>
        <w:tabs>
          <w:tab w:leader="none" w:pos="279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Beneficial Interests in a Restricted Global Note for Beneficial Interests in an Unrestricted Global Note</w:t>
      </w:r>
      <w:r>
        <w:rPr>
          <w:rFonts w:ascii="Arial" w:cs="Arial" w:eastAsia="Arial" w:hAnsi="Arial"/>
          <w:sz w:val="16"/>
          <w:szCs w:val="16"/>
          <w:color w:val="auto"/>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Arial" w:cs="Arial" w:eastAsia="Arial" w:hAnsi="Arial"/>
          <w:sz w:val="16"/>
          <w:szCs w:val="16"/>
          <w:u w:val="single" w:color="auto"/>
          <w:color w:val="auto"/>
        </w:rPr>
        <w:t>Section 2.06(b)(ii)</w:t>
      </w:r>
      <w:r>
        <w:rPr>
          <w:rFonts w:ascii="Arial" w:cs="Arial" w:eastAsia="Arial" w:hAnsi="Arial"/>
          <w:sz w:val="16"/>
          <w:szCs w:val="16"/>
          <w:color w:val="auto"/>
        </w:rPr>
        <w:t xml:space="preserve"> and:</w:t>
      </w:r>
    </w:p>
    <w:p>
      <w:pPr>
        <w:spacing w:after="0" w:line="157" w:lineRule="exact"/>
        <w:rPr>
          <w:rFonts w:ascii="Arial" w:cs="Arial" w:eastAsia="Arial" w:hAnsi="Arial"/>
          <w:sz w:val="16"/>
          <w:szCs w:val="16"/>
          <w:color w:val="auto"/>
        </w:rPr>
      </w:pPr>
    </w:p>
    <w:p>
      <w:pPr>
        <w:ind w:left="3520" w:hanging="608"/>
        <w:spacing w:after="0"/>
        <w:tabs>
          <w:tab w:leader="none" w:pos="35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3520" w:hanging="608"/>
        <w:spacing w:after="0"/>
        <w:tabs>
          <w:tab w:leader="none" w:pos="35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80" w:right="140" w:firstLine="2427"/>
        <w:spacing w:after="0" w:line="263" w:lineRule="auto"/>
        <w:tabs>
          <w:tab w:leader="none" w:pos="299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(1)(a) thereof;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980" w:top="341" w:right="1039" w:bottom="1440" w:gutter="0" w:footer="0" w:header="0"/>
        </w:sectPr>
      </w:pPr>
    </w:p>
    <w:bookmarkStart w:id="92" w:name="page93"/>
    <w:bookmarkEnd w:id="92"/>
    <w:p>
      <w:pPr>
        <w:ind w:left="740" w:right="840" w:firstLine="2427"/>
        <w:spacing w:after="0" w:line="286" w:lineRule="auto"/>
        <w:tabs>
          <w:tab w:leader="none" w:pos="36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including the certifications in item (4) thereof;</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ind w:right="20" w:firstLine="1296"/>
        <w:spacing w:after="0" w:line="311" w:lineRule="auto"/>
        <w:rPr>
          <w:sz w:val="20"/>
          <w:szCs w:val="20"/>
          <w:color w:val="auto"/>
        </w:rPr>
      </w:pPr>
      <w:r>
        <w:rPr>
          <w:rFonts w:ascii="Arial" w:cs="Arial" w:eastAsia="Arial" w:hAnsi="Arial"/>
          <w:sz w:val="16"/>
          <w:szCs w:val="16"/>
          <w:color w:val="auto"/>
        </w:rPr>
        <w:t xml:space="preserve">If any such transfer is effected pursuant to this clause (iv) at a time when an Unrestricted Global Note has not yet been issued, the Issuer shall issue and, upon receipt of an Authentication Order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the Trustee shall authenticate one or more Unrestricted Global Notes in an aggregate principal amount equal to the aggregate principal amount of beneficial interests transferred pursuant to this clause (iv).</w:t>
      </w:r>
    </w:p>
    <w:p>
      <w:pPr>
        <w:spacing w:after="0" w:line="149"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2640" w:hanging="688"/>
        <w:spacing w:after="0"/>
        <w:tabs>
          <w:tab w:leader="none" w:pos="26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Transfer or Exchange of Beneficial Interests for Definitive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580" w:firstLine="2264"/>
        <w:spacing w:after="0" w:line="301" w:lineRule="auto"/>
        <w:tabs>
          <w:tab w:leader="none" w:pos="3368"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Beneficial Interests in Restricted Global Notes to Restricted Definitive Notes</w:t>
      </w:r>
      <w:r>
        <w:rPr>
          <w:rFonts w:ascii="Arial" w:cs="Arial" w:eastAsia="Arial" w:hAnsi="Arial"/>
          <w:sz w:val="16"/>
          <w:szCs w:val="16"/>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and receipt by the Registrar of the following documentation:</w:t>
      </w:r>
    </w:p>
    <w:p>
      <w:pPr>
        <w:spacing w:after="0" w:line="157" w:lineRule="exact"/>
        <w:rPr>
          <w:rFonts w:ascii="Arial" w:cs="Arial" w:eastAsia="Arial" w:hAnsi="Arial"/>
          <w:sz w:val="16"/>
          <w:szCs w:val="16"/>
          <w:color w:val="auto"/>
        </w:rPr>
      </w:pPr>
    </w:p>
    <w:p>
      <w:pPr>
        <w:ind w:left="1300" w:right="1280" w:firstLine="2272"/>
        <w:spacing w:after="0" w:line="263" w:lineRule="auto"/>
        <w:tabs>
          <w:tab w:leader="none" w:pos="4178" w:val="left"/>
        </w:tabs>
        <w:numPr>
          <w:ilvl w:val="2"/>
          <w:numId w:val="103"/>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 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(2)(a) thereof;</w:t>
      </w:r>
    </w:p>
    <w:p>
      <w:pPr>
        <w:spacing w:after="0" w:line="183" w:lineRule="exact"/>
        <w:rPr>
          <w:rFonts w:ascii="Arial" w:cs="Arial" w:eastAsia="Arial" w:hAnsi="Arial"/>
          <w:sz w:val="18"/>
          <w:szCs w:val="18"/>
          <w:color w:val="auto"/>
        </w:rPr>
      </w:pPr>
    </w:p>
    <w:p>
      <w:pPr>
        <w:ind w:left="4180" w:hanging="608"/>
        <w:spacing w:after="0"/>
        <w:tabs>
          <w:tab w:leader="none" w:pos="41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person the transferor</w:t>
      </w:r>
    </w:p>
    <w:p>
      <w:pPr>
        <w:spacing w:after="0" w:line="23" w:lineRule="exact"/>
        <w:rPr>
          <w:sz w:val="20"/>
          <w:szCs w:val="20"/>
          <w:color w:val="auto"/>
        </w:rPr>
      </w:pPr>
    </w:p>
    <w:p>
      <w:pPr>
        <w:ind w:left="1300" w:right="1580"/>
        <w:spacing w:after="0" w:line="260" w:lineRule="auto"/>
        <w:rPr>
          <w:sz w:val="20"/>
          <w:szCs w:val="20"/>
          <w:color w:val="auto"/>
        </w:rPr>
      </w:pPr>
      <w:r>
        <w:rPr>
          <w:rFonts w:ascii="Arial" w:cs="Arial" w:eastAsia="Arial" w:hAnsi="Arial"/>
          <w:sz w:val="18"/>
          <w:szCs w:val="18"/>
          <w:color w:val="auto"/>
        </w:rPr>
        <w:t xml:space="preserve">reasonably believes to be a QIB in accordance with Rule 144A,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93" w:name="page94"/>
    <w:bookmarkEnd w:id="93"/>
    <w:p>
      <w:pPr>
        <w:jc w:val="both"/>
        <w:ind w:left="1300" w:right="1760" w:firstLine="2272"/>
        <w:spacing w:after="0" w:line="263" w:lineRule="auto"/>
        <w:tabs>
          <w:tab w:leader="none" w:pos="4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w:t>
      </w:r>
    </w:p>
    <w:p>
      <w:pPr>
        <w:spacing w:after="0" w:line="183" w:lineRule="exact"/>
        <w:rPr>
          <w:rFonts w:ascii="Arial" w:cs="Arial" w:eastAsia="Arial" w:hAnsi="Arial"/>
          <w:sz w:val="18"/>
          <w:szCs w:val="18"/>
          <w:color w:val="auto"/>
        </w:rPr>
      </w:pPr>
    </w:p>
    <w:p>
      <w:pPr>
        <w:ind w:left="1300" w:right="1560" w:firstLine="2272"/>
        <w:spacing w:after="0" w:line="263" w:lineRule="auto"/>
        <w:tabs>
          <w:tab w:leader="none" w:pos="41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such beneficial interest is being transferred to the Issuer or any of the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(3)(a) thereof; or</w:t>
      </w:r>
    </w:p>
    <w:p>
      <w:pPr>
        <w:spacing w:after="0" w:line="183" w:lineRule="exact"/>
        <w:rPr>
          <w:rFonts w:ascii="Arial" w:cs="Arial" w:eastAsia="Arial" w:hAnsi="Arial"/>
          <w:sz w:val="18"/>
          <w:szCs w:val="18"/>
          <w:color w:val="auto"/>
        </w:rPr>
      </w:pPr>
    </w:p>
    <w:p>
      <w:pPr>
        <w:ind w:left="4200" w:hanging="628"/>
        <w:spacing w:after="0"/>
        <w:tabs>
          <w:tab w:leader="none" w:pos="4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w:t>
      </w:r>
    </w:p>
    <w:p>
      <w:pPr>
        <w:spacing w:after="0" w:line="23" w:lineRule="exact"/>
        <w:rPr>
          <w:rFonts w:ascii="Arial" w:cs="Arial" w:eastAsia="Arial" w:hAnsi="Arial"/>
          <w:sz w:val="18"/>
          <w:szCs w:val="18"/>
          <w:color w:val="auto"/>
        </w:rPr>
      </w:pPr>
    </w:p>
    <w:p>
      <w:pPr>
        <w:ind w:left="1300" w:right="186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(3)(b) thereof,</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Trustee shall cause the aggregate principal amount of the applicable Global Note to be reduced accordingly pursuant to </w:t>
      </w:r>
      <w:r>
        <w:rPr>
          <w:rFonts w:ascii="Arial" w:cs="Arial" w:eastAsia="Arial" w:hAnsi="Arial"/>
          <w:sz w:val="17"/>
          <w:szCs w:val="17"/>
          <w:u w:val="single" w:color="auto"/>
          <w:color w:val="auto"/>
        </w:rPr>
        <w:t>Section 2.06(h)</w:t>
      </w:r>
      <w:r>
        <w:rPr>
          <w:rFonts w:ascii="Arial" w:cs="Arial" w:eastAsia="Arial" w:hAnsi="Arial"/>
          <w:sz w:val="17"/>
          <w:szCs w:val="17"/>
          <w:color w:val="auto"/>
        </w:rPr>
        <w:t xml:space="preserve">,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w:t>
      </w:r>
      <w:r>
        <w:rPr>
          <w:rFonts w:ascii="Arial" w:cs="Arial" w:eastAsia="Arial" w:hAnsi="Arial"/>
          <w:sz w:val="17"/>
          <w:szCs w:val="17"/>
          <w:u w:val="single" w:color="auto"/>
          <w:color w:val="auto"/>
        </w:rPr>
        <w:t>Section 2.06(c)(i)</w:t>
      </w:r>
      <w:r>
        <w:rPr>
          <w:rFonts w:ascii="Arial" w:cs="Arial" w:eastAsia="Arial" w:hAnsi="Arial"/>
          <w:sz w:val="17"/>
          <w:szCs w:val="17"/>
          <w:color w:val="auto"/>
        </w:rPr>
        <w:t xml:space="preserve"> shall bear the Private Placement Legend and shall be subject to all restrictions on transfer contained therein.</w:t>
      </w:r>
    </w:p>
    <w:p>
      <w:pPr>
        <w:spacing w:after="0" w:line="177" w:lineRule="exact"/>
        <w:rPr>
          <w:sz w:val="20"/>
          <w:szCs w:val="20"/>
          <w:color w:val="auto"/>
        </w:rPr>
      </w:pPr>
    </w:p>
    <w:p>
      <w:pPr>
        <w:ind w:left="660" w:right="740" w:firstLine="2264"/>
        <w:spacing w:after="0" w:line="257" w:lineRule="auto"/>
        <w:tabs>
          <w:tab w:leader="none" w:pos="341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Regulation S Global Note to Definitive Notes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Sections 2.06(c)(i)(A)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a beneficial interest in a Regulation S Global Note may not be exchanged for a Definitive Note or transferred to a Person who takes delivery thereof in the form of a Definitive Note prior to the expiration of the applicable Restricted Period, except in the case of a transfer pursuant to an exemption from the registration requirements of the Securities Act other than Rule 903 or Rule 904.</w:t>
      </w:r>
    </w:p>
    <w:p>
      <w:pPr>
        <w:spacing w:after="0" w:line="187" w:lineRule="exact"/>
        <w:rPr>
          <w:rFonts w:ascii="Arial" w:cs="Arial" w:eastAsia="Arial" w:hAnsi="Arial"/>
          <w:sz w:val="18"/>
          <w:szCs w:val="18"/>
          <w:color w:val="auto"/>
        </w:rPr>
      </w:pPr>
    </w:p>
    <w:p>
      <w:pPr>
        <w:ind w:left="660" w:right="660" w:firstLine="2264"/>
        <w:spacing w:after="0" w:line="259" w:lineRule="auto"/>
        <w:tabs>
          <w:tab w:leader="none" w:pos="346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Beneficial Interests in Restricted Global Notes to Unrestricted Definitive Notes</w:t>
      </w:r>
      <w:r>
        <w:rPr>
          <w:rFonts w:ascii="Arial" w:cs="Arial" w:eastAsia="Arial" w:hAnsi="Arial"/>
          <w:sz w:val="18"/>
          <w:szCs w:val="18"/>
          <w:color w:val="auto"/>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and if:</w:t>
      </w:r>
    </w:p>
    <w:p>
      <w:pPr>
        <w:spacing w:after="0" w:line="186" w:lineRule="exact"/>
        <w:rPr>
          <w:rFonts w:ascii="Arial" w:cs="Arial" w:eastAsia="Arial" w:hAnsi="Arial"/>
          <w:sz w:val="18"/>
          <w:szCs w:val="18"/>
          <w:color w:val="auto"/>
        </w:rPr>
      </w:pPr>
    </w:p>
    <w:p>
      <w:pPr>
        <w:ind w:left="4180" w:hanging="608"/>
        <w:spacing w:after="0"/>
        <w:tabs>
          <w:tab w:leader="none" w:pos="41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4" w:name="page95"/>
    <w:bookmarkEnd w:id="94"/>
    <w:p>
      <w:pPr>
        <w:ind w:left="4180" w:hanging="608"/>
        <w:spacing w:after="0"/>
        <w:tabs>
          <w:tab w:leader="none" w:pos="41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740" w:right="560" w:firstLine="2427"/>
        <w:spacing w:after="0" w:line="263" w:lineRule="auto"/>
        <w:tabs>
          <w:tab w:leader="none" w:pos="36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(1)(b) thereof; or</w:t>
      </w:r>
    </w:p>
    <w:p>
      <w:pPr>
        <w:spacing w:after="0" w:line="183" w:lineRule="exact"/>
        <w:rPr>
          <w:rFonts w:ascii="Arial" w:cs="Arial" w:eastAsia="Arial" w:hAnsi="Arial"/>
          <w:sz w:val="18"/>
          <w:szCs w:val="18"/>
          <w:color w:val="auto"/>
        </w:rPr>
      </w:pPr>
    </w:p>
    <w:p>
      <w:pPr>
        <w:ind w:left="740" w:right="840" w:firstLine="2427"/>
        <w:spacing w:after="0" w:line="263" w:lineRule="auto"/>
        <w:tabs>
          <w:tab w:leader="none" w:pos="36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49" w:lineRule="exact"/>
        <w:rPr>
          <w:sz w:val="20"/>
          <w:szCs w:val="20"/>
          <w:color w:val="auto"/>
        </w:rPr>
      </w:pPr>
    </w:p>
    <w:p>
      <w:pPr>
        <w:ind w:left="660" w:right="520" w:firstLine="2264"/>
        <w:spacing w:after="0" w:line="287" w:lineRule="auto"/>
        <w:tabs>
          <w:tab w:leader="none" w:pos="345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Beneficial Interests in Unrestricted Global Notes to Unrestricted Definitive Notes</w:t>
      </w:r>
      <w:r>
        <w:rPr>
          <w:rFonts w:ascii="Arial" w:cs="Arial" w:eastAsia="Arial" w:hAnsi="Arial"/>
          <w:sz w:val="16"/>
          <w:szCs w:val="16"/>
          <w:color w:val="auto"/>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w:t>
      </w:r>
      <w:r>
        <w:rPr>
          <w:rFonts w:ascii="Arial" w:cs="Arial" w:eastAsia="Arial" w:hAnsi="Arial"/>
          <w:sz w:val="16"/>
          <w:szCs w:val="16"/>
          <w:u w:val="single" w:color="auto"/>
          <w:color w:val="auto"/>
        </w:rPr>
        <w:t>subsection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and satisfaction of the conditions set forth in </w:t>
      </w:r>
      <w:r>
        <w:rPr>
          <w:rFonts w:ascii="Arial" w:cs="Arial" w:eastAsia="Arial" w:hAnsi="Arial"/>
          <w:sz w:val="16"/>
          <w:szCs w:val="16"/>
          <w:u w:val="single" w:color="auto"/>
          <w:color w:val="auto"/>
        </w:rPr>
        <w:t>Section 2.06(b)(ii)</w:t>
      </w:r>
      <w:r>
        <w:rPr>
          <w:rFonts w:ascii="Arial" w:cs="Arial" w:eastAsia="Arial" w:hAnsi="Arial"/>
          <w:sz w:val="16"/>
          <w:szCs w:val="16"/>
          <w:color w:val="auto"/>
        </w:rPr>
        <w:t xml:space="preserve">, the Trustee shall cause the aggregate principal amount of the applicable Global Note to be reduced accordingly pursuant to </w:t>
      </w:r>
      <w:r>
        <w:rPr>
          <w:rFonts w:ascii="Arial" w:cs="Arial" w:eastAsia="Arial" w:hAnsi="Arial"/>
          <w:sz w:val="16"/>
          <w:szCs w:val="16"/>
          <w:u w:val="single" w:color="auto"/>
          <w:color w:val="auto"/>
        </w:rPr>
        <w:t>Section 2.06(h)</w:t>
      </w:r>
      <w:r>
        <w:rPr>
          <w:rFonts w:ascii="Arial" w:cs="Arial" w:eastAsia="Arial" w:hAnsi="Arial"/>
          <w:sz w:val="16"/>
          <w:szCs w:val="16"/>
          <w:color w:val="auto"/>
        </w:rPr>
        <w:t xml:space="preserve">, and the Issuer shall execute and the Trustee shall, upon receipt of an Authentication Order, authenticate and mail to the Person designated in the instructions a Definitive Note in the applicable principal amount. Any Definitive Note issued in exchange for a beneficial interest pursuant to this </w:t>
      </w:r>
      <w:r>
        <w:rPr>
          <w:rFonts w:ascii="Arial" w:cs="Arial" w:eastAsia="Arial" w:hAnsi="Arial"/>
          <w:sz w:val="16"/>
          <w:szCs w:val="16"/>
          <w:u w:val="single" w:color="auto"/>
          <w:color w:val="auto"/>
        </w:rPr>
        <w:t>Section 2.06(c)(iv)</w:t>
      </w:r>
      <w:r>
        <w:rPr>
          <w:rFonts w:ascii="Arial" w:cs="Arial" w:eastAsia="Arial" w:hAnsi="Arial"/>
          <w:sz w:val="16"/>
          <w:szCs w:val="16"/>
          <w:color w:val="auto"/>
        </w:rPr>
        <w:t xml:space="preserve">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w:t>
      </w:r>
      <w:r>
        <w:rPr>
          <w:rFonts w:ascii="Arial" w:cs="Arial" w:eastAsia="Arial" w:hAnsi="Arial"/>
          <w:sz w:val="16"/>
          <w:szCs w:val="16"/>
          <w:u w:val="single" w:color="auto"/>
          <w:color w:val="auto"/>
        </w:rPr>
        <w:t>Section 2.06(c)(iv)</w:t>
      </w:r>
      <w:r>
        <w:rPr>
          <w:rFonts w:ascii="Arial" w:cs="Arial" w:eastAsia="Arial" w:hAnsi="Arial"/>
          <w:sz w:val="16"/>
          <w:szCs w:val="16"/>
          <w:color w:val="auto"/>
        </w:rPr>
        <w:t xml:space="preserve"> shall not bear the Private Placement Legend.</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95" w:name="page96"/>
    <w:bookmarkEnd w:id="95"/>
    <w:p>
      <w:pPr>
        <w:ind w:left="2660" w:hanging="708"/>
        <w:spacing w:after="0"/>
        <w:tabs>
          <w:tab w:leader="none" w:pos="26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Beneficial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80" w:firstLine="2264"/>
        <w:spacing w:after="0" w:line="259" w:lineRule="auto"/>
        <w:tabs>
          <w:tab w:leader="none" w:pos="336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Beneficial Interests in Restricted Global Notes</w:t>
      </w:r>
      <w:r>
        <w:rPr>
          <w:rFonts w:ascii="Arial" w:cs="Arial" w:eastAsia="Arial" w:hAnsi="Arial"/>
          <w:sz w:val="18"/>
          <w:szCs w:val="18"/>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87" w:lineRule="exact"/>
        <w:rPr>
          <w:sz w:val="20"/>
          <w:szCs w:val="20"/>
          <w:color w:val="auto"/>
        </w:rPr>
      </w:pPr>
    </w:p>
    <w:p>
      <w:pPr>
        <w:jc w:val="both"/>
        <w:ind w:left="1300" w:right="1560" w:firstLine="2272"/>
        <w:spacing w:after="0" w:line="263" w:lineRule="auto"/>
        <w:tabs>
          <w:tab w:leader="none" w:pos="41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 proposes to exchange such Note for a beneficial interest in a Restricted Global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(2)(b) thereof;</w:t>
      </w:r>
    </w:p>
    <w:p>
      <w:pPr>
        <w:spacing w:after="0" w:line="183" w:lineRule="exact"/>
        <w:rPr>
          <w:rFonts w:ascii="Arial" w:cs="Arial" w:eastAsia="Arial" w:hAnsi="Arial"/>
          <w:sz w:val="18"/>
          <w:szCs w:val="18"/>
          <w:color w:val="auto"/>
        </w:rPr>
      </w:pPr>
    </w:p>
    <w:p>
      <w:pPr>
        <w:ind w:left="1300" w:right="1300" w:firstLine="2272"/>
        <w:spacing w:after="0" w:line="263" w:lineRule="auto"/>
        <w:tabs>
          <w:tab w:leader="none" w:pos="4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person the transferor reasonably believes to be a QIB in accordance with Rule 144A,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w:t>
      </w:r>
    </w:p>
    <w:p>
      <w:pPr>
        <w:spacing w:after="0" w:line="183" w:lineRule="exact"/>
        <w:rPr>
          <w:rFonts w:ascii="Arial" w:cs="Arial" w:eastAsia="Arial" w:hAnsi="Arial"/>
          <w:sz w:val="18"/>
          <w:szCs w:val="18"/>
          <w:color w:val="auto"/>
        </w:rPr>
      </w:pPr>
    </w:p>
    <w:p>
      <w:pPr>
        <w:ind w:left="1300" w:right="1380" w:firstLine="2272"/>
        <w:spacing w:after="0" w:line="263" w:lineRule="auto"/>
        <w:tabs>
          <w:tab w:leader="none" w:pos="4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a Non-U.S. Person in an offshore transaction in accordance with Rule 903 or Rule 904,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w:t>
      </w:r>
    </w:p>
    <w:p>
      <w:pPr>
        <w:spacing w:after="0" w:line="183" w:lineRule="exact"/>
        <w:rPr>
          <w:rFonts w:ascii="Arial" w:cs="Arial" w:eastAsia="Arial" w:hAnsi="Arial"/>
          <w:sz w:val="18"/>
          <w:szCs w:val="18"/>
          <w:color w:val="auto"/>
        </w:rPr>
      </w:pPr>
    </w:p>
    <w:p>
      <w:pPr>
        <w:ind w:left="1300" w:right="1300" w:firstLine="2272"/>
        <w:spacing w:after="0" w:line="263" w:lineRule="auto"/>
        <w:tabs>
          <w:tab w:leader="none" w:pos="417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such Restricted Definitive Note is being transferred to the Issuer or any of its Restricted Subsidiaries,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(3)(a) thereof; or</w:t>
      </w:r>
    </w:p>
    <w:p>
      <w:pPr>
        <w:spacing w:after="0" w:line="183" w:lineRule="exact"/>
        <w:rPr>
          <w:rFonts w:ascii="Arial" w:cs="Arial" w:eastAsia="Arial" w:hAnsi="Arial"/>
          <w:sz w:val="18"/>
          <w:szCs w:val="18"/>
          <w:color w:val="auto"/>
        </w:rPr>
      </w:pPr>
    </w:p>
    <w:p>
      <w:pPr>
        <w:ind w:left="4200" w:hanging="628"/>
        <w:spacing w:after="0"/>
        <w:tabs>
          <w:tab w:leader="none" w:pos="42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w:t>
      </w:r>
    </w:p>
    <w:p>
      <w:pPr>
        <w:spacing w:after="0" w:line="23" w:lineRule="exact"/>
        <w:rPr>
          <w:rFonts w:ascii="Arial" w:cs="Arial" w:eastAsia="Arial" w:hAnsi="Arial"/>
          <w:sz w:val="18"/>
          <w:szCs w:val="18"/>
          <w:color w:val="auto"/>
        </w:rPr>
      </w:pPr>
    </w:p>
    <w:p>
      <w:pPr>
        <w:ind w:left="1300" w:right="184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registration statement under the Securities Act,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(3)(b) thereof,</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spacing w:after="0" w:line="184" w:lineRule="exact"/>
        <w:rPr>
          <w:sz w:val="20"/>
          <w:szCs w:val="20"/>
          <w:color w:val="auto"/>
        </w:rPr>
      </w:pPr>
    </w:p>
    <w:p>
      <w:pPr>
        <w:ind w:left="660" w:right="860" w:firstLine="2264"/>
        <w:spacing w:after="0" w:line="311" w:lineRule="auto"/>
        <w:tabs>
          <w:tab w:leader="none" w:pos="3418"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Restricted Definitive Notes to Beneficial Interests in Unrestricted Global Notes</w:t>
      </w:r>
      <w:r>
        <w:rPr>
          <w:rFonts w:ascii="Arial" w:cs="Arial" w:eastAsia="Arial" w:hAnsi="Arial"/>
          <w:sz w:val="16"/>
          <w:szCs w:val="16"/>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148" w:lineRule="exact"/>
        <w:rPr>
          <w:rFonts w:ascii="Arial" w:cs="Arial" w:eastAsia="Arial" w:hAnsi="Arial"/>
          <w:sz w:val="16"/>
          <w:szCs w:val="16"/>
          <w:color w:val="auto"/>
        </w:rPr>
      </w:pPr>
    </w:p>
    <w:p>
      <w:pPr>
        <w:ind w:left="4180" w:hanging="608"/>
        <w:spacing w:after="0"/>
        <w:tabs>
          <w:tab w:leader="none" w:pos="41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6" w:name="page97"/>
    <w:bookmarkEnd w:id="96"/>
    <w:p>
      <w:pPr>
        <w:ind w:left="4180" w:hanging="608"/>
        <w:spacing w:after="0"/>
        <w:tabs>
          <w:tab w:leader="none" w:pos="41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740" w:right="600" w:firstLine="2427"/>
        <w:spacing w:after="0" w:line="263" w:lineRule="auto"/>
        <w:tabs>
          <w:tab w:leader="none" w:pos="3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exchange such Notes for a beneficial interest in the Unrestricted Global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(1)(c) thereof; or</w:t>
      </w:r>
    </w:p>
    <w:p>
      <w:pPr>
        <w:spacing w:after="0" w:line="183" w:lineRule="exact"/>
        <w:rPr>
          <w:rFonts w:ascii="Arial" w:cs="Arial" w:eastAsia="Arial" w:hAnsi="Arial"/>
          <w:sz w:val="18"/>
          <w:szCs w:val="18"/>
          <w:color w:val="auto"/>
        </w:rPr>
      </w:pPr>
    </w:p>
    <w:p>
      <w:pPr>
        <w:ind w:left="740" w:right="700" w:firstLine="2427"/>
        <w:spacing w:after="0" w:line="263" w:lineRule="auto"/>
        <w:tabs>
          <w:tab w:leader="none" w:pos="3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Upon satisfaction of the conditions of any of the subparagraphs in this </w:t>
      </w:r>
      <w:r>
        <w:rPr>
          <w:rFonts w:ascii="Arial" w:cs="Arial" w:eastAsia="Arial" w:hAnsi="Arial"/>
          <w:sz w:val="18"/>
          <w:szCs w:val="18"/>
          <w:u w:val="single" w:color="auto"/>
          <w:color w:val="auto"/>
        </w:rPr>
        <w:t>Section 2.06(d)(ii)</w:t>
      </w:r>
      <w:r>
        <w:rPr>
          <w:rFonts w:ascii="Arial" w:cs="Arial" w:eastAsia="Arial" w:hAnsi="Arial"/>
          <w:sz w:val="18"/>
          <w:szCs w:val="18"/>
          <w:color w:val="auto"/>
        </w:rPr>
        <w:t>, the Trustee shall cancel the Definitive Notes and increase or cause to be increased the aggregate principal amount of the Unrestricted Global Note.</w:t>
      </w:r>
    </w:p>
    <w:p>
      <w:pPr>
        <w:spacing w:after="0" w:line="170" w:lineRule="exact"/>
        <w:rPr>
          <w:sz w:val="20"/>
          <w:szCs w:val="20"/>
          <w:color w:val="auto"/>
        </w:rPr>
      </w:pPr>
    </w:p>
    <w:p>
      <w:pPr>
        <w:jc w:val="both"/>
        <w:ind w:left="660" w:right="580" w:firstLine="2264"/>
        <w:spacing w:after="0" w:line="275" w:lineRule="auto"/>
        <w:tabs>
          <w:tab w:leader="none" w:pos="3468"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Unrestricted Definitive Notes to Beneficial Interests in Unrestricted Global Notes</w:t>
      </w:r>
      <w:r>
        <w:rPr>
          <w:rFonts w:ascii="Arial" w:cs="Arial" w:eastAsia="Arial" w:hAnsi="Arial"/>
          <w:sz w:val="17"/>
          <w:szCs w:val="17"/>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76"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If any such exchange or transfer from a Definitive Note to a beneficial interest is effected pursuant to clause (ii) or (iii) above at a time when an Unrestricted Global Note has not yet been issued, the Issuer shall issue and, upon receipt of an Authentication Order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the Trustee shall authenticate one or more Unrestricted Global Notes in an aggregate principal amount equal to the principal amount of Definitive Notes so transferred.</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97" w:name="page98"/>
    <w:bookmarkEnd w:id="97"/>
    <w:p>
      <w:pPr>
        <w:ind w:firstLine="1952"/>
        <w:spacing w:after="0" w:line="255" w:lineRule="auto"/>
        <w:tabs>
          <w:tab w:leader="none" w:pos="263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Definitive Notes for Definitive Notes</w:t>
      </w:r>
      <w:r>
        <w:rPr>
          <w:rFonts w:ascii="Arial" w:cs="Arial" w:eastAsia="Arial" w:hAnsi="Arial"/>
          <w:sz w:val="18"/>
          <w:szCs w:val="18"/>
          <w:color w:val="auto"/>
        </w:rPr>
        <w:t xml:space="preserve">. Upon request by a Holder of Definitive Notes and such Holder’s compliance with the provisions of this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Arial" w:cs="Arial" w:eastAsia="Arial" w:hAnsi="Arial"/>
          <w:sz w:val="18"/>
          <w:szCs w:val="18"/>
          <w:u w:val="single" w:color="auto"/>
          <w:color w:val="auto"/>
        </w:rPr>
        <w:t>Section 2.06(e)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right="760" w:firstLine="2264"/>
        <w:spacing w:after="0" w:line="263" w:lineRule="auto"/>
        <w:tabs>
          <w:tab w:leader="none" w:pos="3368"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Restricted Definitive Notes</w:t>
      </w:r>
      <w:r>
        <w:rPr>
          <w:rFonts w:ascii="Arial" w:cs="Arial" w:eastAsia="Arial" w:hAnsi="Arial"/>
          <w:sz w:val="18"/>
          <w:szCs w:val="18"/>
          <w:color w:val="auto"/>
        </w:rPr>
        <w:t>. Any Restricted Definitive Note may be transferred to and registered in the name of Persons who take delivery thereof in the form of a Restricted Definitive Note if the Registrar receives the following:</w:t>
      </w:r>
    </w:p>
    <w:p>
      <w:pPr>
        <w:spacing w:after="0" w:line="184" w:lineRule="exact"/>
        <w:rPr>
          <w:sz w:val="20"/>
          <w:szCs w:val="20"/>
          <w:color w:val="auto"/>
        </w:rPr>
      </w:pPr>
    </w:p>
    <w:p>
      <w:pPr>
        <w:ind w:left="4180" w:hanging="608"/>
        <w:spacing w:after="0"/>
        <w:tabs>
          <w:tab w:leader="none" w:pos="418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the transfer will be made to a person that the transferor reasonably believes to</w:t>
      </w:r>
    </w:p>
    <w:p>
      <w:pPr>
        <w:spacing w:after="0" w:line="23" w:lineRule="exact"/>
        <w:rPr>
          <w:rFonts w:ascii="Arial" w:cs="Arial" w:eastAsia="Arial" w:hAnsi="Arial"/>
          <w:sz w:val="18"/>
          <w:szCs w:val="18"/>
          <w:color w:val="auto"/>
        </w:rPr>
      </w:pPr>
    </w:p>
    <w:p>
      <w:pPr>
        <w:ind w:left="1300" w:right="1820"/>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be a QIB in accordance with Rule 144A, then the transferor must deliver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(1) thereof;</w:t>
      </w:r>
    </w:p>
    <w:p>
      <w:pPr>
        <w:spacing w:after="0" w:line="185" w:lineRule="exact"/>
        <w:rPr>
          <w:rFonts w:ascii="Arial" w:cs="Arial" w:eastAsia="Arial" w:hAnsi="Arial"/>
          <w:sz w:val="18"/>
          <w:szCs w:val="18"/>
          <w:color w:val="auto"/>
        </w:rPr>
      </w:pPr>
    </w:p>
    <w:p>
      <w:pPr>
        <w:ind w:left="4180" w:hanging="608"/>
        <w:spacing w:after="0"/>
        <w:tabs>
          <w:tab w:leader="none" w:pos="418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(2) thereof; or</w:t>
      </w:r>
    </w:p>
    <w:p>
      <w:pPr>
        <w:spacing w:after="0" w:line="210" w:lineRule="exact"/>
        <w:rPr>
          <w:rFonts w:ascii="Arial" w:cs="Arial" w:eastAsia="Arial" w:hAnsi="Arial"/>
          <w:sz w:val="18"/>
          <w:szCs w:val="18"/>
          <w:color w:val="auto"/>
        </w:rPr>
      </w:pPr>
    </w:p>
    <w:p>
      <w:pPr>
        <w:ind w:left="1300" w:right="1340" w:firstLine="2272"/>
        <w:spacing w:after="0" w:line="263" w:lineRule="auto"/>
        <w:tabs>
          <w:tab w:leader="none" w:pos="4168" w:val="left"/>
        </w:tabs>
        <w:numPr>
          <w:ilvl w:val="2"/>
          <w:numId w:val="116"/>
        </w:numPr>
        <w:rPr>
          <w:rFonts w:ascii="Arial" w:cs="Arial" w:eastAsia="Arial" w:hAnsi="Arial"/>
          <w:sz w:val="18"/>
          <w:szCs w:val="18"/>
          <w:color w:val="auto"/>
        </w:rPr>
      </w:pPr>
      <w:r>
        <w:rPr>
          <w:rFonts w:ascii="Arial" w:cs="Arial" w:eastAsia="Arial" w:hAnsi="Arial"/>
          <w:sz w:val="18"/>
          <w:szCs w:val="18"/>
          <w:color w:val="auto"/>
        </w:rPr>
        <w:t xml:space="preserve">if the transfer will be made pursuant to any other exemption from the registration requirements of the Securities Act (other than Rule 144), then the transferor must deliver 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required by item (3) thereof, if applicable.</w:t>
      </w:r>
    </w:p>
    <w:p>
      <w:pPr>
        <w:spacing w:after="0" w:line="183" w:lineRule="exact"/>
        <w:rPr>
          <w:rFonts w:ascii="Arial" w:cs="Arial" w:eastAsia="Arial" w:hAnsi="Arial"/>
          <w:sz w:val="18"/>
          <w:szCs w:val="18"/>
          <w:color w:val="auto"/>
        </w:rPr>
      </w:pPr>
    </w:p>
    <w:p>
      <w:pPr>
        <w:ind w:left="660" w:right="700" w:firstLine="2264"/>
        <w:spacing w:after="0" w:line="263" w:lineRule="auto"/>
        <w:tabs>
          <w:tab w:leader="none" w:pos="3418"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Restricted Definitive Notes to Unrestricted Definitive Notes</w:t>
      </w:r>
      <w:r>
        <w:rPr>
          <w:rFonts w:ascii="Arial" w:cs="Arial" w:eastAsia="Arial" w:hAnsi="Arial"/>
          <w:sz w:val="18"/>
          <w:szCs w:val="18"/>
          <w:color w:val="auto"/>
        </w:rPr>
        <w:t>. Any Restricted Definitive Note may be exchanged by the Holder thereof for an Unrestricted Definitive Note or transferred to a Person or Persons who take delivery thereof in the form of an Unrestricted Definitive Note if:</w:t>
      </w:r>
    </w:p>
    <w:p>
      <w:pPr>
        <w:spacing w:after="0" w:line="183" w:lineRule="exact"/>
        <w:rPr>
          <w:rFonts w:ascii="Arial" w:cs="Arial" w:eastAsia="Arial" w:hAnsi="Arial"/>
          <w:sz w:val="18"/>
          <w:szCs w:val="18"/>
          <w:color w:val="auto"/>
        </w:rPr>
      </w:pPr>
    </w:p>
    <w:p>
      <w:pPr>
        <w:ind w:left="4180" w:hanging="608"/>
        <w:spacing w:after="0"/>
        <w:tabs>
          <w:tab w:leader="none" w:pos="41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such transfer is effected pursuant to an effective registration statement; or</w:t>
      </w:r>
    </w:p>
    <w:p>
      <w:pPr>
        <w:spacing w:after="0" w:line="225" w:lineRule="exact"/>
        <w:rPr>
          <w:rFonts w:ascii="Arial" w:cs="Arial" w:eastAsia="Arial" w:hAnsi="Arial"/>
          <w:sz w:val="18"/>
          <w:szCs w:val="18"/>
          <w:color w:val="auto"/>
        </w:rPr>
      </w:pPr>
    </w:p>
    <w:p>
      <w:pPr>
        <w:ind w:left="4180" w:hanging="608"/>
        <w:spacing w:after="0"/>
        <w:tabs>
          <w:tab w:leader="none" w:pos="41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Registrar receives the following:</w:t>
      </w:r>
    </w:p>
    <w:p>
      <w:pPr>
        <w:spacing w:after="0" w:line="225" w:lineRule="exact"/>
        <w:rPr>
          <w:rFonts w:ascii="Arial" w:cs="Arial" w:eastAsia="Arial" w:hAnsi="Arial"/>
          <w:sz w:val="18"/>
          <w:szCs w:val="18"/>
          <w:color w:val="auto"/>
        </w:rPr>
      </w:pPr>
    </w:p>
    <w:p>
      <w:pPr>
        <w:ind w:left="740" w:right="1180" w:firstLine="2427"/>
        <w:spacing w:after="0" w:line="263" w:lineRule="auto"/>
        <w:tabs>
          <w:tab w:leader="none" w:pos="365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exchange such Notes for an Unrestricted Definitive Note, a certificate from such Holder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including the certifications in item (1)(d) thereof; or</w:t>
      </w:r>
    </w:p>
    <w:p>
      <w:pPr>
        <w:spacing w:after="0" w:line="183" w:lineRule="exact"/>
        <w:rPr>
          <w:rFonts w:ascii="Arial" w:cs="Arial" w:eastAsia="Arial" w:hAnsi="Arial"/>
          <w:sz w:val="18"/>
          <w:szCs w:val="18"/>
          <w:color w:val="auto"/>
        </w:rPr>
      </w:pPr>
    </w:p>
    <w:p>
      <w:pPr>
        <w:ind w:left="740" w:right="680" w:firstLine="2427"/>
        <w:spacing w:after="0" w:line="263" w:lineRule="auto"/>
        <w:tabs>
          <w:tab w:leader="none" w:pos="365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the certifications in item (4) thereof;</w:t>
      </w:r>
    </w:p>
    <w:p>
      <w:pPr>
        <w:spacing w:after="0" w:line="184"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and, in each such case set forth in this subparagraph (B),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8" w:name="page99"/>
    <w:bookmarkEnd w:id="98"/>
    <w:p>
      <w:pPr>
        <w:ind w:left="400" w:right="640" w:firstLine="2264"/>
        <w:spacing w:after="0" w:line="259" w:lineRule="auto"/>
        <w:tabs>
          <w:tab w:leader="none" w:pos="3208"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Unrestricted Definitive Notes to Unrestricted Definitive Notes</w:t>
      </w:r>
      <w:r>
        <w:rPr>
          <w:rFonts w:ascii="Arial" w:cs="Arial" w:eastAsia="Arial" w:hAnsi="Arial"/>
          <w:sz w:val="18"/>
          <w:szCs w:val="18"/>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6" w:lineRule="exact"/>
        <w:rPr>
          <w:rFonts w:ascii="Arial" w:cs="Arial" w:eastAsia="Arial" w:hAnsi="Arial"/>
          <w:sz w:val="18"/>
          <w:szCs w:val="18"/>
          <w:color w:val="auto"/>
        </w:rPr>
      </w:pPr>
    </w:p>
    <w:p>
      <w:pPr>
        <w:ind w:left="-260" w:right="440" w:firstLine="1952"/>
        <w:spacing w:after="0" w:line="277" w:lineRule="auto"/>
        <w:tabs>
          <w:tab w:leader="none" w:pos="24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Indenture, a Holder may not transfer a Restricted Definitive Note or Restricted Global Note in reliance on Rule 144 (or any successor provision) under the Securities Act.</w:t>
      </w:r>
    </w:p>
    <w:p>
      <w:pPr>
        <w:spacing w:after="0" w:line="170" w:lineRule="exact"/>
        <w:rPr>
          <w:rFonts w:ascii="Arial" w:cs="Arial" w:eastAsia="Arial" w:hAnsi="Arial"/>
          <w:sz w:val="18"/>
          <w:szCs w:val="18"/>
          <w:color w:val="auto"/>
        </w:rPr>
      </w:pPr>
    </w:p>
    <w:p>
      <w:pPr>
        <w:ind w:left="-260" w:firstLine="1952"/>
        <w:spacing w:after="0" w:line="277" w:lineRule="auto"/>
        <w:tabs>
          <w:tab w:leader="none" w:pos="2389"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170" w:lineRule="exact"/>
        <w:rPr>
          <w:rFonts w:ascii="Arial" w:cs="Arial" w:eastAsia="Arial" w:hAnsi="Arial"/>
          <w:sz w:val="18"/>
          <w:szCs w:val="18"/>
          <w:color w:val="auto"/>
        </w:rPr>
      </w:pPr>
    </w:p>
    <w:p>
      <w:pPr>
        <w:ind w:left="3100" w:hanging="436"/>
        <w:spacing w:after="0"/>
        <w:tabs>
          <w:tab w:leader="none" w:pos="310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Private Placement Legend</w:t>
      </w:r>
      <w:r>
        <w:rPr>
          <w:rFonts w:ascii="Arial" w:cs="Arial" w:eastAsia="Arial" w:hAnsi="Arial"/>
          <w:sz w:val="18"/>
          <w:szCs w:val="18"/>
          <w:color w:val="auto"/>
        </w:rPr>
        <w:t>.</w:t>
      </w:r>
    </w:p>
    <w:p>
      <w:pPr>
        <w:spacing w:after="0" w:line="225" w:lineRule="exact"/>
        <w:rPr>
          <w:sz w:val="20"/>
          <w:szCs w:val="20"/>
          <w:color w:val="auto"/>
        </w:rPr>
      </w:pPr>
    </w:p>
    <w:p>
      <w:pPr>
        <w:ind w:left="1040" w:right="1080" w:firstLine="2272"/>
        <w:spacing w:after="0" w:line="263" w:lineRule="auto"/>
        <w:tabs>
          <w:tab w:leader="none" w:pos="39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84" w:lineRule="exact"/>
        <w:rPr>
          <w:sz w:val="20"/>
          <w:szCs w:val="20"/>
          <w:color w:val="auto"/>
        </w:rPr>
      </w:pPr>
    </w:p>
    <w:p>
      <w:pPr>
        <w:jc w:val="both"/>
        <w:ind w:left="400" w:right="340"/>
        <w:spacing w:after="0" w:line="266" w:lineRule="auto"/>
        <w:rPr>
          <w:sz w:val="20"/>
          <w:szCs w:val="20"/>
          <w:color w:val="auto"/>
        </w:rPr>
      </w:pPr>
      <w:r>
        <w:rPr>
          <w:rFonts w:ascii="Arial" w:cs="Arial" w:eastAsia="Arial" w:hAnsi="Arial"/>
          <w:sz w:val="17"/>
          <w:szCs w:val="17"/>
          <w:color w:val="auto"/>
        </w:rPr>
        <w:t>“THIS NOTE (OR ITS PREDECESSOR) HAS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 (1) REPRESENTS THAT IT IS NOT AN “AFFILIATE” (AS DEFINED IN RULE 144 UNDER THE SECURITIES ACT) OF NEW FORTRESS ENERGY INC. (“NFE”) AND (A) IT IS A “QUALIFIED INSTITUTIONAL BUYER” (AS DEFINED IN RULE 144A UNDER THE SECURITIES ACT) (A “QIB”), OR (B) IT IS NOT A U.S. PERSON AND HAS ACQUIRED THIS NOTE IN AN OFFSHORE TRANSACTION IN COMPLIANCE WITH REGULATION S UNDER THE SECURITIES ACT; (2) AGREES THAT IT WILL NOT RESELL OR OTHERWISE TRANSFER THIS NOTE OR ANY BENEFICIAL INTEREST HEREIN EXCEPT (A) TO NFE OR ANY OF ITS SUBSIDIARIES, (B) TO A PERSON WHOM THE SELLER REASONABLY BELIEVES IS A QIB PURCHASING FOR ITS OWN ACCOUNT OR FOR THE ACCOUNT OF A QIB IN A TRANSACTION MEETING THE REQUIREMENTS OF RULE 144A, (C) TO NON-U.S. PERSONS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REASONABLY ACCEPTABLE TO NFE AND THE TRUSTEE) OR (F) PURSUANT TO AN EFFECTIVE REGISTRATION STATEMENT AND, IN EACH CASE, IN ACCORDANCE WITH THE APPLICABLE SECURITIES LAWS OF ANY STATE OF THE UNITED STATES OR ANY OTHER APPLICABLE JURISDICTION; (3) AGREES THAT IT WILL DELIVER TO EACH PERSON TO WHOM THIS NOTE OR AN INTEREST HEREIN IS TRANSFERRED A NOTICE SUBSTANTIALLY TO THE EFFECT OF THIS LEGEND; AND (4) AGREES THAT ANY SECURITY THAT IS OWNED BY AN AFFILIATE (AS DEFINED IN RULE 144 UNDER THE SECURITIES ACT) OF NFE MAY NOT BE RESOLD OR TRANSFERRED BY SUCH AFFILIATE OTHER THAN TO NFE OR A SUBSIDIARY THEREOF OR PURSUANT TO (A) A REGISTRATION STATEMENT UNDER THE SECURITIES ACT, (B) IN A TRANSACTION MEETING THE REQUIREMENTS OF RULE 144 UNDER THE SECURITIES ACT OR (C) ANOTHER EXEMPTION FROM THE REGISTRATION REQUIREMENTS OF THE SECURITIES ACT (IF AVAILABLE) IN A TRANSACTION THAT RESULTS IN SUCH SECURITY NO LONGER BEING A RESTRICTED SECURITY (AS DEFINED UNDER RULE 144). IN THE EVENT ANY SUCH PERSONS BENEFICIALLY OWN AN INTEREST IN THE SECURITY PRIOR TO THE TIME NFE REMOVES THE RESTRICTIVE LEGEND ON THE SECURITY, NFE MAY REQUIRE THAT SUCH PERSONS HOLD THEIR INTERESTS IN THE SECURITY IN CERTIFICATED FORM BEARING AN APPROPRIATE RESTRICTIVE LEGEND AND A RESTRICTED CUSIP NUMBER. 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48895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580" w:top="341" w:right="639" w:bottom="1440" w:gutter="0" w:footer="0" w:header="0"/>
        </w:sectPr>
      </w:pPr>
    </w:p>
    <w:bookmarkStart w:id="99" w:name="page100"/>
    <w:bookmarkEnd w:id="99"/>
    <w:p>
      <w:pPr>
        <w:ind w:left="640" w:right="1000" w:firstLine="2272"/>
        <w:spacing w:after="0" w:line="286" w:lineRule="auto"/>
        <w:tabs>
          <w:tab w:leader="none" w:pos="350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Notwithstanding the foregoing, any Global Note or Definitive Note issued pursuant to </w:t>
      </w:r>
      <w:r>
        <w:rPr>
          <w:rFonts w:ascii="Arial" w:cs="Arial" w:eastAsia="Arial" w:hAnsi="Arial"/>
          <w:sz w:val="17"/>
          <w:szCs w:val="17"/>
          <w:u w:val="single" w:color="auto"/>
          <w:color w:val="auto"/>
        </w:rPr>
        <w:t>subparagraph (b)(iv)</w:t>
      </w:r>
      <w:r>
        <w:rPr>
          <w:rFonts w:ascii="Arial" w:cs="Arial" w:eastAsia="Arial" w:hAnsi="Arial"/>
          <w:sz w:val="17"/>
          <w:szCs w:val="17"/>
          <w:color w:val="auto"/>
        </w:rPr>
        <w:t xml:space="preserve">, </w:t>
      </w:r>
      <w:r>
        <w:rPr>
          <w:rFonts w:ascii="Arial" w:cs="Arial" w:eastAsia="Arial" w:hAnsi="Arial"/>
          <w:sz w:val="17"/>
          <w:szCs w:val="17"/>
          <w:u w:val="single" w:color="auto"/>
          <w:color w:val="auto"/>
        </w:rPr>
        <w:t>(c)(iii)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(c)(iv)</w:t>
      </w:r>
      <w:r>
        <w:rPr>
          <w:rFonts w:ascii="Arial" w:cs="Arial" w:eastAsia="Arial" w:hAnsi="Arial"/>
          <w:sz w:val="17"/>
          <w:szCs w:val="17"/>
          <w:color w:val="auto"/>
        </w:rPr>
        <w:t xml:space="preserve">, </w:t>
      </w:r>
      <w:r>
        <w:rPr>
          <w:rFonts w:ascii="Arial" w:cs="Arial" w:eastAsia="Arial" w:hAnsi="Arial"/>
          <w:sz w:val="17"/>
          <w:szCs w:val="17"/>
          <w:u w:val="single" w:color="auto"/>
          <w:color w:val="auto"/>
        </w:rPr>
        <w:t>(d)(ii)</w:t>
      </w:r>
      <w:r>
        <w:rPr>
          <w:rFonts w:ascii="Arial" w:cs="Arial" w:eastAsia="Arial" w:hAnsi="Arial"/>
          <w:sz w:val="17"/>
          <w:szCs w:val="17"/>
          <w:color w:val="auto"/>
        </w:rPr>
        <w:t xml:space="preserve">, </w:t>
      </w:r>
      <w:r>
        <w:rPr>
          <w:rFonts w:ascii="Arial" w:cs="Arial" w:eastAsia="Arial" w:hAnsi="Arial"/>
          <w:sz w:val="17"/>
          <w:szCs w:val="17"/>
          <w:u w:val="single" w:color="auto"/>
          <w:color w:val="auto"/>
        </w:rPr>
        <w:t>(d)(iii)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(e)(ii)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all Notes issued in exchange therefor or substitution thereof) shall not bear the Private Placement Legend.</w:t>
      </w:r>
    </w:p>
    <w:p>
      <w:pPr>
        <w:spacing w:after="0" w:line="165" w:lineRule="exact"/>
        <w:rPr>
          <w:rFonts w:ascii="Arial" w:cs="Arial" w:eastAsia="Arial" w:hAnsi="Arial"/>
          <w:sz w:val="17"/>
          <w:szCs w:val="17"/>
          <w:color w:val="auto"/>
        </w:rPr>
      </w:pPr>
    </w:p>
    <w:p>
      <w:pPr>
        <w:ind w:left="2760" w:hanging="496"/>
        <w:spacing w:after="0"/>
        <w:tabs>
          <w:tab w:leader="none" w:pos="276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Global Note Legend</w:t>
      </w:r>
      <w:r>
        <w:rPr>
          <w:rFonts w:ascii="Arial" w:cs="Arial" w:eastAsia="Arial" w:hAnsi="Arial"/>
          <w:sz w:val="17"/>
          <w:szCs w:val="17"/>
          <w:color w:val="auto"/>
        </w:rPr>
        <w:t>. Each Global Note shall bear a legend in substantially the following form:</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980" w:top="341" w:right="979" w:bottom="1440" w:gutter="0" w:footer="0" w:header="0"/>
        </w:sectPr>
      </w:pPr>
    </w:p>
    <w:bookmarkStart w:id="100" w:name="page101"/>
    <w:bookmarkEnd w:id="100"/>
    <w:p>
      <w:pPr>
        <w:ind w:left="3460" w:hanging="536"/>
        <w:spacing w:after="0"/>
        <w:tabs>
          <w:tab w:leader="none" w:pos="34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Regulation S Global Note Legend</w:t>
      </w:r>
      <w:r>
        <w:rPr>
          <w:rFonts w:ascii="Arial" w:cs="Arial" w:eastAsia="Arial" w:hAnsi="Arial"/>
          <w:sz w:val="18"/>
          <w:szCs w:val="18"/>
          <w:color w:val="auto"/>
        </w:rPr>
        <w:t>. The Regulation S Global Note shall bear a legend in</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substantially the following form:</w:t>
      </w:r>
    </w:p>
    <w:p>
      <w:pPr>
        <w:spacing w:after="0" w:line="211" w:lineRule="exact"/>
        <w:rPr>
          <w:sz w:val="20"/>
          <w:szCs w:val="20"/>
          <w:color w:val="auto"/>
        </w:rPr>
      </w:pPr>
    </w:p>
    <w:p>
      <w:pPr>
        <w:jc w:val="both"/>
        <w:ind w:left="660" w:right="600"/>
        <w:spacing w:after="0" w:line="263"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84" w:lineRule="exact"/>
        <w:rPr>
          <w:sz w:val="20"/>
          <w:szCs w:val="20"/>
          <w:color w:val="auto"/>
        </w:rPr>
      </w:pPr>
    </w:p>
    <w:p>
      <w:pPr>
        <w:ind w:firstLine="1952"/>
        <w:spacing w:after="0" w:line="253" w:lineRule="auto"/>
        <w:tabs>
          <w:tab w:leader="none" w:pos="264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Cancellation and/or Adjustment of Global Notes</w:t>
      </w:r>
      <w:r>
        <w:rPr>
          <w:rFonts w:ascii="Arial" w:cs="Arial" w:eastAsia="Arial" w:hAnsi="Arial"/>
          <w:sz w:val="18"/>
          <w:szCs w:val="18"/>
          <w:color w:val="auto"/>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1" w:name="page102"/>
    <w:bookmarkEnd w:id="101"/>
    <w:p>
      <w:pPr>
        <w:ind w:left="2040" w:hanging="748"/>
        <w:spacing w:after="0"/>
        <w:tabs>
          <w:tab w:leader="none" w:pos="20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2264"/>
        <w:spacing w:after="0" w:line="263" w:lineRule="auto"/>
        <w:tabs>
          <w:tab w:leader="none" w:pos="270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To permit registrations of transfers and exchanges, the Issuer shall execute and the Trustee shall authenticate Global Notes and Definitive Notes upon receipt of an Authentication Order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at the Registrar’s request.</w:t>
      </w:r>
    </w:p>
    <w:p>
      <w:pPr>
        <w:spacing w:after="0" w:line="183" w:lineRule="exact"/>
        <w:rPr>
          <w:rFonts w:ascii="Arial" w:cs="Arial" w:eastAsia="Arial" w:hAnsi="Arial"/>
          <w:sz w:val="18"/>
          <w:szCs w:val="18"/>
          <w:color w:val="auto"/>
        </w:rPr>
      </w:pPr>
    </w:p>
    <w:p>
      <w:pPr>
        <w:ind w:right="20" w:firstLine="2264"/>
        <w:spacing w:after="0" w:line="257" w:lineRule="auto"/>
        <w:tabs>
          <w:tab w:leader="none" w:pos="275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No service charge shall be made to a holder of a beneficial interest in a Global Note or to a Holder of a Definitive Note for any registration of transfer or exchange, but the Issuer may require payment of a sum sufficient to cover any transfer tax, fees required by law or similar governmental charge payable in connection therewith (other than any such transfer taxes, fees required by law or similar governmental charge payable upon exchange or transfer pursuant to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3.09</w:t>
      </w:r>
      <w:r>
        <w:rPr>
          <w:rFonts w:ascii="Arial" w:cs="Arial" w:eastAsia="Arial" w:hAnsi="Arial"/>
          <w:sz w:val="18"/>
          <w:szCs w:val="18"/>
          <w:color w:val="auto"/>
        </w:rPr>
        <w:t xml:space="preserve">,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w:t>
      </w:r>
      <w:r>
        <w:rPr>
          <w:rFonts w:ascii="Arial" w:cs="Arial" w:eastAsia="Arial" w:hAnsi="Arial"/>
          <w:sz w:val="18"/>
          <w:szCs w:val="18"/>
          <w:u w:val="single" w:color="auto"/>
          <w:color w:val="auto"/>
        </w:rPr>
        <w:t>4.14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9.05</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300" w:firstLine="2264"/>
        <w:spacing w:after="0" w:line="342" w:lineRule="auto"/>
        <w:tabs>
          <w:tab w:leader="none" w:pos="280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Neither the Registrar nor the Issuer shall be required to register the transfer of or exchange any Note selected for redemption in whole or in part, except the unredeemed portion of any Note being redeemed in part.</w:t>
      </w:r>
    </w:p>
    <w:p>
      <w:pPr>
        <w:spacing w:after="0" w:line="123" w:lineRule="exact"/>
        <w:rPr>
          <w:rFonts w:ascii="Arial" w:cs="Arial" w:eastAsia="Arial" w:hAnsi="Arial"/>
          <w:sz w:val="16"/>
          <w:szCs w:val="16"/>
          <w:color w:val="auto"/>
        </w:rPr>
      </w:pPr>
    </w:p>
    <w:p>
      <w:pPr>
        <w:ind w:right="160" w:firstLine="2264"/>
        <w:spacing w:after="0" w:line="286" w:lineRule="auto"/>
        <w:tabs>
          <w:tab w:leader="none" w:pos="279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65" w:lineRule="exact"/>
        <w:rPr>
          <w:rFonts w:ascii="Arial" w:cs="Arial" w:eastAsia="Arial" w:hAnsi="Arial"/>
          <w:sz w:val="17"/>
          <w:szCs w:val="17"/>
          <w:color w:val="auto"/>
        </w:rPr>
      </w:pPr>
    </w:p>
    <w:p>
      <w:pPr>
        <w:ind w:firstLine="2264"/>
        <w:spacing w:after="0" w:line="293" w:lineRule="auto"/>
        <w:tabs>
          <w:tab w:leader="none" w:pos="274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Issuer and Registrar shall not be required (A) to issue, to register the transfer of or to exchange any Notes during a period beginning at the opening of business 15 days before the day of selection of Notes to be redeemed and ending at the close of business on the day of selection of Notes to be redeemed, (B) to register the transfer of or to exchange any Note so selected for redemption or tendered (and not withdrawn) for repurchase in connection with a Change of Control Offer, an Asset Sale Offer, an Alternate Offer, an Advance Offer or other tender offer, in whole or in part, except the unredeemed portion of any Note being redeemed in part or (C) to register the transfer of or to exchange a Note between a Record Date and the next succeeding Interest Payment Date.</w:t>
      </w:r>
    </w:p>
    <w:p>
      <w:pPr>
        <w:spacing w:after="0" w:line="164" w:lineRule="exact"/>
        <w:rPr>
          <w:rFonts w:ascii="Arial" w:cs="Arial" w:eastAsia="Arial" w:hAnsi="Arial"/>
          <w:sz w:val="16"/>
          <w:szCs w:val="16"/>
          <w:color w:val="auto"/>
        </w:rPr>
      </w:pPr>
    </w:p>
    <w:p>
      <w:pPr>
        <w:ind w:right="140" w:firstLine="2264"/>
        <w:spacing w:after="0" w:line="259" w:lineRule="auto"/>
        <w:tabs>
          <w:tab w:leader="none" w:pos="279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Issuer shall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02" w:name="page103"/>
    <w:bookmarkEnd w:id="102"/>
    <w:p>
      <w:pPr>
        <w:ind w:right="100" w:firstLine="2264"/>
        <w:spacing w:after="0" w:line="259" w:lineRule="auto"/>
        <w:tabs>
          <w:tab w:leader="none" w:pos="28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Upon surrender for registration of transfer of any Note at the office or agency of the Issuer designated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the Issuer shall execute, and the Trustee shall authenticate and mail, in the name of the designated transferee or transferees, one or more replacement Notes of any authorized denomination or denominations of a like aggregate principal amount.</w:t>
      </w:r>
    </w:p>
    <w:p>
      <w:pPr>
        <w:spacing w:after="0" w:line="186" w:lineRule="exact"/>
        <w:rPr>
          <w:rFonts w:ascii="Arial" w:cs="Arial" w:eastAsia="Arial" w:hAnsi="Arial"/>
          <w:sz w:val="18"/>
          <w:szCs w:val="18"/>
          <w:color w:val="auto"/>
        </w:rPr>
      </w:pPr>
    </w:p>
    <w:p>
      <w:pPr>
        <w:ind w:right="140" w:firstLine="2264"/>
        <w:spacing w:after="0" w:line="257" w:lineRule="auto"/>
        <w:tabs>
          <w:tab w:leader="none" w:pos="28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800" w:hanging="536"/>
        <w:spacing w:after="0"/>
        <w:tabs>
          <w:tab w:leader="none" w:pos="28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All certifications, certificates and Opinions of Counsel required to be submitted to the Registrar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to effect a registration of transfer or exchange may be submitted by facsimile.</w:t>
      </w:r>
    </w:p>
    <w:p>
      <w:pPr>
        <w:spacing w:after="0" w:line="210" w:lineRule="exact"/>
        <w:rPr>
          <w:rFonts w:ascii="Arial" w:cs="Arial" w:eastAsia="Arial" w:hAnsi="Arial"/>
          <w:sz w:val="16"/>
          <w:szCs w:val="16"/>
          <w:color w:val="auto"/>
        </w:rPr>
      </w:pPr>
    </w:p>
    <w:p>
      <w:pPr>
        <w:ind w:firstLine="2264"/>
        <w:spacing w:after="0" w:line="267" w:lineRule="auto"/>
        <w:tabs>
          <w:tab w:leader="none" w:pos="274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None of the Issuer, the Guarantors, the Trustee or the Agents shall have any responsibility or obligation to any beneficial owner in a Global Note, a Participant, an Indirect Participant or other Person with respect to the accuracy of the records of the Depositary or its nominee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 (which shall be the Depositary or its nominee in the case of the Global Note). The rights of beneficial owners in the Global Note shall be exercised only through the Depositary subject to the applicable rules and procedures of the Depositary. The Issuer, the Guarantors, the Trustee and the Agents shall be entitled to rely and shall be fully protected in relying upon information furnished by the Depositary with respect to its members, participants and any beneficial owners. The Issuer, the Guarantors, the Trustee and the Agents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and shall have no obligations to the beneficial owners thereof. None of the Issuer, the Guarantors, the Trustee or the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980" w:top="341" w:right="1039" w:bottom="1440" w:gutter="0" w:footer="0" w:header="0"/>
        </w:sectPr>
      </w:pPr>
    </w:p>
    <w:bookmarkStart w:id="103" w:name="page104"/>
    <w:bookmarkEnd w:id="103"/>
    <w:p>
      <w:pPr>
        <w:ind w:left="660" w:right="520" w:firstLine="2264"/>
        <w:spacing w:after="0" w:line="275" w:lineRule="auto"/>
        <w:tabs>
          <w:tab w:leader="none" w:pos="345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the foregoing, with respect to any Global Note, nothing herein shall prevent the Issuer, the Guarantors, the Trustee, or any agent of the Issuer, the Guarantors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spacing w:after="0" w:line="176"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7"/>
          <w:szCs w:val="17"/>
          <w:u w:val="single" w:color="auto"/>
          <w:color w:val="auto"/>
        </w:rPr>
        <w:t>REPLACEMENT NOTES</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96" w:lineRule="auto"/>
        <w:rPr>
          <w:sz w:val="20"/>
          <w:szCs w:val="20"/>
          <w:color w:val="auto"/>
        </w:rPr>
      </w:pPr>
      <w:r>
        <w:rPr>
          <w:rFonts w:ascii="Arial" w:cs="Arial" w:eastAsia="Arial" w:hAnsi="Arial"/>
          <w:sz w:val="16"/>
          <w:szCs w:val="16"/>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Issuer, the Guarantors, the Trustee, any Agent and any authenticating agent from any loss that any of them may suffer if a Note is replaced. The Issuer may charge for its expenses in replacing a Note.</w:t>
      </w:r>
    </w:p>
    <w:p>
      <w:pPr>
        <w:spacing w:after="0" w:line="161"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7"/>
          <w:szCs w:val="17"/>
          <w:u w:val="single" w:color="auto"/>
          <w:color w:val="auto"/>
        </w:rPr>
        <w:t>OUTSTANDING NOTES</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as not outstanding. Except as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 a Note does not cease to be outstanding because the Issuer or an Affiliate of the Issuer holds the Note.</w:t>
      </w:r>
    </w:p>
    <w:p>
      <w:pPr>
        <w:spacing w:after="0" w:line="187"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it ceases to be outstanding unless the Trustee receives proof satisfactory to it that the replaced Note is held by a bona fide purchaser.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If the principal amount of any Note is considered paid under </w:t>
      </w:r>
      <w:r>
        <w:rPr>
          <w:rFonts w:ascii="Arial" w:cs="Arial" w:eastAsia="Arial" w:hAnsi="Arial"/>
          <w:sz w:val="16"/>
          <w:szCs w:val="16"/>
          <w:u w:val="single" w:color="auto"/>
          <w:color w:val="auto"/>
        </w:rPr>
        <w:t>Section 4.01</w:t>
      </w:r>
      <w:r>
        <w:rPr>
          <w:rFonts w:ascii="Arial" w:cs="Arial" w:eastAsia="Arial" w:hAnsi="Arial"/>
          <w:sz w:val="16"/>
          <w:szCs w:val="16"/>
          <w:color w:val="auto"/>
        </w:rPr>
        <w:t>, it ceases to be outstanding and interest on it ceases to accrue.</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04" w:name="page105"/>
    <w:bookmarkEnd w:id="104"/>
    <w:p>
      <w:pPr>
        <w:ind w:right="240" w:firstLine="1296"/>
        <w:spacing w:after="0" w:line="263" w:lineRule="auto"/>
        <w:rPr>
          <w:sz w:val="20"/>
          <w:szCs w:val="20"/>
          <w:color w:val="auto"/>
        </w:rPr>
      </w:pPr>
      <w:r>
        <w:rPr>
          <w:rFonts w:ascii="Arial" w:cs="Arial" w:eastAsia="Arial" w:hAnsi="Arial"/>
          <w:sz w:val="18"/>
          <w:szCs w:val="18"/>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78"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7"/>
          <w:szCs w:val="17"/>
          <w:u w:val="single" w:color="auto"/>
          <w:color w:val="auto"/>
        </w:rPr>
        <w:t>TEMPORARY NOTES</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87"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17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7"/>
          <w:szCs w:val="17"/>
          <w:u w:val="single" w:color="auto"/>
          <w:color w:val="auto"/>
        </w:rPr>
        <w:t>CANCELLATION</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Certification of the disposal of all cancelled Notes shall be delivered to the Issuer upon their written request. The Issuer may not issue new Notes to replace Notes that have been paid or that have been delivered to the Trustee for cancellation.</w:t>
      </w:r>
    </w:p>
    <w:p>
      <w:pPr>
        <w:spacing w:after="0" w:line="192"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7"/>
          <w:szCs w:val="17"/>
          <w:u w:val="single" w:color="auto"/>
          <w:color w:val="auto"/>
        </w:rPr>
        <w:t>DEFAULTED INTEREST</w:t>
      </w:r>
      <w:r>
        <w:rPr>
          <w:rFonts w:ascii="Arial" w:cs="Arial" w:eastAsia="Arial" w:hAnsi="Arial"/>
          <w:sz w:val="17"/>
          <w:szCs w:val="17"/>
          <w:color w:val="auto"/>
        </w:rPr>
        <w:t>.</w:t>
      </w:r>
    </w:p>
    <w:p>
      <w:pPr>
        <w:spacing w:after="0" w:line="225"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Trustee shall fix or cause to be fixed each such special record date and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special record date shall be less than 10 days prior to the related payment date for such defaulted interest. The Trustee shall promptly notify the Issuer of such special record date. At least 10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ind w:right="340" w:firstLine="1296"/>
        <w:spacing w:after="0" w:line="263" w:lineRule="auto"/>
        <w:rPr>
          <w:sz w:val="20"/>
          <w:szCs w:val="20"/>
          <w:color w:val="auto"/>
        </w:rPr>
      </w:pPr>
      <w:r>
        <w:rPr>
          <w:rFonts w:ascii="Arial" w:cs="Arial" w:eastAsia="Arial" w:hAnsi="Arial"/>
          <w:sz w:val="18"/>
          <w:szCs w:val="18"/>
          <w:color w:val="auto"/>
        </w:rPr>
        <w:t xml:space="preserve">Subject to the foregoing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8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 xml:space="preserve">The Issuer in issuing the Notes may use CUSIP, ISIN or other similar numbers (if then generally in use) and, if so, the Trustee shall use CUSIP, ISIN or other similar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notice shall not be affected by any defect in or omission of such numbers. The Issuer will as promptly as practicable notify the Trustee of any change in the CUSIP, ISIN or other similar numbers.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REDEMPTION</w:t>
      </w:r>
    </w:p>
    <w:p>
      <w:pPr>
        <w:spacing w:after="0" w:line="229"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If the Issuer elects to redeem Notes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it shall furnish to the Trustee, at least two Business Days (or such shorter time period as the Trustee may agree) before notice of redemption is required to be sent or caused to be sent to Holders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 Officer’s Certificate setting forth (i) the paragraph or subparagraph of such Note and/or Section of this Indenture pursuant to which the redemption shall occur, (ii) the Redemption Date, (iii) the principal amount of the Notes to be redeemed (or, if the Notes are to be redeemed in whole, that the Notes are to be redeemed in whole) and (iv) the redemption price or, if not then ascertainable, the manner of calculation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no Opinion of Counsel shall be required in connection with such redemption or the delivery of such notice of redemption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6" w:name="page107"/>
    <w:bookmarkEnd w:id="106"/>
    <w:p>
      <w:pPr>
        <w:ind w:left="1300"/>
        <w:spacing w:after="0"/>
        <w:tabs>
          <w:tab w:leader="none" w:pos="30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SELECTION OF NOTES TO BE REDEEMED OR PURCHASED</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 xml:space="preserve">With respect to any partial redemption or purchase of Notes made pursuant to this Indenture, selection of the Notes for redemption or purchase will be made by the Trustee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to the extent applicable or by lot or by such method as the Trustee shall deem fair and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Notes are represented by Global Notes, interests in the Notes shall be selected for redemption or purchase by DTC in accordance with its standard procedures therefor;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Notes of less than $2,000 can be redeemed or repurchased in part. Such Notes to be redeemed or purchased shall be selected, unless otherwise provided herein, at least 10 days but, except in connection with </w:t>
      </w:r>
      <w:r>
        <w:rPr>
          <w:rFonts w:ascii="Arial" w:cs="Arial" w:eastAsia="Arial" w:hAnsi="Arial"/>
          <w:sz w:val="16"/>
          <w:szCs w:val="16"/>
          <w:u w:val="single" w:color="auto"/>
          <w:color w:val="auto"/>
        </w:rPr>
        <w:t>Section 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11</w:t>
      </w:r>
      <w:r>
        <w:rPr>
          <w:rFonts w:ascii="Arial" w:cs="Arial" w:eastAsia="Arial" w:hAnsi="Arial"/>
          <w:sz w:val="16"/>
          <w:szCs w:val="16"/>
          <w:color w:val="auto"/>
        </w:rPr>
        <w:t>, not more than 60 days prior to the Redemption Date from the outstanding Notes not previously called for redemption or purchase.</w:t>
      </w:r>
    </w:p>
    <w:p>
      <w:pPr>
        <w:spacing w:after="0" w:line="16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$1,000 or whole multiples of $1,000 in excess thereof; no Notes of $2,000 or less can be redeemed or repurchased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92"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7"/>
          <w:szCs w:val="17"/>
          <w:u w:val="single" w:color="auto"/>
          <w:color w:val="auto"/>
        </w:rPr>
        <w:t>NOTICE OF REDEMPTION</w:t>
      </w:r>
      <w:r>
        <w:rPr>
          <w:rFonts w:ascii="Arial" w:cs="Arial" w:eastAsia="Arial" w:hAnsi="Arial"/>
          <w:sz w:val="17"/>
          <w:szCs w:val="17"/>
          <w:color w:val="auto"/>
        </w:rPr>
        <w:t>.</w:t>
      </w:r>
    </w:p>
    <w:p>
      <w:pPr>
        <w:spacing w:after="0" w:line="225" w:lineRule="exact"/>
        <w:rPr>
          <w:sz w:val="20"/>
          <w:szCs w:val="20"/>
          <w:color w:val="auto"/>
        </w:rPr>
      </w:pPr>
    </w:p>
    <w:p>
      <w:pPr>
        <w:ind w:right="40" w:firstLine="1952"/>
        <w:spacing w:after="0" w:line="255" w:lineRule="auto"/>
        <w:tabs>
          <w:tab w:leader="none" w:pos="26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the Issuer shall deliver or cause to be delivered electronically, in accordance with DTC procedures in the case of Global Notes, mail or cause to be mailed by first-class mail, postage prepaid, notices of redemption at least 20 days but except as set forth in </w:t>
      </w:r>
      <w:r>
        <w:rPr>
          <w:rFonts w:ascii="Arial" w:cs="Arial" w:eastAsia="Arial" w:hAnsi="Arial"/>
          <w:sz w:val="18"/>
          <w:szCs w:val="18"/>
          <w:u w:val="single" w:color="auto"/>
          <w:color w:val="auto"/>
        </w:rPr>
        <w:t>Section 3.03(c)</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not more than 60 days before the purchase date or Redemption Date to each Holder at such Holder’s registered address or otherwise in accordance with the procedures of DTC, except that redemption notices may be delivered or mailed more than 60 days prior to a Redemption Date if the notice is issued in connection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or as specified in </w:t>
      </w:r>
      <w:r>
        <w:rPr>
          <w:rFonts w:ascii="Arial" w:cs="Arial" w:eastAsia="Arial" w:hAnsi="Arial"/>
          <w:sz w:val="18"/>
          <w:szCs w:val="18"/>
          <w:u w:val="single" w:color="auto"/>
          <w:color w:val="auto"/>
        </w:rPr>
        <w:t>Section 3.03(c)</w:t>
      </w:r>
      <w:r>
        <w:rPr>
          <w:rFonts w:ascii="Arial" w:cs="Arial" w:eastAsia="Arial" w:hAnsi="Arial"/>
          <w:sz w:val="18"/>
          <w:szCs w:val="18"/>
          <w:color w:val="auto"/>
        </w:rPr>
        <w:t>. Notices of redemption may be conditional.</w:t>
      </w:r>
    </w:p>
    <w:p>
      <w:pPr>
        <w:spacing w:after="0" w:line="192" w:lineRule="exact"/>
        <w:rPr>
          <w:rFonts w:ascii="Arial" w:cs="Arial" w:eastAsia="Arial" w:hAnsi="Arial"/>
          <w:sz w:val="18"/>
          <w:szCs w:val="18"/>
          <w:color w:val="auto"/>
        </w:rPr>
      </w:pPr>
    </w:p>
    <w:p>
      <w:pPr>
        <w:ind w:left="2660" w:hanging="708"/>
        <w:spacing w:after="0"/>
        <w:tabs>
          <w:tab w:leader="none" w:pos="2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notice shall identify the Notes to be redeemed and shall state:</w:t>
      </w:r>
    </w:p>
    <w:p>
      <w:pPr>
        <w:spacing w:after="0" w:line="225" w:lineRule="exact"/>
        <w:rPr>
          <w:rFonts w:ascii="Arial" w:cs="Arial" w:eastAsia="Arial" w:hAnsi="Arial"/>
          <w:sz w:val="18"/>
          <w:szCs w:val="18"/>
          <w:color w:val="auto"/>
        </w:rPr>
      </w:pPr>
    </w:p>
    <w:p>
      <w:pPr>
        <w:ind w:left="3360" w:hanging="436"/>
        <w:spacing w:after="0"/>
        <w:tabs>
          <w:tab w:leader="none" w:pos="33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3420" w:hanging="496"/>
        <w:spacing w:after="0"/>
        <w:tabs>
          <w:tab w:leader="none" w:pos="34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225" w:lineRule="exact"/>
        <w:rPr>
          <w:rFonts w:ascii="Arial" w:cs="Arial" w:eastAsia="Arial" w:hAnsi="Arial"/>
          <w:sz w:val="18"/>
          <w:szCs w:val="18"/>
          <w:color w:val="auto"/>
        </w:rPr>
      </w:pPr>
    </w:p>
    <w:p>
      <w:pPr>
        <w:ind w:left="3460" w:hanging="536"/>
        <w:spacing w:after="0"/>
        <w:tabs>
          <w:tab w:leader="none" w:pos="34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any Note is to be redeemed or purchased in part only, the portion of the principal amount of that</w:t>
      </w:r>
    </w:p>
    <w:p>
      <w:pPr>
        <w:spacing w:after="0" w:line="35" w:lineRule="exact"/>
        <w:rPr>
          <w:sz w:val="20"/>
          <w:szCs w:val="20"/>
          <w:color w:val="auto"/>
        </w:rPr>
      </w:pPr>
    </w:p>
    <w:p>
      <w:pPr>
        <w:ind w:left="660" w:right="800"/>
        <w:spacing w:after="0" w:line="255" w:lineRule="auto"/>
        <w:rPr>
          <w:sz w:val="20"/>
          <w:szCs w:val="20"/>
          <w:color w:val="auto"/>
        </w:rPr>
      </w:pPr>
      <w:r>
        <w:rPr>
          <w:rFonts w:ascii="Arial" w:cs="Arial" w:eastAsia="Arial" w:hAnsi="Arial"/>
          <w:sz w:val="18"/>
          <w:szCs w:val="18"/>
          <w:color w:val="auto"/>
        </w:rPr>
        <w:t>Note that is to be redeemed or purchased and that, after the Redemption Date upon cancellation of the Note surrendered, a new Note or Notes in principal amount equal to the unredeemed or unpurchased portion of the surrendered Note will be issued in the name of the Holder thereof;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07" w:name="page108"/>
    <w:bookmarkEnd w:id="107"/>
    <w:p>
      <w:pPr>
        <w:ind w:left="3460" w:hanging="536"/>
        <w:spacing w:after="0"/>
        <w:tabs>
          <w:tab w:leader="none" w:pos="3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3400" w:hanging="476"/>
        <w:spacing w:after="0"/>
        <w:tabs>
          <w:tab w:leader="none" w:pos="34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that Notes called for redemption must be surrendered to the Paying Agent to collect the redemption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w:t>
      </w:r>
    </w:p>
    <w:p>
      <w:pPr>
        <w:spacing w:after="0" w:line="211" w:lineRule="exact"/>
        <w:rPr>
          <w:sz w:val="20"/>
          <w:szCs w:val="20"/>
          <w:color w:val="auto"/>
        </w:rPr>
      </w:pPr>
    </w:p>
    <w:p>
      <w:pPr>
        <w:ind w:left="660" w:right="900" w:firstLine="2264"/>
        <w:spacing w:after="0" w:line="277" w:lineRule="auto"/>
        <w:tabs>
          <w:tab w:leader="none" w:pos="34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660" w:right="680" w:firstLine="2264"/>
        <w:spacing w:after="0" w:line="277" w:lineRule="auto"/>
        <w:tabs>
          <w:tab w:leader="none" w:pos="350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paragraph or subparagraph of the Notes and/or Section of this Indenture pursuant to which the Notes called for redemption are being redeemed;</w:t>
      </w:r>
    </w:p>
    <w:p>
      <w:pPr>
        <w:spacing w:after="0" w:line="170" w:lineRule="exact"/>
        <w:rPr>
          <w:rFonts w:ascii="Arial" w:cs="Arial" w:eastAsia="Arial" w:hAnsi="Arial"/>
          <w:sz w:val="18"/>
          <w:szCs w:val="18"/>
          <w:color w:val="auto"/>
        </w:rPr>
      </w:pPr>
    </w:p>
    <w:p>
      <w:pPr>
        <w:ind w:left="660" w:right="1000" w:firstLine="2264"/>
        <w:spacing w:after="0" w:line="277" w:lineRule="auto"/>
        <w:tabs>
          <w:tab w:leader="none" w:pos="35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number, if any, listed in such notice or printed on the Notes; and</w:t>
      </w:r>
    </w:p>
    <w:p>
      <w:pPr>
        <w:spacing w:after="0" w:line="170" w:lineRule="exact"/>
        <w:rPr>
          <w:rFonts w:ascii="Arial" w:cs="Arial" w:eastAsia="Arial" w:hAnsi="Arial"/>
          <w:sz w:val="18"/>
          <w:szCs w:val="18"/>
          <w:color w:val="auto"/>
        </w:rPr>
      </w:pPr>
    </w:p>
    <w:p>
      <w:pPr>
        <w:ind w:left="3460" w:hanging="536"/>
        <w:spacing w:after="0"/>
        <w:tabs>
          <w:tab w:leader="none" w:pos="3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conditions to such redemption.</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At the Issuer’s request, the Trustee shall give the notice of redemption in the Issuer’s name and at its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Issuer shall have delivered to the Trustee, at least two Business Days before notice of redemption is required to be sent or caused to be sent to Holders pursuant to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(or such shorter time period as the Trustee may agree),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ind w:firstLine="1952"/>
        <w:spacing w:after="0" w:line="268" w:lineRule="auto"/>
        <w:tabs>
          <w:tab w:leader="none" w:pos="263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redemption of, or offer to purchase, the Notes may, at the Issuer’s discretion, be subject to the satisfaction of one or more conditions precedent, including, the completion or occurrence of an Equity Offering, other transaction (or series of related transactions) or an event that constitutes a Change of Control. If a redemption or purchase is subject to the satisfaction of one or more conditions precedent, notice of such redemption or purchase may be given in connection with the related Equity Offering, transaction or event, as the case may be, and prior to the completion or the occurrence thereof.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or at any time in the Issuer’s discretion if the Issuer reasonably believes that any or all of such conditions will not be satisfied or waived, in each case by the Redemption Date or purchase date or by the Redemption Date or purchase date as so delayed. In addition, the Issuer may provide in any notice of redemption or offer to purchase that payment of the redemption or purchase price and performance of the Issuer’s obligations with respect to such redemption or offer to purchase may be performed by another Person. In no event shall the Trustee be responsible for monitoring, or charged with knowledge of, the maximum aggregate amount of the Notes eligible under this Indenture to be redeemed.</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8" w:name="page109"/>
    <w:bookmarkEnd w:id="108"/>
    <w:p>
      <w:pPr>
        <w:ind w:right="60" w:firstLine="1952"/>
        <w:spacing w:after="0" w:line="259" w:lineRule="auto"/>
        <w:tabs>
          <w:tab w:leader="none" w:pos="264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spacing w:after="0" w:line="18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7"/>
          <w:szCs w:val="17"/>
          <w:u w:val="single" w:color="auto"/>
          <w:color w:val="auto"/>
        </w:rPr>
        <w:t>EFFECT OF NOTICE OF REDEMPTION OR PURCHASE</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Once notice of redemption is sent in accordance with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Notes called for redemption or purchase become irrevocably due and payable on the Redemption Date or purchase date, as applicable, at the redemption price or purchase price, as applicable, unless such redemption or purchase remains conditioned on the happening of a future event that has not occured. The notice, if sent in a manner herein provided, shall be conclusively presumed to have been given, whether or not the Holder receives such notice. In any case, failure to give such notice or any defect in the notice to the Holder of any Note designated for redemption or purchase in whole or in part shall not affect the validity of the proceedings for the redemption or purchase of any other Note.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on and after the Redemption Date or purchase date, as applicable, unless the Issuer defaults in payment of the redemption or purchase price, interest shall cease to accrue on Notes or portions of Notes called for redemption or purchase, unless such redemption or purchase remains conditioned on the occurrence of a future event that has not occurred.</w:t>
      </w:r>
    </w:p>
    <w:p>
      <w:pPr>
        <w:spacing w:after="0" w:line="165"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Prior to noon (New York City time) on the Redemption Date or purchase date, the Issuer shall deposit with the Trustee or with the Paying Agent money sufficient to pay the redemption or purchase price of and accrued and unpaid interest,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and unpaid interest, if any, on, all Notes to be redeemed or purchased.</w:t>
      </w:r>
    </w:p>
    <w:p>
      <w:pPr>
        <w:spacing w:after="0" w:line="157"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If the Issuer complies with the provisions of the preceding paragraph, on and after the Redemption Date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Date or purchase date shall be paid on the Redemption Date or purchase date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Date or purchase date until such principal is paid, and to the extent lawful on any interest accrued to the redemption or purchase date not paid on such unpaid principal, in each case at the rate provided in the Notes and in </w:t>
      </w:r>
      <w:r>
        <w:rPr>
          <w:rFonts w:ascii="Arial" w:cs="Arial" w:eastAsia="Arial" w:hAnsi="Arial"/>
          <w:sz w:val="16"/>
          <w:szCs w:val="16"/>
          <w:u w:val="single" w:color="auto"/>
          <w:color w:val="auto"/>
        </w:rPr>
        <w:t>Section 4.01</w:t>
      </w:r>
      <w:r>
        <w:rPr>
          <w:rFonts w:ascii="Arial" w:cs="Arial" w:eastAsia="Arial" w:hAnsi="Arial"/>
          <w:sz w:val="16"/>
          <w:szCs w:val="16"/>
          <w:color w:val="auto"/>
        </w:rPr>
        <w:t>.</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9" w:name="page110"/>
    <w:bookmarkEnd w:id="109"/>
    <w:p>
      <w:pPr>
        <w:ind w:left="1300"/>
        <w:spacing w:after="0"/>
        <w:tabs>
          <w:tab w:leader="none" w:pos="30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NOTES REDEEMED OR PURCHASED IN PART</w:t>
      </w:r>
      <w:r>
        <w:rPr>
          <w:rFonts w:ascii="Arial" w:cs="Arial" w:eastAsia="Arial" w:hAnsi="Arial"/>
          <w:sz w:val="16"/>
          <w:szCs w:val="16"/>
          <w:color w:val="auto"/>
        </w:rPr>
        <w:t>.</w:t>
      </w:r>
    </w:p>
    <w:p>
      <w:pPr>
        <w:spacing w:after="0" w:line="225"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Upon cancellation of a Note that is redeemed or purchased in part only, the Issuer shall issue and the Trustee shall authenticate for the Holder at the expense of the Issuer a new Note in a principal amount equal to the unredeemed or unpurchased portion of the Note surrendered;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new Note will be issued only in denominations of $2,000 or any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88"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7"/>
          <w:szCs w:val="17"/>
          <w:u w:val="single" w:color="auto"/>
          <w:color w:val="auto"/>
        </w:rPr>
        <w:t>OPTIONAL REDEMPTION</w:t>
      </w:r>
      <w:r>
        <w:rPr>
          <w:rFonts w:ascii="Arial" w:cs="Arial" w:eastAsia="Arial" w:hAnsi="Arial"/>
          <w:sz w:val="17"/>
          <w:szCs w:val="17"/>
          <w:color w:val="auto"/>
        </w:rPr>
        <w:t>.</w:t>
      </w:r>
    </w:p>
    <w:p>
      <w:pPr>
        <w:spacing w:after="0" w:line="225" w:lineRule="exact"/>
        <w:rPr>
          <w:sz w:val="20"/>
          <w:szCs w:val="20"/>
          <w:color w:val="auto"/>
        </w:rPr>
      </w:pPr>
    </w:p>
    <w:p>
      <w:pPr>
        <w:jc w:val="both"/>
        <w:ind w:right="60" w:firstLine="1952"/>
        <w:spacing w:after="0" w:line="257" w:lineRule="auto"/>
        <w:tabs>
          <w:tab w:leader="none" w:pos="26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At any time prior to September 15, 2022, the Issuer may, at its option and on one or more occasions, redeem all or a part of the Notes, upon notice as described in </w:t>
      </w:r>
      <w:r>
        <w:rPr>
          <w:rFonts w:ascii="Arial" w:cs="Arial" w:eastAsia="Arial" w:hAnsi="Arial"/>
          <w:sz w:val="18"/>
          <w:szCs w:val="18"/>
          <w:u w:val="single" w:color="auto"/>
          <w:color w:val="auto"/>
        </w:rPr>
        <w:t>Section 3.03</w:t>
      </w:r>
      <w:r>
        <w:rPr>
          <w:rFonts w:ascii="Arial" w:cs="Arial" w:eastAsia="Arial" w:hAnsi="Arial"/>
          <w:sz w:val="18"/>
          <w:szCs w:val="18"/>
          <w:color w:val="auto"/>
        </w:rPr>
        <w:t>, at a redemption price equal to 100.0% of the principal amount of the Notes redeemed plus the Applicable Premium as of, and accrued and unpaid interest, if any, to, but excluding, the date of redemption (any applicable date of redemption hereunder,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subject to the right of Holders of record on the relevant Record Date to receive interest due on the relevant Interest Payment Date falling on or prior to the Redemption Date.</w:t>
      </w:r>
    </w:p>
    <w:p>
      <w:pPr>
        <w:spacing w:after="0" w:line="187" w:lineRule="exact"/>
        <w:rPr>
          <w:rFonts w:ascii="Arial" w:cs="Arial" w:eastAsia="Arial" w:hAnsi="Arial"/>
          <w:sz w:val="18"/>
          <w:szCs w:val="18"/>
          <w:color w:val="auto"/>
        </w:rPr>
      </w:pPr>
    </w:p>
    <w:p>
      <w:pPr>
        <w:ind w:right="180" w:firstLine="1952"/>
        <w:spacing w:after="0" w:line="275" w:lineRule="auto"/>
        <w:tabs>
          <w:tab w:leader="none" w:pos="264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On and after September 15, 2022, the Issuer may, at its option and on one or more occasions, redeem the Notes, in whole or in part, upon notice as described in </w:t>
      </w:r>
      <w:r>
        <w:rPr>
          <w:rFonts w:ascii="Arial" w:cs="Arial" w:eastAsia="Arial" w:hAnsi="Arial"/>
          <w:sz w:val="17"/>
          <w:szCs w:val="17"/>
          <w:u w:val="single" w:color="auto"/>
          <w:color w:val="auto"/>
        </w:rPr>
        <w:t>Section 3.03</w:t>
      </w:r>
      <w:r>
        <w:rPr>
          <w:rFonts w:ascii="Arial" w:cs="Arial" w:eastAsia="Arial" w:hAnsi="Arial"/>
          <w:sz w:val="17"/>
          <w:szCs w:val="17"/>
          <w:color w:val="auto"/>
        </w:rPr>
        <w:t>,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falling on or prior to the Redemption Date, if redeemed during the twelve-month period beginning on September 15 of each of the years indicated below:</w:t>
      </w:r>
    </w:p>
    <w:p>
      <w:pPr>
        <w:sectPr>
          <w:pgSz w:w="11900" w:h="16838" w:orient="portrait"/>
          <w:cols w:equalWidth="0" w:num="1">
            <w:col w:w="11200"/>
          </w:cols>
          <w:pgMar w:left="320" w:top="341" w:right="379" w:bottom="1440" w:gutter="0" w:footer="0" w:header="0"/>
        </w:sectPr>
      </w:pP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Year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2024 and thereafter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-106045</wp:posOffset>
            </wp:positionV>
            <wp:extent cx="5700395" cy="5911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591185"/>
                    </a:xfrm>
                    <a:prstGeom prst="rect">
                      <a:avLst/>
                    </a:prstGeom>
                    <a:noFill/>
                  </pic:spPr>
                </pic:pic>
              </a:graphicData>
            </a:graphic>
          </wp:anchor>
        </w:drawing>
      </w:r>
    </w:p>
    <w:p>
      <w:pPr>
        <w:spacing w:after="0" w:line="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103.375%</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101.688%</w:t>
      </w:r>
    </w:p>
    <w:p>
      <w:pPr>
        <w:spacing w:after="0" w:line="3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100.000%</w:t>
      </w:r>
    </w:p>
    <w:p>
      <w:pPr>
        <w:spacing w:after="0" w:line="200" w:lineRule="exact"/>
        <w:rPr>
          <w:sz w:val="20"/>
          <w:szCs w:val="20"/>
          <w:color w:val="auto"/>
        </w:rPr>
      </w:pPr>
    </w:p>
    <w:p>
      <w:pPr>
        <w:sectPr>
          <w:pgSz w:w="11900" w:h="16838" w:orient="portrait"/>
          <w:cols w:equalWidth="0" w:num="2">
            <w:col w:w="6620" w:space="720"/>
            <w:col w:w="3860"/>
          </w:cols>
          <w:pgMar w:left="320" w:top="341" w:right="379" w:bottom="1440" w:gutter="0" w:footer="0" w:header="0"/>
          <w:type w:val="continuous"/>
        </w:sectPr>
      </w:pPr>
    </w:p>
    <w:p>
      <w:pPr>
        <w:spacing w:after="0" w:line="49" w:lineRule="exact"/>
        <w:rPr>
          <w:sz w:val="20"/>
          <w:szCs w:val="20"/>
          <w:color w:val="auto"/>
        </w:rPr>
      </w:pPr>
    </w:p>
    <w:p>
      <w:pPr>
        <w:ind w:firstLine="1952"/>
        <w:spacing w:after="0" w:line="288" w:lineRule="auto"/>
        <w:tabs>
          <w:tab w:leader="none" w:pos="263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At any time prior to September 15, 2022, the Issuer may, at its option, upon notice as described in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on one or more occasions redeem up to 40.0% of the aggregate principal amount of the Notes (for the avoidance of doubt, including Additional Notes, if any) issued and outstanding under this Indenture at a redemption price (as calculated by the Issuer) equal to (i) 106.750% of the aggregate principal amount thereof, in an amount equal to or less than the amount of net cash proceeds from one or more Equity Offerings to the extent such net cash proceeds are received by or contributed to the Issuer, plus (ii) accrued and unpaid interest thereon, if any, to, but excluding, the applicable Redemption Date, subject to the right of Holders of record on the relevant record date to receive interest due on the relevant interest payment date falling on or prior to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least 50.0% of the aggregate principal amount of the Notes originally issued under this Indenture on the Issue Date remains outstanding immediately after the occurrence of each such redemption (except to the extent otherwise repurchased or redeemed or to be repurchased or redeemed and for which a notice of repurchase or redemption has been issued at or about such time in accordance with the terms of this Indenture) and (b) each such redemption occurs within 180 days of the date of closing of such Equity Offering.</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110" w:name="page111"/>
    <w:bookmarkEnd w:id="110"/>
    <w:p>
      <w:pPr>
        <w:ind w:firstLine="1952"/>
        <w:spacing w:after="0" w:line="288" w:lineRule="auto"/>
        <w:tabs>
          <w:tab w:leader="none" w:pos="2649"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connection with any tender offer for the Notes,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as specified in </w:t>
      </w:r>
      <w:r>
        <w:rPr>
          <w:rFonts w:ascii="Arial" w:cs="Arial" w:eastAsia="Arial" w:hAnsi="Arial"/>
          <w:sz w:val="16"/>
          <w:szCs w:val="16"/>
          <w:u w:val="single" w:color="auto"/>
          <w:color w:val="auto"/>
        </w:rPr>
        <w:t>Section 3.03(c)</w:t>
      </w:r>
      <w:r>
        <w:rPr>
          <w:rFonts w:ascii="Arial" w:cs="Arial" w:eastAsia="Arial" w:hAnsi="Arial"/>
          <w:sz w:val="16"/>
          <w:szCs w:val="16"/>
          <w:color w:val="auto"/>
        </w:rPr>
        <w:t>), given not more than 60 days following such purchase date, to redeem (with respect to the Issuer) or purchase (with respect to a third party) all of the Notes that remain outstanding following such purchase at a price equal to the price paid to each other Holder in such tender offer (which may be less than par and shall exclude any early tender premium or similar premium and any accrued and unpaid interest paid to any Holder in such tender offer) plus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168" w:lineRule="exact"/>
        <w:rPr>
          <w:rFonts w:ascii="Arial" w:cs="Arial" w:eastAsia="Arial" w:hAnsi="Arial"/>
          <w:sz w:val="16"/>
          <w:szCs w:val="16"/>
          <w:color w:val="auto"/>
        </w:rPr>
      </w:pPr>
    </w:p>
    <w:p>
      <w:pPr>
        <w:ind w:left="2640" w:hanging="688"/>
        <w:spacing w:after="0"/>
        <w:tabs>
          <w:tab w:leader="none" w:pos="2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Notes may also be redeemed under the circumstances and in accordance with </w:t>
      </w:r>
      <w:r>
        <w:rPr>
          <w:rFonts w:ascii="Arial" w:cs="Arial" w:eastAsia="Arial" w:hAnsi="Arial"/>
          <w:sz w:val="18"/>
          <w:szCs w:val="18"/>
          <w:u w:val="single" w:color="auto"/>
          <w:color w:val="auto"/>
        </w:rPr>
        <w:t>Section 4.14(d)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Any redemption pursuant to this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shall be made pursuant to the provisions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3.06</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440" w:firstLine="1952"/>
        <w:spacing w:after="0" w:line="263" w:lineRule="auto"/>
        <w:tabs>
          <w:tab w:leader="none" w:pos="269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 its equityholders (including members of its management) and their respective Affiliates may, at their discretion, at any time and from time to time, acquire Notes by means other than a redemption, whether by a tender offer, open market purchases, negotiated transactions or otherwise.</w:t>
      </w:r>
    </w:p>
    <w:p>
      <w:pPr>
        <w:spacing w:after="0" w:line="18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7"/>
          <w:szCs w:val="17"/>
          <w:u w:val="single" w:color="auto"/>
          <w:color w:val="auto"/>
        </w:rPr>
        <w:t>MANDATORY REDEMPTION</w:t>
      </w:r>
      <w:r>
        <w:rPr>
          <w:rFonts w:ascii="Arial" w:cs="Arial" w:eastAsia="Arial" w:hAnsi="Arial"/>
          <w:sz w:val="17"/>
          <w:szCs w:val="17"/>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Issuer shall not be required to make any mandatory redemption or sinking fund payments with respect to the Notes.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1" w:name="page112"/>
    <w:bookmarkEnd w:id="111"/>
    <w:p>
      <w:pPr>
        <w:ind w:left="1300"/>
        <w:spacing w:after="0"/>
        <w:tabs>
          <w:tab w:leader="none" w:pos="30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OFFERS TO REPURCHASE BY APPLICATION OF EXCESS PROCEEDS</w:t>
      </w:r>
      <w:r>
        <w:rPr>
          <w:rFonts w:ascii="Arial" w:cs="Arial" w:eastAsia="Arial" w:hAnsi="Arial"/>
          <w:sz w:val="16"/>
          <w:szCs w:val="16"/>
          <w:color w:val="auto"/>
        </w:rPr>
        <w:t>.</w:t>
      </w:r>
    </w:p>
    <w:p>
      <w:pPr>
        <w:spacing w:after="0" w:line="225" w:lineRule="exact"/>
        <w:rPr>
          <w:sz w:val="20"/>
          <w:szCs w:val="20"/>
          <w:color w:val="auto"/>
        </w:rPr>
      </w:pPr>
    </w:p>
    <w:p>
      <w:pPr>
        <w:ind w:right="260" w:firstLine="1952"/>
        <w:spacing w:after="0" w:line="277" w:lineRule="auto"/>
        <w:tabs>
          <w:tab w:leader="none" w:pos="26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In the event that,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the Issuer shall be required to commence an Asset Sale Offer or elects to commence an Advance Offer, it shall follow the procedures specified below.</w:t>
      </w:r>
    </w:p>
    <w:p>
      <w:pPr>
        <w:spacing w:after="0" w:line="170" w:lineRule="exact"/>
        <w:rPr>
          <w:rFonts w:ascii="Arial" w:cs="Arial" w:eastAsia="Arial" w:hAnsi="Arial"/>
          <w:sz w:val="18"/>
          <w:szCs w:val="18"/>
          <w:color w:val="auto"/>
        </w:rPr>
      </w:pPr>
    </w:p>
    <w:p>
      <w:pPr>
        <w:ind w:right="20" w:firstLine="1952"/>
        <w:spacing w:after="0" w:line="254" w:lineRule="auto"/>
        <w:tabs>
          <w:tab w:leader="none" w:pos="26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Asset Sale Offer or Advance Offer, as the case may be, shall remain open for a period of 20 Business Days following its commencement and no longer, except to the extent that a longer period is required by applicable law (the “</w:t>
      </w:r>
      <w:r>
        <w:rPr>
          <w:rFonts w:ascii="Arial" w:cs="Arial" w:eastAsia="Arial" w:hAnsi="Arial"/>
          <w:sz w:val="18"/>
          <w:szCs w:val="18"/>
          <w:u w:val="single" w:color="auto"/>
          <w:color w:val="auto"/>
        </w:rPr>
        <w:t>Offer Period</w:t>
      </w:r>
      <w:r>
        <w:rPr>
          <w:rFonts w:ascii="Arial" w:cs="Arial" w:eastAsia="Arial" w:hAnsi="Arial"/>
          <w:sz w:val="18"/>
          <w:szCs w:val="18"/>
          <w:color w:val="auto"/>
        </w:rPr>
        <w:t>”). No later than five Business Days after the termination of the Offer Period (the “</w:t>
      </w:r>
      <w:r>
        <w:rPr>
          <w:rFonts w:ascii="Arial" w:cs="Arial" w:eastAsia="Arial" w:hAnsi="Arial"/>
          <w:sz w:val="18"/>
          <w:szCs w:val="18"/>
          <w:u w:val="single" w:color="auto"/>
          <w:color w:val="auto"/>
        </w:rPr>
        <w:t>Purchase Date</w:t>
      </w:r>
      <w:r>
        <w:rPr>
          <w:rFonts w:ascii="Arial" w:cs="Arial" w:eastAsia="Arial" w:hAnsi="Arial"/>
          <w:sz w:val="18"/>
          <w:szCs w:val="18"/>
          <w:color w:val="auto"/>
        </w:rPr>
        <w:t>”), the Issuer shall apply all Excess Proceeds (or in the case of an Advance Offer, the Advance Portion) (the “</w:t>
      </w:r>
      <w:r>
        <w:rPr>
          <w:rFonts w:ascii="Arial" w:cs="Arial" w:eastAsia="Arial" w:hAnsi="Arial"/>
          <w:sz w:val="18"/>
          <w:szCs w:val="18"/>
          <w:u w:val="single" w:color="auto"/>
          <w:color w:val="auto"/>
        </w:rPr>
        <w:t>Offer Amount</w:t>
      </w:r>
      <w:r>
        <w:rPr>
          <w:rFonts w:ascii="Arial" w:cs="Arial" w:eastAsia="Arial" w:hAnsi="Arial"/>
          <w:sz w:val="18"/>
          <w:szCs w:val="18"/>
          <w:color w:val="auto"/>
        </w:rPr>
        <w:t xml:space="preserve">”), to the purchase of Notes and, if required or not prohibited by the terms of any other Equal Priority Obligations and/or, to the extent that the assets or property disposed of in the Asset Sale were not Collateral, Pari Passu Indebtedness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if applicable), or, if less than the Offer Amount has been tendered, all Notes and, if applicable, Equal Priority Obligations and/or other Pari Passu Indebtedness tendered in response to the Asset Sale Offer or Advance Offer, as the case may be. Payment for any Notes so purchased shall be made in the same manner as interest payments are made.</w:t>
      </w:r>
    </w:p>
    <w:p>
      <w:pPr>
        <w:spacing w:after="0" w:line="191" w:lineRule="exact"/>
        <w:rPr>
          <w:rFonts w:ascii="Arial" w:cs="Arial" w:eastAsia="Arial" w:hAnsi="Arial"/>
          <w:sz w:val="18"/>
          <w:szCs w:val="18"/>
          <w:color w:val="auto"/>
        </w:rPr>
      </w:pPr>
    </w:p>
    <w:p>
      <w:pPr>
        <w:ind w:firstLine="1952"/>
        <w:spacing w:after="0" w:line="259" w:lineRule="auto"/>
        <w:tabs>
          <w:tab w:leader="none" w:pos="26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Purchase Date is on or after a Record Date and on or before the related Interest Payment Date, accrued and unpaid interest, if any, to, but excluding, the Purchase Date, shall be paid on the Purchase Date to the Person in whose name a Note is registered at the close of business on such Record Date, and no additional interest shall be payable to Holders who tender Notes pursuant to the Asset Sale Offer or Advance Offer, as the case may be.</w:t>
      </w:r>
    </w:p>
    <w:p>
      <w:pPr>
        <w:spacing w:after="0" w:line="186" w:lineRule="exact"/>
        <w:rPr>
          <w:rFonts w:ascii="Arial" w:cs="Arial" w:eastAsia="Arial" w:hAnsi="Arial"/>
          <w:sz w:val="18"/>
          <w:szCs w:val="18"/>
          <w:color w:val="auto"/>
        </w:rPr>
      </w:pPr>
    </w:p>
    <w:p>
      <w:pPr>
        <w:ind w:right="40" w:firstLine="1952"/>
        <w:spacing w:after="0" w:line="291" w:lineRule="auto"/>
        <w:tabs>
          <w:tab w:leader="none" w:pos="264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the commencement of an Asset Sale Offer or an Advance Offer, as the case may be, the Issuer shall send, electronically or by first-class mail (or otherwise in accordance with the applicable rules and procedures of the Depositary), a notice to each of the Holders, with a copy to the Trustee. The notice shall contain all instructions and materials necessary to enable such Holders to tender Notes pursuant to the Asset Sale Offer or Advance Offer, as the case may be. The Asset Sale Offer or Advance Offer, as the case may be, shall be made to all Holders and, if required or not prohibited by the terms of any other Equal Priority Obligations and/or, to the extent that the assets and property disposed of in the Asset Sale were not Collateral, any other Pari Passu Indebtedness, to the holders of such Equal Priority Obligations and/or Pari Passu Indebtedness, as applicable. The notice, which shall govern the terms of the Asset Sale Offer or Advance Offer, as the case may be, shall state:</w:t>
      </w:r>
    </w:p>
    <w:p>
      <w:pPr>
        <w:spacing w:after="0" w:line="166" w:lineRule="exact"/>
        <w:rPr>
          <w:sz w:val="20"/>
          <w:szCs w:val="20"/>
          <w:color w:val="auto"/>
        </w:rPr>
      </w:pPr>
    </w:p>
    <w:p>
      <w:pPr>
        <w:jc w:val="both"/>
        <w:ind w:left="660" w:right="1120" w:firstLine="2264"/>
        <w:spacing w:after="0" w:line="342" w:lineRule="auto"/>
        <w:tabs>
          <w:tab w:leader="none" w:pos="336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that the Asset Sale Offer or Advance Offer, as the case may be, is being made pursuant to this </w:t>
      </w:r>
      <w:r>
        <w:rPr>
          <w:rFonts w:ascii="Arial" w:cs="Arial" w:eastAsia="Arial" w:hAnsi="Arial"/>
          <w:sz w:val="16"/>
          <w:szCs w:val="16"/>
          <w:u w:val="single" w:color="auto"/>
          <w:color w:val="auto"/>
        </w:rPr>
        <w:t>Section 3.09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the length of time the Asset Sale Offer or Advance Offer, as the case may be, shall remain open;</w:t>
      </w:r>
    </w:p>
    <w:p>
      <w:pPr>
        <w:spacing w:after="0" w:line="123" w:lineRule="exact"/>
        <w:rPr>
          <w:rFonts w:ascii="Arial" w:cs="Arial" w:eastAsia="Arial" w:hAnsi="Arial"/>
          <w:sz w:val="16"/>
          <w:szCs w:val="16"/>
          <w:color w:val="auto"/>
        </w:rPr>
      </w:pPr>
    </w:p>
    <w:p>
      <w:pPr>
        <w:ind w:left="3420" w:hanging="496"/>
        <w:spacing w:after="0"/>
        <w:tabs>
          <w:tab w:leader="none" w:pos="3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2" w:name="page113"/>
    <w:bookmarkEnd w:id="112"/>
    <w:p>
      <w:pPr>
        <w:ind w:left="2800" w:hanging="576"/>
        <w:spacing w:after="0"/>
        <w:tabs>
          <w:tab w:leader="none" w:pos="2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shall continue to accrue interest;</w:t>
      </w:r>
    </w:p>
    <w:p>
      <w:pPr>
        <w:spacing w:after="0" w:line="225" w:lineRule="exact"/>
        <w:rPr>
          <w:rFonts w:ascii="Arial" w:cs="Arial" w:eastAsia="Arial" w:hAnsi="Arial"/>
          <w:sz w:val="18"/>
          <w:szCs w:val="18"/>
          <w:color w:val="auto"/>
        </w:rPr>
      </w:pPr>
    </w:p>
    <w:p>
      <w:pPr>
        <w:ind w:left="-40" w:right="80" w:firstLine="2264"/>
        <w:spacing w:after="0" w:line="308" w:lineRule="auto"/>
        <w:tabs>
          <w:tab w:leader="none" w:pos="280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that, unless the Issuer defaults in making such payment, any Note accepted for payment pursuant to the Asset Sale Offer or Advance Offer, as the case may be, shall cease to accrue interest after the Purchase Date;</w:t>
      </w:r>
    </w:p>
    <w:p>
      <w:pPr>
        <w:spacing w:after="0" w:line="146" w:lineRule="exact"/>
        <w:rPr>
          <w:rFonts w:ascii="Arial" w:cs="Arial" w:eastAsia="Arial" w:hAnsi="Arial"/>
          <w:sz w:val="17"/>
          <w:szCs w:val="17"/>
          <w:color w:val="auto"/>
        </w:rPr>
      </w:pPr>
    </w:p>
    <w:p>
      <w:pPr>
        <w:ind w:left="-40" w:right="100" w:firstLine="2264"/>
        <w:spacing w:after="0" w:line="263" w:lineRule="auto"/>
        <w:tabs>
          <w:tab w:leader="none" w:pos="27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or an Advance Offer, as the case may be, may elect to have Notes purchased in denominations of $1,000 or whole multiples of $1,000 in excess thereof only;</w:t>
      </w:r>
    </w:p>
    <w:p>
      <w:pPr>
        <w:spacing w:after="0" w:line="183" w:lineRule="exact"/>
        <w:rPr>
          <w:rFonts w:ascii="Arial" w:cs="Arial" w:eastAsia="Arial" w:hAnsi="Arial"/>
          <w:sz w:val="18"/>
          <w:szCs w:val="18"/>
          <w:color w:val="auto"/>
        </w:rPr>
      </w:pPr>
    </w:p>
    <w:p>
      <w:pPr>
        <w:ind w:left="-40" w:right="20" w:firstLine="2264"/>
        <w:spacing w:after="0" w:line="259" w:lineRule="auto"/>
        <w:tabs>
          <w:tab w:leader="none" w:pos="280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any Asset Sale Offer or Advance Offer, as the case may be, shall be required to surrender the Note, with the form entitled “Option of Holder to Elect Purchase” attached to the Note completed, or transfer by book-entry transfer, to the Issuer, the Depositary, if appointed by the Issuer, or a Paying Agent at the address specified in the notice at least three days before the Purchase Date;</w:t>
      </w:r>
    </w:p>
    <w:p>
      <w:pPr>
        <w:spacing w:after="0" w:line="186" w:lineRule="exact"/>
        <w:rPr>
          <w:rFonts w:ascii="Arial" w:cs="Arial" w:eastAsia="Arial" w:hAnsi="Arial"/>
          <w:sz w:val="18"/>
          <w:szCs w:val="18"/>
          <w:color w:val="auto"/>
        </w:rPr>
      </w:pPr>
    </w:p>
    <w:p>
      <w:pPr>
        <w:ind w:left="-40" w:firstLine="2264"/>
        <w:spacing w:after="0" w:line="259" w:lineRule="auto"/>
        <w:tabs>
          <w:tab w:leader="none" w:pos="285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Holders shall be entitled to withdraw their election if the Issuer,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186" w:lineRule="exact"/>
        <w:rPr>
          <w:rFonts w:ascii="Arial" w:cs="Arial" w:eastAsia="Arial" w:hAnsi="Arial"/>
          <w:sz w:val="18"/>
          <w:szCs w:val="18"/>
          <w:color w:val="auto"/>
        </w:rPr>
      </w:pPr>
    </w:p>
    <w:p>
      <w:pPr>
        <w:ind w:left="-40" w:right="20" w:firstLine="2264"/>
        <w:spacing w:after="0" w:line="289" w:lineRule="auto"/>
        <w:tabs>
          <w:tab w:leader="none" w:pos="290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(or accreted value, as applicable) of Notes and, if applicable, other Equal Priority Obligations and, to the extent that the assets and property disposed of in the Asset Sale were not Collateral, other Pari Passu Indebtedness, in each case, surrendered by the holders thereof exceeds the Offer Amount, the Trustee shall select the Notes (subject to applicable rules and procedures of the Depositary as to Global Notes) and the Issuer or the representative of such other Equal Priority Obligations and such other Pari Passu Indebtedness shall select such other Equal Priority Obligations and Pari Passu Indebtedness to be purchased or repaid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based on the accreted value or principal amount of the Notes or such other Equal Priority Obligations and such other Pari Passu Indebtedness tendered (with such adjustments as may be deemed appropriate by the Trustee so that only Notes in denominations of $1,000 or whole multiples of $1,000 in excess thereof shall be purchased;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unpurchased portion of Notes must be equal to $2,000 or an integral multiple of $1,000 in excess thereof); and</w:t>
      </w:r>
    </w:p>
    <w:p>
      <w:pPr>
        <w:spacing w:after="0" w:line="166" w:lineRule="exact"/>
        <w:rPr>
          <w:rFonts w:ascii="Arial" w:cs="Arial" w:eastAsia="Arial" w:hAnsi="Arial"/>
          <w:sz w:val="16"/>
          <w:szCs w:val="16"/>
          <w:color w:val="auto"/>
        </w:rPr>
      </w:pPr>
    </w:p>
    <w:p>
      <w:pPr>
        <w:ind w:left="-40" w:right="420" w:firstLine="2264"/>
        <w:spacing w:after="0" w:line="263" w:lineRule="auto"/>
        <w:tabs>
          <w:tab w:leader="none" w:pos="280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shall, after the Repurchase Date upon cancellation of the Notes surrendered, be issued new Notes equal in principal amount to the unpurchased portion of the Notes surrendered.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48895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020" w:top="341" w:right="1019" w:bottom="1440" w:gutter="0" w:footer="0" w:header="0"/>
        </w:sectPr>
      </w:pPr>
    </w:p>
    <w:bookmarkStart w:id="113" w:name="page114"/>
    <w:bookmarkEnd w:id="113"/>
    <w:p>
      <w:pPr>
        <w:ind w:right="120" w:firstLine="1952"/>
        <w:spacing w:after="0" w:line="279" w:lineRule="auto"/>
        <w:tabs>
          <w:tab w:leader="none" w:pos="245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On or before the Purchase Date, the Issuer shall, to the extent lawful, (1) accept for payment,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to the extent necessary, the Offer Amount of Notes or portions thereof validly tendered pursuant to the Asset Sale Offer or Advance Offer, as the case may be,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spacing w:after="0" w:line="171" w:lineRule="exact"/>
        <w:rPr>
          <w:rFonts w:ascii="Arial" w:cs="Arial" w:eastAsia="Arial" w:hAnsi="Arial"/>
          <w:sz w:val="17"/>
          <w:szCs w:val="17"/>
          <w:color w:val="auto"/>
        </w:rPr>
      </w:pPr>
    </w:p>
    <w:p>
      <w:pPr>
        <w:ind w:firstLine="1952"/>
        <w:spacing w:after="0" w:line="270" w:lineRule="auto"/>
        <w:tabs>
          <w:tab w:leader="none" w:pos="243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Issuer, the Depositary or the Paying Agent, as the case may be, shall promptly mail or deliver to each tendering Holder an amount equal to the purchase price of the Notes properly tendered by such Holder and accepted by the Issuer for purchase, and, if any Notes are purchased in part only, after the Purchase Date upon cancellation of the Note surrendered,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the unpurchased portion of the Note surrendered; </w:t>
      </w:r>
      <w:r>
        <w:rPr>
          <w:rFonts w:ascii="Arial" w:cs="Arial" w:eastAsia="Arial" w:hAnsi="Arial"/>
          <w:sz w:val="17"/>
          <w:szCs w:val="17"/>
          <w:u w:val="single" w:color="auto"/>
          <w:color w:val="auto"/>
        </w:rPr>
        <w:t>provided</w:t>
      </w:r>
      <w:r>
        <w:rPr>
          <w:rFonts w:ascii="Arial" w:cs="Arial" w:eastAsia="Arial" w:hAnsi="Arial"/>
          <w:sz w:val="17"/>
          <w:szCs w:val="17"/>
          <w:color w:val="auto"/>
        </w:rPr>
        <w:t>, that each such new Note shall be in a principal amount of $2,000 or an integral multiple of $1,000 in excess thereof. Any Note not so accepted shall be promptly mailed or delivered by the Issuer to the Holder thereof. The Issuer shall publicly announce the results of the Asset Sale Offer or Advance Offer, as the case may be, on or as soon as practicable after the Purchase Date.</w:t>
      </w:r>
    </w:p>
    <w:p>
      <w:pPr>
        <w:spacing w:after="0" w:line="18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Other than as specifically provided in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any purchase pursuant to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shall be made pursuant to the applicable provisions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3.06</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NOTES.</w:t>
      </w:r>
    </w:p>
    <w:p>
      <w:pPr>
        <w:spacing w:after="0" w:line="225"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 If any Interest Payment Date, the maturity date of the Notes or any earlier required repurchase date or Redemption Date falls on a day that is a Legal Holiday, the required payment will be made on the next succeeding Business Day and no interest on such payment will accrue in respect of the delay.</w:t>
      </w:r>
    </w:p>
    <w:p>
      <w:pPr>
        <w:spacing w:after="0" w:line="192"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ind w:left="13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p>
    <w:p>
      <w:pPr>
        <w:spacing w:after="0" w:line="225" w:lineRule="exact"/>
        <w:rPr>
          <w:sz w:val="20"/>
          <w:szCs w:val="20"/>
          <w:color w:val="auto"/>
        </w:rPr>
      </w:pPr>
    </w:p>
    <w:p>
      <w:pPr>
        <w:ind w:firstLine="1296"/>
        <w:spacing w:after="0" w:line="296" w:lineRule="auto"/>
        <w:rPr>
          <w:sz w:val="20"/>
          <w:szCs w:val="20"/>
          <w:color w:val="auto"/>
        </w:rPr>
      </w:pPr>
      <w:r>
        <w:rPr>
          <w:rFonts w:ascii="Arial" w:cs="Arial" w:eastAsia="Arial" w:hAnsi="Arial"/>
          <w:sz w:val="16"/>
          <w:szCs w:val="16"/>
          <w:color w:val="auto"/>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61"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171"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 xml:space="preserve">The Issuer hereby designates the Corporate Trust Office of the Trustee as one such office or agency of the Issuer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service of legal process may be made on the Issuer at any office of the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REPORTS AND OTHER INFORMATION</w:t>
      </w:r>
      <w:r>
        <w:rPr>
          <w:rFonts w:ascii="Arial" w:cs="Arial" w:eastAsia="Arial" w:hAnsi="Arial"/>
          <w:sz w:val="18"/>
          <w:szCs w:val="18"/>
          <w:color w:val="auto"/>
        </w:rPr>
        <w:t>.</w:t>
      </w:r>
    </w:p>
    <w:p>
      <w:pPr>
        <w:spacing w:after="0" w:line="225" w:lineRule="exact"/>
        <w:rPr>
          <w:sz w:val="20"/>
          <w:szCs w:val="20"/>
          <w:color w:val="auto"/>
        </w:rPr>
      </w:pPr>
    </w:p>
    <w:p>
      <w:pPr>
        <w:ind w:right="120" w:firstLine="1952"/>
        <w:spacing w:after="0" w:line="263" w:lineRule="auto"/>
        <w:tabs>
          <w:tab w:leader="none" w:pos="245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Notwithstanding that the Issuer may not be subject to the reporting requirements of Section 13 or 15(d) of the Exchange Act or otherwise report on an annual and quarterly basis on forms provided for such annual and quarterly reporting pursuant to rules and regulations promulgated by the SEC, the Issuer shall file with the SEC or provide the Trustee and the Holders with:</w:t>
      </w:r>
    </w:p>
    <w:p>
      <w:pPr>
        <w:spacing w:after="0" w:line="183" w:lineRule="exact"/>
        <w:rPr>
          <w:rFonts w:ascii="Arial" w:cs="Arial" w:eastAsia="Arial" w:hAnsi="Arial"/>
          <w:sz w:val="18"/>
          <w:szCs w:val="18"/>
          <w:color w:val="auto"/>
        </w:rPr>
      </w:pPr>
    </w:p>
    <w:p>
      <w:pPr>
        <w:ind w:left="740" w:right="640" w:firstLine="2427"/>
        <w:spacing w:after="0" w:line="263" w:lineRule="auto"/>
        <w:tabs>
          <w:tab w:leader="none" w:pos="369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within 90 days (or the successor time period then in effect under the Exchange Act for a non-accelerated filer plus any grace period provided by Rule 12b-25 under the Exchange Act) after the end of each fiscal year, annual reports of the Issuer on Form 10-K, or any successor or comparable form; and</w:t>
      </w:r>
    </w:p>
    <w:p>
      <w:pPr>
        <w:spacing w:after="0" w:line="183" w:lineRule="exact"/>
        <w:rPr>
          <w:rFonts w:ascii="Arial" w:cs="Arial" w:eastAsia="Arial" w:hAnsi="Arial"/>
          <w:sz w:val="18"/>
          <w:szCs w:val="18"/>
          <w:color w:val="auto"/>
        </w:rPr>
      </w:pPr>
    </w:p>
    <w:p>
      <w:pPr>
        <w:ind w:left="740" w:right="820" w:firstLine="2427"/>
        <w:spacing w:after="0" w:line="286" w:lineRule="auto"/>
        <w:tabs>
          <w:tab w:leader="none" w:pos="369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within 45 days (or the successor time period then in effect under the Exchange Act for a non-accelerated filer plus any grace period provided by Rule 12b-25 under the Exchange Act) after the end of each of the first three fiscal quarters of each fiscal year, quarterly reports of the Issuer on Form 10-Q, or any successor or comparable form; and</w:t>
      </w:r>
    </w:p>
    <w:p>
      <w:pPr>
        <w:spacing w:after="0" w:line="165" w:lineRule="exact"/>
        <w:rPr>
          <w:rFonts w:ascii="Arial" w:cs="Arial" w:eastAsia="Arial" w:hAnsi="Arial"/>
          <w:sz w:val="17"/>
          <w:szCs w:val="17"/>
          <w:color w:val="auto"/>
        </w:rPr>
      </w:pPr>
    </w:p>
    <w:p>
      <w:pPr>
        <w:ind w:left="3700" w:hanging="533"/>
        <w:spacing w:after="0"/>
        <w:tabs>
          <w:tab w:leader="none" w:pos="37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within the time periods specified for filing Current Reports on Form 8-K after the occurrence of</w:t>
      </w:r>
    </w:p>
    <w:p>
      <w:pPr>
        <w:spacing w:after="0" w:line="23" w:lineRule="exact"/>
        <w:rPr>
          <w:sz w:val="20"/>
          <w:szCs w:val="20"/>
          <w:color w:val="auto"/>
        </w:rPr>
      </w:pPr>
    </w:p>
    <w:p>
      <w:pPr>
        <w:ind w:left="740" w:right="700"/>
        <w:spacing w:after="0" w:line="253" w:lineRule="auto"/>
        <w:rPr>
          <w:sz w:val="20"/>
          <w:szCs w:val="20"/>
          <w:color w:val="auto"/>
        </w:rPr>
      </w:pPr>
      <w:r>
        <w:rPr>
          <w:rFonts w:ascii="Arial" w:cs="Arial" w:eastAsia="Arial" w:hAnsi="Arial"/>
          <w:sz w:val="18"/>
          <w:szCs w:val="18"/>
          <w:color w:val="auto"/>
        </w:rPr>
        <w:t>each event that would have been required to be reported in a Current Report on Form 8-K under the Exchange Act if the Issuer were a reporting company under the Exchange Act, Current Reports on Form 8-K, or any successor or comparable form; provided that no such Current Reports on Form 8-K will be required to be filed or provided that are not material to the interests of Holders in their capacities as such (as determined in good faith by the Issuer) or the business, assets, operations, financial positions or prospects of the Issuer and the Restricted Subsidiaries, taken as a whole.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5" w:name="page116"/>
    <w:bookmarkEnd w:id="115"/>
    <w:p>
      <w:pPr>
        <w:ind w:left="-80" w:firstLine="1952"/>
        <w:spacing w:after="0" w:line="286" w:lineRule="auto"/>
        <w:tabs>
          <w:tab w:leader="none" w:pos="238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Notwithstanding the foregoing, (A) none of the foregoing reports will be required to (i) contain the separate financial information for Guarantors and non-Guarantor Subsidiaries contemplated by Rule 3-10, 3-16, 13-01 or 13-02 of Regulation S-X promulgated by the SEC or (ii) present any information required by Rule 3-05 or Rule 4-08 of Regulation S-X promulgated by the SEC or contain any financial statements of unconsolidated Subsidiaries or 50.0% or less owned Persons under Rule 3-09 of Regulation S-X or any schedules required by Regulation S-X, (iii) present any information required by Item 9A of Form 10-K, Items 307 or 308 of Regulation S-K (or, in each case, any successor item or provision in respect thereof) or any other rule or regulation implementing Section 404 of the Sarbanes-Oxley Act of 2002, or by Item 402 of Regulation S-K or (iv) comply with Regulation G under the Exchange Act or Item 10(e) of Regulation S-K promulgated by the SEC with respect to any non-GAAP financial measures contained therein and (B) if any direct or indirect parent company of the Issuer is a Guarantor of the Notes, the reports, information and other documents required to be filed and provided as described above may be those of a parent company, rather than those of the Issuer, so long as such filings would otherwise satisfy in all material respects the requirements of clauses (1), (2) or (3) above; provided that if such parent company holds material assets (other than cash, Cash Equivalents and the Capital Stock of the Issuer and Restricted Subsidiaries) such annual and quarterly reports shall include a reasonable explanation of the material differences between the assets, liabilities and results of operations of such parent company and its consolidated Subsidiaries on the one hand, and the Issuer and the Restricted Subsidiaries on the other hand.</w:t>
      </w:r>
    </w:p>
    <w:p>
      <w:pPr>
        <w:spacing w:after="0" w:line="173" w:lineRule="exact"/>
        <w:rPr>
          <w:rFonts w:ascii="Arial" w:cs="Arial" w:eastAsia="Arial" w:hAnsi="Arial"/>
          <w:sz w:val="16"/>
          <w:szCs w:val="16"/>
          <w:color w:val="auto"/>
        </w:rPr>
      </w:pPr>
    </w:p>
    <w:p>
      <w:pPr>
        <w:ind w:left="-80" w:firstLine="1952"/>
        <w:spacing w:after="0" w:line="289" w:lineRule="auto"/>
        <w:tabs>
          <w:tab w:leader="none" w:pos="236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At any time that any of the Issuer’s Subsidiaries are Unrestricted Subsidiaries and if any such Unrestricted Subsidiary or if all Unrestricted Subsidiaries, if taken together as one Subsidiary, would constitute a Significant Subsidiary of the Issuer, then, no later than 15 days following the respective deadlines set forth in clause (1) and (2) of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the Issuer will file with the SEC or provide the Trustee and the Holders (which may include posting on the Issuer’s website) a reasonably detailed presentation (which need not be audited or reviewed by the Issuer’s auditors) of the financial condition and results of operations of the Unrestricted Subsidiaries of the Issuer, comparable to the financial information of the Unrestricted Subsidiaries presented in the penultimate paragraph of the “Description of Notes—Certain Covenants—Limitation on Restricted Payments” section of the Offering Memorandum. So long as the Notes are outstanding and the reports required to be delivered under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are not filed with the SEC, the Issuer will maintain a website (that, at the option of the Issuer, may be password protected) to which Holders, prospective investors, broker-dealers and securities analysts are given access promptly upon request and to which all the reports required by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are posted.</w:t>
      </w:r>
    </w:p>
    <w:p>
      <w:pPr>
        <w:spacing w:after="0" w:line="166" w:lineRule="exact"/>
        <w:rPr>
          <w:rFonts w:ascii="Arial" w:cs="Arial" w:eastAsia="Arial" w:hAnsi="Arial"/>
          <w:sz w:val="16"/>
          <w:szCs w:val="16"/>
          <w:color w:val="auto"/>
        </w:rPr>
      </w:pPr>
    </w:p>
    <w:p>
      <w:pPr>
        <w:ind w:left="-80" w:firstLine="1952"/>
        <w:spacing w:after="0" w:line="263" w:lineRule="auto"/>
        <w:tabs>
          <w:tab w:leader="none" w:pos="23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In addition, to the extent not satisfied by the reports referred to in </w:t>
      </w:r>
      <w:r>
        <w:rPr>
          <w:rFonts w:ascii="Arial" w:cs="Arial" w:eastAsia="Arial" w:hAnsi="Arial"/>
          <w:sz w:val="18"/>
          <w:szCs w:val="18"/>
          <w:u w:val="single" w:color="auto"/>
          <w:color w:val="auto"/>
        </w:rPr>
        <w:t>Section 4.03(a)</w:t>
      </w:r>
      <w:r>
        <w:rPr>
          <w:rFonts w:ascii="Arial" w:cs="Arial" w:eastAsia="Arial" w:hAnsi="Arial"/>
          <w:sz w:val="18"/>
          <w:szCs w:val="18"/>
          <w:color w:val="auto"/>
        </w:rPr>
        <w:t>, the Issuer shall furnish to the 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25" w:right="419" w:bottom="1440" w:gutter="0" w:footer="0" w:header="0"/>
        </w:sectPr>
      </w:pPr>
    </w:p>
    <w:bookmarkStart w:id="116" w:name="page117"/>
    <w:bookmarkEnd w:id="116"/>
    <w:p>
      <w:pPr>
        <w:ind w:right="80" w:firstLine="1952"/>
        <w:spacing w:after="0" w:line="273" w:lineRule="auto"/>
        <w:tabs>
          <w:tab w:leader="none" w:pos="2459"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Issuer shall not be so obligated to file such reports with the SEC (i) if the SEC does not permit such filing and (ii) the Issuer makes available the applicable information to prospective purchasers of Notes upon request, in addition to providing such information to the Trustee, in each case, within 15 days after the applicable date the Issuer would be required to file such information pursuant to </w:t>
      </w:r>
      <w:r>
        <w:rPr>
          <w:rFonts w:ascii="Arial" w:cs="Arial" w:eastAsia="Arial" w:hAnsi="Arial"/>
          <w:sz w:val="17"/>
          <w:szCs w:val="17"/>
          <w:u w:val="single" w:color="auto"/>
          <w:color w:val="auto"/>
        </w:rPr>
        <w:t>Section 4.03(a)</w:t>
      </w:r>
      <w:r>
        <w:rPr>
          <w:rFonts w:ascii="Arial" w:cs="Arial" w:eastAsia="Arial" w:hAnsi="Arial"/>
          <w:sz w:val="17"/>
          <w:szCs w:val="17"/>
          <w:color w:val="auto"/>
        </w:rPr>
        <w:t>. To the extent any such information is not so filed or furnished, as applicable, within the time periods specified above and such information is subsequently filed or furnished, as applicable, the Issuer will be deemed to have satisfied its obligations with respect thereto at such time and any Default or Event of Default with respect thereto shall be deemed to have been cured.</w:t>
      </w:r>
    </w:p>
    <w:p>
      <w:pPr>
        <w:spacing w:after="0" w:line="177" w:lineRule="exact"/>
        <w:rPr>
          <w:rFonts w:ascii="Arial" w:cs="Arial" w:eastAsia="Arial" w:hAnsi="Arial"/>
          <w:sz w:val="17"/>
          <w:szCs w:val="17"/>
          <w:color w:val="auto"/>
        </w:rPr>
      </w:pPr>
    </w:p>
    <w:p>
      <w:pPr>
        <w:jc w:val="both"/>
        <w:ind w:right="60" w:firstLine="1952"/>
        <w:spacing w:after="0" w:line="263" w:lineRule="auto"/>
        <w:tabs>
          <w:tab w:leader="none" w:pos="24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Issuer will be deemed to have furnished the financial statements and other information referred to in </w:t>
      </w:r>
      <w:r>
        <w:rPr>
          <w:rFonts w:ascii="Arial" w:cs="Arial" w:eastAsia="Arial" w:hAnsi="Arial"/>
          <w:sz w:val="18"/>
          <w:szCs w:val="18"/>
          <w:u w:val="single" w:color="auto"/>
          <w:color w:val="auto"/>
        </w:rPr>
        <w:t>Section 4.03(a)</w:t>
      </w:r>
      <w:r>
        <w:rPr>
          <w:rFonts w:ascii="Arial" w:cs="Arial" w:eastAsia="Arial" w:hAnsi="Arial"/>
          <w:sz w:val="18"/>
          <w:szCs w:val="18"/>
          <w:color w:val="auto"/>
        </w:rPr>
        <w:t xml:space="preserve"> if the Issuer or any parent company has filed reports containing such information (or any such information of a parent company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4.03(b)</w:t>
      </w:r>
      <w:r>
        <w:rPr>
          <w:rFonts w:ascii="Arial" w:cs="Arial" w:eastAsia="Arial" w:hAnsi="Arial"/>
          <w:sz w:val="18"/>
          <w:szCs w:val="18"/>
          <w:color w:val="auto"/>
        </w:rPr>
        <w:t>) with the SEC.</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COMPLIANCE CERTIFICATE.</w:t>
      </w:r>
    </w:p>
    <w:p>
      <w:pPr>
        <w:spacing w:after="0" w:line="225" w:lineRule="exact"/>
        <w:rPr>
          <w:sz w:val="20"/>
          <w:szCs w:val="20"/>
          <w:color w:val="auto"/>
        </w:rPr>
      </w:pPr>
    </w:p>
    <w:p>
      <w:pPr>
        <w:ind w:firstLine="1952"/>
        <w:spacing w:after="0" w:line="270" w:lineRule="auto"/>
        <w:tabs>
          <w:tab w:leader="none" w:pos="245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Issuer shall deliver to the Trustee, within 120 days after the end of each fiscal year (beginning with the first fiscal year ending after the Issue Date and after giving effect to any fiscal year change effected on or after the Issue Date), an Officer’s Certificate stating that a review of the activities of the Issuer and its Restricted Subsidiaries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Issuer is taking or propose to take with respect thereto). Such certificate shall also notify the Trustee should the Issuer elect to change the manner in which it fixes its fiscal year-end.</w:t>
      </w:r>
    </w:p>
    <w:p>
      <w:pPr>
        <w:spacing w:after="0" w:line="180" w:lineRule="exact"/>
        <w:rPr>
          <w:rFonts w:ascii="Arial" w:cs="Arial" w:eastAsia="Arial" w:hAnsi="Arial"/>
          <w:sz w:val="17"/>
          <w:szCs w:val="17"/>
          <w:color w:val="auto"/>
        </w:rPr>
      </w:pPr>
    </w:p>
    <w:p>
      <w:pPr>
        <w:jc w:val="both"/>
        <w:ind w:firstLine="1952"/>
        <w:spacing w:after="0" w:line="259" w:lineRule="auto"/>
        <w:tabs>
          <w:tab w:leader="none" w:pos="246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any Default has occurred and is continuing under this Indenture, or if the Trustee or the holder of any other evidence of Indebtedness of the Issuer or any Subsidiary gives any notice or takes any other action with respect to a claimed Default, the Issuer shall, within 30 days of becoming aware of such Default, deliver to the Trustee an Officer’s Certificate specifying such Default and what action the Issuer proposes to take with respect thereto (unless such Default has been cured or waived within such 30-day time period).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TAXES.</w:t>
      </w:r>
    </w:p>
    <w:p>
      <w:pPr>
        <w:spacing w:after="0" w:line="225" w:lineRule="exact"/>
        <w:rPr>
          <w:sz w:val="20"/>
          <w:szCs w:val="20"/>
          <w:color w:val="auto"/>
        </w:rPr>
      </w:pPr>
    </w:p>
    <w:p>
      <w:pPr>
        <w:ind w:right="120" w:firstLine="1296"/>
        <w:spacing w:after="0" w:line="273" w:lineRule="auto"/>
        <w:rPr>
          <w:sz w:val="20"/>
          <w:szCs w:val="20"/>
          <w:color w:val="auto"/>
        </w:rPr>
      </w:pPr>
      <w:r>
        <w:rPr>
          <w:rFonts w:ascii="Arial" w:cs="Arial" w:eastAsia="Arial" w:hAnsi="Arial"/>
          <w:sz w:val="17"/>
          <w:szCs w:val="17"/>
          <w:color w:val="auto"/>
        </w:rPr>
        <w:t>The Issuer shall pay, and shall cause each of its Restricted Subsidiaries to pay, prior to delinquency, all material taxes, assessments, and governmental levies required to be paid except such as are contested in good faith and by appropriate negotiations or proceedings, so long as adequate reserves with respect thereto are maintained on the books of the Issuer or any of its Restricted Subsidiaries in accordance with GAAP, or where the failure to effect such payment, individually or in the aggregate, would not reasonably be expected to result in a material adverse effect on (i) the business, results of operations or financial condition of the Issuer and its Restricted Subsidiaries, taken as a whole, or (ii) the ability of the Issuer and the Guarantors (taken as a whole) to perform their payment obligations under this Indenture.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7" w:name="page118"/>
    <w:bookmarkEnd w:id="117"/>
    <w:p>
      <w:pPr>
        <w:ind w:left="1300"/>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STAY, EXTENSION AND USURY LAWS.</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The Issuer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LIMITATION ON RESTRICTED PAYMENTS.</w:t>
      </w:r>
    </w:p>
    <w:p>
      <w:pPr>
        <w:spacing w:after="0" w:line="225" w:lineRule="exact"/>
        <w:rPr>
          <w:sz w:val="20"/>
          <w:szCs w:val="20"/>
          <w:color w:val="auto"/>
        </w:rPr>
      </w:pPr>
    </w:p>
    <w:p>
      <w:pPr>
        <w:ind w:left="2460" w:hanging="508"/>
        <w:spacing w:after="0"/>
        <w:tabs>
          <w:tab w:leader="none" w:pos="24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Issuer shall not, and shall not permit any of its Restricted Subsidiaries to:</w:t>
      </w:r>
    </w:p>
    <w:p>
      <w:pPr>
        <w:spacing w:after="0" w:line="225" w:lineRule="exact"/>
        <w:rPr>
          <w:rFonts w:ascii="Arial" w:cs="Arial" w:eastAsia="Arial" w:hAnsi="Arial"/>
          <w:sz w:val="18"/>
          <w:szCs w:val="18"/>
          <w:color w:val="auto"/>
        </w:rPr>
      </w:pPr>
    </w:p>
    <w:p>
      <w:pPr>
        <w:ind w:right="300" w:firstLine="656"/>
        <w:spacing w:after="0" w:line="263" w:lineRule="auto"/>
        <w:tabs>
          <w:tab w:leader="none" w:pos="114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declare or pay any dividend or make any payment or distribution on account of the Issuer’s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spacing w:after="0" w:line="183" w:lineRule="exact"/>
        <w:rPr>
          <w:rFonts w:ascii="Arial" w:cs="Arial" w:eastAsia="Arial" w:hAnsi="Arial"/>
          <w:sz w:val="18"/>
          <w:szCs w:val="18"/>
          <w:color w:val="auto"/>
        </w:rPr>
      </w:pPr>
    </w:p>
    <w:p>
      <w:pPr>
        <w:ind w:right="200" w:firstLine="1952"/>
        <w:spacing w:after="0" w:line="277" w:lineRule="auto"/>
        <w:tabs>
          <w:tab w:leader="none" w:pos="245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dividends, payments or distributions by the Issuer payable solely in Qualified Capital Stock of the Issuer or in options, warrants or other rights to purchase Qualified Capital Stock; or</w:t>
      </w:r>
    </w:p>
    <w:p>
      <w:pPr>
        <w:spacing w:after="0" w:line="170" w:lineRule="exact"/>
        <w:rPr>
          <w:rFonts w:ascii="Arial" w:cs="Arial" w:eastAsia="Arial" w:hAnsi="Arial"/>
          <w:sz w:val="18"/>
          <w:szCs w:val="18"/>
          <w:color w:val="auto"/>
        </w:rPr>
      </w:pPr>
    </w:p>
    <w:p>
      <w:pPr>
        <w:ind w:right="60" w:firstLine="1952"/>
        <w:spacing w:after="0" w:line="259" w:lineRule="auto"/>
        <w:tabs>
          <w:tab w:leader="none" w:pos="246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dividends, payments or distributions by a Restricted Subsidiary so long as, in the case of any dividend, payment or distribution payable on or in respect of any class or series of securities issued by a Restricted Subsidiary other than a Wholly-Owned Subsidiary, the Issuer or a Restricted Subsidiary receives at least its pro rata share of such dividend, payment or distribution in accordance with its Equity Interests in such class or series of securities;</w:t>
      </w:r>
    </w:p>
    <w:p>
      <w:pPr>
        <w:spacing w:after="0" w:line="187" w:lineRule="exact"/>
        <w:rPr>
          <w:sz w:val="20"/>
          <w:szCs w:val="20"/>
          <w:color w:val="auto"/>
        </w:rPr>
      </w:pPr>
    </w:p>
    <w:p>
      <w:pPr>
        <w:ind w:right="200" w:firstLine="656"/>
        <w:spacing w:after="0" w:line="308" w:lineRule="auto"/>
        <w:tabs>
          <w:tab w:leader="none" w:pos="120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redeem, purchase, repurchase, defease or otherwise acquire or retire for value any Equity Interests of the Issuer, including in connection with any merger, amalgamation or consolidation, in each case, held by a Person other than the Issuer or a Restricted Subsidiary;</w:t>
      </w:r>
    </w:p>
    <w:p>
      <w:pPr>
        <w:spacing w:after="0" w:line="146" w:lineRule="exact"/>
        <w:rPr>
          <w:sz w:val="20"/>
          <w:szCs w:val="20"/>
          <w:color w:val="auto"/>
        </w:rPr>
      </w:pPr>
    </w:p>
    <w:p>
      <w:pPr>
        <w:ind w:right="20" w:firstLine="656"/>
        <w:spacing w:after="0" w:line="286" w:lineRule="auto"/>
        <w:tabs>
          <w:tab w:leader="none" w:pos="1262" w:val="left"/>
        </w:tabs>
        <w:numPr>
          <w:ilvl w:val="0"/>
          <w:numId w:val="147"/>
        </w:numPr>
        <w:rPr>
          <w:rFonts w:ascii="Arial" w:cs="Arial" w:eastAsia="Arial" w:hAnsi="Arial"/>
          <w:sz w:val="17"/>
          <w:szCs w:val="17"/>
          <w:color w:val="auto"/>
        </w:rPr>
      </w:pPr>
      <w:r>
        <w:rPr>
          <w:rFonts w:ascii="Arial" w:cs="Arial" w:eastAsia="Arial" w:hAnsi="Arial"/>
          <w:sz w:val="17"/>
          <w:szCs w:val="17"/>
          <w:color w:val="auto"/>
        </w:rPr>
        <w:t>make any principal payment on, or redeem, purchase, repurchase, defease, discharge or otherwise acquire or retire for value, in each case, prior to any scheduled repayment, sinking fund payment or maturity, any Subordinated Indebtedness (such payment and other actions described in the foregoing (subject to the exceptions in clauses (a) and (b) below), “</w:t>
      </w:r>
      <w:r>
        <w:rPr>
          <w:rFonts w:ascii="Arial" w:cs="Arial" w:eastAsia="Arial" w:hAnsi="Arial"/>
          <w:sz w:val="17"/>
          <w:szCs w:val="17"/>
          <w:u w:val="single" w:color="auto"/>
          <w:color w:val="auto"/>
        </w:rPr>
        <w:t>Restricted Debt Payments</w:t>
      </w:r>
      <w:r>
        <w:rPr>
          <w:rFonts w:ascii="Arial" w:cs="Arial" w:eastAsia="Arial" w:hAnsi="Arial"/>
          <w:sz w:val="17"/>
          <w:szCs w:val="17"/>
          <w:color w:val="auto"/>
        </w:rPr>
        <w:t>“), other than:</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8" w:name="page119"/>
    <w:bookmarkEnd w:id="118"/>
    <w:p>
      <w:pPr>
        <w:ind w:left="2460" w:hanging="508"/>
        <w:spacing w:after="0"/>
        <w:tabs>
          <w:tab w:leader="none" w:pos="2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Indebtedness permitted to be incurred or issued under clause (c)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firstLine="1952"/>
        <w:spacing w:after="0" w:line="263" w:lineRule="auto"/>
        <w:tabs>
          <w:tab w:leader="none" w:pos="24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prepayment, redemption, purchase, repurchase, defeasance, discharge or other acquisition or retirement of Subordinated Indebtedness in anticipation of satisfying a sinking fund obligation, principal installment or final maturity, in each case due within one year of the date of prepayment, redemption, purchase, repurchase, defeasance, discharge or acquisition or retirement; or</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make any Restricted Investment</w:t>
      </w:r>
    </w:p>
    <w:p>
      <w:pPr>
        <w:spacing w:after="0" w:line="225"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(all such payments and other actions set forth in clauses (I) through (IV) above (other than any exceptions thereto) being collectively referred to as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unless, at the time of such Restricted Payment:</w:t>
      </w:r>
    </w:p>
    <w:p>
      <w:pPr>
        <w:spacing w:after="0" w:line="170" w:lineRule="exact"/>
        <w:rPr>
          <w:sz w:val="20"/>
          <w:szCs w:val="20"/>
          <w:color w:val="auto"/>
        </w:rPr>
      </w:pPr>
    </w:p>
    <w:p>
      <w:pPr>
        <w:ind w:left="740" w:right="720" w:firstLine="2427"/>
        <w:spacing w:after="0" w:line="311" w:lineRule="auto"/>
        <w:tabs>
          <w:tab w:leader="none" w:pos="3695" w:val="left"/>
        </w:tabs>
        <w:numPr>
          <w:ilvl w:val="2"/>
          <w:numId w:val="149"/>
        </w:numPr>
        <w:rPr>
          <w:rFonts w:ascii="Arial" w:cs="Arial" w:eastAsia="Arial" w:hAnsi="Arial"/>
          <w:sz w:val="16"/>
          <w:szCs w:val="16"/>
          <w:color w:val="auto"/>
        </w:rPr>
      </w:pPr>
      <w:r>
        <w:rPr>
          <w:rFonts w:ascii="Arial" w:cs="Arial" w:eastAsia="Arial" w:hAnsi="Arial"/>
          <w:sz w:val="16"/>
          <w:szCs w:val="16"/>
          <w:color w:val="auto"/>
        </w:rPr>
        <w:t>in the case of a Restricted Payment under any of clauses (I), (II) and (III) above (other than with respect to amounts attributable to subclauses (a)(i) and (a)</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through (a)</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clause (2)</w:t>
      </w:r>
      <w:r>
        <w:rPr>
          <w:rFonts w:ascii="Arial" w:cs="Arial" w:eastAsia="Arial" w:hAnsi="Arial"/>
          <w:sz w:val="16"/>
          <w:szCs w:val="16"/>
          <w:color w:val="auto"/>
        </w:rPr>
        <w:t xml:space="preserve"> below), no Event of Default described under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shall have occurred and be continuing or would occur as a consequence thereof; and</w:t>
      </w:r>
    </w:p>
    <w:p>
      <w:pPr>
        <w:spacing w:after="0" w:line="148" w:lineRule="exact"/>
        <w:rPr>
          <w:rFonts w:ascii="Arial" w:cs="Arial" w:eastAsia="Arial" w:hAnsi="Arial"/>
          <w:sz w:val="16"/>
          <w:szCs w:val="16"/>
          <w:color w:val="auto"/>
        </w:rPr>
      </w:pPr>
    </w:p>
    <w:p>
      <w:pPr>
        <w:ind w:left="3700" w:hanging="533"/>
        <w:spacing w:after="0"/>
        <w:tabs>
          <w:tab w:leader="none" w:pos="3700" w:val="left"/>
        </w:tabs>
        <w:numPr>
          <w:ilvl w:val="2"/>
          <w:numId w:val="149"/>
        </w:numPr>
        <w:rPr>
          <w:rFonts w:ascii="Arial" w:cs="Arial" w:eastAsia="Arial" w:hAnsi="Arial"/>
          <w:sz w:val="17"/>
          <w:szCs w:val="17"/>
          <w:color w:val="auto"/>
        </w:rPr>
      </w:pPr>
      <w:r>
        <w:rPr>
          <w:rFonts w:ascii="Arial" w:cs="Arial" w:eastAsia="Arial" w:hAnsi="Arial"/>
          <w:sz w:val="17"/>
          <w:szCs w:val="17"/>
          <w:color w:val="auto"/>
        </w:rPr>
        <w:t>such Restricted Payment, together with the aggregate amount of all other Restricted Payments</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made by the Issuer and its Restricted Subsidiaries after the Issue Date pursuant to this clause (2), is less than:</w:t>
      </w:r>
    </w:p>
    <w:p>
      <w:pPr>
        <w:spacing w:after="0" w:line="210" w:lineRule="exact"/>
        <w:rPr>
          <w:rFonts w:ascii="Arial" w:cs="Arial" w:eastAsia="Arial" w:hAnsi="Arial"/>
          <w:sz w:val="17"/>
          <w:szCs w:val="17"/>
          <w:color w:val="auto"/>
        </w:rPr>
      </w:pPr>
    </w:p>
    <w:p>
      <w:pPr>
        <w:ind w:left="2460" w:hanging="508"/>
        <w:spacing w:after="0"/>
        <w:tabs>
          <w:tab w:leader="none" w:pos="2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sum of (without duplication):</w:t>
      </w:r>
    </w:p>
    <w:p>
      <w:pPr>
        <w:spacing w:after="0" w:line="225" w:lineRule="exact"/>
        <w:rPr>
          <w:rFonts w:ascii="Arial" w:cs="Arial" w:eastAsia="Arial" w:hAnsi="Arial"/>
          <w:sz w:val="18"/>
          <w:szCs w:val="18"/>
          <w:color w:val="auto"/>
        </w:rPr>
      </w:pPr>
    </w:p>
    <w:p>
      <w:pPr>
        <w:ind w:left="3400" w:hanging="476"/>
        <w:spacing w:after="0"/>
        <w:tabs>
          <w:tab w:leader="none" w:pos="34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$75.0 million;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960" w:firstLine="2264"/>
        <w:spacing w:after="0" w:line="263" w:lineRule="auto"/>
        <w:tabs>
          <w:tab w:leader="none" w:pos="346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50.0% of the cumulative Consolidated Net Income of the Company for each fiscal quarter (if greater than zero for such quarter) commencing with the first day of the fiscal quarter in which the Issue Date occurs to the end of the most recent Test Period; </w:t>
      </w:r>
      <w:r>
        <w:rPr>
          <w:rFonts w:ascii="Arial" w:cs="Arial" w:eastAsia="Arial" w:hAnsi="Arial"/>
          <w:sz w:val="18"/>
          <w:szCs w:val="18"/>
          <w:u w:val="single" w:color="auto"/>
          <w:color w:val="auto"/>
        </w:rPr>
        <w:t>plus</w:t>
      </w:r>
    </w:p>
    <w:p>
      <w:pPr>
        <w:spacing w:after="0" w:line="183" w:lineRule="exact"/>
        <w:rPr>
          <w:rFonts w:ascii="Arial" w:cs="Arial" w:eastAsia="Arial" w:hAnsi="Arial"/>
          <w:sz w:val="18"/>
          <w:szCs w:val="18"/>
          <w:color w:val="auto"/>
        </w:rPr>
      </w:pPr>
    </w:p>
    <w:p>
      <w:pPr>
        <w:ind w:left="660" w:right="660" w:firstLine="2264"/>
        <w:spacing w:after="0" w:line="269" w:lineRule="auto"/>
        <w:tabs>
          <w:tab w:leader="none" w:pos="3513"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the sum of (x) the amount of any cash capital contribution to the common equity capital of the Issuer or any Restricted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the cash proceeds received by the Issuer from any issuance of Qualified Capital Stock (including Treasury Capital Stock, and other than any Designated Preferred Stock or Refunding Capital Stock) of the Issuer after the Issue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(z) the fair market value of Cash Equivalents, marketable securities or other property received by the Issuer or any Restricted Subsidiary as a capital contribution to the common equity capital of the Issuer or such Restricted Subsidiary, or that becomes part of the common equity capital of the Issuer or a Restricted Subsidiary as a result of any consolidation, merger or similar transaction with the Issuer or any Restricted Subsidiary (in each case, other than any amount (A) constituting an Excluded Contribution, (B) received from the Issuer or any Restricted Subsidiary, (C) consisting of any loan or advance made pursuant to clause (h)(i) of the definition of “Permitted Investments” received as cash equity by the Issuer or any of its Restricted Subsidiaries, (D) used to make a Restricted Payment pursuant to </w:t>
      </w:r>
      <w:r>
        <w:rPr>
          <w:rFonts w:ascii="Arial" w:cs="Arial" w:eastAsia="Arial" w:hAnsi="Arial"/>
          <w:sz w:val="17"/>
          <w:szCs w:val="17"/>
          <w:u w:val="single" w:color="auto"/>
          <w:color w:val="auto"/>
        </w:rPr>
        <w:t>clause (ii)(B)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(xxix)(A)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in each case, during the period from and including the day immediately following the Issue Date through and including such time or (E) used to incur Indebtedness or issue Disqualified Stock or Preferred Stock pursuant to clause (r)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ind w:left="-80" w:right="60" w:firstLine="2264"/>
        <w:spacing w:after="0" w:line="275" w:lineRule="auto"/>
        <w:tabs>
          <w:tab w:leader="none" w:pos="276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the net cash proceeds received by the Issuer or any of its Restricted Subsidiaries from the incurrence after the Issue Date of any Indebtedness or from the issuance after the Issue Date of any Disqualified Stock, in each case, of the Issuer or any Restricted Subsidiary (other than Indebtedness owed or Disqualified Stock issued to the Issuer or any Restricted Subsidiary) that has been converted into or exchanged for Qualified Capital Stock of the Issuer during the period from and including the day immediately following the Issue Date through and including such time; </w:t>
      </w:r>
      <w:r>
        <w:rPr>
          <w:rFonts w:ascii="Arial" w:cs="Arial" w:eastAsia="Arial" w:hAnsi="Arial"/>
          <w:sz w:val="17"/>
          <w:szCs w:val="17"/>
          <w:u w:val="single" w:color="auto"/>
          <w:color w:val="auto"/>
        </w:rPr>
        <w:t>plus</w:t>
      </w:r>
    </w:p>
    <w:p>
      <w:pPr>
        <w:spacing w:after="0" w:line="176" w:lineRule="exact"/>
        <w:rPr>
          <w:rFonts w:ascii="Arial" w:cs="Arial" w:eastAsia="Arial" w:hAnsi="Arial"/>
          <w:sz w:val="17"/>
          <w:szCs w:val="17"/>
          <w:color w:val="auto"/>
        </w:rPr>
      </w:pPr>
    </w:p>
    <w:p>
      <w:pPr>
        <w:jc w:val="both"/>
        <w:ind w:left="-80" w:right="160" w:firstLine="2264"/>
        <w:spacing w:after="0" w:line="311" w:lineRule="auto"/>
        <w:tabs>
          <w:tab w:leader="none" w:pos="271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net cash proceeds received by the Issuer or any Restricted Subsidiary during the period from and including the day immediately following the Issue Date through and including such time in connection with the disposition to any Person (other than the Issuer or any Restricted Subsidiary) of any Investment made pursuant to this clause (2); </w:t>
      </w:r>
      <w:r>
        <w:rPr>
          <w:rFonts w:ascii="Arial" w:cs="Arial" w:eastAsia="Arial" w:hAnsi="Arial"/>
          <w:sz w:val="16"/>
          <w:szCs w:val="16"/>
          <w:u w:val="single" w:color="auto"/>
          <w:color w:val="auto"/>
        </w:rPr>
        <w:t>plus</w:t>
      </w:r>
    </w:p>
    <w:p>
      <w:pPr>
        <w:spacing w:after="0" w:line="148" w:lineRule="exact"/>
        <w:rPr>
          <w:rFonts w:ascii="Arial" w:cs="Arial" w:eastAsia="Arial" w:hAnsi="Arial"/>
          <w:sz w:val="16"/>
          <w:szCs w:val="16"/>
          <w:color w:val="auto"/>
        </w:rPr>
      </w:pPr>
    </w:p>
    <w:p>
      <w:pPr>
        <w:ind w:left="-80" w:firstLine="2264"/>
        <w:spacing w:after="0" w:line="257" w:lineRule="auto"/>
        <w:tabs>
          <w:tab w:leader="none" w:pos="276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to the extent not already reflected as a Return with respect to such Investment for purposes of determining the amount of such Investment, the proceeds received by the Issuer or any Restricted Subsidiary during the period from and including the day immediately following the Issue Date through and including such time in connection with cash Returns and similar cash amounts, including cash principal repayments of loans, in each case received in respect of any Investment made after the Issue Date pursuant to this clause (2); </w:t>
      </w:r>
      <w:r>
        <w:rPr>
          <w:rFonts w:ascii="Arial" w:cs="Arial" w:eastAsia="Arial" w:hAnsi="Arial"/>
          <w:sz w:val="18"/>
          <w:szCs w:val="18"/>
          <w:u w:val="single" w:color="auto"/>
          <w:color w:val="auto"/>
        </w:rPr>
        <w:t>plus</w:t>
      </w:r>
    </w:p>
    <w:p>
      <w:pPr>
        <w:spacing w:after="0" w:line="187" w:lineRule="exact"/>
        <w:rPr>
          <w:rFonts w:ascii="Arial" w:cs="Arial" w:eastAsia="Arial" w:hAnsi="Arial"/>
          <w:sz w:val="18"/>
          <w:szCs w:val="18"/>
          <w:color w:val="auto"/>
        </w:rPr>
      </w:pPr>
    </w:p>
    <w:p>
      <w:pPr>
        <w:ind w:left="-80" w:right="40" w:firstLine="2264"/>
        <w:spacing w:after="0" w:line="269" w:lineRule="auto"/>
        <w:tabs>
          <w:tab w:leader="none" w:pos="281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an amount equal to the sum of (A) the amount of any Investment by the Issuer or any Restricted Subsidiary pursuant to this clause (2) in any Unrestricted Subsidiary that has been re-designated as a Restricted Subsidiary or has been merged, consolidated or amalgamated with or into, or is liquidated, wound up or dissolved into, the Issuer or any Restricted Subsidiary (equal to the lesser of (1) the fair market value of the Investment of the Issuer and the Restricted Subsidiaries in such Unrestricted Subsidiary at the time of such re-designation or merger, consolidation or amalgamation and (2) the fair market value of the original Investments by the Issuer and the Restricted Subsidiaries in such Unrestricted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original Investments made in cash, the fair market value thereof shall be such cash value), (B) the fair market value of the assets of any Unrestricted Subsidiary that have been transferred, conveyed or otherwise distributed to the Issuer or any Restricted Subsidiary to the extent the Investment in such Unrestricted Subsidiary was made after the Issue Date pursuant to this clause (2) and (C) the Net Proceeds of any disposition of any Unrestricted Subsidiary (including the issuance or sale of the Equity Interests thereof) received by the Issuer or any Restricted Subsidiary, in each case, during the period from and including the day immediately following the Issue Date through and including such time; </w:t>
      </w:r>
      <w:r>
        <w:rPr>
          <w:rFonts w:ascii="Arial" w:cs="Arial" w:eastAsia="Arial" w:hAnsi="Arial"/>
          <w:sz w:val="17"/>
          <w:szCs w:val="17"/>
          <w:u w:val="single" w:color="auto"/>
          <w:color w:val="auto"/>
        </w:rPr>
        <w:t>plus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48895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80"/>
          </w:cols>
          <w:pgMar w:left="1060" w:top="125" w:right="1059" w:bottom="1440" w:gutter="0" w:footer="0" w:header="0"/>
        </w:sectPr>
      </w:pPr>
    </w:p>
    <w:bookmarkStart w:id="120" w:name="page121"/>
    <w:bookmarkEnd w:id="120"/>
    <w:p>
      <w:pPr>
        <w:ind w:left="660" w:right="860" w:firstLine="2264"/>
        <w:spacing w:after="0" w:line="257" w:lineRule="auto"/>
        <w:tabs>
          <w:tab w:leader="none" w:pos="360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or Consolidated EBITDA and without duplication of any dividends, distributions or other Returns or similar amounts included in the calculation of any basket or other provision of this Indenture (and other than any amount that has previously been applied as an Excluded Contribution), dividends, distributions or other Returns received by the Issuer or any Restricted Subsidiary from an Unrestricted Subsidiary or joint ventures or Investments in entities that are not Restricted Subsidiaries;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duplication, any item or amount that increases the amount of Excluded Contributions shall not also increase the amount available under this clause (2).</w:t>
      </w:r>
    </w:p>
    <w:p>
      <w:pPr>
        <w:spacing w:after="0" w:line="170" w:lineRule="exact"/>
        <w:rPr>
          <w:sz w:val="20"/>
          <w:szCs w:val="20"/>
          <w:color w:val="auto"/>
        </w:rPr>
      </w:pPr>
    </w:p>
    <w:p>
      <w:pPr>
        <w:ind w:left="2480" w:hanging="528"/>
        <w:spacing w:after="0"/>
        <w:tabs>
          <w:tab w:leader="none" w:pos="24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shall not prohibit:</w:t>
      </w:r>
    </w:p>
    <w:p>
      <w:pPr>
        <w:spacing w:after="0" w:line="225" w:lineRule="exact"/>
        <w:rPr>
          <w:rFonts w:ascii="Arial" w:cs="Arial" w:eastAsia="Arial" w:hAnsi="Arial"/>
          <w:sz w:val="18"/>
          <w:szCs w:val="18"/>
          <w:color w:val="auto"/>
        </w:rPr>
      </w:pPr>
    </w:p>
    <w:p>
      <w:pPr>
        <w:ind w:left="3460" w:hanging="536"/>
        <w:spacing w:after="0"/>
        <w:tabs>
          <w:tab w:leader="none" w:pos="34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60" w:right="580" w:firstLine="2264"/>
        <w:spacing w:after="0" w:line="290" w:lineRule="auto"/>
        <w:tabs>
          <w:tab w:leader="none" w:pos="346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payments by the Issuer to repurchase, redeem, retire or otherwise acquire or retire for value the Equity Interests (other than Disqualified Stock) of the Issuer held by any future, present or former employee, director, member of management, officer, manager, member, partner, independent contractor or consultant (or any Immediate Family Member thereof) of the Issuer or any Restricted Subsidiary of any of the foregoing (or any options, warrants, profits interests, restricted stock units or equity appreciation rights or other equity-linked interests issued with respect to any of such Equity Interests), in each case pursuant to any management, director, employee, consultant and/or advisor equity plan or equity option plan, equity appreciation rights plan, or any other management, director, employee, consultant and/or advisor benefit plan or agreement or any equity subscription or equityholder agreement, any employment termination agreement or any other employment agreement or equityholders’ or similar agreement:</w:t>
      </w:r>
    </w:p>
    <w:p>
      <w:pPr>
        <w:spacing w:after="0" w:line="165" w:lineRule="exact"/>
        <w:rPr>
          <w:sz w:val="20"/>
          <w:szCs w:val="20"/>
          <w:color w:val="auto"/>
        </w:rPr>
      </w:pPr>
    </w:p>
    <w:p>
      <w:pPr>
        <w:ind w:left="1300" w:right="1200" w:firstLine="2272"/>
        <w:spacing w:after="0" w:line="288" w:lineRule="auto"/>
        <w:tabs>
          <w:tab w:leader="none" w:pos="413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with cash and Cash Equivalents (and including, to the extent constituting a Restricted Payment, amounts paid in respect of Indebtedness issued to evidence any obligation to repurchase, redeem, retire or otherwise acquire or retire for value the Equity Interests of the Issuer held by any future, present or former employee, director, member of management, officer, manager, member, partner, independent contractor or consultant (or any Immediate Family Member of the foregoing) of the Issuer or any Restricted Subsidiary of any of the foregoing), including any Equity Interests rolled over by management, directors, employees or consultants (or any Immediate Family Member of the foregoing) of the Issuer or any of its Restricted Subsidiaries in connection with any corporate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such Restricted Payments made pursuant to this clause (ii)(A) in any fiscal year shall not exceed the greater of $35.0 million and 10.0% of Annualized EBITDA of the Issuer and its Restricted Subsidiaries, which, if not used in such fiscal year, may be carried forward to succeeding fiscal years;</w:t>
      </w: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1" w:name="page122"/>
    <w:bookmarkEnd w:id="121"/>
    <w:p>
      <w:pPr>
        <w:jc w:val="both"/>
        <w:ind w:left="1300" w:right="1340" w:firstLine="2272"/>
        <w:spacing w:after="0" w:line="263" w:lineRule="auto"/>
        <w:tabs>
          <w:tab w:leader="none" w:pos="412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with the proceeds of any sale or issuance of the Equity Interests of the Issuer (to the extent such proceeds have not otherwise been applied to the payment of Restricted Payments by virtue of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or are not an Excluded Contribution);</w:t>
      </w:r>
    </w:p>
    <w:p>
      <w:pPr>
        <w:spacing w:after="0" w:line="183" w:lineRule="exact"/>
        <w:rPr>
          <w:rFonts w:ascii="Arial" w:cs="Arial" w:eastAsia="Arial" w:hAnsi="Arial"/>
          <w:sz w:val="18"/>
          <w:szCs w:val="18"/>
          <w:color w:val="auto"/>
        </w:rPr>
      </w:pPr>
    </w:p>
    <w:p>
      <w:pPr>
        <w:ind w:left="4120" w:hanging="548"/>
        <w:spacing w:after="0"/>
        <w:tabs>
          <w:tab w:leader="none" w:pos="41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 the net proceeds of any key-man life insurance policy; or</w:t>
      </w:r>
    </w:p>
    <w:p>
      <w:pPr>
        <w:spacing w:after="0" w:line="225" w:lineRule="exact"/>
        <w:rPr>
          <w:rFonts w:ascii="Arial" w:cs="Arial" w:eastAsia="Arial" w:hAnsi="Arial"/>
          <w:sz w:val="18"/>
          <w:szCs w:val="18"/>
          <w:color w:val="auto"/>
        </w:rPr>
      </w:pPr>
    </w:p>
    <w:p>
      <w:pPr>
        <w:ind w:left="1300" w:right="1420" w:firstLine="2272"/>
        <w:spacing w:after="0" w:line="257" w:lineRule="auto"/>
        <w:tabs>
          <w:tab w:leader="none" w:pos="413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of any cash bonuses otherwise payable to future, present or former employees, directors, members of management, officers, managers, members, partners, independent contractors or consultants (or any Immediate Family Member of the foregoing) of the Issuer or any of its Restricted Subsidiaries that are foregone in exchange for the receipt of Equity Interests of the Issuer pursuant to any compensation arrangement, including any deferred compensation plan;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cancellation of Indebtedness owing to the Issuer or any Restricted Subsidiary from any future, present or former employees, directors, officers, managers, members, partners, independent contractors or consultants (or their respective Immediate Family Members) of the Issuer or any of its Restricted Subsidiaries in connection with a repurchase of Equity Interests of the Issuer will not be deemed to constitute a Restricted Payment for purposes of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or any other provision of this Indenture;</w:t>
      </w:r>
    </w:p>
    <w:p>
      <w:pPr>
        <w:spacing w:after="0" w:line="187" w:lineRule="exact"/>
        <w:rPr>
          <w:sz w:val="20"/>
          <w:szCs w:val="20"/>
          <w:color w:val="auto"/>
        </w:rPr>
      </w:pPr>
    </w:p>
    <w:p>
      <w:pPr>
        <w:ind w:left="660" w:right="660" w:firstLine="2264"/>
        <w:spacing w:after="0" w:line="279" w:lineRule="auto"/>
        <w:tabs>
          <w:tab w:leader="none" w:pos="351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Restricted Payments that are made (A) in an amount that does not exceed the aggregate amount of Excluded Contributions received following the Issue Date and (B) without duplication of clause (A), in an amount that does not exceed the aggregate net cash proceeds from any sale, conveyance, transfer or disposition of, or distribution in respect of, Investments acquired after the Issue Date, to the extent the acquisition of such Investments was financed in reliance on clause (A);</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ind w:right="20" w:firstLine="2264"/>
        <w:spacing w:after="0" w:line="270" w:lineRule="auto"/>
        <w:tabs>
          <w:tab w:leader="none" w:pos="28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Restricted Payments (A) to make cash payments in lieu of the issuance of fractional shares or interests in connection with any share dividend, share split or share combination or any acquisition or Investment (or other similar transaction) or the exercise of warrants, options or other securities convertible into or exchangeable for Equity Interests of the Issuer or any Restricted Subsidiary and (B) consisting of (1) repurchases of Equity Interests in connection with the exercise of warrants, options or other securities convertible with or exchangeable for Equity Interests or upon the vesting of any profits interests, restricted stock units or similar incentive interests, and (2) payments made or expected to be made in respect of withholding or similar taxes payable by any future, present or former officer, director, employee, member of management, manager, member, partner, independent contractor and/or consultant (or any of their respective Immediate Family Members) of the Issuer or any Restricted Subsidiary in connection with or in lieu of repurchases described in the foregoing clause (1);</w:t>
      </w:r>
    </w:p>
    <w:p>
      <w:pPr>
        <w:spacing w:after="0" w:line="180" w:lineRule="exact"/>
        <w:rPr>
          <w:rFonts w:ascii="Arial" w:cs="Arial" w:eastAsia="Arial" w:hAnsi="Arial"/>
          <w:sz w:val="17"/>
          <w:szCs w:val="17"/>
          <w:color w:val="auto"/>
        </w:rPr>
      </w:pPr>
    </w:p>
    <w:p>
      <w:pPr>
        <w:ind w:right="20" w:firstLine="2264"/>
        <w:spacing w:after="0" w:line="301" w:lineRule="auto"/>
        <w:tabs>
          <w:tab w:leader="none" w:pos="279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repurchases of Equity Interests upon the exercise of warrants, options or other securities convertible into or exchangeable for Equity Interests or upon the vesting of any profits interests, restricted stock units or similar incentive interests, in each case if such Equity Interests represent all or a portion of the exercise price of such warrants, options or other securities convertible into or exchangeable for Equity Interests as part of a “cashless” exercise upon such exercise or vesting, as applicable;</w:t>
      </w:r>
    </w:p>
    <w:p>
      <w:pPr>
        <w:spacing w:after="0" w:line="157" w:lineRule="exact"/>
        <w:rPr>
          <w:rFonts w:ascii="Arial" w:cs="Arial" w:eastAsia="Arial" w:hAnsi="Arial"/>
          <w:sz w:val="16"/>
          <w:szCs w:val="16"/>
          <w:color w:val="auto"/>
        </w:rPr>
      </w:pPr>
    </w:p>
    <w:p>
      <w:pPr>
        <w:ind w:right="120" w:firstLine="2264"/>
        <w:spacing w:after="0" w:line="263" w:lineRule="auto"/>
        <w:tabs>
          <w:tab w:leader="none" w:pos="288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Restricted Payment in connection with the consummation of the Transactions, including the contribution of amounts to NFE South Power Holdings Limited to fund in full the redemption of the South Power Bonds, including related premiums, costs and expenses;</w:t>
      </w:r>
    </w:p>
    <w:p>
      <w:pPr>
        <w:spacing w:after="0" w:line="183" w:lineRule="exact"/>
        <w:rPr>
          <w:rFonts w:ascii="Arial" w:cs="Arial" w:eastAsia="Arial" w:hAnsi="Arial"/>
          <w:sz w:val="18"/>
          <w:szCs w:val="18"/>
          <w:color w:val="auto"/>
        </w:rPr>
      </w:pPr>
    </w:p>
    <w:p>
      <w:pPr>
        <w:ind w:right="180" w:firstLine="2264"/>
        <w:spacing w:after="0" w:line="263" w:lineRule="auto"/>
        <w:tabs>
          <w:tab w:leader="none" w:pos="289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declaration and payment of regular quarterly dividends or distributions, including the initial dividend or distribution following the Issue Date, to holders of the Issuer’s common equity, in each case to the extent approved by the Board of Directors of the Issuer in good faith;</w:t>
      </w:r>
    </w:p>
    <w:p>
      <w:pPr>
        <w:spacing w:after="0" w:line="183" w:lineRule="exact"/>
        <w:rPr>
          <w:rFonts w:ascii="Arial" w:cs="Arial" w:eastAsia="Arial" w:hAnsi="Arial"/>
          <w:sz w:val="18"/>
          <w:szCs w:val="18"/>
          <w:color w:val="auto"/>
        </w:rPr>
      </w:pPr>
    </w:p>
    <w:p>
      <w:pPr>
        <w:ind w:firstLine="2264"/>
        <w:spacing w:after="0" w:line="269" w:lineRule="auto"/>
        <w:tabs>
          <w:tab w:leader="none" w:pos="298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(1) Restricted Payments to (i) redeem, repurchase, retire, defease, discharge or otherwise acquire any Equity Interests (“</w:t>
      </w:r>
      <w:r>
        <w:rPr>
          <w:rFonts w:ascii="Arial" w:cs="Arial" w:eastAsia="Arial" w:hAnsi="Arial"/>
          <w:sz w:val="17"/>
          <w:szCs w:val="17"/>
          <w:u w:val="single" w:color="auto"/>
          <w:color w:val="auto"/>
        </w:rPr>
        <w:t>Treasury Capital Stock</w:t>
      </w:r>
      <w:r>
        <w:rPr>
          <w:rFonts w:ascii="Arial" w:cs="Arial" w:eastAsia="Arial" w:hAnsi="Arial"/>
          <w:sz w:val="17"/>
          <w:szCs w:val="17"/>
          <w:color w:val="auto"/>
        </w:rPr>
        <w:t>“) of the Issuer and/or any Restricted Subsidiary, including any accrued and unpaid dividends thereon, in exchange for, or out of the proceeds of a sale or issuance (other than to the Issuer and/or any Restricted Subsidiary) of, Qualified Capital Stock of the Issuer that is made within 120 days of such sale or issuance to the extent any such proceeds are received by or contributed to the capital of the Issuer and/or any Restricted Subsidiary in respect of Qualified Capital Stock after the Issue Date (“</w:t>
      </w:r>
      <w:r>
        <w:rPr>
          <w:rFonts w:ascii="Arial" w:cs="Arial" w:eastAsia="Arial" w:hAnsi="Arial"/>
          <w:sz w:val="17"/>
          <w:szCs w:val="17"/>
          <w:u w:val="single" w:color="auto"/>
          <w:color w:val="auto"/>
        </w:rPr>
        <w:t>Refunding Capital Stock</w:t>
      </w:r>
      <w:r>
        <w:rPr>
          <w:rFonts w:ascii="Arial" w:cs="Arial" w:eastAsia="Arial" w:hAnsi="Arial"/>
          <w:sz w:val="17"/>
          <w:szCs w:val="17"/>
          <w:color w:val="auto"/>
        </w:rPr>
        <w:t xml:space="preserve">“) and (ii) declare and pay dividends on any Treasury Capital Stock out of the proceeds of such sale (other than to the Issuer or a Restricted Subsidiary) of any Refunding Capital Stock or (2) if immediately prior to the retirement of Treasury Capital Stock, the declaration and payment of dividends thereon was permitted under </w:t>
      </w:r>
      <w:r>
        <w:rPr>
          <w:rFonts w:ascii="Arial" w:cs="Arial" w:eastAsia="Arial" w:hAnsi="Arial"/>
          <w:sz w:val="17"/>
          <w:szCs w:val="17"/>
          <w:u w:val="single" w:color="auto"/>
          <w:color w:val="auto"/>
        </w:rPr>
        <w:t>clause (xvii)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4.07(b)</w:t>
      </w:r>
      <w:r>
        <w:rPr>
          <w:rFonts w:ascii="Arial" w:cs="Arial" w:eastAsia="Arial" w:hAnsi="Arial"/>
          <w:sz w:val="17"/>
          <w:szCs w:val="17"/>
          <w:color w:val="auto"/>
        </w:rPr>
        <w:t>, the declaration and payment of dividends on the Refunding Capital Stock in an aggregate amount per fiscal year no greater than the aggregate amount of dividends per annum that were declarable and payable on such Treasury Capital Stock immediately prior to such retirement;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23" w:name="page124"/>
    <w:bookmarkEnd w:id="123"/>
    <w:p>
      <w:pPr>
        <w:ind w:left="-20" w:right="20" w:firstLine="2264"/>
        <w:spacing w:after="0" w:line="286" w:lineRule="auto"/>
        <w:tabs>
          <w:tab w:leader="none" w:pos="282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to the extent constituting a Restricted Payment, the making or consummation of any Asset Sale or disposition not constituting an Asset Sale pursuant to the exclusions from the definition thereof or transaction in accordance with the provisions of the second paragraph of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(other than pursuant to clause (d) of such paragraph);</w:t>
      </w:r>
    </w:p>
    <w:p>
      <w:pPr>
        <w:spacing w:after="0" w:line="165" w:lineRule="exact"/>
        <w:rPr>
          <w:rFonts w:ascii="Arial" w:cs="Arial" w:eastAsia="Arial" w:hAnsi="Arial"/>
          <w:sz w:val="17"/>
          <w:szCs w:val="17"/>
          <w:color w:val="auto"/>
        </w:rPr>
      </w:pPr>
    </w:p>
    <w:p>
      <w:pPr>
        <w:ind w:left="-20" w:right="20" w:firstLine="2264"/>
        <w:spacing w:after="0" w:line="259" w:lineRule="auto"/>
        <w:tabs>
          <w:tab w:leader="none" w:pos="277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then exists or would result therefrom, additional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Restricted Payments made and then outstanding pursuant to this clause (x) shall not exceed the greater of $100.0 million and 25.0% of Annualized EBITDA of the Issuer and its Restricted Subsidiaries;</w:t>
      </w:r>
    </w:p>
    <w:p>
      <w:pPr>
        <w:spacing w:after="0" w:line="186" w:lineRule="exact"/>
        <w:rPr>
          <w:rFonts w:ascii="Arial" w:cs="Arial" w:eastAsia="Arial" w:hAnsi="Arial"/>
          <w:sz w:val="18"/>
          <w:szCs w:val="18"/>
          <w:color w:val="auto"/>
        </w:rPr>
      </w:pPr>
    </w:p>
    <w:p>
      <w:pPr>
        <w:ind w:left="-20" w:right="20" w:firstLine="2264"/>
        <w:spacing w:after="0" w:line="263" w:lineRule="auto"/>
        <w:tabs>
          <w:tab w:leader="none" w:pos="282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so long as no Event of Default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then exists or would result therefrom, additional Restricted Payments so long as the Consolidated Total Debt Ratio, calculated on a pro forma basis at the time of the determination thereof, would not exceed 2.00 to 1.00;</w:t>
      </w:r>
    </w:p>
    <w:p>
      <w:pPr>
        <w:spacing w:after="0" w:line="183" w:lineRule="exact"/>
        <w:rPr>
          <w:rFonts w:ascii="Arial" w:cs="Arial" w:eastAsia="Arial" w:hAnsi="Arial"/>
          <w:sz w:val="18"/>
          <w:szCs w:val="18"/>
          <w:color w:val="auto"/>
        </w:rPr>
      </w:pPr>
    </w:p>
    <w:p>
      <w:pPr>
        <w:ind w:left="-20" w:firstLine="2264"/>
        <w:spacing w:after="0" w:line="259" w:lineRule="auto"/>
        <w:tabs>
          <w:tab w:leader="none" w:pos="287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distribution, by dividend or otherwise, or other transfer or disposition of Equity Interests of, or Indebtedness owed to the Issuer or a Restricted Subsidiary by, Unrestricted Subsidiaries (or any Restricted Subsidiary that owns one or more Unrestricted Subsidiaries and no other material assets), other than Unrestricted Subsidiaries the primary assets of which are cash and Cash Equivalents;</w:t>
      </w:r>
    </w:p>
    <w:p>
      <w:pPr>
        <w:spacing w:after="0" w:line="186" w:lineRule="exact"/>
        <w:rPr>
          <w:rFonts w:ascii="Arial" w:cs="Arial" w:eastAsia="Arial" w:hAnsi="Arial"/>
          <w:sz w:val="18"/>
          <w:szCs w:val="18"/>
          <w:color w:val="auto"/>
        </w:rPr>
      </w:pPr>
    </w:p>
    <w:p>
      <w:pPr>
        <w:ind w:left="-20" w:right="120" w:firstLine="2264"/>
        <w:spacing w:after="0" w:line="275" w:lineRule="auto"/>
        <w:tabs>
          <w:tab w:leader="none" w:pos="292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payments or distributions (A) to satisfy dissenters’ or appraisal rights and the settlement of any claims or actions (whether actual, contingent or potential) with respect thereto (including any accrued interest), (B) made in connection with working capital adjustments or purchase price adjustments or (C) made in connection with the satisfaction of indemnity and other similar obligations, in each case pursuant to or in connection with any acquisition, other Investment, disposition or consolidation, amalgamation, merger or transfer of assets that is not prohibited under this Indenture;</w:t>
      </w:r>
    </w:p>
    <w:p>
      <w:pPr>
        <w:spacing w:after="0" w:line="176" w:lineRule="exact"/>
        <w:rPr>
          <w:rFonts w:ascii="Arial" w:cs="Arial" w:eastAsia="Arial" w:hAnsi="Arial"/>
          <w:sz w:val="17"/>
          <w:szCs w:val="17"/>
          <w:color w:val="auto"/>
        </w:rPr>
      </w:pPr>
    </w:p>
    <w:p>
      <w:pPr>
        <w:ind w:left="-20" w:right="460" w:firstLine="2264"/>
        <w:spacing w:after="0" w:line="342" w:lineRule="auto"/>
        <w:tabs>
          <w:tab w:leader="none" w:pos="291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Restricted Payments constituting fixed dividend payments in respect of Disqualified Stock incurred in accordance with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to the extent such Restricted Payments are included in the calculation of Fixed Charges;</w:t>
      </w:r>
    </w:p>
    <w:p>
      <w:pPr>
        <w:spacing w:after="0" w:line="123" w:lineRule="exact"/>
        <w:rPr>
          <w:rFonts w:ascii="Arial" w:cs="Arial" w:eastAsia="Arial" w:hAnsi="Arial"/>
          <w:sz w:val="16"/>
          <w:szCs w:val="16"/>
          <w:color w:val="auto"/>
        </w:rPr>
      </w:pPr>
    </w:p>
    <w:p>
      <w:pPr>
        <w:ind w:left="2900" w:hanging="656"/>
        <w:spacing w:after="0"/>
        <w:tabs>
          <w:tab w:leader="none" w:pos="2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960" w:hanging="716"/>
        <w:spacing w:after="0"/>
        <w:tabs>
          <w:tab w:leader="none" w:pos="2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124" w:name="page125"/>
    <w:bookmarkEnd w:id="124"/>
    <w:p>
      <w:pPr>
        <w:ind w:left="-40" w:right="60" w:firstLine="2264"/>
        <w:spacing w:after="0" w:line="272" w:lineRule="auto"/>
        <w:tabs>
          <w:tab w:leader="none" w:pos="29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Restricted Payments consisting of (A) the declaration and payment of dividends to holders of any class or series of Designated Preferred Stock (other than Disqualified Stock) issued by the Issuer after the Issue Date, (B) the declaration and payment of dividends on Refunding Capital Stock that is Preferred Stock in excess of the dividends declarable and payable thereon pursuant to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each of sub-clause (A) and </w:t>
      </w:r>
      <w:r>
        <w:rPr>
          <w:rFonts w:ascii="Arial" w:cs="Arial" w:eastAsia="Arial" w:hAnsi="Arial"/>
          <w:sz w:val="17"/>
          <w:szCs w:val="17"/>
          <w:u w:val="single" w:color="auto"/>
          <w:color w:val="auto"/>
        </w:rPr>
        <w:t>sub-clause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(xvii)</w:t>
      </w:r>
      <w:r>
        <w:rPr>
          <w:rFonts w:ascii="Arial" w:cs="Arial" w:eastAsia="Arial" w:hAnsi="Arial"/>
          <w:sz w:val="17"/>
          <w:szCs w:val="17"/>
          <w:color w:val="auto"/>
        </w:rPr>
        <w:t>, at the date of issuance of such Designated Preferred Stock or the declaration of such dividends on Refunding Capital Stock that is Preferred Stock, after giving effect to such issuance or declaration on a pro forma basis, the Issuer would have had a Fixed Charge Coverage Ratio of at least 2.00 to 1.00;</w:t>
      </w:r>
    </w:p>
    <w:p>
      <w:pPr>
        <w:spacing w:after="0" w:line="177" w:lineRule="exact"/>
        <w:rPr>
          <w:rFonts w:ascii="Arial" w:cs="Arial" w:eastAsia="Arial" w:hAnsi="Arial"/>
          <w:sz w:val="17"/>
          <w:szCs w:val="17"/>
          <w:color w:val="auto"/>
        </w:rPr>
      </w:pPr>
    </w:p>
    <w:p>
      <w:pPr>
        <w:ind w:left="3040" w:hanging="816"/>
        <w:spacing w:after="0"/>
        <w:tabs>
          <w:tab w:leader="none" w:pos="30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right="160" w:firstLine="2264"/>
        <w:spacing w:after="0" w:line="277" w:lineRule="auto"/>
        <w:tabs>
          <w:tab w:leader="none" w:pos="289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distributions or payments of Receivables Fees and purchases of receivables in connection with any Permitted Receivables Financing or any repurchase obligation in connection therewith;</w:t>
      </w:r>
    </w:p>
    <w:p>
      <w:pPr>
        <w:spacing w:after="0" w:line="170" w:lineRule="exact"/>
        <w:rPr>
          <w:rFonts w:ascii="Arial" w:cs="Arial" w:eastAsia="Arial" w:hAnsi="Arial"/>
          <w:sz w:val="18"/>
          <w:szCs w:val="18"/>
          <w:color w:val="auto"/>
        </w:rPr>
      </w:pPr>
    </w:p>
    <w:p>
      <w:pPr>
        <w:ind w:left="-40" w:firstLine="2264"/>
        <w:spacing w:after="0" w:line="287" w:lineRule="auto"/>
        <w:tabs>
          <w:tab w:leader="none" w:pos="288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 payments made to optionholders or holders of phantom equity or profits interests of the Issuer in connection with, or as a result of, any distribution made to stockholders of the Issuer (to the extent such distribution is otherwise permitted under this Indenture), which payments are being made to compensate such optionholders or holders of phantom equity or profits interests as though they were stockholders at the time of, and entitled to share in, such distribution (it being understood that no such payment may be made to an optionholder or holder of phantom equity or profits interests pursuant to this clause (xx) to the extent such payment would not have been permitted to be made to such optionholder or holder of phantom equity or profits interests if it were a stockholder pursuant to the provisions of this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and (B) Restricted Payments to pay for the redemption, purchase, repurchase, defeasance or other acquisition or retirement of Equity Interests of the Issuer for nominal value, from a former investor of an acquired business or a present or former employee, director, officer, manager, member, partner, independent contractor or consultant (or any Immediate Family Member of the foregoing) of an acquired business, which Equity Interests were issued as part of an earn-out or similar arrangement in the acquisition of such business, and which repurchase relates to the failure of such earn-out to fully vest;</w:t>
      </w:r>
    </w:p>
    <w:p>
      <w:pPr>
        <w:spacing w:after="0" w:line="171" w:lineRule="exact"/>
        <w:rPr>
          <w:rFonts w:ascii="Arial" w:cs="Arial" w:eastAsia="Arial" w:hAnsi="Arial"/>
          <w:sz w:val="16"/>
          <w:szCs w:val="16"/>
          <w:color w:val="auto"/>
        </w:rPr>
      </w:pPr>
    </w:p>
    <w:p>
      <w:pPr>
        <w:ind w:left="2940" w:hanging="716"/>
        <w:spacing w:after="0"/>
        <w:tabs>
          <w:tab w:leader="none" w:pos="29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right="20" w:firstLine="2264"/>
        <w:spacing w:after="0" w:line="257" w:lineRule="auto"/>
        <w:tabs>
          <w:tab w:leader="none" w:pos="294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within 60 days after the date of declaration thereof or the giving of irrevocable notice thereof, as applicable, if, at such date of declaration or the giving of such notice, such payment would have been permitted by any of the other clauses in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(and any Restricted Payment made in reliance on this clause (xxii) shall also be deemed to have been made under such applicable clause, except for the purpose of testing the permissibility of such Restricted Payment on the date it is actually made);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48895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020" w:top="125" w:right="1019" w:bottom="1440" w:gutter="0" w:footer="0" w:header="0"/>
        </w:sectPr>
      </w:pPr>
    </w:p>
    <w:bookmarkStart w:id="125" w:name="page126"/>
    <w:bookmarkEnd w:id="125"/>
    <w:p>
      <w:pPr>
        <w:ind w:left="4" w:right="160" w:firstLine="2264"/>
        <w:spacing w:after="0" w:line="310" w:lineRule="auto"/>
        <w:tabs>
          <w:tab w:leader="none" w:pos="3037" w:val="left"/>
        </w:tabs>
        <w:numPr>
          <w:ilvl w:val="1"/>
          <w:numId w:val="160"/>
        </w:numPr>
        <w:rPr>
          <w:rFonts w:ascii="Arial" w:cs="Arial" w:eastAsia="Arial" w:hAnsi="Arial"/>
          <w:sz w:val="15"/>
          <w:szCs w:val="15"/>
          <w:color w:val="auto"/>
        </w:rPr>
      </w:pPr>
      <w:r>
        <w:rPr>
          <w:rFonts w:ascii="Arial" w:cs="Arial" w:eastAsia="Arial" w:hAnsi="Arial"/>
          <w:sz w:val="15"/>
          <w:szCs w:val="15"/>
          <w:color w:val="auto"/>
        </w:rPr>
        <w:t xml:space="preserve">the prepayment, redemption, purchase, repurchase, defeasance, discharge or other acquisition or retirement of any Subordinated Indebtedness (i) in accordance with provisions similar to those set forth in </w:t>
      </w:r>
      <w:r>
        <w:rPr>
          <w:rFonts w:ascii="Arial" w:cs="Arial" w:eastAsia="Arial" w:hAnsi="Arial"/>
          <w:sz w:val="15"/>
          <w:szCs w:val="15"/>
          <w:u w:val="single" w:color="auto"/>
          <w:color w:val="auto"/>
        </w:rPr>
        <w:t>Sections 4.10</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4.14</w:t>
      </w:r>
      <w:r>
        <w:rPr>
          <w:rFonts w:ascii="Arial" w:cs="Arial" w:eastAsia="Arial" w:hAnsi="Arial"/>
          <w:sz w:val="15"/>
          <w:szCs w:val="15"/>
          <w:color w:val="auto"/>
        </w:rPr>
        <w:t xml:space="preserve"> or</w:t>
      </w:r>
    </w:p>
    <w:p>
      <w:pPr>
        <w:ind w:left="4" w:hanging="4"/>
        <w:spacing w:after="0" w:line="252" w:lineRule="auto"/>
        <w:tabs>
          <w:tab w:leader="none" w:pos="26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after completion of an Asset Sale Offer or Advance Offer, as applicable, from any Declined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at or prior to such prepayment, redemption, purchase, repurchase, defeasance, discharge or other acquisition or retirement, the Issuer (or a third Person permitted by this Indenture) has made a Change of Control Offer, Alternate Offer, Asset Sale Offer or Advance Offer, as the case may be, to the extent required (or in the case of an Alternate Offer or Advance Offer, permitted by this Indenture) as a result of such Change of Control or Asset Sale, as the case may be, and (y) all Notes tendered by Holders in connection with the relevant Change of Control Offer, Alternate Offer, Asset Sale Offer or Advance Offer, as applicable, have been prepaid, redeemed, purchased, repurchased, defeased, discharged, acquired or retired;</w:t>
      </w:r>
    </w:p>
    <w:p>
      <w:pPr>
        <w:spacing w:after="0" w:line="192" w:lineRule="exact"/>
        <w:rPr>
          <w:rFonts w:ascii="Arial" w:cs="Arial" w:eastAsia="Arial" w:hAnsi="Arial"/>
          <w:sz w:val="18"/>
          <w:szCs w:val="18"/>
          <w:color w:val="auto"/>
        </w:rPr>
      </w:pPr>
    </w:p>
    <w:p>
      <w:pPr>
        <w:ind w:left="3064" w:hanging="796"/>
        <w:spacing w:after="0"/>
        <w:tabs>
          <w:tab w:leader="none" w:pos="30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600" w:firstLine="2264"/>
        <w:spacing w:after="0" w:line="277" w:lineRule="auto"/>
        <w:tabs>
          <w:tab w:leader="none" w:pos="297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Restricted Debt Payments made by exchange for, or out of the proceeds of, Refinancing Indebtedness permitted under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024" w:hanging="756"/>
        <w:spacing w:after="0"/>
        <w:tabs>
          <w:tab w:leader="none" w:pos="3024"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Restricted Debt Payments made as part of an applicable high yield discount obligation</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catch-up payment;</w:t>
      </w:r>
    </w:p>
    <w:p>
      <w:pPr>
        <w:spacing w:after="0" w:line="210" w:lineRule="exact"/>
        <w:rPr>
          <w:rFonts w:ascii="Arial" w:cs="Arial" w:eastAsia="Arial" w:hAnsi="Arial"/>
          <w:sz w:val="17"/>
          <w:szCs w:val="17"/>
          <w:color w:val="auto"/>
        </w:rPr>
      </w:pPr>
    </w:p>
    <w:p>
      <w:pPr>
        <w:ind w:left="3124" w:hanging="856"/>
        <w:spacing w:after="0"/>
        <w:tabs>
          <w:tab w:leader="none" w:pos="312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164" w:hanging="896"/>
        <w:spacing w:after="0"/>
        <w:tabs>
          <w:tab w:leader="none" w:pos="31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40" w:firstLine="2264"/>
        <w:spacing w:after="0" w:line="296" w:lineRule="auto"/>
        <w:tabs>
          <w:tab w:leader="none" w:pos="307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(A) Restricted Debt Payments in exchange for, or with proceeds of any issuance of, Qualified Capital Stock of the Issuer and/or any capital contribution in respect of Qualified Capital Stock of the Issuer or any Restricted Subsidiary (in each case, other than to or by the Issuer or any Restricted Subsidiary), (B) Restricted Debt Payments as a result of the conversion of all or any portion of any Subordinated Indebtedness into Qualified Capital Stock of the Issuer and (C) to the extent constituting a Restricted Debt Payment, payment-in-kind interest with respect to any Subordinated Indebtedness that is permitted under </w:t>
      </w:r>
      <w:r>
        <w:rPr>
          <w:rFonts w:ascii="Arial" w:cs="Arial" w:eastAsia="Arial" w:hAnsi="Arial"/>
          <w:sz w:val="16"/>
          <w:szCs w:val="16"/>
          <w:u w:val="single" w:color="auto"/>
          <w:color w:val="auto"/>
        </w:rPr>
        <w:t>Section 4.09</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3024" w:hanging="756"/>
        <w:spacing w:after="0"/>
        <w:tabs>
          <w:tab w:leader="none" w:pos="302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400" w:firstLine="2264"/>
        <w:spacing w:after="0" w:line="291" w:lineRule="auto"/>
        <w:tabs>
          <w:tab w:leader="none" w:pos="302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Restricted Debt Payments with respect to Subordinated Indebtedness assumed pursuant to clause (o) of the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(other than any such Subordinated Indebtedness incurred (x) to provide all or any portion of the funds utilized to consummate the transaction or series of related transactions pursuant to which such Person became a Restricted Subsidiary or was otherwise acquired by the Issuer or a Restricted Subsidiary or (y) otherwise in connection with or in contemplation of such acquisition), so long as such Restricted Debt Payment is made or deposited with a trustee or other similar representative of the holders of such Subordinated Indebtedness contemporaneously with, or substantially simultaneously with, the closing of the transaction under which such Subordinated Indebtedness is assumed; and</w:t>
      </w:r>
    </w:p>
    <w:p>
      <w:pPr>
        <w:spacing w:after="0" w:line="34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4"/>
          </w:cols>
          <w:pgMar w:left="976" w:top="125" w:right="1019" w:bottom="1440" w:gutter="0" w:footer="0" w:header="0"/>
        </w:sectPr>
      </w:pPr>
    </w:p>
    <w:bookmarkStart w:id="126" w:name="page127"/>
    <w:bookmarkEnd w:id="126"/>
    <w:p>
      <w:pPr>
        <w:ind w:left="3720" w:hanging="796"/>
        <w:spacing w:after="0"/>
        <w:tabs>
          <w:tab w:leader="none" w:pos="3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mandatory redemption, repurchase, retirement, termination or cancellation of Disqualified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Stock (to the extent treated as Indebtedness outstanding and/or incurred in compliance with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11"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The amount of all Restricted Payments (other than cash) will be the fair market value on the relevant date of determination, in the case of a Subject Transaction, or the date of the Restricted Payment of the assets or securities proposed to be transferred or issued by the Issuer or any Restricted Subsidiary, as the case may be, pursuant to the Restricted Payment.</w:t>
      </w:r>
    </w:p>
    <w:p>
      <w:pPr>
        <w:spacing w:after="0" w:line="184" w:lineRule="exact"/>
        <w:rPr>
          <w:sz w:val="20"/>
          <w:szCs w:val="20"/>
          <w:color w:val="auto"/>
        </w:rPr>
      </w:pPr>
    </w:p>
    <w:p>
      <w:pPr>
        <w:ind w:firstLine="1952"/>
        <w:spacing w:after="0" w:line="301" w:lineRule="auto"/>
        <w:tabs>
          <w:tab w:leader="none" w:pos="244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As of the Issue Date, NFE South Power Holdings Limited, a company incorporated under the laws of Jamaica, and each of its Subsidiaries will be Unrestricted Subsidiaries, and all of the Issuer’s other Subsidiaries will be Restricted Subsidiaries. The Issuer shall not permit any Unrestricted Subsidiary to become a Restricted Subsidiary except pursuant to the second and third paragraphs of the definition of “Unrestricted Subsidiary”. Unrestricted Subsidiaries will not be subject to any of the restrictive covenants set forth in this Indenture and will not guarantee the Notes.</w:t>
      </w:r>
    </w:p>
    <w:p>
      <w:pPr>
        <w:spacing w:after="0" w:line="157" w:lineRule="exact"/>
        <w:rPr>
          <w:rFonts w:ascii="Arial" w:cs="Arial" w:eastAsia="Arial" w:hAnsi="Arial"/>
          <w:sz w:val="16"/>
          <w:szCs w:val="16"/>
          <w:color w:val="auto"/>
        </w:rPr>
      </w:pPr>
    </w:p>
    <w:p>
      <w:pPr>
        <w:ind w:right="220" w:firstLine="1952"/>
        <w:spacing w:after="0" w:line="279" w:lineRule="auto"/>
        <w:tabs>
          <w:tab w:leader="none" w:pos="2469"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Unrestricted Subsidiaries may use value transferred from the Issuer and its Restricted Subsidiaries pursuant to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or in a Permitted Investment to purchase or otherwise acquire Indebtedness or Equity Interests of the Issuer or any of the Issuer’s Restricted Subsidiaries, and to transfer value to the holders of the Equity Interests of the Issuer or any Restricted Subsidiary or to Affiliates thereof, and such purchase, acquisition, or transfer will not be deemed to be a “direct or indirect” action by the Issuer or its Restricted Subsidiaries.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DIVIDEND AND OTHER PAYMENT RESTRICTIONS AFFECTING RESTRICTED SUBSIDIARIES.</w:t>
      </w:r>
    </w:p>
    <w:p>
      <w:pPr>
        <w:spacing w:after="0" w:line="225"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The Issuer shall not, and shall not permit any of its Restricted Subsidiaries to, directly or indirectly, create or otherwise cause to become effective any consensual encumbrance or consensual restriction on the ability of any Restricted Subsidiary that is not a Guarantor to:</w:t>
      </w:r>
    </w:p>
    <w:p>
      <w:pPr>
        <w:spacing w:after="0" w:line="146" w:lineRule="exact"/>
        <w:rPr>
          <w:sz w:val="20"/>
          <w:szCs w:val="20"/>
          <w:color w:val="auto"/>
        </w:rPr>
      </w:pPr>
    </w:p>
    <w:p>
      <w:pPr>
        <w:ind w:left="740" w:right="700" w:firstLine="2427"/>
        <w:spacing w:after="0" w:line="263" w:lineRule="auto"/>
        <w:tabs>
          <w:tab w:leader="none" w:pos="3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pay dividends or make any other distributions to the Issuer or any of its Restricted Subsidiaries that is a Guarantor on its Equity Interests or with respect to any other interest or participation in, or measured by, its profits, or (b) pay any Indebtedness owed to the Issuer or any of its Restricted Subsidiaries that is a Guarantor;</w:t>
      </w:r>
    </w:p>
    <w:p>
      <w:pPr>
        <w:spacing w:after="0" w:line="183" w:lineRule="exact"/>
        <w:rPr>
          <w:rFonts w:ascii="Arial" w:cs="Arial" w:eastAsia="Arial" w:hAnsi="Arial"/>
          <w:sz w:val="18"/>
          <w:szCs w:val="18"/>
          <w:color w:val="auto"/>
        </w:rPr>
      </w:pPr>
    </w:p>
    <w:p>
      <w:pPr>
        <w:ind w:left="3700" w:hanging="533"/>
        <w:spacing w:after="0"/>
        <w:tabs>
          <w:tab w:leader="none" w:pos="37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make loans or advances to the Issuer or any of its Restricted Subsidiaries that is a Guarantor; or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ind w:left="3680" w:hanging="533"/>
        <w:spacing w:after="0"/>
        <w:tabs>
          <w:tab w:leader="none" w:pos="3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Issuer or any of its Restricted</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Subsidiaries that is a Guarantor.</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shall not apply to encumbrances or restrictions:</w:t>
      </w:r>
    </w:p>
    <w:p>
      <w:pPr>
        <w:spacing w:after="0" w:line="225" w:lineRule="exact"/>
        <w:rPr>
          <w:sz w:val="20"/>
          <w:szCs w:val="20"/>
          <w:color w:val="auto"/>
        </w:rPr>
      </w:pPr>
    </w:p>
    <w:p>
      <w:pPr>
        <w:ind w:left="-20" w:right="20" w:firstLine="1952"/>
        <w:spacing w:after="0" w:line="254" w:lineRule="auto"/>
        <w:tabs>
          <w:tab w:leader="none" w:pos="24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set forth in any agreement evidencing or governing (i) Indebtedness of a Restricted Subsidiary that is not a Guarantor permitted to be incurred pursuant to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any corresponding organizational documents of any such Restricted Subsidiary structured as a special purpose entity incurring such Indebtedness, (ii) Secured Indebtedness permitted to be incurred pursuant to </w:t>
      </w:r>
      <w:r>
        <w:rPr>
          <w:rFonts w:ascii="Arial" w:cs="Arial" w:eastAsia="Arial" w:hAnsi="Arial"/>
          <w:sz w:val="18"/>
          <w:szCs w:val="18"/>
          <w:u w:val="single" w:color="auto"/>
          <w:color w:val="auto"/>
        </w:rPr>
        <w:t>Sections 4.09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if the relevant restriction applies only to the Person obligated under such Indebtedness and its Restricted Subsidiaries or the assets intended to secure such Indebtedness, (iii) Indebtedness permitted to be incurred pursuant to the first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clauses (a), (n), (q) (as it relates to Indebtedness in respect of the first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clauses (a), (b), (n), (o), (r), (u) and/or (y)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 (r), (u), (y) and/or (mm) of the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and (iv) any Permitted Receivables Financing solely with respect to the assets subject to such Permitted Receivables Financing;</w:t>
      </w:r>
    </w:p>
    <w:p>
      <w:pPr>
        <w:spacing w:after="0" w:line="191" w:lineRule="exact"/>
        <w:rPr>
          <w:rFonts w:ascii="Arial" w:cs="Arial" w:eastAsia="Arial" w:hAnsi="Arial"/>
          <w:sz w:val="18"/>
          <w:szCs w:val="18"/>
          <w:color w:val="auto"/>
        </w:rPr>
      </w:pPr>
    </w:p>
    <w:p>
      <w:pPr>
        <w:jc w:val="both"/>
        <w:ind w:left="-20" w:right="200" w:firstLine="1952"/>
        <w:spacing w:after="0" w:line="342" w:lineRule="auto"/>
        <w:tabs>
          <w:tab w:leader="none" w:pos="24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23" w:lineRule="exact"/>
        <w:rPr>
          <w:rFonts w:ascii="Arial" w:cs="Arial" w:eastAsia="Arial" w:hAnsi="Arial"/>
          <w:sz w:val="16"/>
          <w:szCs w:val="16"/>
          <w:color w:val="auto"/>
        </w:rPr>
      </w:pPr>
    </w:p>
    <w:p>
      <w:pPr>
        <w:ind w:left="-20" w:right="200" w:firstLine="1952"/>
        <w:spacing w:after="0" w:line="277" w:lineRule="auto"/>
        <w:tabs>
          <w:tab w:leader="none" w:pos="24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that are or were created by virtue of any Lien granted upon, transfer of, agreement to transfer or grant of, any option or right with respect to any assets or Equity Interests not otherwise prohibited under this Indenture;</w:t>
      </w:r>
    </w:p>
    <w:p>
      <w:pPr>
        <w:spacing w:after="0" w:line="170" w:lineRule="exact"/>
        <w:rPr>
          <w:rFonts w:ascii="Arial" w:cs="Arial" w:eastAsia="Arial" w:hAnsi="Arial"/>
          <w:sz w:val="18"/>
          <w:szCs w:val="18"/>
          <w:color w:val="auto"/>
        </w:rPr>
      </w:pPr>
    </w:p>
    <w:p>
      <w:pPr>
        <w:ind w:left="-20" w:right="20" w:firstLine="1952"/>
        <w:spacing w:after="0" w:line="263" w:lineRule="auto"/>
        <w:tabs>
          <w:tab w:leader="none" w:pos="24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that are assumed in connection with any acquisition of property or the Equity Interests of any Person, so long as the relevant encumbrance or restriction relates solely to the Person and its Subsidiaries (including the Equity Interests of the relevant Person or Persons) and/or property so acquired and was not created in connection with or in anticipation of such acquisition;</w:t>
      </w:r>
    </w:p>
    <w:p>
      <w:pPr>
        <w:spacing w:after="0" w:line="183" w:lineRule="exact"/>
        <w:rPr>
          <w:rFonts w:ascii="Arial" w:cs="Arial" w:eastAsia="Arial" w:hAnsi="Arial"/>
          <w:sz w:val="18"/>
          <w:szCs w:val="18"/>
          <w:color w:val="auto"/>
        </w:rPr>
      </w:pPr>
    </w:p>
    <w:p>
      <w:pPr>
        <w:ind w:left="-20" w:firstLine="1952"/>
        <w:spacing w:after="0" w:line="263" w:lineRule="auto"/>
        <w:tabs>
          <w:tab w:leader="none" w:pos="24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83" w:lineRule="exact"/>
        <w:rPr>
          <w:rFonts w:ascii="Arial" w:cs="Arial" w:eastAsia="Arial" w:hAnsi="Arial"/>
          <w:sz w:val="18"/>
          <w:szCs w:val="18"/>
          <w:color w:val="auto"/>
        </w:rPr>
      </w:pPr>
    </w:p>
    <w:p>
      <w:pPr>
        <w:ind w:left="-20" w:right="620" w:firstLine="1952"/>
        <w:spacing w:after="0" w:line="277" w:lineRule="auto"/>
        <w:tabs>
          <w:tab w:leader="none" w:pos="241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set forth in provisions in agreements or instruments that prohibit the payment of dividends or the making of other distributions with respect to any class of Equity Interests of a Person other than on a pro rata basis;</w:t>
      </w:r>
    </w:p>
    <w:p>
      <w:pPr>
        <w:spacing w:after="0" w:line="170" w:lineRule="exact"/>
        <w:rPr>
          <w:rFonts w:ascii="Arial" w:cs="Arial" w:eastAsia="Arial" w:hAnsi="Arial"/>
          <w:sz w:val="18"/>
          <w:szCs w:val="18"/>
          <w:color w:val="auto"/>
        </w:rPr>
      </w:pPr>
    </w:p>
    <w:p>
      <w:pPr>
        <w:ind w:left="-20" w:right="640" w:firstLine="1952"/>
        <w:spacing w:after="0" w:line="277" w:lineRule="auto"/>
        <w:tabs>
          <w:tab w:leader="none" w:pos="24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imposed by customary provisions in partnership agreements, limited liability company agreements, joint venture agreements, other organizational and governance documents and other similar agreements;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28" w:name="page129"/>
    <w:bookmarkEnd w:id="128"/>
    <w:p>
      <w:pPr>
        <w:ind w:right="140" w:firstLine="1952"/>
        <w:spacing w:after="0" w:line="277" w:lineRule="auto"/>
        <w:tabs>
          <w:tab w:leader="none" w:pos="24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70" w:lineRule="exact"/>
        <w:rPr>
          <w:rFonts w:ascii="Arial" w:cs="Arial" w:eastAsia="Arial" w:hAnsi="Arial"/>
          <w:sz w:val="18"/>
          <w:szCs w:val="18"/>
          <w:color w:val="auto"/>
        </w:rPr>
      </w:pPr>
    </w:p>
    <w:p>
      <w:pPr>
        <w:ind w:right="160" w:firstLine="1952"/>
        <w:spacing w:after="0" w:line="263" w:lineRule="auto"/>
        <w:tabs>
          <w:tab w:leader="none" w:pos="24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set forth in documents that exist on the Issue Date, including pursuant to the Notes, the Note Guarantees, this Indenture, the South Power Bonds, the documentation governing the South Power Bonds and the guarantees thereof and, in each case, related documentation and related Derivative Transactions;</w:t>
      </w:r>
    </w:p>
    <w:p>
      <w:pPr>
        <w:spacing w:after="0" w:line="183" w:lineRule="exact"/>
        <w:rPr>
          <w:rFonts w:ascii="Arial" w:cs="Arial" w:eastAsia="Arial" w:hAnsi="Arial"/>
          <w:sz w:val="18"/>
          <w:szCs w:val="18"/>
          <w:color w:val="auto"/>
        </w:rPr>
      </w:pPr>
    </w:p>
    <w:p>
      <w:pPr>
        <w:ind w:firstLine="1952"/>
        <w:spacing w:after="0" w:line="254" w:lineRule="auto"/>
        <w:tabs>
          <w:tab w:leader="none" w:pos="247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(y) arising pursuant to an agreement or instrument relating to any Indebtedness permitted to be incurred after the Issue Date or (z) arising under customary separateness, bankruptcy remoteness and similar provisions included in governing or other documents related to entities structured as special purpose entities in anticipation of financing arrangements, acquisition of assets or similar transactions, in each case, if the relevant restrictions, taken as a whole (as determined in good faith by the Issuer) (i) are not materially less favorable to the holders than the restrictions contained in the Notes, (ii) generally represent market terms at the time of incurrence or structuring, as applicable, taken as a whole, or (iii) would not, in the good faith determination of senior management of the Issuer, at the time of incurrence or structuring, as applicable, materially impair the Issuer’s ability to make payments under the Notes when due;</w:t>
      </w:r>
    </w:p>
    <w:p>
      <w:pPr>
        <w:spacing w:after="0" w:line="194" w:lineRule="exact"/>
        <w:rPr>
          <w:rFonts w:ascii="Arial" w:cs="Arial" w:eastAsia="Arial" w:hAnsi="Arial"/>
          <w:sz w:val="18"/>
          <w:szCs w:val="18"/>
          <w:color w:val="auto"/>
        </w:rPr>
      </w:pPr>
    </w:p>
    <w:p>
      <w:pPr>
        <w:ind w:left="2480" w:hanging="528"/>
        <w:spacing w:after="0"/>
        <w:tabs>
          <w:tab w:leader="none" w:pos="24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arising under or as a result of applicable Requirements of Law or the terms of any license, authorization, concession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w:t>
      </w:r>
    </w:p>
    <w:p>
      <w:pPr>
        <w:spacing w:after="0" w:line="210" w:lineRule="exact"/>
        <w:rPr>
          <w:rFonts w:ascii="Arial" w:cs="Arial" w:eastAsia="Arial" w:hAnsi="Arial"/>
          <w:sz w:val="16"/>
          <w:szCs w:val="16"/>
          <w:color w:val="auto"/>
        </w:rPr>
      </w:pPr>
    </w:p>
    <w:p>
      <w:pPr>
        <w:ind w:left="2440" w:hanging="488"/>
        <w:spacing w:after="0"/>
        <w:tabs>
          <w:tab w:leader="none" w:pos="2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arising in any Hedge Agreement and/or any agreement relating to Banking Services;</w:t>
      </w:r>
    </w:p>
    <w:p>
      <w:pPr>
        <w:spacing w:after="0" w:line="225" w:lineRule="exact"/>
        <w:rPr>
          <w:rFonts w:ascii="Arial" w:cs="Arial" w:eastAsia="Arial" w:hAnsi="Arial"/>
          <w:sz w:val="18"/>
          <w:szCs w:val="18"/>
          <w:color w:val="auto"/>
        </w:rPr>
      </w:pPr>
    </w:p>
    <w:p>
      <w:pPr>
        <w:jc w:val="both"/>
        <w:ind w:right="320" w:firstLine="1952"/>
        <w:spacing w:after="0" w:line="263" w:lineRule="auto"/>
        <w:tabs>
          <w:tab w:leader="none" w:pos="251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relating to any asset (or all of the assets) of and/or the Equity Interests of the Issuer and/or any Restricted Subsidiary which is imposed pursuant to an agreement entered into in connection with any disposition of such asset (or assets) and/or all or a portion of the Equity Interests of the relevant Person that is not prohibited by the terms of this Indenture;</w:t>
      </w:r>
    </w:p>
    <w:p>
      <w:pPr>
        <w:spacing w:after="0" w:line="183" w:lineRule="exact"/>
        <w:rPr>
          <w:rFonts w:ascii="Arial" w:cs="Arial" w:eastAsia="Arial" w:hAnsi="Arial"/>
          <w:sz w:val="18"/>
          <w:szCs w:val="18"/>
          <w:color w:val="auto"/>
        </w:rPr>
      </w:pPr>
    </w:p>
    <w:p>
      <w:pPr>
        <w:ind w:right="40" w:firstLine="1952"/>
        <w:spacing w:after="0" w:line="277" w:lineRule="auto"/>
        <w:tabs>
          <w:tab w:leader="none" w:pos="246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set forth in any agreement relating to any Permitted Lien that limits the right of the Issuer or any Restricted Subsidiary to dispose of or encumber the assets subject thereto;</w:t>
      </w:r>
    </w:p>
    <w:p>
      <w:pPr>
        <w:spacing w:after="0" w:line="170" w:lineRule="exact"/>
        <w:rPr>
          <w:rFonts w:ascii="Arial" w:cs="Arial" w:eastAsia="Arial" w:hAnsi="Arial"/>
          <w:sz w:val="18"/>
          <w:szCs w:val="18"/>
          <w:color w:val="auto"/>
        </w:rPr>
      </w:pPr>
    </w:p>
    <w:p>
      <w:pPr>
        <w:ind w:right="80" w:firstLine="1952"/>
        <w:spacing w:after="0" w:line="293" w:lineRule="auto"/>
        <w:tabs>
          <w:tab w:leader="none" w:pos="246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restrictions or conditions contained in any trading, netting, operating, construction, service, supply, purchase, sale or other agreement to which the Issuer or any of its Restricted Subsidiaries is a party entered into in the ordinary course of business, consistent with past practice or consistent with industry norm;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(i) prohibits the encumbrance of solely the property or assets of the Issuer or such Restricted Subsidiary that are subject to such agreements, the payment rights arising thereunder or the proceeds thereof and does not extend to any other asset or property of the Issuer or such Restricted Subsidiary or the assets or property of another Restricted Subsidiary or (ii) would not, in the good faith of the Issuer, at the time such Indebtedness is incurred, materially impair the Issuer’s ability to make payments under the Notes when due;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ind w:right="80" w:firstLine="1952"/>
        <w:spacing w:after="0" w:line="275" w:lineRule="auto"/>
        <w:tabs>
          <w:tab w:leader="none" w:pos="246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any encumbrance or restrictions with respect to a Subsidiary that was previously an Unrestricted Subsidiary which encumbrance or restriction exists pursuant to or by reason of an agreement that such Subsidiary is a party to or entered into before the date on which such Subsidiary became or is redesignated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was not entered into in anticipation of an Unrestricted Subsidiary becoming or being redesignated as a Restricted Subsidiary and any such encumbrance or restriction does not extend to any assets or property of the Issuer or any Restricted Subsidiary other than the assets and property of such Subsidiary and its Subsidiaries; and/or</w:t>
      </w:r>
    </w:p>
    <w:p>
      <w:pPr>
        <w:spacing w:after="0" w:line="176" w:lineRule="exact"/>
        <w:rPr>
          <w:rFonts w:ascii="Arial" w:cs="Arial" w:eastAsia="Arial" w:hAnsi="Arial"/>
          <w:sz w:val="17"/>
          <w:szCs w:val="17"/>
          <w:color w:val="auto"/>
        </w:rPr>
      </w:pPr>
    </w:p>
    <w:p>
      <w:pPr>
        <w:ind w:firstLine="1952"/>
        <w:spacing w:after="0" w:line="257" w:lineRule="auto"/>
        <w:tabs>
          <w:tab w:leader="none" w:pos="24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imposed by any amendment, modification, restatement, renewal, increase, supplement, refunding, replacement or refinancing of any contract, instrument or obligation referred to in clauses (a) through (p)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restatement, renewal, increase, supplement, refunding, replacement or refinancing is, in the good faith judgment of the Issuer, more restrictive with respect to such restrictions, taken as a whole, than those in existence prior to such amendment, modification, restatement, renewal, increase, supplement, refunding, replacement or refinancing.</w:t>
      </w:r>
    </w:p>
    <w:p>
      <w:pPr>
        <w:spacing w:after="0" w:line="188"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4.08</w:t>
      </w:r>
      <w:r>
        <w:rPr>
          <w:rFonts w:ascii="Arial" w:cs="Arial" w:eastAsia="Arial" w:hAnsi="Arial"/>
          <w:sz w:val="18"/>
          <w:szCs w:val="18"/>
          <w:color w:val="auto"/>
        </w:rPr>
        <w:t>, (1) the priority of any Preferred Stock in receiving dividends or liquidating distributions prior to dividends or liquidating distributions being paid on common stock shall not be deemed a restriction on the ability to make distributions on Equity Interests and (2) the subordination of (including the application of any standstill requirements to) loans and advances made to the Issuer or a Restricted Subsidiary to other Indebtedness incurred by the Issuer or such Restricted Subsidiary shall not be deemed a restriction on the ability to make loans or advances.</w:t>
      </w:r>
    </w:p>
    <w:p>
      <w:pPr>
        <w:spacing w:after="0" w:line="188"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LIMITATION ON INCURRENCE OF INDEBTEDNESS AND ISSUANCE OF DISQUALIFIED STOCK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STOCK.</w:t>
      </w:r>
    </w:p>
    <w:p>
      <w:pPr>
        <w:spacing w:after="0" w:line="170"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The Issuer shall not, and shall not permit any of its Restricted Subsidiaries to, directly or indirectly, create, incur, issue, assume, guarantee or otherwise become directly or indirectly liable, contingently or otherwise (collectively, “</w:t>
      </w:r>
      <w:r>
        <w:rPr>
          <w:rFonts w:ascii="Arial" w:cs="Arial" w:eastAsia="Arial" w:hAnsi="Arial"/>
          <w:sz w:val="17"/>
          <w:szCs w:val="17"/>
          <w:u w:val="single" w:color="auto"/>
          <w:color w:val="auto"/>
        </w:rPr>
        <w:t>incur</w:t>
      </w:r>
      <w:r>
        <w:rPr>
          <w:rFonts w:ascii="Arial" w:cs="Arial" w:eastAsia="Arial" w:hAnsi="Arial"/>
          <w:sz w:val="17"/>
          <w:szCs w:val="17"/>
          <w:color w:val="auto"/>
        </w:rPr>
        <w:t>“ and collectively, an “</w:t>
      </w:r>
      <w:r>
        <w:rPr>
          <w:rFonts w:ascii="Arial" w:cs="Arial" w:eastAsia="Arial" w:hAnsi="Arial"/>
          <w:sz w:val="17"/>
          <w:szCs w:val="17"/>
          <w:u w:val="single" w:color="auto"/>
          <w:color w:val="auto"/>
        </w:rPr>
        <w:t>incurrence</w:t>
      </w:r>
      <w:r>
        <w:rPr>
          <w:rFonts w:ascii="Arial" w:cs="Arial" w:eastAsia="Arial" w:hAnsi="Arial"/>
          <w:sz w:val="17"/>
          <w:szCs w:val="17"/>
          <w:color w:val="auto"/>
        </w:rPr>
        <w:t xml:space="preserve">“) with respect to any Indebtedness (including Acquired Indebtedness) and the Issuer shall not issue any shares of Disqualified Stock and shall not permit any Restricted Subsidiary to issue any shares of Disqualified Stock or any Restricted Subsidiary that is not a Guarantor to issue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Issuer may incur Indebtedness (including Acquired Indebtedness) and issue shares of Disqualified Stock, and any of its Restricted Subsidiaries may incur Indebtedness (including Acquired Indebtedness), and issue shares of Disqualified Stock or Preferred Stock, if the Fixed Charge Coverage Ratio of the Issuer would have been at least 2.00 to 1.00,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the Test Period.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shall not apply to:</w:t>
      </w:r>
    </w:p>
    <w:p>
      <w:pPr>
        <w:spacing w:after="0" w:line="225" w:lineRule="exact"/>
        <w:rPr>
          <w:sz w:val="20"/>
          <w:szCs w:val="20"/>
          <w:color w:val="auto"/>
        </w:rPr>
      </w:pPr>
    </w:p>
    <w:p>
      <w:pPr>
        <w:ind w:right="120" w:firstLine="1952"/>
        <w:spacing w:after="0" w:line="285" w:lineRule="auto"/>
        <w:tabs>
          <w:tab w:leader="none" w:pos="245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incurrence of Indebtedness under Credit Facilities by the Issuer or any of its Restricted Subsidiaries and the issuance and creation of letters of credit and bankers’ acceptances thereunder (with letters of credit and bankers’ acceptances being deemed to have a principal amount equal to the face amount thereof), up to an aggregate outstanding principal amount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not to exceed,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the greater of (i) $175.0 million and (ii) 50.0% of Annualized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ind w:left="-20" w:right="120" w:firstLine="1952"/>
        <w:spacing w:after="0" w:line="277" w:lineRule="auto"/>
        <w:tabs>
          <w:tab w:leader="none" w:pos="244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incurrence by the Issuer and any Guarantor of Indebtedness represented by the Notes (including any Note Guarantee thereof, but excluding any Additional Notes and any Note Guarantees thereof) issued on the Issue Date;</w:t>
      </w:r>
    </w:p>
    <w:p>
      <w:pPr>
        <w:spacing w:after="0" w:line="170" w:lineRule="exact"/>
        <w:rPr>
          <w:rFonts w:ascii="Arial" w:cs="Arial" w:eastAsia="Arial" w:hAnsi="Arial"/>
          <w:sz w:val="18"/>
          <w:szCs w:val="18"/>
          <w:color w:val="auto"/>
        </w:rPr>
      </w:pPr>
    </w:p>
    <w:p>
      <w:pPr>
        <w:jc w:val="both"/>
        <w:ind w:left="-20" w:firstLine="1952"/>
        <w:spacing w:after="0" w:line="296" w:lineRule="auto"/>
        <w:tabs>
          <w:tab w:leader="none" w:pos="243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Indebtedness, Disqualified Stock and Preferred Stock of the Issuer issued or owing to any Restricted Subsidiary and/or of any Restricted Subsidiary issued or owing to the Issuer and/or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Disqualified Stock and Preferred Stock of the Issuer or a Guarantor owing to any Restricted Subsidiary that is not a Guarantor is expressly subordinated in right of payment to the Notes (but only to the extent any such Indebtedness, Disqualified Stock or Preferred Stock is outstanding at any time after the date that is 30 days after the Issue Date and thereafter only to the extent permitted by applicable law and not giving rise to material adverse tax consequences);</w:t>
      </w:r>
    </w:p>
    <w:p>
      <w:pPr>
        <w:spacing w:after="0" w:line="161" w:lineRule="exact"/>
        <w:rPr>
          <w:rFonts w:ascii="Arial" w:cs="Arial" w:eastAsia="Arial" w:hAnsi="Arial"/>
          <w:sz w:val="16"/>
          <w:szCs w:val="16"/>
          <w:color w:val="auto"/>
        </w:rPr>
      </w:pPr>
    </w:p>
    <w:p>
      <w:pPr>
        <w:ind w:left="2460" w:hanging="528"/>
        <w:spacing w:after="0"/>
        <w:tabs>
          <w:tab w:leader="none" w:pos="2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in respect of Permitted Receivables Financings;</w:t>
      </w:r>
    </w:p>
    <w:p>
      <w:pPr>
        <w:spacing w:after="0" w:line="225" w:lineRule="exact"/>
        <w:rPr>
          <w:rFonts w:ascii="Arial" w:cs="Arial" w:eastAsia="Arial" w:hAnsi="Arial"/>
          <w:sz w:val="18"/>
          <w:szCs w:val="18"/>
          <w:color w:val="auto"/>
        </w:rPr>
      </w:pPr>
    </w:p>
    <w:p>
      <w:pPr>
        <w:ind w:left="-20" w:firstLine="1952"/>
        <w:spacing w:after="0" w:line="255" w:lineRule="auto"/>
        <w:tabs>
          <w:tab w:leader="none" w:pos="243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Disqualified Stock and Preferred Stock (i) arising from any agreement providing for indemnification, adjustment of purchase price, earn-out or similar obligations (including contingent earn-out obligations), in each case, incurred, issued or assumed in connection with any disposition, any acquisition or Investment permitted under this Indenture or consummated prior to the Issue Date or any other purchase of assets or Equity Interests, and (ii) arising from guaranties, letters of credit, bank guaranties, surety bonds, performance bonds, completion bonds or similar instruments securing the performance of the Issuer or any such Restricted Subsidiary pursuant to any such agreement described in the foregoing subclause (i);</w:t>
      </w:r>
    </w:p>
    <w:p>
      <w:pPr>
        <w:spacing w:after="0" w:line="192" w:lineRule="exact"/>
        <w:rPr>
          <w:rFonts w:ascii="Arial" w:cs="Arial" w:eastAsia="Arial" w:hAnsi="Arial"/>
          <w:sz w:val="18"/>
          <w:szCs w:val="18"/>
          <w:color w:val="auto"/>
        </w:rPr>
      </w:pPr>
    </w:p>
    <w:p>
      <w:pPr>
        <w:ind w:left="-20" w:right="120" w:firstLine="1952"/>
        <w:spacing w:after="0" w:line="275" w:lineRule="auto"/>
        <w:tabs>
          <w:tab w:leader="none" w:pos="24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Indebtedness, Disqualified Stock and Preferred Stock of the Issuer and/or any Restricted Subsidiary (i) pursuant to tenders, statutory obligations, bids, leases, governmental contracts, trade contracts, surety, completion, stay, customs, appeal, performance and/or return of money bonds or other similar obligations incurred in the ordinary course of business, consistent with past practice or consistent with industry norm (including relating to any litigation not constituting an Event of Default under </w:t>
      </w:r>
      <w:r>
        <w:rPr>
          <w:rFonts w:ascii="Arial" w:cs="Arial" w:eastAsia="Arial" w:hAnsi="Arial"/>
          <w:sz w:val="17"/>
          <w:szCs w:val="17"/>
          <w:u w:val="single" w:color="auto"/>
          <w:color w:val="auto"/>
        </w:rPr>
        <w:t>Section 6.01(a)(5)</w:t>
      </w:r>
      <w:r>
        <w:rPr>
          <w:rFonts w:ascii="Arial" w:cs="Arial" w:eastAsia="Arial" w:hAnsi="Arial"/>
          <w:sz w:val="17"/>
          <w:szCs w:val="17"/>
          <w:color w:val="auto"/>
        </w:rPr>
        <w:t>) and (ii) in respect of letters of credit, bank guaranties, surety bonds, performance bonds, completion bonds or similar instruments to support any of the foregoing items;</w:t>
      </w:r>
    </w:p>
    <w:p>
      <w:pPr>
        <w:spacing w:after="0" w:line="176" w:lineRule="exact"/>
        <w:rPr>
          <w:rFonts w:ascii="Arial" w:cs="Arial" w:eastAsia="Arial" w:hAnsi="Arial"/>
          <w:sz w:val="17"/>
          <w:szCs w:val="17"/>
          <w:color w:val="auto"/>
        </w:rPr>
      </w:pPr>
    </w:p>
    <w:p>
      <w:pPr>
        <w:ind w:left="-20" w:right="40" w:firstLine="1952"/>
        <w:spacing w:after="0" w:line="259" w:lineRule="auto"/>
        <w:tabs>
          <w:tab w:leader="none" w:pos="244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in respect of Banking Services (including Indebtedness owed on a short term basis to banks and other financial institutions incurred in the ordinary course of business, consistent with past practice or consistent with industry norm that arises in connection with ordinary banking arrangements to manage cash balances of the Issuer and its Restricted Subsidiaries) and incentive, supplier finance or similar programs;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31" w:name="page132"/>
    <w:bookmarkEnd w:id="131"/>
    <w:p>
      <w:pPr>
        <w:ind w:left="-20" w:right="40" w:firstLine="1952"/>
        <w:spacing w:after="0" w:line="273" w:lineRule="auto"/>
        <w:tabs>
          <w:tab w:leader="none" w:pos="249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 guaranties by the Issuer and/or any Restricted Subsidiary of the obligations of suppliers, customers and licensees in the ordinary course of business, consistent with past practice or consistent with industry norm, (ii) Indebtedness incurred in the ordinary course of business, consistent with past practice or consistent with industry norm in respect of obligations of the Issuer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 consistent with past practice or consistent with industry norm;</w:t>
      </w:r>
    </w:p>
    <w:p>
      <w:pPr>
        <w:spacing w:after="0" w:line="177" w:lineRule="exact"/>
        <w:rPr>
          <w:rFonts w:ascii="Arial" w:cs="Arial" w:eastAsia="Arial" w:hAnsi="Arial"/>
          <w:sz w:val="17"/>
          <w:szCs w:val="17"/>
          <w:color w:val="auto"/>
        </w:rPr>
      </w:pPr>
    </w:p>
    <w:p>
      <w:pPr>
        <w:ind w:left="-20" w:right="400" w:firstLine="1952"/>
        <w:spacing w:after="0" w:line="263" w:lineRule="auto"/>
        <w:tabs>
          <w:tab w:leader="none" w:pos="24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guarantees of Indebtedness by the Issuer and/or any Restricted Subsidiary of Indebtedness or other obligations of the Issuer or any Restricted Subsidiary with respect to Indebtedness otherwise permitted to be incurred pursuant to the terms of this Indenture or other obligations not prohibited by this Indenture;</w:t>
      </w:r>
    </w:p>
    <w:p>
      <w:pPr>
        <w:spacing w:after="0" w:line="183" w:lineRule="exact"/>
        <w:rPr>
          <w:rFonts w:ascii="Arial" w:cs="Arial" w:eastAsia="Arial" w:hAnsi="Arial"/>
          <w:sz w:val="18"/>
          <w:szCs w:val="18"/>
          <w:color w:val="auto"/>
        </w:rPr>
      </w:pPr>
    </w:p>
    <w:p>
      <w:pPr>
        <w:ind w:left="-20" w:right="240" w:firstLine="1952"/>
        <w:spacing w:after="0" w:line="277" w:lineRule="auto"/>
        <w:tabs>
          <w:tab w:leader="none" w:pos="24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existing, or pursuant to commitments existing, on the Issue Date (other than Indebtedness described in clause (a) or (b) above);</w:t>
      </w:r>
    </w:p>
    <w:p>
      <w:pPr>
        <w:spacing w:after="0" w:line="170" w:lineRule="exact"/>
        <w:rPr>
          <w:rFonts w:ascii="Arial" w:cs="Arial" w:eastAsia="Arial" w:hAnsi="Arial"/>
          <w:sz w:val="18"/>
          <w:szCs w:val="18"/>
          <w:color w:val="auto"/>
        </w:rPr>
      </w:pPr>
    </w:p>
    <w:p>
      <w:pPr>
        <w:ind w:left="-20" w:firstLine="1952"/>
        <w:spacing w:after="0" w:line="255" w:lineRule="auto"/>
        <w:tabs>
          <w:tab w:leader="none" w:pos="24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Disqualified Stock or Preferred Stock of Restricted Subsidiaries that are not Guarantors;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(k) (when aggregated with the aggregate principal amount of Refinancing Indebtedness incurred pursuant to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in respect of such Indebtedness then outstanding) shall not, except as contemplated by clause (q)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exceed an amount equal to the greater of $100.0 million and 25.0% of Annualized EBITDA;</w:t>
      </w:r>
    </w:p>
    <w:p>
      <w:pPr>
        <w:spacing w:after="0" w:line="192" w:lineRule="exact"/>
        <w:rPr>
          <w:rFonts w:ascii="Arial" w:cs="Arial" w:eastAsia="Arial" w:hAnsi="Arial"/>
          <w:sz w:val="18"/>
          <w:szCs w:val="18"/>
          <w:color w:val="auto"/>
        </w:rPr>
      </w:pPr>
    </w:p>
    <w:p>
      <w:pPr>
        <w:ind w:left="-20" w:right="460" w:firstLine="1952"/>
        <w:spacing w:after="0" w:line="342" w:lineRule="auto"/>
        <w:tabs>
          <w:tab w:leader="none" w:pos="240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Indebtedness of the Issuer and/or any Restricted Subsidiary consisting of obligations owing under incentive, supply, license or similar agreements entered into in the ordinary course of business, consistent with past practice or consistent with industry norm;</w:t>
      </w:r>
    </w:p>
    <w:p>
      <w:pPr>
        <w:spacing w:after="0" w:line="123" w:lineRule="exact"/>
        <w:rPr>
          <w:rFonts w:ascii="Arial" w:cs="Arial" w:eastAsia="Arial" w:hAnsi="Arial"/>
          <w:sz w:val="16"/>
          <w:szCs w:val="16"/>
          <w:color w:val="auto"/>
        </w:rPr>
      </w:pPr>
    </w:p>
    <w:p>
      <w:pPr>
        <w:ind w:left="-20" w:right="180" w:firstLine="1952"/>
        <w:spacing w:after="0" w:line="259" w:lineRule="auto"/>
        <w:tabs>
          <w:tab w:leader="none" w:pos="249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consisting of (i) the financing of insurance premiums, (ii) take-or-pay obligations contained in supply arrangements, in each case, in the ordinary course of business, consistent with past practice or consistent with industry norm, and/or (iii) obligations to reacquire assets or inventory in connection with customer financing arrangements in the ordinary course of business, consistent with past practice or consistent with industry norm;</w:t>
      </w:r>
    </w:p>
    <w:p>
      <w:pPr>
        <w:spacing w:after="0" w:line="186" w:lineRule="exact"/>
        <w:rPr>
          <w:rFonts w:ascii="Arial" w:cs="Arial" w:eastAsia="Arial" w:hAnsi="Arial"/>
          <w:sz w:val="18"/>
          <w:szCs w:val="18"/>
          <w:color w:val="auto"/>
        </w:rPr>
      </w:pPr>
    </w:p>
    <w:p>
      <w:pPr>
        <w:ind w:left="-20" w:right="60" w:firstLine="1952"/>
        <w:spacing w:after="0" w:line="293" w:lineRule="auto"/>
        <w:tabs>
          <w:tab w:leader="none" w:pos="24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Indebtedness (including with respect to Financing Leases and purchase money Indebtedness), Disqualified Stock and Preferred Stock of the Issuer and/or any Restricted Subsidiary incurred or issued to finance or refinance the acquisition, construction, lease, expansion, development, design, installation, repair, replacement, relocation, renewal, maintenance, upgrade or improvement of property (real or personal), equipment or any other asset (whether through the direct purchase of property, equipment or other assets or Equity Interests of any Person owning such property, equipment or other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incurrence or issuance is prior to, at the time of or within two years after the completion of such acquisition, construction, lease, expansion, development, installation, repair, replacement, relocation, renewal, maintenance, upgrade or improvement;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32" w:name="page133"/>
    <w:bookmarkEnd w:id="132"/>
    <w:p>
      <w:pPr>
        <w:ind w:left="-20" w:firstLine="1952"/>
        <w:spacing w:after="0" w:line="272" w:lineRule="auto"/>
        <w:tabs>
          <w:tab w:leader="none" w:pos="244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(x) of the Issuer or a Restricted Subsidiary incurred or issued to finance an acquisition or Investment or (y) of Persons that are acquired by the Issuer or a Restricted Subsidiary or merged into, amalgamated with or consolidated with the Issuer or a Restricted Subsidiary in accordance with the terms of this Indenture (including designating an Unrestricted Subsidiary as a Restricted Subsidiary) or that are assumed in connection with an acquisition of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Investment, acquisition, merger, amalgamation or consolidation, either: (i) the Issuer would be permitted to incur at least $1.00 of additional Indebtedness pursuant to the Fixed Charge Coverage Ratio test set forth in the first paragraph of this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or (ii) the Fixed Charge Coverage Ratio of the Issuer is equal to or greater than immediately prior to such Investment, acquisition, merger, amalgamation or consolidation;</w:t>
      </w:r>
    </w:p>
    <w:p>
      <w:pPr>
        <w:spacing w:after="0" w:line="177" w:lineRule="exact"/>
        <w:rPr>
          <w:rFonts w:ascii="Arial" w:cs="Arial" w:eastAsia="Arial" w:hAnsi="Arial"/>
          <w:sz w:val="17"/>
          <w:szCs w:val="17"/>
          <w:color w:val="auto"/>
        </w:rPr>
      </w:pPr>
    </w:p>
    <w:p>
      <w:pPr>
        <w:ind w:left="-20" w:right="180" w:firstLine="1952"/>
        <w:spacing w:after="0" w:line="259" w:lineRule="auto"/>
        <w:tabs>
          <w:tab w:leader="none" w:pos="24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Indebtedness issued by the Issuer or any Restricted Subsidiary to any shareholder of the Issuer or any future, current or former director, officer, employee, member of management, manager, member, partner, independent contractor or consultant (or any Immediate Family Member of the foregoing) of the Issuer or any Subsidiary to finance the purchase or redemption of Equity Interests of the Issuer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40" w:firstLine="1952"/>
        <w:spacing w:after="0" w:line="287" w:lineRule="auto"/>
        <w:tabs>
          <w:tab w:leader="none" w:pos="244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incurrence or issuance by the Issuer or any of its Restricted Subsidiaries of Indebtedness, Disqualified Stock or Preferred Stock incurred or issued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Disqualified Stock or Preferred Stock has been terminated, by entering into any credit agreement, loan agreement, note purchase agreement, indenture or other agreement), or the net proceeds of which are to be used for the purpose of modifying, extending, refinancing, renewing, replacing, redeeming, repurchasing, defeasing, acquiring, amending, supplementing, restructuring, repaying, prepaying, retiring, extinguishing or refunding (collectively, “</w:t>
      </w:r>
      <w:r>
        <w:rPr>
          <w:rFonts w:ascii="Arial" w:cs="Arial" w:eastAsia="Arial" w:hAnsi="Arial"/>
          <w:sz w:val="16"/>
          <w:szCs w:val="16"/>
          <w:u w:val="single" w:color="auto"/>
          <w:color w:val="auto"/>
        </w:rPr>
        <w:t>refinance</w:t>
      </w:r>
      <w:r>
        <w:rPr>
          <w:rFonts w:ascii="Arial" w:cs="Arial" w:eastAsia="Arial" w:hAnsi="Arial"/>
          <w:sz w:val="16"/>
          <w:szCs w:val="16"/>
          <w:color w:val="auto"/>
        </w:rPr>
        <w:t>“ with “</w:t>
      </w:r>
      <w:r>
        <w:rPr>
          <w:rFonts w:ascii="Arial" w:cs="Arial" w:eastAsia="Arial" w:hAnsi="Arial"/>
          <w:sz w:val="16"/>
          <w:szCs w:val="16"/>
          <w:u w:val="single" w:color="auto"/>
          <w:color w:val="auto"/>
        </w:rPr>
        <w:t>refinances</w:t>
      </w:r>
      <w:r>
        <w:rPr>
          <w:rFonts w:ascii="Arial" w:cs="Arial" w:eastAsia="Arial" w:hAnsi="Arial"/>
          <w:sz w:val="16"/>
          <w:szCs w:val="16"/>
          <w:color w:val="auto"/>
        </w:rPr>
        <w:t>“, “</w:t>
      </w:r>
      <w:r>
        <w:rPr>
          <w:rFonts w:ascii="Arial" w:cs="Arial" w:eastAsia="Arial" w:hAnsi="Arial"/>
          <w:sz w:val="16"/>
          <w:szCs w:val="16"/>
          <w:u w:val="single" w:color="auto"/>
          <w:color w:val="auto"/>
        </w:rPr>
        <w:t>refinanced</w:t>
      </w:r>
      <w:r>
        <w:rPr>
          <w:rFonts w:ascii="Arial" w:cs="Arial" w:eastAsia="Arial" w:hAnsi="Arial"/>
          <w:sz w:val="16"/>
          <w:szCs w:val="16"/>
          <w:color w:val="auto"/>
        </w:rPr>
        <w:t>“ and “</w:t>
      </w:r>
      <w:r>
        <w:rPr>
          <w:rFonts w:ascii="Arial" w:cs="Arial" w:eastAsia="Arial" w:hAnsi="Arial"/>
          <w:sz w:val="16"/>
          <w:szCs w:val="16"/>
          <w:u w:val="single" w:color="auto"/>
          <w:color w:val="auto"/>
        </w:rPr>
        <w:t>refinancing</w:t>
      </w:r>
      <w:r>
        <w:rPr>
          <w:rFonts w:ascii="Arial" w:cs="Arial" w:eastAsia="Arial" w:hAnsi="Arial"/>
          <w:sz w:val="16"/>
          <w:szCs w:val="16"/>
          <w:color w:val="auto"/>
        </w:rPr>
        <w:t xml:space="preserve">“ having a correlative meaning) any Indebtedness (or unutilized commitment in respect of Indebtedness), Disqualified Stock or Preferred Stock incurred or issued as permitted under the first paragraph of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or any of clauses (a), (b), (j), (k), (n), (o), (q), (r), (u), (w), (x), (y) and (jj)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any case, including any refinancing Indebtedness incurred in respect thereof, “</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and such Indebtedness, Disqualified Stock or Preferred Stock being refinanced,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xml:space="preserve">“) and any subsequent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2" w:lineRule="exact"/>
        <w:rPr>
          <w:sz w:val="20"/>
          <w:szCs w:val="20"/>
          <w:color w:val="auto"/>
        </w:rPr>
      </w:pPr>
    </w:p>
    <w:p>
      <w:pPr>
        <w:ind w:left="640" w:right="720" w:firstLine="2264"/>
        <w:spacing w:after="0" w:line="285" w:lineRule="auto"/>
        <w:tabs>
          <w:tab w:leader="none" w:pos="339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Refinancing Indebtedness does not exceed the principal amount (or accreted value, if applicable) of the Refinanced Indebtedness outstanding immediately prior to the consummation of such refinancing, except by (A) an amount equal to unpaid accrued interest, dividends and premiums (including tender premiums) thereon plus defeasance costs, underwriting discounts and other fees, commissions and expenses (including upfront fees, closing payments, original issue discount, initial yield payments and similar fees) incurred in connection with the relevant refinancing,</w:t>
      </w:r>
    </w:p>
    <w:p>
      <w:pPr>
        <w:spacing w:after="0" w:line="1" w:lineRule="exact"/>
        <w:rPr>
          <w:rFonts w:ascii="Arial" w:cs="Arial" w:eastAsia="Arial" w:hAnsi="Arial"/>
          <w:sz w:val="16"/>
          <w:szCs w:val="16"/>
          <w:color w:val="auto"/>
        </w:rPr>
      </w:pPr>
    </w:p>
    <w:p>
      <w:pPr>
        <w:ind w:left="640" w:right="840" w:hanging="4"/>
        <w:spacing w:after="0" w:line="252" w:lineRule="auto"/>
        <w:tabs>
          <w:tab w:leader="none" w:pos="92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 amount equal to any existing commitments unutilized and letters of credit undrawn thereunder and (C) additional amounts permitted to be incurred pursuant to this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any additional Indebtedness, Disqualified Stock or Preferred Stock referenced in this clause (C) satisfies the other applicable requirements of this clause (q) (with additional amounts incurred in reliance on this clause (C) constituting a utilization of the relevant basket or exception pursuant to which such additional amount is permitted) and (2) if such additional Indebtedness is secured, the Lien securing such Refinancing Indebtedness is permitted pursuant to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33" w:name="page134"/>
    <w:bookmarkEnd w:id="133"/>
    <w:p>
      <w:pPr>
        <w:ind w:left="-20" w:firstLine="2264"/>
        <w:spacing w:after="0" w:line="254" w:lineRule="auto"/>
        <w:tabs>
          <w:tab w:leader="none" w:pos="278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solely in the case of Refinancing Indebtedness with respect to Indebtedness, Disqualified Stock or Preferred Stock incurred or issued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this second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(A) such Refinancing Indebtedness either (1) has a final maturity the same as or later than (and, in the case of revolving Indebtedness, does not require mandatory commitment reductions, if any, prior to) or (2) requires no or nominal payments in cash (other than interest payments) prior to, in each case, the earlier of (x) the final maturity of the Refinanced Indebtedness and (y) the maturity date of the Notes and (B) other than with respect to revolving Indebtedness, such Refinancing Indebtedness has a Weighted Average Life to Maturity equal to or greater than the Weighted Average Life to Maturity of the Refinanced Indebtedness (without giving effect to any amortization or prepayments in respect of such Refinanced Indebtedness);</w:t>
      </w:r>
    </w:p>
    <w:p>
      <w:pPr>
        <w:spacing w:after="0" w:line="191" w:lineRule="exact"/>
        <w:rPr>
          <w:rFonts w:ascii="Arial" w:cs="Arial" w:eastAsia="Arial" w:hAnsi="Arial"/>
          <w:sz w:val="18"/>
          <w:szCs w:val="18"/>
          <w:color w:val="auto"/>
        </w:rPr>
      </w:pPr>
    </w:p>
    <w:p>
      <w:pPr>
        <w:ind w:left="2820" w:hanging="576"/>
        <w:spacing w:after="0"/>
        <w:tabs>
          <w:tab w:leader="none" w:pos="28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such Refinancing Indebtedness shall not include:</w:t>
      </w:r>
    </w:p>
    <w:p>
      <w:pPr>
        <w:spacing w:after="0" w:line="225" w:lineRule="exact"/>
        <w:rPr>
          <w:sz w:val="20"/>
          <w:szCs w:val="20"/>
          <w:color w:val="auto"/>
        </w:rPr>
      </w:pPr>
    </w:p>
    <w:p>
      <w:pPr>
        <w:ind w:left="3460" w:hanging="568"/>
        <w:spacing w:after="0"/>
        <w:tabs>
          <w:tab w:leader="none" w:pos="3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Issuer</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that is not a Guarantor that refinances Indebtedness or Disqualified Stock of the Issuer;</w:t>
      </w:r>
    </w:p>
    <w:p>
      <w:pPr>
        <w:spacing w:after="0" w:line="210" w:lineRule="exact"/>
        <w:rPr>
          <w:rFonts w:ascii="Arial" w:cs="Arial" w:eastAsia="Arial" w:hAnsi="Arial"/>
          <w:sz w:val="18"/>
          <w:szCs w:val="18"/>
          <w:color w:val="auto"/>
        </w:rPr>
      </w:pPr>
    </w:p>
    <w:p>
      <w:pPr>
        <w:ind w:left="3440" w:hanging="548"/>
        <w:spacing w:after="0"/>
        <w:tabs>
          <w:tab w:leader="none" w:pos="34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of a Subsidiary of the Issuer</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that is not a Guarantor that refinances Indebtedness, Disqualified Stock or Preferred Stock of a Guarantor; or</w:t>
      </w:r>
    </w:p>
    <w:p>
      <w:pPr>
        <w:spacing w:after="0" w:line="210" w:lineRule="exact"/>
        <w:rPr>
          <w:rFonts w:ascii="Arial" w:cs="Arial" w:eastAsia="Arial" w:hAnsi="Arial"/>
          <w:sz w:val="18"/>
          <w:szCs w:val="18"/>
          <w:color w:val="auto"/>
        </w:rPr>
      </w:pPr>
    </w:p>
    <w:p>
      <w:pPr>
        <w:ind w:left="620" w:right="700" w:firstLine="2272"/>
        <w:spacing w:after="0" w:line="263" w:lineRule="auto"/>
        <w:tabs>
          <w:tab w:leader="none" w:pos="34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or Disqualified Stock of the Issuer or Indebtedness, Disqualified Stock or Preferred Stock of a Restricted Subsidiary that refinances Indebtedness, Disqualified Stock or Preferred Stock of an Unrestricted Subsidiary; and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134" w:name="page135"/>
    <w:bookmarkEnd w:id="134"/>
    <w:p>
      <w:pPr>
        <w:ind w:left="3360" w:hanging="576"/>
        <w:spacing w:after="0"/>
        <w:tabs>
          <w:tab w:leader="none" w:pos="3360" w:val="left"/>
        </w:tabs>
        <w:numPr>
          <w:ilvl w:val="2"/>
          <w:numId w:val="177"/>
        </w:numPr>
        <w:rPr>
          <w:rFonts w:ascii="Arial" w:cs="Arial" w:eastAsia="Arial" w:hAnsi="Arial"/>
          <w:sz w:val="17"/>
          <w:szCs w:val="17"/>
          <w:color w:val="auto"/>
        </w:rPr>
      </w:pPr>
      <w:r>
        <w:rPr>
          <w:rFonts w:ascii="Arial" w:cs="Arial" w:eastAsia="Arial" w:hAnsi="Arial"/>
          <w:sz w:val="17"/>
          <w:szCs w:val="17"/>
          <w:color w:val="auto"/>
        </w:rPr>
        <w:t>in the case of Refinancing Indebtedness incurred in respect of Indebtedness incurred under clause</w:t>
      </w:r>
    </w:p>
    <w:p>
      <w:pPr>
        <w:spacing w:after="0" w:line="34" w:lineRule="exact"/>
        <w:rPr>
          <w:rFonts w:ascii="Arial" w:cs="Arial" w:eastAsia="Arial" w:hAnsi="Arial"/>
          <w:sz w:val="17"/>
          <w:szCs w:val="17"/>
          <w:color w:val="auto"/>
        </w:rPr>
      </w:pPr>
    </w:p>
    <w:p>
      <w:pPr>
        <w:ind w:left="520" w:right="540" w:hanging="4"/>
        <w:spacing w:after="0" w:line="269" w:lineRule="auto"/>
        <w:tabs>
          <w:tab w:leader="none" w:pos="7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or that is secured by Liens on the Collateral that are equal in priority (without regard to control of remedies) with the Secured Notes Obligations, such Refinancing Indebtedness ranks equal or junior in right of payment with the Secured Notes Obligations and is secured by Liens on the Collateral on an equal or junior priority basis with respect to the Secured Notes Obligations or is unsecured;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Refinancing Indebtedness that is (1) secured by Liens on the Collateral ranking on an equal priority basis (but without regard to control of remedies) with the Secured Notes Obligations shall be subject to an Equal Priority Intercreditor Agreement or (2) secured by Liens on the Collateral ranking junior in priority to the Liens on the Collateral securing the Secured Notes Obligations shall be subject to a Junior Priority Intercreditor Agreement;</w:t>
      </w:r>
    </w:p>
    <w:p>
      <w:pPr>
        <w:spacing w:after="0" w:line="180" w:lineRule="exact"/>
        <w:rPr>
          <w:rFonts w:ascii="Arial" w:cs="Arial" w:eastAsia="Arial" w:hAnsi="Arial"/>
          <w:sz w:val="17"/>
          <w:szCs w:val="17"/>
          <w:color w:val="auto"/>
        </w:rPr>
      </w:pPr>
    </w:p>
    <w:p>
      <w:pPr>
        <w:ind w:left="-140" w:right="40" w:firstLine="1952"/>
        <w:spacing w:after="0" w:line="270" w:lineRule="auto"/>
        <w:tabs>
          <w:tab w:leader="none" w:pos="2299"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the Issuer and/or any Guarantors; provided that, at the time of incurrence or issuance thereof and after giving pro forma effect thereto and the use of proceeds thereof, the aggregate principal amount of such Indebtedness, Disqualified Stock or Preferred Stock then outstanding pursuant to this clause (r) (when aggregated with the aggregate principal amount of Refinancing Indebtedness incurred pursuant to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respect of such Indebtedness then outstanding) shall not, except as contemplated by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exceed an amount equal to 100.0% of the net proceeds received by the Issuer since immediately after the Issue Date from the issue or sale of Equity Interests of the Issuer or cash contributed to the capital of the Issuer (other than proceeds of Disqualified Stock or sales of Equity Interests to the Issuer or any of its Subsidiaries) to the extent such net proceeds have not otherwise been applied to make Restricted Payments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or to make Permitted Investments (other than Permitted Investments specified in any of clauses (a), (b) and (e) of the definition thereof);</w:t>
      </w:r>
    </w:p>
    <w:p>
      <w:pPr>
        <w:spacing w:after="0" w:line="180" w:lineRule="exact"/>
        <w:rPr>
          <w:rFonts w:ascii="Arial" w:cs="Arial" w:eastAsia="Arial" w:hAnsi="Arial"/>
          <w:sz w:val="17"/>
          <w:szCs w:val="17"/>
          <w:color w:val="auto"/>
        </w:rPr>
      </w:pPr>
    </w:p>
    <w:p>
      <w:pPr>
        <w:ind w:left="-140" w:right="460" w:firstLine="1952"/>
        <w:spacing w:after="0" w:line="277" w:lineRule="auto"/>
        <w:tabs>
          <w:tab w:leader="none" w:pos="230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Indebtedness of the Issuer and/or any Restricted Subsidiary under any Derivative Transaction that was, at the time entered into, not for speculative purposes;</w:t>
      </w:r>
    </w:p>
    <w:p>
      <w:pPr>
        <w:spacing w:after="0" w:line="170" w:lineRule="exact"/>
        <w:rPr>
          <w:rFonts w:ascii="Arial" w:cs="Arial" w:eastAsia="Arial" w:hAnsi="Arial"/>
          <w:sz w:val="18"/>
          <w:szCs w:val="18"/>
          <w:color w:val="auto"/>
        </w:rPr>
      </w:pPr>
    </w:p>
    <w:p>
      <w:pPr>
        <w:jc w:val="both"/>
        <w:ind w:left="-140" w:right="20" w:firstLine="1952"/>
        <w:spacing w:after="0" w:line="301" w:lineRule="auto"/>
        <w:tabs>
          <w:tab w:leader="none" w:pos="2289"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Indebtedness of the Issuer and/or any Restricted Subsidiary representing (i) deferred compensation to current or former directors, officers, employees, members of management, managers, members, partners, independent contractors and consultants of the Issuer and/or any Restricted Subsidiary in the ordinary course of business, consistent with past practice or consistent with industry norm of the Issuer and/or its Subsidiaries and (ii) deferred compensation or other similar arrangements in connection with any Investment or any acquisition permitted under this Indenture;</w:t>
      </w:r>
    </w:p>
    <w:p>
      <w:pPr>
        <w:spacing w:after="0" w:line="157" w:lineRule="exact"/>
        <w:rPr>
          <w:rFonts w:ascii="Arial" w:cs="Arial" w:eastAsia="Arial" w:hAnsi="Arial"/>
          <w:sz w:val="16"/>
          <w:szCs w:val="16"/>
          <w:color w:val="auto"/>
        </w:rPr>
      </w:pPr>
    </w:p>
    <w:p>
      <w:pPr>
        <w:jc w:val="both"/>
        <w:ind w:left="-140" w:firstLine="1952"/>
        <w:spacing w:after="0" w:line="273" w:lineRule="auto"/>
        <w:tabs>
          <w:tab w:leader="none" w:pos="2329"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Indebtedness, Disqualified Stock or Preferred Stock of the Issuer and/or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or issuance thereof and after giving pro forma effect thereto and the use of the proceeds thereof, the aggregate principal amount of such Indebtedness, Disqualified Stock or Preferred Stock then outstanding pursuant to this clause (u) (when aggregated with the aggregate principal amount of Refinancing Indebtedness incurred pursuant to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respect of such Indebtedness then outstanding) shall not, except as contemplated by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exceed an amount equal to the greater of $215.0 million and 60.0% of Annualized EBITDA of the Issuer and its Restricted Subsidiaries;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48895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5" w:name="page136"/>
    <w:bookmarkEnd w:id="135"/>
    <w:p>
      <w:pPr>
        <w:ind w:left="2500" w:hanging="568"/>
        <w:spacing w:after="0"/>
        <w:tabs>
          <w:tab w:leader="none" w:pos="25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firstLine="1952"/>
        <w:spacing w:after="0" w:line="273" w:lineRule="auto"/>
        <w:tabs>
          <w:tab w:leader="none" w:pos="248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incurrence of Indebtedness constituting Junior Priority Obligations up to an aggregate outstanding principal amount (when aggregated with the aggregate principal amount of Refinancing Indebtedness incurred pursuant to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respect of such Indebtedness then outstanding) not to exceed, except as contemplated by clause (q) of this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an amount such that, after giving pro forma effect to the incurrence of such amount and the application of the proceeds therefrom, the Consolidated Secured Debt Ratio of the Issuer would be no greater than 4.00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amount that may be incurred under this clause (w), all Indebtedness incurred under this clause (w) shall be deemed to be Consolidated Secured Debt;</w:t>
      </w:r>
    </w:p>
    <w:p>
      <w:pPr>
        <w:spacing w:after="0" w:line="177" w:lineRule="exact"/>
        <w:rPr>
          <w:rFonts w:ascii="Arial" w:cs="Arial" w:eastAsia="Arial" w:hAnsi="Arial"/>
          <w:sz w:val="17"/>
          <w:szCs w:val="17"/>
          <w:color w:val="auto"/>
        </w:rPr>
      </w:pPr>
    </w:p>
    <w:p>
      <w:pPr>
        <w:ind w:left="-20" w:right="20" w:firstLine="1952"/>
        <w:spacing w:after="0" w:line="291" w:lineRule="auto"/>
        <w:tabs>
          <w:tab w:leader="none" w:pos="244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incurrence of Indebtedness that is secured by Liens on assets that do not constitute Collateral (assuming, for purposes of this clause (x) and future ratio calculations for so long as such Indebtedness remains outstanding, that such assets constitute Collateral), up to an aggregate outstanding principal amount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not to exceed,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an amount such that, after giving pro forma effect to the incurrence of such amount and the application of the proceeds therefrom, the Consolidated Secured Debt Ratio of the Issuer would be no greater than 4.00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amount that may be incurred under this clause (x), all Indebtedness incurred under this clause (x) shall be deemed to be Consolidated Secured Debt;</w:t>
      </w:r>
    </w:p>
    <w:p>
      <w:pPr>
        <w:spacing w:after="0" w:line="166" w:lineRule="exact"/>
        <w:rPr>
          <w:rFonts w:ascii="Arial" w:cs="Arial" w:eastAsia="Arial" w:hAnsi="Arial"/>
          <w:sz w:val="16"/>
          <w:szCs w:val="16"/>
          <w:color w:val="auto"/>
        </w:rPr>
      </w:pPr>
    </w:p>
    <w:p>
      <w:pPr>
        <w:ind w:left="-20" w:right="460" w:firstLine="1952"/>
        <w:spacing w:after="0" w:line="277" w:lineRule="auto"/>
        <w:tabs>
          <w:tab w:leader="none" w:pos="244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Indebtedness (including in the form of Financing Leases) of the Issuer and/or any Restricted Subsidiary incurred in connection with Sale and Lease-Back Transactions;</w:t>
      </w:r>
    </w:p>
    <w:p>
      <w:pPr>
        <w:spacing w:after="0" w:line="170" w:lineRule="exact"/>
        <w:rPr>
          <w:rFonts w:ascii="Arial" w:cs="Arial" w:eastAsia="Arial" w:hAnsi="Arial"/>
          <w:sz w:val="18"/>
          <w:szCs w:val="18"/>
          <w:color w:val="auto"/>
        </w:rPr>
      </w:pPr>
    </w:p>
    <w:p>
      <w:pPr>
        <w:ind w:left="2500" w:hanging="568"/>
        <w:spacing w:after="0"/>
        <w:tabs>
          <w:tab w:leader="none" w:pos="25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20" w:right="100" w:firstLine="1952"/>
        <w:spacing w:after="0" w:line="275" w:lineRule="auto"/>
        <w:tabs>
          <w:tab w:leader="none" w:pos="224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Indebtedness (including obligations in respect of letters of credit, bank guaranties, surety bonds, performance bonds, completion bonds or similar instruments with respect to such Indebtedness) incurred by the Issuer and/or any Restricted Subsidiary in the ordinary course of business, consistent with past practice or consistent with industry norm in respect of workers compensation claims, unemployment insurance (including premiums related thereto), other types of social security, pension obligations, vacation pay, health, disability or other employee benefits or property, casualty or liability insurance or self-insurance compensation claims;</w:t>
      </w:r>
    </w:p>
    <w:p>
      <w:pPr>
        <w:spacing w:after="0" w:line="176" w:lineRule="exact"/>
        <w:rPr>
          <w:rFonts w:ascii="Arial" w:cs="Arial" w:eastAsia="Arial" w:hAnsi="Arial"/>
          <w:sz w:val="17"/>
          <w:szCs w:val="17"/>
          <w:color w:val="auto"/>
        </w:rPr>
      </w:pPr>
    </w:p>
    <w:p>
      <w:pPr>
        <w:ind w:left="2320" w:hanging="388"/>
        <w:spacing w:after="0"/>
        <w:tabs>
          <w:tab w:leader="none" w:pos="23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300" w:hanging="368"/>
        <w:spacing w:after="0"/>
        <w:tabs>
          <w:tab w:leader="none" w:pos="2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136" w:name="page137"/>
    <w:bookmarkEnd w:id="136"/>
    <w:p>
      <w:pPr>
        <w:ind w:right="740" w:firstLine="1952"/>
        <w:spacing w:after="0" w:line="308" w:lineRule="auto"/>
        <w:tabs>
          <w:tab w:leader="none" w:pos="228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Indebtedness of the Issuer or any Restricted Subsidiary supported by any letter of credit, bank guaranty or similar instrument issued in compliance with this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in a principal amount not exceeding the face amount of such instrument;</w:t>
      </w:r>
    </w:p>
    <w:p>
      <w:pPr>
        <w:spacing w:after="0" w:line="146" w:lineRule="exact"/>
        <w:rPr>
          <w:rFonts w:ascii="Arial" w:cs="Arial" w:eastAsia="Arial" w:hAnsi="Arial"/>
          <w:sz w:val="17"/>
          <w:szCs w:val="17"/>
          <w:color w:val="auto"/>
        </w:rPr>
      </w:pPr>
    </w:p>
    <w:p>
      <w:pPr>
        <w:ind w:right="620" w:firstLine="1952"/>
        <w:spacing w:after="0" w:line="308" w:lineRule="auto"/>
        <w:tabs>
          <w:tab w:leader="none" w:pos="226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unfunded pension fund and other employee benefit plan obligations and liabilities incurred by the Issuer and/or any Restricted Subsidiary in the ordinary course of business, consistent with past practice or consistent with industry norm;</w:t>
      </w:r>
    </w:p>
    <w:p>
      <w:pPr>
        <w:spacing w:after="0" w:line="146" w:lineRule="exact"/>
        <w:rPr>
          <w:rFonts w:ascii="Arial" w:cs="Arial" w:eastAsia="Arial" w:hAnsi="Arial"/>
          <w:sz w:val="17"/>
          <w:szCs w:val="17"/>
          <w:color w:val="auto"/>
        </w:rPr>
      </w:pPr>
    </w:p>
    <w:p>
      <w:pPr>
        <w:ind w:right="200" w:firstLine="1952"/>
        <w:spacing w:after="0" w:line="263" w:lineRule="auto"/>
        <w:tabs>
          <w:tab w:leader="none" w:pos="227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customer deposits and advance payments (including progress premiums) received in the ordinary course of business, consistent with past practice or consistent with industry norm from customers or (ii) obligations to pay, in each case, for goods and services purchased or sold in the ordinary course of business, consistent with past practice or consistent with industry norm;</w:t>
      </w:r>
    </w:p>
    <w:p>
      <w:pPr>
        <w:spacing w:after="0" w:line="183" w:lineRule="exact"/>
        <w:rPr>
          <w:rFonts w:ascii="Arial" w:cs="Arial" w:eastAsia="Arial" w:hAnsi="Arial"/>
          <w:sz w:val="18"/>
          <w:szCs w:val="18"/>
          <w:color w:val="auto"/>
        </w:rPr>
      </w:pPr>
    </w:p>
    <w:p>
      <w:pPr>
        <w:ind w:right="80" w:firstLine="1952"/>
        <w:spacing w:after="0" w:line="263" w:lineRule="auto"/>
        <w:tabs>
          <w:tab w:leader="none" w:pos="22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without duplication of any other Indebtedness, all premiums (if any), interest (including post-petition interest and payment in kind interest), accretion or amortization of original issue discount, fees, expenses, charges and additional or contingent interest with respect to Indebtedness of the Issuer and/or any Restricted Subsidiary otherwise permitted under this Indenture;</w:t>
      </w:r>
    </w:p>
    <w:p>
      <w:pPr>
        <w:spacing w:after="0" w:line="183" w:lineRule="exact"/>
        <w:rPr>
          <w:rFonts w:ascii="Arial" w:cs="Arial" w:eastAsia="Arial" w:hAnsi="Arial"/>
          <w:sz w:val="18"/>
          <w:szCs w:val="18"/>
          <w:color w:val="auto"/>
        </w:rPr>
      </w:pPr>
    </w:p>
    <w:p>
      <w:pPr>
        <w:ind w:left="2340" w:hanging="388"/>
        <w:spacing w:after="0"/>
        <w:tabs>
          <w:tab w:leader="none" w:pos="2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40" w:hanging="588"/>
        <w:spacing w:after="0"/>
        <w:tabs>
          <w:tab w:leader="none" w:pos="2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1952"/>
        <w:spacing w:after="0" w:line="293" w:lineRule="auto"/>
        <w:tabs>
          <w:tab w:leader="none" w:pos="220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Indebtedness, Disqualified Stock or Preferred Stock incurred or issued by the Issuer or any Restricted Subsidiary for the benefit of joint ventures;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incurrence or issuance thereof and after giving pro forma effect thereto and the use of the proceeds thereof, the aggregate principal amount or liquidation preference of such Indebtedness, Disqualified Stock or Preferred Stock then outstanding pursuant to this clause (jj) (when aggregated with the aggregate principal amount of Refinancing Indebtedness incurred pursuant to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in respect of such Indebtedness then outstanding) shall not, except as contemplated by clause (q) of this second paragraph of </w:t>
      </w:r>
      <w:r>
        <w:rPr>
          <w:rFonts w:ascii="Arial" w:cs="Arial" w:eastAsia="Arial" w:hAnsi="Arial"/>
          <w:sz w:val="16"/>
          <w:szCs w:val="16"/>
          <w:u w:val="single" w:color="auto"/>
          <w:color w:val="auto"/>
        </w:rPr>
        <w:t>Section 4.09</w:t>
      </w:r>
      <w:r>
        <w:rPr>
          <w:rFonts w:ascii="Arial" w:cs="Arial" w:eastAsia="Arial" w:hAnsi="Arial"/>
          <w:sz w:val="16"/>
          <w:szCs w:val="16"/>
          <w:color w:val="auto"/>
        </w:rPr>
        <w:t>, exceed an amount equal to the greater of $50.0 million and 15.0% of Annualized EBITDA of the Issuer and its Restricted Subsidiaries;</w:t>
      </w:r>
    </w:p>
    <w:p>
      <w:pPr>
        <w:spacing w:after="0" w:line="164" w:lineRule="exact"/>
        <w:rPr>
          <w:rFonts w:ascii="Arial" w:cs="Arial" w:eastAsia="Arial" w:hAnsi="Arial"/>
          <w:sz w:val="16"/>
          <w:szCs w:val="16"/>
          <w:color w:val="auto"/>
        </w:rPr>
      </w:pPr>
    </w:p>
    <w:p>
      <w:pPr>
        <w:ind w:left="2340" w:hanging="388"/>
        <w:spacing w:after="0"/>
        <w:tabs>
          <w:tab w:leader="none" w:pos="23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jc w:val="both"/>
        <w:ind w:right="200" w:firstLine="1952"/>
        <w:spacing w:after="0" w:line="263" w:lineRule="auto"/>
        <w:tabs>
          <w:tab w:leader="none" w:pos="23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Indebtedness, Disqualified Stock or Preferred Stock incurred or issued by the Issuer or any Restricted Subsidiary to the extent that the net proceeds thereof are promptly deposited with the Trustee in connection with a Legal Defeasance, Covenant Defeasance or satisfaction and discharge of this Indenture.</w:t>
      </w:r>
    </w:p>
    <w:p>
      <w:pPr>
        <w:spacing w:after="0" w:line="18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For the avoidance of doubt and notwithstanding anything herein to the contrary, (a) the accrual of interest or dividends, the accretion of accreted value, the accretion or amortization of original issue discount and the payment of interest or dividends in the form of additional Indebtedness or additional Equity Interests and (b)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an incurrence of Indebtedness or issuance of Disqualified Stock or Preferred Stock for purposes of this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7" w:name="page138"/>
    <w:bookmarkEnd w:id="137"/>
    <w:p>
      <w:pPr>
        <w:ind w:right="40" w:firstLine="1296"/>
        <w:spacing w:after="0" w:line="311"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the principal amount of Indebtedness or the liquidation preference of Disqualified Stock or Preferred Stock outstanding under any clause of this </w:t>
      </w:r>
      <w:r>
        <w:rPr>
          <w:rFonts w:ascii="Arial" w:cs="Arial" w:eastAsia="Arial" w:hAnsi="Arial"/>
          <w:sz w:val="16"/>
          <w:szCs w:val="16"/>
          <w:u w:val="single" w:color="auto"/>
          <w:color w:val="auto"/>
        </w:rPr>
        <w:t>Section 4.09</w:t>
      </w:r>
      <w:r>
        <w:rPr>
          <w:rFonts w:ascii="Arial" w:cs="Arial" w:eastAsia="Arial" w:hAnsi="Arial"/>
          <w:sz w:val="16"/>
          <w:szCs w:val="16"/>
          <w:color w:val="auto"/>
        </w:rPr>
        <w:t xml:space="preserve"> shall be determined after giving effect to the application of proceeds of any such Indebtedness, Disqualified Stock or Preferred Stock to refinance any such other Indebtedness, Disqualified Stock or Preferred Stock.</w:t>
      </w:r>
    </w:p>
    <w:p>
      <w:pPr>
        <w:spacing w:after="0" w:line="149" w:lineRule="exact"/>
        <w:rPr>
          <w:sz w:val="20"/>
          <w:szCs w:val="20"/>
          <w:color w:val="auto"/>
        </w:rPr>
      </w:pPr>
    </w:p>
    <w:p>
      <w:pPr>
        <w:ind w:right="200" w:firstLine="1296"/>
        <w:spacing w:after="0" w:line="286" w:lineRule="auto"/>
        <w:rPr>
          <w:sz w:val="20"/>
          <w:szCs w:val="20"/>
          <w:color w:val="auto"/>
        </w:rPr>
      </w:pPr>
      <w:r>
        <w:rPr>
          <w:rFonts w:ascii="Arial" w:cs="Arial" w:eastAsia="Arial" w:hAnsi="Arial"/>
          <w:sz w:val="17"/>
          <w:szCs w:val="17"/>
          <w:color w:val="auto"/>
        </w:rPr>
        <w:t>This Indenture will not treat (1) unsecured Indebtedness as subordinated or junior to Secured Indebtedness merely because such Indebtedness is unsecured or (2) Indebtedness as subordinated or junior to any other Indebtedness solely because such Indebtedness has a junior priority with respect to shared collateral or because it is secured by different collateral or issued or guaranteed by other obligors.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ASSET SALES.</w:t>
      </w:r>
    </w:p>
    <w:p>
      <w:pPr>
        <w:spacing w:after="0" w:line="225" w:lineRule="exact"/>
        <w:rPr>
          <w:sz w:val="20"/>
          <w:szCs w:val="20"/>
          <w:color w:val="auto"/>
        </w:rPr>
      </w:pPr>
    </w:p>
    <w:p>
      <w:pPr>
        <w:ind w:left="2460" w:hanging="508"/>
        <w:spacing w:after="0"/>
        <w:tabs>
          <w:tab w:leader="none" w:pos="24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Issuer shall not, and shall not permit any of its Restricted Subsidiaries to, consummate, directly or indirectly,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 Sale unless:</w:t>
      </w:r>
    </w:p>
    <w:p>
      <w:pPr>
        <w:spacing w:after="0" w:line="211" w:lineRule="exact"/>
        <w:rPr>
          <w:sz w:val="20"/>
          <w:szCs w:val="20"/>
          <w:color w:val="auto"/>
        </w:rPr>
      </w:pPr>
    </w:p>
    <w:p>
      <w:pPr>
        <w:ind w:left="740" w:right="720" w:firstLine="2427"/>
        <w:spacing w:after="0" w:line="259" w:lineRule="auto"/>
        <w:tabs>
          <w:tab w:leader="none" w:pos="3695" w:val="left"/>
        </w:tabs>
        <w:numPr>
          <w:ilvl w:val="2"/>
          <w:numId w:val="183"/>
        </w:numPr>
        <w:rPr>
          <w:rFonts w:ascii="Arial" w:cs="Arial" w:eastAsia="Arial" w:hAnsi="Arial"/>
          <w:sz w:val="18"/>
          <w:szCs w:val="18"/>
          <w:color w:val="auto"/>
        </w:rPr>
      </w:pPr>
      <w:r>
        <w:rPr>
          <w:rFonts w:ascii="Arial" w:cs="Arial" w:eastAsia="Arial" w:hAnsi="Arial"/>
          <w:sz w:val="18"/>
          <w:szCs w:val="18"/>
          <w:color w:val="auto"/>
        </w:rPr>
        <w:t>the Issuer or such Restricted Subsidiary, as the case may be, receives consideration (including by way of relief from, or by any other Person assuming responsibility for, any liabilities, contingent or otherwise, in connection with such Asset Sale) at the time of such Asset Sale at least equal to the fair market value (measured at the time of contractually agreeing to such Asset Sale) of the assets sold or otherwise disposed of; and</w:t>
      </w:r>
    </w:p>
    <w:p>
      <w:pPr>
        <w:spacing w:after="0" w:line="186" w:lineRule="exact"/>
        <w:rPr>
          <w:rFonts w:ascii="Arial" w:cs="Arial" w:eastAsia="Arial" w:hAnsi="Arial"/>
          <w:sz w:val="18"/>
          <w:szCs w:val="18"/>
          <w:color w:val="auto"/>
        </w:rPr>
      </w:pPr>
    </w:p>
    <w:p>
      <w:pPr>
        <w:ind w:left="740" w:right="620" w:firstLine="2427"/>
        <w:spacing w:after="0" w:line="259" w:lineRule="auto"/>
        <w:tabs>
          <w:tab w:leader="none" w:pos="3695" w:val="left"/>
        </w:tabs>
        <w:numPr>
          <w:ilvl w:val="2"/>
          <w:numId w:val="183"/>
        </w:numPr>
        <w:rPr>
          <w:rFonts w:ascii="Arial" w:cs="Arial" w:eastAsia="Arial" w:hAnsi="Arial"/>
          <w:sz w:val="18"/>
          <w:szCs w:val="18"/>
          <w:color w:val="auto"/>
        </w:rPr>
      </w:pPr>
      <w:r>
        <w:rPr>
          <w:rFonts w:ascii="Arial" w:cs="Arial" w:eastAsia="Arial" w:hAnsi="Arial"/>
          <w:sz w:val="18"/>
          <w:szCs w:val="18"/>
          <w:color w:val="auto"/>
        </w:rPr>
        <w:t>except in the case of a Permitted Asset Swap, at least 75.0% of the consideration (measured at the time of contractually agreeing to such Asset Sale) for such Asset Sale, together with all other Asset Sales completed or contractually agreed upon since the Issue Date (on a cumulative basis), received (or to be received) by the Issuer or such Restricted Subsidiary, as the case may be, is in the form of cash or Cash Equivalents.</w:t>
      </w:r>
    </w:p>
    <w:p>
      <w:pPr>
        <w:spacing w:after="0" w:line="186" w:lineRule="exact"/>
        <w:rPr>
          <w:rFonts w:ascii="Arial" w:cs="Arial" w:eastAsia="Arial" w:hAnsi="Arial"/>
          <w:sz w:val="18"/>
          <w:szCs w:val="18"/>
          <w:color w:val="auto"/>
        </w:rPr>
      </w:pPr>
    </w:p>
    <w:p>
      <w:pPr>
        <w:ind w:firstLine="1952"/>
        <w:spacing w:after="0" w:line="263" w:lineRule="auto"/>
        <w:tabs>
          <w:tab w:leader="none" w:pos="246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Within 12 months after the later of (A) the date of any Asset Sale and (B) receipt of any Net Proceeds from any Asset Sale (the “</w:t>
      </w:r>
      <w:r>
        <w:rPr>
          <w:rFonts w:ascii="Arial" w:cs="Arial" w:eastAsia="Arial" w:hAnsi="Arial"/>
          <w:sz w:val="18"/>
          <w:szCs w:val="18"/>
          <w:u w:val="single" w:color="auto"/>
          <w:color w:val="auto"/>
        </w:rPr>
        <w:t>Asset Sale Proceeds Application Period</w:t>
      </w:r>
      <w:r>
        <w:rPr>
          <w:rFonts w:ascii="Arial" w:cs="Arial" w:eastAsia="Arial" w:hAnsi="Arial"/>
          <w:sz w:val="18"/>
          <w:szCs w:val="18"/>
          <w:color w:val="auto"/>
        </w:rPr>
        <w:t>“), the Issuer or such Restricted Subsidiary, at its option, may apply an amount equal to the Net Proceeds from such Asset Sale (the “</w:t>
      </w:r>
      <w:r>
        <w:rPr>
          <w:rFonts w:ascii="Arial" w:cs="Arial" w:eastAsia="Arial" w:hAnsi="Arial"/>
          <w:sz w:val="18"/>
          <w:szCs w:val="18"/>
          <w:u w:val="single" w:color="auto"/>
          <w:color w:val="auto"/>
        </w:rPr>
        <w:t>Applicable Proceeds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3700" w:hanging="533"/>
        <w:spacing w:after="0"/>
        <w:tabs>
          <w:tab w:leader="none" w:pos="3700" w:val="left"/>
        </w:tabs>
        <w:numPr>
          <w:ilvl w:val="2"/>
          <w:numId w:val="184"/>
        </w:numPr>
        <w:rPr>
          <w:rFonts w:ascii="Arial" w:cs="Arial" w:eastAsia="Arial" w:hAnsi="Arial"/>
          <w:sz w:val="17"/>
          <w:szCs w:val="17"/>
          <w:color w:val="auto"/>
        </w:rPr>
      </w:pPr>
      <w:r>
        <w:rPr>
          <w:rFonts w:ascii="Arial" w:cs="Arial" w:eastAsia="Arial" w:hAnsi="Arial"/>
          <w:sz w:val="17"/>
          <w:szCs w:val="17"/>
          <w:color w:val="auto"/>
        </w:rPr>
        <w:t>to the extent the assets or property disposed of in the Asset Sale constituted Collateral, to repay</w:t>
      </w:r>
    </w:p>
    <w:p>
      <w:pPr>
        <w:spacing w:after="0" w:line="34" w:lineRule="exact"/>
        <w:rPr>
          <w:rFonts w:ascii="Arial" w:cs="Arial" w:eastAsia="Arial" w:hAnsi="Arial"/>
          <w:sz w:val="17"/>
          <w:szCs w:val="17"/>
          <w:color w:val="auto"/>
        </w:rPr>
      </w:pPr>
    </w:p>
    <w:p>
      <w:pPr>
        <w:ind w:left="960" w:hanging="223"/>
        <w:spacing w:after="0"/>
        <w:tabs>
          <w:tab w:leader="none" w:pos="9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Obligations under the Notes or (ii) any Additional Equal Priority Obligations, and in each case, in the case of revolving obligations</w:t>
      </w:r>
    </w:p>
    <w:p>
      <w:pPr>
        <w:spacing w:after="0" w:line="21" w:lineRule="exact"/>
        <w:rPr>
          <w:sz w:val="20"/>
          <w:szCs w:val="20"/>
          <w:color w:val="auto"/>
        </w:rPr>
      </w:pPr>
    </w:p>
    <w:p>
      <w:pPr>
        <w:ind w:left="740" w:right="640"/>
        <w:spacing w:after="0" w:line="290" w:lineRule="auto"/>
        <w:rPr>
          <w:sz w:val="20"/>
          <w:szCs w:val="20"/>
          <w:color w:val="auto"/>
        </w:rPr>
      </w:pPr>
      <w:r>
        <w:rPr>
          <w:rFonts w:ascii="Arial" w:cs="Arial" w:eastAsia="Arial" w:hAnsi="Arial"/>
          <w:sz w:val="17"/>
          <w:szCs w:val="17"/>
          <w:color w:val="auto"/>
        </w:rPr>
        <w:t>(other than obligations in respect of any asset-based credit facility to the extent the assets sold or otherwise disposed of pursuant to such Asset Sale constitute “borrowing base assets” thereunder), to correspondingly reduce commitments with respect thereto;</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8" w:name="page139"/>
    <w:bookmarkEnd w:id="138"/>
    <w:p>
      <w:pPr>
        <w:ind w:left="3020" w:hanging="533"/>
        <w:spacing w:after="0"/>
        <w:tabs>
          <w:tab w:leader="none" w:pos="302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to the extent the assets or property disposed of in the Asset Sale did not constitute Collateral:</w:t>
      </w:r>
    </w:p>
    <w:p>
      <w:pPr>
        <w:spacing w:after="0" w:line="248" w:lineRule="exact"/>
        <w:rPr>
          <w:rFonts w:ascii="Arial" w:cs="Arial" w:eastAsia="Arial" w:hAnsi="Arial"/>
          <w:sz w:val="16"/>
          <w:szCs w:val="16"/>
          <w:color w:val="auto"/>
        </w:rPr>
      </w:pPr>
    </w:p>
    <w:p>
      <w:pPr>
        <w:ind w:left="-20" w:firstLine="2264"/>
        <w:spacing w:after="0" w:line="287" w:lineRule="auto"/>
        <w:tabs>
          <w:tab w:leader="none" w:pos="273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to repay (y) Obligations under the Notes or (z) any Additional Equal Priority Obligations, and in each case,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Issuer or any Restricted Subsidiary shall repay any Additional Equal Priority Obligations pursuant to clause (z) above, the Issuer or such Restricted Subsidiary will either (A) reduce the aggregate principal amount of Obligations under the Notes on a ratable basis with any such Obligations under the Additional Equal Priority Obligations repaid pursuant to this clause (2)(i) by, at its option, (1) redeeming Notes as provided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and/or (2) purchasing Notes through open-market purchases or in privately negotiated transactions (which may be below par) and/or (B) make an offer (in accordance with the provisions set forth below for an Asset Sale Offer) to all Holders to purchase their Notes on a ratable basis with any Obligations under the Additional Equal Priority Obligations repaid pursuant to this clause (2)(i) for no less than 100.0% of the principal amount thereof, plus the amount of accrued and unpaid interest, if any, thereon (which offer shall be deemed to be an Asset Sale Offer for purposes hereof); or</w:t>
      </w:r>
    </w:p>
    <w:p>
      <w:pPr>
        <w:spacing w:after="0" w:line="171" w:lineRule="exact"/>
        <w:rPr>
          <w:rFonts w:ascii="Arial" w:cs="Arial" w:eastAsia="Arial" w:hAnsi="Arial"/>
          <w:sz w:val="16"/>
          <w:szCs w:val="16"/>
          <w:color w:val="auto"/>
        </w:rPr>
      </w:pPr>
    </w:p>
    <w:p>
      <w:pPr>
        <w:ind w:left="-20" w:right="140" w:firstLine="2264"/>
        <w:spacing w:after="0" w:line="288" w:lineRule="auto"/>
        <w:tabs>
          <w:tab w:leader="none" w:pos="278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to repay Obligations under any Senior Indebtedness (other than any Senior Indebtedness referred to in clause (2)(i) above), and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or such Restricted Subsidiary will either (A) reduce the aggregate principal amount of Obligations under the Notes on a ratable basis with any such Senior Indebtedness repaid pursuant to this clause (2)(ii) by, at its option, (1) redeeming Notes as provided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and/or (2) purchasing Notes through open-market purchases or in privately negotiated transactions (which may be below par) and/or (B) make an offer (in accordance with the provisions set forth below for an Asset Sale Offer) to all Holders to purchase their Notes on a ratable basis with any Senior Indebtedness repaid pursuant to this clause (2)(ii) for no less than 100.0% of the principal amount thereof, plus the amount of accrued and unpaid interest, if any, thereon (which offer shall be deemed to be an Asset Sale Offer for purposes hereof);</w:t>
      </w:r>
    </w:p>
    <w:p>
      <w:pPr>
        <w:spacing w:after="0" w:line="168" w:lineRule="exact"/>
        <w:rPr>
          <w:rFonts w:ascii="Arial" w:cs="Arial" w:eastAsia="Arial" w:hAnsi="Arial"/>
          <w:sz w:val="16"/>
          <w:szCs w:val="16"/>
          <w:color w:val="auto"/>
        </w:rPr>
      </w:pPr>
    </w:p>
    <w:p>
      <w:pPr>
        <w:ind w:left="60" w:right="40" w:firstLine="2427"/>
        <w:spacing w:after="0" w:line="255" w:lineRule="auto"/>
        <w:tabs>
          <w:tab w:leader="none" w:pos="301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to invest in the business of the Issuer and its Subsidiaries, including (i) any investment in Additional Assets, (ii) making capital expenditures in respect of assets used or useful in a Similar Business, (iii) any investment in any property or other assets that replace the businesses, properties and/or assets that are the subject of such Asset Sale and (iv) in the case of proceeds of sales of assets or property of a Qualified Liquefaction Development Entity, depositing such proceeds in a construction fund, escrow or similar account to be used solely for the purpose of capital expenditures of such entity or the acquisition, construction or improvement of assets of such entity;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48895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139" w:name="page140"/>
    <w:bookmarkEnd w:id="139"/>
    <w:p>
      <w:pPr>
        <w:ind w:left="660" w:right="820" w:firstLine="2264"/>
        <w:spacing w:after="0" w:line="257" w:lineRule="auto"/>
        <w:tabs>
          <w:tab w:leader="none" w:pos="34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the assets or property disposed of in the Asset Sale did not constitute Collateral, to repay Indebtedness of a Restricted Subsidiary that is not a Guarantor, other than Indebtedness owed to the Issuer or a Guarantor, and, in the case of revolving obligations (other than obligations in respect of any asset-based credit facility to the extent the assets sold or otherwise disposed of pursuant to such Asset Sale constitute “borrowing base assets” thereunder), to correspondingly reduce commitments with respect thereto; or</w:t>
      </w:r>
    </w:p>
    <w:p>
      <w:pPr>
        <w:spacing w:after="0" w:line="187" w:lineRule="exact"/>
        <w:rPr>
          <w:rFonts w:ascii="Arial" w:cs="Arial" w:eastAsia="Arial" w:hAnsi="Arial"/>
          <w:sz w:val="18"/>
          <w:szCs w:val="18"/>
          <w:color w:val="auto"/>
        </w:rPr>
      </w:pPr>
    </w:p>
    <w:p>
      <w:pPr>
        <w:ind w:left="3440" w:hanging="516"/>
        <w:spacing w:after="0"/>
        <w:tabs>
          <w:tab w:leader="none" w:pos="34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(3) above, a binding commitment or letter of intent shall be treated as a permitted application of the Applicable Proceeds from the date of such commitment or letter of intent so long as the Issuer or such Restricted Subsidiary enters into such commitment or letter of intent with the good faith expectation that such Applicable Proceeds will be applied to satisfy such commitment or letter of intent within 180 days of the expiration of the Asset Sale Proceeds Application Period (an “</w:t>
      </w:r>
      <w:r>
        <w:rPr>
          <w:rFonts w:ascii="Arial" w:cs="Arial" w:eastAsia="Arial" w:hAnsi="Arial"/>
          <w:sz w:val="16"/>
          <w:szCs w:val="16"/>
          <w:u w:val="single" w:color="auto"/>
          <w:color w:val="auto"/>
        </w:rPr>
        <w:t>Acceptable Commitment</w:t>
      </w:r>
      <w:r>
        <w:rPr>
          <w:rFonts w:ascii="Arial" w:cs="Arial" w:eastAsia="Arial" w:hAnsi="Arial"/>
          <w:sz w:val="16"/>
          <w:szCs w:val="16"/>
          <w:color w:val="auto"/>
        </w:rPr>
        <w:t>“) and such Applicable Proceeds are actually applied in such manner within 180 days of the expiration of the Asset Sale Proceeds Application Period (the period from the consummation of the Asset Sale to such date, the “</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Application Period</w:t>
      </w:r>
      <w:r>
        <w:rPr>
          <w:rFonts w:ascii="Arial" w:cs="Arial" w:eastAsia="Arial" w:hAnsi="Arial"/>
          <w:sz w:val="16"/>
          <w:szCs w:val="16"/>
          <w:color w:val="auto"/>
        </w:rPr>
        <w:t xml:space="preserve">“), and, in the event any Acceptable Commitment is later cancelled or terminated for any reason after the expiration of the Asset Sale Proceeds Application Period and before the Applicable Proceeds are applied in connection therewith, then such Applicable Proceeds shall constitute Excess Proceeds unless the Issuer or such Restricted Subsidiary reasonably expects to enter into another Acceptable Commitment prior to the expiration of the Asset Sale Proceeds Application Period and such Applicable Proceeds are actually applied in such manner prior to the expiration of the Commitment Application Period. To the extent Applicable Proceeds from an Asset Sale exceed amounts that are invested or applied as provided and within the time period set forth in this </w:t>
      </w:r>
      <w:r>
        <w:rPr>
          <w:rFonts w:ascii="Arial" w:cs="Arial" w:eastAsia="Arial" w:hAnsi="Arial"/>
          <w:sz w:val="16"/>
          <w:szCs w:val="16"/>
          <w:u w:val="single" w:color="auto"/>
          <w:color w:val="auto"/>
        </w:rPr>
        <w:t>Section 4.10(b)</w:t>
      </w:r>
      <w:r>
        <w:rPr>
          <w:rFonts w:ascii="Arial" w:cs="Arial" w:eastAsia="Arial" w:hAnsi="Arial"/>
          <w:sz w:val="16"/>
          <w:szCs w:val="16"/>
          <w:color w:val="auto"/>
        </w:rPr>
        <w:t>, such excess amount will be deemed to constitute “</w:t>
      </w:r>
      <w:r>
        <w:rPr>
          <w:rFonts w:ascii="Arial" w:cs="Arial" w:eastAsia="Arial" w:hAnsi="Arial"/>
          <w:sz w:val="16"/>
          <w:szCs w:val="16"/>
          <w:u w:val="single" w:color="auto"/>
          <w:color w:val="auto"/>
        </w:rPr>
        <w:t>Excess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of Applicable Proceeds offered to Holders of any Notes pursuant to clause 0 above shall not be deemed to be Excess Proceeds without regard to whether such offer is accepted by any Holders. If at any time the aggregate amount of Excess Proceeds exceeds $50.0 million, then the Issuer shall within 20 Business Days make an offer to all Holders and, if required or not prohibited by the terms of any other Equal Priority Obligations and/or, to the extent that the assets or property disposed of in the Asset Sale were not Collateral, Indebtedness that is equal in right of payment with the Notes (“</w:t>
      </w:r>
      <w:r>
        <w:rPr>
          <w:rFonts w:ascii="Arial" w:cs="Arial" w:eastAsia="Arial" w:hAnsi="Arial"/>
          <w:sz w:val="16"/>
          <w:szCs w:val="16"/>
          <w:u w:val="single" w:color="auto"/>
          <w:color w:val="auto"/>
        </w:rPr>
        <w:t>Pari Passu Indebtedness</w:t>
      </w:r>
      <w:r>
        <w:rPr>
          <w:rFonts w:ascii="Arial" w:cs="Arial" w:eastAsia="Arial" w:hAnsi="Arial"/>
          <w:sz w:val="16"/>
          <w:szCs w:val="16"/>
          <w:color w:val="auto"/>
        </w:rPr>
        <w:t>“), to the holders of such Equal Priority Obligations and/or Pari Passu Indebtedness, as applicable (an “</w:t>
      </w:r>
      <w:r>
        <w:rPr>
          <w:rFonts w:ascii="Arial" w:cs="Arial" w:eastAsia="Arial" w:hAnsi="Arial"/>
          <w:sz w:val="16"/>
          <w:szCs w:val="16"/>
          <w:u w:val="single" w:color="auto"/>
          <w:color w:val="auto"/>
        </w:rPr>
        <w:t>Asset Sale Offer</w:t>
      </w:r>
      <w:r>
        <w:rPr>
          <w:rFonts w:ascii="Arial" w:cs="Arial" w:eastAsia="Arial" w:hAnsi="Arial"/>
          <w:sz w:val="16"/>
          <w:szCs w:val="16"/>
          <w:color w:val="auto"/>
        </w:rPr>
        <w:t xml:space="preserve">“), to purchase the maximum aggregate principal amount (or accreted value, as applicable) of the Notes and such Equal Priority Obligations and/or Pari Passu Indebtedness, as applicable, out of the amount of the Excess Proceeds (which, (x) in the case of the Notes only, is equal to $1,000 or an integral multiple thereof and at an offer price in cash in an amount equal to 100.0% of the principal amount thereof, plus accrued and unpaid interest, if any, to, but excluding, the date fixed for the repurchase of such Notes pursuant to such offer, in accordance with the procedures set forth in this Indenture and (y) in the case of such Equal Priority Obligations and/or Pari Passu Indebtedness, if applicable, is in accordance with the documents governing such Equal Priority Obligations and/or Pari Passu Indebtedness, as applicable). The Issuer shall commence an Asset Sale Offer by sending the notice required pursuant to the terms of </w:t>
      </w:r>
      <w:r>
        <w:rPr>
          <w:rFonts w:ascii="Arial" w:cs="Arial" w:eastAsia="Arial" w:hAnsi="Arial"/>
          <w:sz w:val="16"/>
          <w:szCs w:val="16"/>
          <w:u w:val="single" w:color="auto"/>
          <w:color w:val="auto"/>
        </w:rPr>
        <w:t>Section 3.09</w:t>
      </w:r>
      <w:r>
        <w:rPr>
          <w:rFonts w:ascii="Arial" w:cs="Arial" w:eastAsia="Arial" w:hAnsi="Arial"/>
          <w:sz w:val="16"/>
          <w:szCs w:val="16"/>
          <w:color w:val="auto"/>
        </w:rPr>
        <w:t>. The Issuer may satisfy the foregoing obligation with respect to such Applicable Proceeds from an Asset Sale by making an Asset Sale Offer in advance of being required to do so by this Indenture (an “</w:t>
      </w:r>
      <w:r>
        <w:rPr>
          <w:rFonts w:ascii="Arial" w:cs="Arial" w:eastAsia="Arial" w:hAnsi="Arial"/>
          <w:sz w:val="16"/>
          <w:szCs w:val="16"/>
          <w:u w:val="single" w:color="auto"/>
          <w:color w:val="auto"/>
        </w:rPr>
        <w:t>Advance Offer</w:t>
      </w:r>
      <w:r>
        <w:rPr>
          <w:rFonts w:ascii="Arial" w:cs="Arial" w:eastAsia="Arial" w:hAnsi="Arial"/>
          <w:sz w:val="16"/>
          <w:szCs w:val="16"/>
          <w:color w:val="auto"/>
        </w:rPr>
        <w:t>“) with respect to all or part of the available Applicable Proceeds (the “</w:t>
      </w:r>
      <w:r>
        <w:rPr>
          <w:rFonts w:ascii="Arial" w:cs="Arial" w:eastAsia="Arial" w:hAnsi="Arial"/>
          <w:sz w:val="16"/>
          <w:szCs w:val="16"/>
          <w:u w:val="single" w:color="auto"/>
          <w:color w:val="auto"/>
        </w:rPr>
        <w:t>Advance Portion</w:t>
      </w:r>
      <w:r>
        <w:rPr>
          <w:rFonts w:ascii="Arial" w:cs="Arial" w:eastAsia="Arial" w:hAnsi="Arial"/>
          <w:sz w:val="16"/>
          <w:szCs w:val="16"/>
          <w:color w:val="auto"/>
        </w:rPr>
        <w: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ind w:left="-20" w:right="20" w:firstLine="1952"/>
        <w:spacing w:after="0" w:line="269" w:lineRule="auto"/>
        <w:tabs>
          <w:tab w:leader="none" w:pos="243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the aggregate principal amount (or accreted value, as applicable) of Notes and, if applicable, Equal Priority Obligations and/or Pari Passu Indebtedness, tendered pursuant to an Asset Sale Offer is less than the Excess Proceeds (or, in the case of an Advance Offer, the Advance Portion), the Issuer may use any remaining Excess Proceeds (or, in the case of an Advance Offer, the Advance Portion) in any manner not prohibited by this Indenture. If the aggregate principal amount (or accreted value, as applicable) of Notes or the Equal Priority Obligations and/or Pari Passu Indebtedness tendered pursuant to an Asset Sale Offer exceeds the amount of Excess Proceeds (or, in the case of an Advance Offer, the Advance Portion), the Notes shall be selected pro rata (subject to applicable DTC procedures as to global notes) and the Issuer or the representative of such Equal Priority Obligations and/or Pari Passu Indebtedness shall select such Equal Priority Obligations and/or Pari Passu Indebtedness to be purchased or repaid on a pro rata basis based on the accreted value or principal amount of the Notes and such Equal Priority Obligations and/or Pari Passu Indebtedness tendered, with adjustments as necessary so that no Notes or Equal Priority Obligations and/or Pari Passu Indebtedness, as the case may be, will be repurchased in an unauthorized denomination. Upon completion of any such Asset Sale Offer, the amount of Excess Proceeds shall be reset at zero (regardless of whether there are any remaining Excess Proceeds upon such completion), and in the case of an Advance Offer, the Advance Portion shall be excluded in subsequent calculations of Excess Proceeds.</w:t>
      </w:r>
    </w:p>
    <w:p>
      <w:pPr>
        <w:spacing w:after="0" w:line="178" w:lineRule="exact"/>
        <w:rPr>
          <w:rFonts w:ascii="Arial" w:cs="Arial" w:eastAsia="Arial" w:hAnsi="Arial"/>
          <w:sz w:val="17"/>
          <w:szCs w:val="17"/>
          <w:color w:val="auto"/>
        </w:rPr>
      </w:pPr>
    </w:p>
    <w:p>
      <w:pPr>
        <w:ind w:left="-20" w:right="20" w:firstLine="1952"/>
        <w:spacing w:after="0" w:line="257" w:lineRule="auto"/>
        <w:tabs>
          <w:tab w:leader="none" w:pos="24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Pending the final application of an amount equal to the Applicable Proceeds pursuant to this </w:t>
      </w:r>
      <w:r>
        <w:rPr>
          <w:rFonts w:ascii="Arial" w:cs="Arial" w:eastAsia="Arial" w:hAnsi="Arial"/>
          <w:sz w:val="18"/>
          <w:szCs w:val="18"/>
          <w:u w:val="single" w:color="auto"/>
          <w:color w:val="auto"/>
        </w:rPr>
        <w:t>Section 4.10</w:t>
      </w:r>
      <w:r>
        <w:rPr>
          <w:rFonts w:ascii="Arial" w:cs="Arial" w:eastAsia="Arial" w:hAnsi="Arial"/>
          <w:sz w:val="18"/>
          <w:szCs w:val="18"/>
          <w:color w:val="auto"/>
        </w:rPr>
        <w:t>, the holder of such Applicable Proceeds may apply any Applicable Proceeds temporarily to reduce Indebtedness outstanding under a revolving credit facility or otherwise invest such Applicable Proceeds in any manner not prohibited by this Indenture. For the avoidance of doubt, the Holder of any Retained Asset Sale Proceeds may apply any Retained Asset Sale Proceeds in any manner not prohibited by this Indenture and such Retained Asset Sale Proceeds shall in no event and under no circumstances constitute Excess Proceeds.</w:t>
      </w:r>
    </w:p>
    <w:p>
      <w:pPr>
        <w:spacing w:after="0" w:line="187" w:lineRule="exact"/>
        <w:rPr>
          <w:rFonts w:ascii="Arial" w:cs="Arial" w:eastAsia="Arial" w:hAnsi="Arial"/>
          <w:sz w:val="18"/>
          <w:szCs w:val="18"/>
          <w:color w:val="auto"/>
        </w:rPr>
      </w:pPr>
    </w:p>
    <w:p>
      <w:pPr>
        <w:ind w:left="-20" w:firstLine="1952"/>
        <w:spacing w:after="0" w:line="285" w:lineRule="auto"/>
        <w:tabs>
          <w:tab w:leader="none" w:pos="243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Indenture to the contrary, for so long as the repatriation, distribution or dividend to the Issuer of any Net Proceeds of an Asset Sale by any Foreign Subsidiary would (i) be prohibited, delayed or restricted under any Requirements of Law or conflict with the fiduciary duties of the directors of the applicable Foreign Subsidiary or result in, or could reasonably be expected to result in, a material risk of personal or criminal liability for any officer, director, employee, manager, member of management, member, partner, independent contractor or consultant of such Foreign Subsidiary (the Issuer hereby agreeing to cause the applicable Foreign Subsidiary to promptly take all commercially reasonable actions available under applicable Requirements of Law to permit such repatriation or to remove such prohibition), (ii) be prohibited, delayed or restricted under the organizational documents governing the applicable Subsidiary or (iii) as determined in good faith by the Issuer, result in a material adverse tax liability (including any tax dividend, deemed dividend pursuant to Section 956 of the Code and withholding tax obligation) to the Issuer or its Subsidiaries, an amount equal to the portion of such Net Proceeds so affected will not be required to be applied in compliance with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shall not constitute Excess Proceeds and may be retained by the Issuer or the applicable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within 18 months following the date on which application of the portion of such Net Proceeds would otherwise have been required pursuant to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such repatriation, distribution or dividend of such Net Proceeds is permitted under the applicable Requirements of Law, would no longer conflict with the fiduciary duties of such director, or result in, or be reasonably expected to result in, a material risk of personal or criminal liability for the Persons described above, would no longer be prohibited, delayed or restricted under the applicable organizational documents and/or in the good faith determination of the Issuer would no longer have a material adverse tax liability, then such portion of the Net Proceeds shall be promptly applied (net of additional taxes that would be payable or reserved against as a result of repatriating such amounts) in compliance with this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141" w:name="page142"/>
    <w:bookmarkEnd w:id="141"/>
    <w:p>
      <w:pPr>
        <w:ind w:left="2440" w:hanging="488"/>
        <w:spacing w:after="0"/>
        <w:tabs>
          <w:tab w:leader="none" w:pos="24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no other provision), the following shall be deemed to be cash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11" w:lineRule="exact"/>
        <w:rPr>
          <w:sz w:val="20"/>
          <w:szCs w:val="20"/>
          <w:color w:val="auto"/>
        </w:rPr>
      </w:pPr>
    </w:p>
    <w:p>
      <w:pPr>
        <w:ind w:left="740" w:right="400" w:firstLine="2427"/>
        <w:spacing w:after="0" w:line="271" w:lineRule="auto"/>
        <w:tabs>
          <w:tab w:leader="none" w:pos="369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greater of the principal amount and the carrying value of any liabilities (as reflected on the most recent balance sheet of the Issuer or such Restricted Subsidiary or in the footnotes thereto, or if incurred, accrued or increased subsequent to the date of such balance sheet, such liabilities that would have been reflected on the balance sheet of the Issuer or such Restricted Subsidiary or in the footnotes thereto if such incurrence, accrual or increase had taken place on or prior to the date of such balance sheet, as determined in good faith by the Issuer) of the Issuer or such Restricted Subsidiary, other than liabilities that are by their terms subordinated in right of payment to the Notes or the Note Guarantees, that are assumed by the transferee of any such assets (or are otherwise extinguished in connection with the transactions relating to such Asset Sale) pursuant to a written agreement which releases or indemnifies the Issuer or such Restricted Subsidiary from such liabilities;</w:t>
      </w:r>
    </w:p>
    <w:p>
      <w:pPr>
        <w:spacing w:after="0" w:line="178" w:lineRule="exact"/>
        <w:rPr>
          <w:rFonts w:ascii="Arial" w:cs="Arial" w:eastAsia="Arial" w:hAnsi="Arial"/>
          <w:sz w:val="17"/>
          <w:szCs w:val="17"/>
          <w:color w:val="auto"/>
        </w:rPr>
      </w:pPr>
    </w:p>
    <w:p>
      <w:pPr>
        <w:ind w:left="740" w:right="940" w:firstLine="2427"/>
        <w:spacing w:after="0" w:line="277" w:lineRule="auto"/>
        <w:tabs>
          <w:tab w:leader="none" w:pos="3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of any trade-in value applied to the purchase price of any replacement assets acquired in connection with such Asset Sale;</w:t>
      </w:r>
    </w:p>
    <w:p>
      <w:pPr>
        <w:spacing w:after="0" w:line="170" w:lineRule="exact"/>
        <w:rPr>
          <w:rFonts w:ascii="Arial" w:cs="Arial" w:eastAsia="Arial" w:hAnsi="Arial"/>
          <w:sz w:val="18"/>
          <w:szCs w:val="18"/>
          <w:color w:val="auto"/>
        </w:rPr>
      </w:pPr>
    </w:p>
    <w:p>
      <w:pPr>
        <w:ind w:left="740" w:right="580" w:firstLine="2427"/>
        <w:spacing w:after="0" w:line="257" w:lineRule="auto"/>
        <w:tabs>
          <w:tab w:leader="none" w:pos="36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the Issuer or such Restricted Subsidiary from such transferee that are converted or reasonably expected by the Issuer acting in good faith to be converted by the Issuer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142" w:name="page143"/>
    <w:bookmarkEnd w:id="142"/>
    <w:p>
      <w:pPr>
        <w:ind w:left="740" w:right="680" w:firstLine="2427"/>
        <w:spacing w:after="0" w:line="257" w:lineRule="auto"/>
        <w:tabs>
          <w:tab w:leader="none" w:pos="369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Designated Non-Cash Consideration received in respect of such Asset Sale having an aggregate fair market value (measured at the time of contractually agreeing to such Asset Sale and without giving effect to subsequent changes in value), taken together with all other Designated Non-Cash Consideration received pursuant to this clause (4) that is outstanding at such time, not in excess of the greater of $50.0 million and 15.0% of Annualized EBITDA of the Issuer and its Restricted Subsidiaries.</w:t>
      </w:r>
    </w:p>
    <w:p>
      <w:pPr>
        <w:spacing w:after="0" w:line="187" w:lineRule="exact"/>
        <w:rPr>
          <w:rFonts w:ascii="Arial" w:cs="Arial" w:eastAsia="Arial" w:hAnsi="Arial"/>
          <w:sz w:val="18"/>
          <w:szCs w:val="18"/>
          <w:color w:val="auto"/>
        </w:rPr>
      </w:pPr>
    </w:p>
    <w:p>
      <w:pPr>
        <w:ind w:right="100" w:firstLine="1952"/>
        <w:spacing w:after="0" w:line="263" w:lineRule="auto"/>
        <w:tabs>
          <w:tab w:leader="none" w:pos="24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the extent that any portion of Applicable Proceeds payable in respect of the Notes is denominated in a currency other than U.S. dollars, the amount thereof payable in respect of the Notes shall not exceed the net amount of funds in dollars that is actually received by the Issuer upon converting such portion into U.S. dollars.</w:t>
      </w:r>
    </w:p>
    <w:p>
      <w:pPr>
        <w:spacing w:after="0" w:line="183" w:lineRule="exact"/>
        <w:rPr>
          <w:rFonts w:ascii="Arial" w:cs="Arial" w:eastAsia="Arial" w:hAnsi="Arial"/>
          <w:sz w:val="18"/>
          <w:szCs w:val="18"/>
          <w:color w:val="auto"/>
        </w:rPr>
      </w:pPr>
    </w:p>
    <w:p>
      <w:pPr>
        <w:ind w:right="140" w:firstLine="1952"/>
        <w:spacing w:after="0" w:line="257" w:lineRule="auto"/>
        <w:tabs>
          <w:tab w:leader="none" w:pos="246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Issuer shall comply with the requirements of Rule 14e-1 under the Exchange Act and any other securities laws and regulations thereunder to the extent such laws or regulations are applicable in connection with the repurchase of the Notes pursuant to an Asset Sale Offer or an Advance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of this Indenture by virtue of such compliance.</w:t>
      </w:r>
    </w:p>
    <w:p>
      <w:pPr>
        <w:spacing w:after="0" w:line="187" w:lineRule="exact"/>
        <w:rPr>
          <w:rFonts w:ascii="Arial" w:cs="Arial" w:eastAsia="Arial" w:hAnsi="Arial"/>
          <w:sz w:val="18"/>
          <w:szCs w:val="18"/>
          <w:color w:val="auto"/>
        </w:rPr>
      </w:pPr>
    </w:p>
    <w:p>
      <w:pPr>
        <w:ind w:firstLine="1952"/>
        <w:spacing w:after="0" w:line="296" w:lineRule="auto"/>
        <w:tabs>
          <w:tab w:leader="none" w:pos="242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provisions of this Indenture and the Notes relating to the Issuer’s obligation to make an offer to repurchase the Notes as a result of an Asset Sale, including the provisions of Section 3.09,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the definition of “Asset Sale”, may be waived or modified at any time with the written consent of the Holders of a majority in aggregate principal amount of the Notes then outstanding. An Asset Sale Offer or Advance Offer may be made at the same time as consents are solicited with respect to an amendment, supplement or waiver of this Indenture, the Notes and/or the Note Guarantees so long as the tender of the Notes by a Holder is not conditioned upon the delivery of consents by such Holder.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TRANSACTIONS WITH AFFILIATES.</w:t>
      </w:r>
    </w:p>
    <w:p>
      <w:pPr>
        <w:spacing w:after="0" w:line="225"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The Issuer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any Affiliate of the Issuer (each of the foregoing, an “</w:t>
      </w:r>
      <w:r>
        <w:rPr>
          <w:rFonts w:ascii="Arial" w:cs="Arial" w:eastAsia="Arial" w:hAnsi="Arial"/>
          <w:sz w:val="18"/>
          <w:szCs w:val="18"/>
          <w:u w:val="single" w:color="auto"/>
          <w:color w:val="auto"/>
        </w:rPr>
        <w:t>Affiliate Transaction</w:t>
      </w:r>
      <w:r>
        <w:rPr>
          <w:rFonts w:ascii="Arial" w:cs="Arial" w:eastAsia="Arial" w:hAnsi="Arial"/>
          <w:sz w:val="18"/>
          <w:szCs w:val="18"/>
          <w:color w:val="auto"/>
        </w:rPr>
        <w:t>“) involving aggregate payments or consideration in excess of (at the time of the relevant transaction) the greater of $25.0 million and 7.5% of Annualized EBITDA of the Issuer and its Restricted Subsidiaries, unless:</w:t>
      </w:r>
    </w:p>
    <w:p>
      <w:pPr>
        <w:spacing w:after="0" w:line="188" w:lineRule="exact"/>
        <w:rPr>
          <w:sz w:val="20"/>
          <w:szCs w:val="20"/>
          <w:color w:val="auto"/>
        </w:rPr>
      </w:pPr>
    </w:p>
    <w:p>
      <w:pPr>
        <w:ind w:left="740" w:right="640" w:firstLine="2427"/>
        <w:spacing w:after="0" w:line="296" w:lineRule="auto"/>
        <w:tabs>
          <w:tab w:leader="none" w:pos="369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such Affiliate Transaction is on terms, taken as a whole, that are not materially less favorable to the Issuer or the relevant Restricted Subsidiary than those that would have been obtained in a comparable transaction by the Issuer or such Restricted Subsidiary with an unrelated Person on an arm’s-length basis or, if in the good faith judgment of the Issuer, no comparable transaction is available with which to compare such Affiliate Transaction, such Affiliate Transaction is otherwise fair to the Issuer or such Restricted Subsidiary from a financial point of view and when such transaction is taken in its entirety; and</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3" w:name="page144"/>
    <w:bookmarkEnd w:id="143"/>
    <w:p>
      <w:pPr>
        <w:ind w:left="680" w:right="680" w:firstLine="2427"/>
        <w:spacing w:after="0" w:line="259" w:lineRule="auto"/>
        <w:tabs>
          <w:tab w:leader="none" w:pos="36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Issuer delivers to the Trustee with respect to any Affiliate Transaction or series of related Affiliate Transactions involving aggregate payments or consideration in excess of the greater of $50.0 million and 15.0% of Annualized EBITDA of the Issuer and its Restricted Subsidiaries, a resolution adopted by the Board of Directors of the Issuer approving such Affiliate Transaction.</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The provisions of the first paragraph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shall not apply to the following:</w:t>
      </w:r>
    </w:p>
    <w:p>
      <w:pPr>
        <w:spacing w:after="0" w:line="225" w:lineRule="exact"/>
        <w:rPr>
          <w:sz w:val="20"/>
          <w:szCs w:val="20"/>
          <w:color w:val="auto"/>
        </w:rPr>
      </w:pPr>
    </w:p>
    <w:p>
      <w:pPr>
        <w:jc w:val="both"/>
        <w:ind w:left="-60" w:firstLine="1952"/>
        <w:spacing w:after="0" w:line="263" w:lineRule="auto"/>
        <w:tabs>
          <w:tab w:leader="none" w:pos="23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transaction between or among the Issuer, one or more Restricted Subsidiaries and/or one or more joint ventures with respect to which the Issuer or any of its Restricted Subsidiaries holds Equity Interests (or any entity that becomes a Restricted Subsidiary or a joint venture, as applicable, as a result of such transaction) to the extent not prohibited by this Indenture;</w:t>
      </w:r>
    </w:p>
    <w:p>
      <w:pPr>
        <w:spacing w:after="0" w:line="183" w:lineRule="exact"/>
        <w:rPr>
          <w:rFonts w:ascii="Arial" w:cs="Arial" w:eastAsia="Arial" w:hAnsi="Arial"/>
          <w:sz w:val="18"/>
          <w:szCs w:val="18"/>
          <w:color w:val="auto"/>
        </w:rPr>
      </w:pPr>
    </w:p>
    <w:p>
      <w:pPr>
        <w:ind w:left="-60" w:right="140" w:firstLine="1952"/>
        <w:spacing w:after="0" w:line="342" w:lineRule="auto"/>
        <w:tabs>
          <w:tab w:leader="none" w:pos="240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issuance, sale or grant of securities or other payments, awards or grants in cash, securities or otherwise pursuant to, or the funding of, employment arrangements, stock options and stock ownership plans approved by the Board of Directors of the Issuer;</w:t>
      </w:r>
    </w:p>
    <w:p>
      <w:pPr>
        <w:spacing w:after="0" w:line="123" w:lineRule="exact"/>
        <w:rPr>
          <w:rFonts w:ascii="Arial" w:cs="Arial" w:eastAsia="Arial" w:hAnsi="Arial"/>
          <w:sz w:val="16"/>
          <w:szCs w:val="16"/>
          <w:color w:val="auto"/>
        </w:rPr>
      </w:pPr>
    </w:p>
    <w:p>
      <w:pPr>
        <w:ind w:left="-60" w:right="100" w:firstLine="1952"/>
        <w:spacing w:after="0" w:line="288" w:lineRule="auto"/>
        <w:tabs>
          <w:tab w:leader="none" w:pos="244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any collective bargaining, employment or severance agreement or compensatory (including profit sharing) arrangement entered into by the Issuer or any of its Restricted Subsidiaries with their respective current or former officers, directors, members of management, managers, employees, members, partners, consultants or independent contractors, (ii) any subscription agreement or similar agreement pertaining to the repurchase of Equity Interests pursuant to put/call rights or similar rights with current or former officers, directors, members of management, managers, employees, members, partners, consultants or independent contractors, (iii)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(iv) any transaction with an Immediate Family Member of a current or former officer, director, member of management, manager, employee, member, partner, consultant or independent contractor of the Issuer or any of its Restricted Subsidiaries, in connection with any agreement, arrangement or transaction described in the foregoing clauses (i) through (iii);</w:t>
      </w:r>
    </w:p>
    <w:p>
      <w:pPr>
        <w:spacing w:after="0" w:line="168" w:lineRule="exact"/>
        <w:rPr>
          <w:rFonts w:ascii="Arial" w:cs="Arial" w:eastAsia="Arial" w:hAnsi="Arial"/>
          <w:sz w:val="16"/>
          <w:szCs w:val="16"/>
          <w:color w:val="auto"/>
        </w:rPr>
      </w:pPr>
    </w:p>
    <w:p>
      <w:pPr>
        <w:ind w:left="-60" w:right="100" w:firstLine="1952"/>
        <w:spacing w:after="0" w:line="263" w:lineRule="auto"/>
        <w:tabs>
          <w:tab w:leader="none" w:pos="245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 Restricted Payments not prohibited by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4.07(b)(ix)</w:t>
      </w:r>
      <w:r>
        <w:rPr>
          <w:rFonts w:ascii="Arial" w:cs="Arial" w:eastAsia="Arial" w:hAnsi="Arial"/>
          <w:sz w:val="18"/>
          <w:szCs w:val="18"/>
          <w:color w:val="auto"/>
        </w:rPr>
        <w:t>) and the definition of “Permitted Investments” (other than clause (ll) of such definition) and (ii) issuances of Equity Interests and issuances and incurrences of Indebtedness, Disqualified Stock and Preferred Stock not restricted by this Indenture;</w:t>
      </w:r>
    </w:p>
    <w:p>
      <w:pPr>
        <w:spacing w:after="0" w:line="183" w:lineRule="exact"/>
        <w:rPr>
          <w:rFonts w:ascii="Arial" w:cs="Arial" w:eastAsia="Arial" w:hAnsi="Arial"/>
          <w:sz w:val="18"/>
          <w:szCs w:val="18"/>
          <w:color w:val="auto"/>
        </w:rPr>
      </w:pPr>
    </w:p>
    <w:p>
      <w:pPr>
        <w:ind w:left="-60" w:right="80" w:firstLine="1952"/>
        <w:spacing w:after="0" w:line="259" w:lineRule="auto"/>
        <w:tabs>
          <w:tab w:leader="none" w:pos="239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transactions in existence on the Issue Date and any amendment, modification or extension thereof to the extent such amendment, modification or extension, taken as a whole, is not (i) materially adverse to the Holders or (ii) more disadvantageous, in any material respect, to the Holders than the relevant transaction in existence on the Issue Date, in each case as determined in the good faith judgment of the Board of Directors or the senior management of the Issuer;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25" w:right="379" w:bottom="1440" w:gutter="0" w:footer="0" w:header="0"/>
        </w:sectPr>
      </w:pPr>
    </w:p>
    <w:bookmarkStart w:id="144" w:name="page145"/>
    <w:bookmarkEnd w:id="144"/>
    <w:p>
      <w:pPr>
        <w:jc w:val="both"/>
        <w:ind w:left="-60" w:right="60" w:firstLine="1952"/>
        <w:spacing w:after="0" w:line="259" w:lineRule="auto"/>
        <w:tabs>
          <w:tab w:leader="none" w:pos="237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payment of all indemnification obligations and expenses owed to any Management Investor and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spacing w:after="0" w:line="186" w:lineRule="exact"/>
        <w:rPr>
          <w:rFonts w:ascii="Arial" w:cs="Arial" w:eastAsia="Arial" w:hAnsi="Arial"/>
          <w:sz w:val="18"/>
          <w:szCs w:val="18"/>
          <w:color w:val="auto"/>
        </w:rPr>
      </w:pPr>
    </w:p>
    <w:p>
      <w:pPr>
        <w:ind w:left="2460" w:hanging="568"/>
        <w:spacing w:after="0"/>
        <w:tabs>
          <w:tab w:leader="none" w:pos="2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0" w:right="60" w:firstLine="1952"/>
        <w:spacing w:after="0" w:line="259" w:lineRule="auto"/>
        <w:tabs>
          <w:tab w:leader="none" w:pos="240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compensation to Affiliates in connection with financial advisory, consulting, financing, underwriting or placement services or in respect of other investment banking activities and other transaction fees, including in connection with any acquisitions or divestitures, which payments are approved by the majority of the members of the Board of Directors or a majority of the disinterested members of the Board of Directors of the Issuer in good faith;</w:t>
      </w:r>
    </w:p>
    <w:p>
      <w:pPr>
        <w:spacing w:after="0" w:line="186" w:lineRule="exact"/>
        <w:rPr>
          <w:rFonts w:ascii="Arial" w:cs="Arial" w:eastAsia="Arial" w:hAnsi="Arial"/>
          <w:sz w:val="18"/>
          <w:szCs w:val="18"/>
          <w:color w:val="auto"/>
        </w:rPr>
      </w:pPr>
    </w:p>
    <w:p>
      <w:pPr>
        <w:ind w:left="2380" w:hanging="488"/>
        <w:spacing w:after="0"/>
        <w:tabs>
          <w:tab w:leader="none" w:pos="2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guarantees not prohibited by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4.09</w:t>
      </w:r>
      <w:r>
        <w:rPr>
          <w:rFonts w:ascii="Arial" w:cs="Arial" w:eastAsia="Arial" w:hAnsi="Arial"/>
          <w:sz w:val="18"/>
          <w:szCs w:val="18"/>
          <w:color w:val="auto"/>
        </w:rPr>
        <w:t xml:space="preserve"> or the definition of “Permitted Investments”;</w:t>
      </w:r>
    </w:p>
    <w:p>
      <w:pPr>
        <w:spacing w:after="0" w:line="225" w:lineRule="exact"/>
        <w:rPr>
          <w:rFonts w:ascii="Arial" w:cs="Arial" w:eastAsia="Arial" w:hAnsi="Arial"/>
          <w:sz w:val="18"/>
          <w:szCs w:val="18"/>
          <w:color w:val="auto"/>
        </w:rPr>
      </w:pPr>
    </w:p>
    <w:p>
      <w:pPr>
        <w:ind w:left="2420" w:hanging="528"/>
        <w:spacing w:after="0"/>
        <w:tabs>
          <w:tab w:leader="none" w:pos="24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0" w:firstLine="1952"/>
        <w:spacing w:after="0" w:line="263" w:lineRule="auto"/>
        <w:tabs>
          <w:tab w:leader="none" w:pos="240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Issuer and/or any of its Restricted Subsidiaries;</w:t>
      </w:r>
    </w:p>
    <w:p>
      <w:pPr>
        <w:spacing w:after="0" w:line="183" w:lineRule="exact"/>
        <w:rPr>
          <w:rFonts w:ascii="Arial" w:cs="Arial" w:eastAsia="Arial" w:hAnsi="Arial"/>
          <w:sz w:val="18"/>
          <w:szCs w:val="18"/>
          <w:color w:val="auto"/>
        </w:rPr>
      </w:pPr>
    </w:p>
    <w:p>
      <w:pPr>
        <w:ind w:left="-60" w:right="40" w:firstLine="1952"/>
        <w:spacing w:after="0" w:line="275" w:lineRule="auto"/>
        <w:tabs>
          <w:tab w:leader="none" w:pos="236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transactions with customers, clients, suppliers, joint ventures, purchasers or sellers of goods or services or providers of employees or other labor entered into in the ordinary course of business, consistent with past practice or consistent with industry norm, which are (i) fair to the Issuer and/or its applicable Restricted Subsidiary in the good faith determination of the Board of Directors of the Issuer or the senior management thereof or (ii) on terms, taken as a whole, that are not materially less favorable to the Issuer and/or its applicable Restricted Subsidiary as might reasonably have been obtained at such time from a Person other than an Affiliate;</w:t>
      </w:r>
    </w:p>
    <w:p>
      <w:pPr>
        <w:spacing w:after="0" w:line="176" w:lineRule="exact"/>
        <w:rPr>
          <w:rFonts w:ascii="Arial" w:cs="Arial" w:eastAsia="Arial" w:hAnsi="Arial"/>
          <w:sz w:val="17"/>
          <w:szCs w:val="17"/>
          <w:color w:val="auto"/>
        </w:rPr>
      </w:pPr>
    </w:p>
    <w:p>
      <w:pPr>
        <w:ind w:left="-60" w:right="140" w:firstLine="1952"/>
        <w:spacing w:after="0" w:line="289" w:lineRule="auto"/>
        <w:tabs>
          <w:tab w:leader="none" w:pos="25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 the existence of, or the performance by the Issuer or any of its Restricted Subsidiaries of its obligations under the terms of, any equityholders agreement, investor rights agreement or the equivalent (including any registration rights agreement or purchase agreement related thereto) to which it is a party as of the Issue Date and any similar agreements which it may enter into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existence of, or the performance by the Issuer or any of its Restricted Subsidiaries of obligations under any future amendment to any such existing agreement or under any similar agreement entered into after the Issue Date shall only be permitted by this clause (m) to the extent that the terms of any such amendment or new agreement are not otherwise materially disadvantageous in the good faith judgment of the Board of Directors or the senior management of the Issuer to the Issuer when taken as a whole as compared to the applicable agreement as in effect on the Issue Date and (ii) the payment of reasonable out-of-pocket costs and expenses relating to registration rights and indemnities provided to equityholders of the Issuer pursuant to any equityholders agreement, investor rights agreement or the equivalent (including any registration rights agreement or purchase agreement related thereto);</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25" w:right="379" w:bottom="1440" w:gutter="0" w:footer="0" w:header="0"/>
        </w:sectPr>
      </w:pPr>
    </w:p>
    <w:bookmarkStart w:id="145" w:name="page146"/>
    <w:bookmarkEnd w:id="145"/>
    <w:p>
      <w:pPr>
        <w:ind w:left="2480" w:hanging="568"/>
        <w:spacing w:after="0"/>
        <w:tabs>
          <w:tab w:leader="none" w:pos="2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right="140" w:firstLine="1952"/>
        <w:spacing w:after="0" w:line="301" w:lineRule="auto"/>
        <w:tabs>
          <w:tab w:leader="none" w:pos="242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any transaction in which the Issuer or any of its Restricted Subsidiaries, as the case may be, delivers to the Trustee a letter from an Independent Financial Advisor stating </w:t>
      </w:r>
      <w:r>
        <w:rPr>
          <w:rFonts w:ascii="Arial" w:cs="Arial" w:eastAsia="Arial" w:hAnsi="Arial"/>
          <w:sz w:val="16"/>
          <w:szCs w:val="16"/>
          <w:b w:val="1"/>
          <w:bCs w:val="1"/>
          <w:i w:val="1"/>
          <w:iCs w:val="1"/>
          <w:color w:val="auto"/>
        </w:rPr>
        <w:t>that</w:t>
      </w:r>
      <w:r>
        <w:rPr>
          <w:rFonts w:ascii="Arial" w:cs="Arial" w:eastAsia="Arial" w:hAnsi="Arial"/>
          <w:sz w:val="16"/>
          <w:szCs w:val="16"/>
          <w:color w:val="auto"/>
        </w:rPr>
        <w:t xml:space="preserve"> such transaction is fair to the Issuer or such Restricted Subsidiary from a financial point of view or stating that the terms are not materially less favorable, when taken as a whole, to the Issuer or the relevant Restricted Subsidiary than those that would have been obtained in a comparable transaction by the Issuer or such Restricted Subsidiary with an unrelated Person on an arm’s length basis;</w:t>
      </w:r>
    </w:p>
    <w:p>
      <w:pPr>
        <w:spacing w:after="0" w:line="157" w:lineRule="exact"/>
        <w:rPr>
          <w:rFonts w:ascii="Arial" w:cs="Arial" w:eastAsia="Arial" w:hAnsi="Arial"/>
          <w:sz w:val="16"/>
          <w:szCs w:val="16"/>
          <w:color w:val="auto"/>
        </w:rPr>
      </w:pPr>
    </w:p>
    <w:p>
      <w:pPr>
        <w:ind w:left="2440" w:hanging="528"/>
        <w:spacing w:after="0"/>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transactions in connection with any Permitted Receivables Financing;</w:t>
      </w:r>
    </w:p>
    <w:p>
      <w:pPr>
        <w:spacing w:after="0" w:line="225" w:lineRule="exact"/>
        <w:rPr>
          <w:rFonts w:ascii="Arial" w:cs="Arial" w:eastAsia="Arial" w:hAnsi="Arial"/>
          <w:sz w:val="18"/>
          <w:szCs w:val="18"/>
          <w:color w:val="auto"/>
        </w:rPr>
      </w:pPr>
    </w:p>
    <w:p>
      <w:pPr>
        <w:ind w:left="-40" w:right="20" w:firstLine="1952"/>
        <w:spacing w:after="0" w:line="291" w:lineRule="auto"/>
        <w:tabs>
          <w:tab w:leader="none" w:pos="247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 Affiliate purchases of the Notes to the extent permitted under this Indenture, the holding of such Notes and the payments and other related transactions in respect thereof (including any payment of out-of-pocket expenses incurred by such Affiliate in connection therewith), (ii) other investments by Fortress, its Affiliates or Permitted Holders in securities or loans of the Issuer or any of its Restricted Subsidiaries (and any payment of out-of-pocket expenses incurred by such Permitted Holders in connection therewith) so long as the investment is being offered generally to other investors on the same terms or on terms that are more favorable to the Issuer and (iii) payments to Fortress, its Affiliates or Permitted Holders in respect of securities or loans of the Issuer or any of its Restricted Subsidiaries contemplated in the foregoing subclause (ii) or that were acquired from Persons other than the Issuer and its Restricted Subsidiaries, in each case, in accordance with the terms of such securities or loans;</w:t>
      </w:r>
    </w:p>
    <w:p>
      <w:pPr>
        <w:spacing w:after="0" w:line="166" w:lineRule="exact"/>
        <w:rPr>
          <w:rFonts w:ascii="Arial" w:cs="Arial" w:eastAsia="Arial" w:hAnsi="Arial"/>
          <w:sz w:val="16"/>
          <w:szCs w:val="16"/>
          <w:color w:val="auto"/>
        </w:rPr>
      </w:pPr>
    </w:p>
    <w:p>
      <w:pPr>
        <w:ind w:left="2400" w:hanging="488"/>
        <w:spacing w:after="0"/>
        <w:tabs>
          <w:tab w:leader="none" w:pos="24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transactions undertaken pursuant to a shared services agreement or pursuant to a membership in a purchasing consortium;</w:t>
      </w:r>
    </w:p>
    <w:p>
      <w:pPr>
        <w:spacing w:after="0" w:line="248" w:lineRule="exact"/>
        <w:rPr>
          <w:rFonts w:ascii="Arial" w:cs="Arial" w:eastAsia="Arial" w:hAnsi="Arial"/>
          <w:sz w:val="16"/>
          <w:szCs w:val="16"/>
          <w:color w:val="auto"/>
        </w:rPr>
      </w:pPr>
    </w:p>
    <w:p>
      <w:pPr>
        <w:ind w:left="-40" w:right="260" w:firstLine="1952"/>
        <w:spacing w:after="0" w:line="277" w:lineRule="auto"/>
        <w:tabs>
          <w:tab w:leader="none" w:pos="240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payment to any Permitted Holder of out of pocket expenses incurred by such Permitted Holder in connection with any direct or indirect Investment in the Issuer and its Subsidiaries;</w:t>
      </w:r>
    </w:p>
    <w:p>
      <w:pPr>
        <w:spacing w:after="0" w:line="170" w:lineRule="exact"/>
        <w:rPr>
          <w:rFonts w:ascii="Arial" w:cs="Arial" w:eastAsia="Arial" w:hAnsi="Arial"/>
          <w:sz w:val="18"/>
          <w:szCs w:val="18"/>
          <w:color w:val="auto"/>
        </w:rPr>
      </w:pPr>
    </w:p>
    <w:p>
      <w:pPr>
        <w:ind w:left="-40" w:right="560" w:firstLine="1952"/>
        <w:spacing w:after="0" w:line="342" w:lineRule="auto"/>
        <w:tabs>
          <w:tab w:leader="none" w:pos="238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issuance or transfer of (i) Equity Interests (other than Disqualified Stock) of the Issuer and the granting and performing of customary registration rights and (ii) directors’ qualifying shares and shares issued to foreign nationals as required by applicable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5" w:right="359" w:bottom="1440" w:gutter="0" w:footer="0" w:header="0"/>
        </w:sectPr>
      </w:pPr>
    </w:p>
    <w:bookmarkStart w:id="146" w:name="page147"/>
    <w:bookmarkEnd w:id="146"/>
    <w:p>
      <w:pPr>
        <w:ind w:right="120" w:firstLine="1952"/>
        <w:spacing w:after="0" w:line="277" w:lineRule="auto"/>
        <w:tabs>
          <w:tab w:leader="none" w:pos="24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Issuer arising solely because the Issuer or any Restricted Subsidiary owns any Equity Interests in, or controls, such Person;</w:t>
      </w:r>
    </w:p>
    <w:p>
      <w:pPr>
        <w:spacing w:after="0" w:line="170" w:lineRule="exact"/>
        <w:rPr>
          <w:rFonts w:ascii="Arial" w:cs="Arial" w:eastAsia="Arial" w:hAnsi="Arial"/>
          <w:sz w:val="18"/>
          <w:szCs w:val="18"/>
          <w:color w:val="auto"/>
        </w:rPr>
      </w:pPr>
    </w:p>
    <w:p>
      <w:pPr>
        <w:ind w:firstLine="1952"/>
        <w:spacing w:after="0" w:line="277" w:lineRule="auto"/>
        <w:tabs>
          <w:tab w:leader="none" w:pos="24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lease entered into between the Issuer or any Restricted Subsidiary, on the one hand, and any Affiliate of the Issuer, on the other hand, which is approved by the Board of Directors of the Issuer or is entered into in the ordinary course of business;</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intellectual property licenses entered into in the ordinary course of business, consistent with past practice or consistent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industry norm;</w:t>
      </w:r>
    </w:p>
    <w:p>
      <w:pPr>
        <w:spacing w:after="0" w:line="210" w:lineRule="exact"/>
        <w:rPr>
          <w:rFonts w:ascii="Arial" w:cs="Arial" w:eastAsia="Arial" w:hAnsi="Arial"/>
          <w:sz w:val="16"/>
          <w:szCs w:val="16"/>
          <w:color w:val="auto"/>
        </w:rPr>
      </w:pPr>
    </w:p>
    <w:p>
      <w:pPr>
        <w:ind w:right="80" w:firstLine="1952"/>
        <w:spacing w:after="0" w:line="263" w:lineRule="auto"/>
        <w:tabs>
          <w:tab w:leader="none" w:pos="246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transactions between the Issuer or any Restricted Subsidiary and any other Person that would constitute an Affiliate solely because a director of such other Person is also a director of the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director abstains from voting as a director of the Issuer on any matter including such other Person;</w:t>
      </w:r>
    </w:p>
    <w:p>
      <w:pPr>
        <w:spacing w:after="0" w:line="183" w:lineRule="exact"/>
        <w:rPr>
          <w:rFonts w:ascii="Arial" w:cs="Arial" w:eastAsia="Arial" w:hAnsi="Arial"/>
          <w:sz w:val="18"/>
          <w:szCs w:val="18"/>
          <w:color w:val="auto"/>
        </w:rPr>
      </w:pPr>
    </w:p>
    <w:p>
      <w:pPr>
        <w:ind w:right="60" w:firstLine="1952"/>
        <w:spacing w:after="0" w:line="342" w:lineRule="auto"/>
        <w:tabs>
          <w:tab w:leader="none" w:pos="246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 pledges of Equity Interests of Unrestricted Subsidiaries and (ii) in connection with the incurrence of any Indebtedness not prohibited by </w:t>
      </w:r>
      <w:r>
        <w:rPr>
          <w:rFonts w:ascii="Arial" w:cs="Arial" w:eastAsia="Arial" w:hAnsi="Arial"/>
          <w:sz w:val="16"/>
          <w:szCs w:val="16"/>
          <w:u w:val="single" w:color="auto"/>
          <w:color w:val="auto"/>
        </w:rPr>
        <w:t>Section 4.09</w:t>
      </w:r>
      <w:r>
        <w:rPr>
          <w:rFonts w:ascii="Arial" w:cs="Arial" w:eastAsia="Arial" w:hAnsi="Arial"/>
          <w:sz w:val="16"/>
          <w:szCs w:val="16"/>
          <w:color w:val="auto"/>
        </w:rPr>
        <w:t>, pledges of equity interests of a Qualified Liquefaction Development Entity to secure such Indebtedness;</w:t>
      </w:r>
    </w:p>
    <w:p>
      <w:pPr>
        <w:spacing w:after="0" w:line="123" w:lineRule="exact"/>
        <w:rPr>
          <w:rFonts w:ascii="Arial" w:cs="Arial" w:eastAsia="Arial" w:hAnsi="Arial"/>
          <w:sz w:val="16"/>
          <w:szCs w:val="16"/>
          <w:color w:val="auto"/>
        </w:rPr>
      </w:pPr>
    </w:p>
    <w:p>
      <w:pPr>
        <w:ind w:right="80" w:firstLine="1952"/>
        <w:spacing w:after="0" w:line="311" w:lineRule="auto"/>
        <w:tabs>
          <w:tab w:leader="none" w:pos="250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any transition services arrangement, supply arrangement or similar arrangement entered into in connection with or in contemplation of the disposition of assets or Equity Interests in any Restricted Subsidiary not in violation of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that the Board of Directors of the Issuer determines is either fair to the Issuer or otherwise on customary terms for such type of arrangements in connection with similar transactions;</w:t>
      </w:r>
    </w:p>
    <w:p>
      <w:pPr>
        <w:spacing w:after="0" w:line="149" w:lineRule="exact"/>
        <w:rPr>
          <w:sz w:val="20"/>
          <w:szCs w:val="20"/>
          <w:color w:val="auto"/>
        </w:rPr>
      </w:pPr>
    </w:p>
    <w:p>
      <w:pPr>
        <w:ind w:firstLine="1952"/>
        <w:spacing w:after="0" w:line="263" w:lineRule="auto"/>
        <w:tabs>
          <w:tab w:leader="none" w:pos="24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transactions entered into by an Unrestricted Subsidiary with an Affiliate prior to the redesignation of such Unrestricted Subsidiary as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transaction was not entered into in anticipation of such Unrestricted Subsidiary becoming or being redesignated as a Restricted Subsidiary;</w:t>
      </w:r>
    </w:p>
    <w:p>
      <w:pPr>
        <w:spacing w:after="0" w:line="183" w:lineRule="exact"/>
        <w:rPr>
          <w:rFonts w:ascii="Arial" w:cs="Arial" w:eastAsia="Arial" w:hAnsi="Arial"/>
          <w:sz w:val="18"/>
          <w:szCs w:val="18"/>
          <w:color w:val="auto"/>
        </w:rPr>
      </w:pPr>
    </w:p>
    <w:p>
      <w:pPr>
        <w:ind w:right="220" w:firstLine="1952"/>
        <w:spacing w:after="0" w:line="311" w:lineRule="auto"/>
        <w:tabs>
          <w:tab w:leader="none" w:pos="242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payments by the Issuer and its Subsidiaries pursuant to tax sharing agreements among the Issuer and its Subsidiaries on customary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payments shall not exceed the excess (if any) of the amount of taxes that the Issuer and its Subsidiaries would have paid on a stand-alone basis over the amount of such taxes actually paid by the Issuer and its Subsidiaries directly to governmental authorities;</w:t>
      </w:r>
    </w:p>
    <w:p>
      <w:pPr>
        <w:spacing w:after="0" w:line="148" w:lineRule="exact"/>
        <w:rPr>
          <w:rFonts w:ascii="Arial" w:cs="Arial" w:eastAsia="Arial" w:hAnsi="Arial"/>
          <w:sz w:val="16"/>
          <w:szCs w:val="16"/>
          <w:color w:val="auto"/>
        </w:rPr>
      </w:pPr>
    </w:p>
    <w:p>
      <w:pPr>
        <w:ind w:right="260" w:firstLine="1952"/>
        <w:spacing w:after="0" w:line="342" w:lineRule="auto"/>
        <w:tabs>
          <w:tab w:leader="none" w:pos="244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payments to and from, and transactions with, any joint ventures or Unrestricted Subsidiary entered into in the ordinary course of business, consistent with past practice or consistent with industry norm (including any cash management activities related thereto); and</w:t>
      </w:r>
    </w:p>
    <w:p>
      <w:pPr>
        <w:spacing w:after="0" w:line="123" w:lineRule="exact"/>
        <w:rPr>
          <w:rFonts w:ascii="Arial" w:cs="Arial" w:eastAsia="Arial" w:hAnsi="Arial"/>
          <w:sz w:val="16"/>
          <w:szCs w:val="16"/>
          <w:color w:val="auto"/>
        </w:rPr>
      </w:pPr>
    </w:p>
    <w:p>
      <w:pPr>
        <w:ind w:right="460" w:firstLine="1952"/>
        <w:spacing w:after="0" w:line="263" w:lineRule="auto"/>
        <w:tabs>
          <w:tab w:leader="none" w:pos="2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transactions undertaken in good faith (as certified by a responsible financial or accounting officer of the Issuer in an Officer’s Certificate) for the purposes of improving the consolidated tax efficiency of the Issuer and its Subsidiaries and not for the purpose of circumventing any covenant set forth in this Indenture.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7" w:name="page148"/>
    <w:bookmarkEnd w:id="147"/>
    <w:p>
      <w:pPr>
        <w:ind w:left="1300"/>
        <w:spacing w:after="0"/>
        <w:tabs>
          <w:tab w:leader="none" w:pos="290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342" w:lineRule="auto"/>
        <w:tabs>
          <w:tab w:leader="none" w:pos="245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Issuer shall not, and shall not permit any Guarantor to, directly or indirectly, create, incur or assume any Lien (except Permitted Liens) (each, a “</w:t>
      </w:r>
      <w:r>
        <w:rPr>
          <w:rFonts w:ascii="Arial" w:cs="Arial" w:eastAsia="Arial" w:hAnsi="Arial"/>
          <w:sz w:val="16"/>
          <w:szCs w:val="16"/>
          <w:u w:val="single" w:color="auto"/>
          <w:color w:val="auto"/>
        </w:rPr>
        <w:t>Subject Lien</w:t>
      </w:r>
      <w:r>
        <w:rPr>
          <w:rFonts w:ascii="Arial" w:cs="Arial" w:eastAsia="Arial" w:hAnsi="Arial"/>
          <w:sz w:val="16"/>
          <w:szCs w:val="16"/>
          <w:color w:val="auto"/>
        </w:rPr>
        <w:t>“) that secures Obligations under any Indebtedness on any asset or property of the Issuer or any Guarantor, unless:</w:t>
      </w:r>
    </w:p>
    <w:p>
      <w:pPr>
        <w:spacing w:after="0" w:line="123" w:lineRule="exact"/>
        <w:rPr>
          <w:rFonts w:ascii="Arial" w:cs="Arial" w:eastAsia="Arial" w:hAnsi="Arial"/>
          <w:sz w:val="16"/>
          <w:szCs w:val="16"/>
          <w:color w:val="auto"/>
        </w:rPr>
      </w:pPr>
    </w:p>
    <w:p>
      <w:pPr>
        <w:ind w:left="3700" w:hanging="533"/>
        <w:spacing w:after="0"/>
        <w:tabs>
          <w:tab w:leader="none" w:pos="37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 the case of Subject Liens on any Collateral, such Subject Lien is a Permitted Lien; and</w:t>
      </w:r>
    </w:p>
    <w:p>
      <w:pPr>
        <w:spacing w:after="0" w:line="225" w:lineRule="exact"/>
        <w:rPr>
          <w:rFonts w:ascii="Arial" w:cs="Arial" w:eastAsia="Arial" w:hAnsi="Arial"/>
          <w:sz w:val="18"/>
          <w:szCs w:val="18"/>
          <w:color w:val="auto"/>
        </w:rPr>
      </w:pPr>
    </w:p>
    <w:p>
      <w:pPr>
        <w:ind w:left="3700" w:hanging="533"/>
        <w:spacing w:after="0"/>
        <w:tabs>
          <w:tab w:leader="none" w:pos="370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in the case of any Subject Lien on any such asset or property that is not Collateral, (i) the Notes</w:t>
      </w:r>
    </w:p>
    <w:p>
      <w:pPr>
        <w:spacing w:after="0" w:line="35" w:lineRule="exact"/>
        <w:rPr>
          <w:sz w:val="20"/>
          <w:szCs w:val="20"/>
          <w:color w:val="auto"/>
        </w:rPr>
      </w:pPr>
    </w:p>
    <w:p>
      <w:pPr>
        <w:jc w:val="both"/>
        <w:ind w:left="740" w:right="720"/>
        <w:spacing w:after="0" w:line="255" w:lineRule="auto"/>
        <w:rPr>
          <w:sz w:val="20"/>
          <w:szCs w:val="20"/>
          <w:color w:val="auto"/>
        </w:rPr>
      </w:pPr>
      <w:r>
        <w:rPr>
          <w:rFonts w:ascii="Arial" w:cs="Arial" w:eastAsia="Arial" w:hAnsi="Arial"/>
          <w:sz w:val="18"/>
          <w:szCs w:val="18"/>
          <w:color w:val="auto"/>
        </w:rPr>
        <w:t>(or the related Note Guarantee in the case of Liens on assets or property of a Guarantor) are equally and ratably secured with (or, at the Issuer’s option or if such Subject Lien secures Subordinated Indebtedness, on a senior basis to) the Obligations secured by such Subject Lien until such time as such Obligations are no longer secured by such Subject Lien.</w:t>
      </w:r>
    </w:p>
    <w:p>
      <w:pPr>
        <w:spacing w:after="0" w:line="190" w:lineRule="exact"/>
        <w:rPr>
          <w:sz w:val="20"/>
          <w:szCs w:val="20"/>
          <w:color w:val="auto"/>
        </w:rPr>
      </w:pPr>
    </w:p>
    <w:p>
      <w:pPr>
        <w:jc w:val="both"/>
        <w:ind w:right="20" w:firstLine="1952"/>
        <w:spacing w:after="0" w:line="301" w:lineRule="auto"/>
        <w:tabs>
          <w:tab w:leader="none" w:pos="245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Any Lien created for the benefit of the Holders pursuant to </w:t>
      </w:r>
      <w:r>
        <w:rPr>
          <w:rFonts w:ascii="Arial" w:cs="Arial" w:eastAsia="Arial" w:hAnsi="Arial"/>
          <w:sz w:val="16"/>
          <w:szCs w:val="16"/>
          <w:u w:val="single" w:color="auto"/>
          <w:color w:val="auto"/>
        </w:rPr>
        <w:t>clause (a)(2)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shall provide by its terms that such Lien shall be automatically and unconditionally released and discharged upon the release and discharge of the Subject Lien that gave rise to the obligation to secure the Notes. In addition, in the event that a Subject Lien is or becomes a Permitted Lien, the Issuer may, at its option and without consent from any Holder, elect to release and discharge any Lien created for the benefit of the Holders pursuant to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in respect of such Subject Lien.</w:t>
      </w:r>
    </w:p>
    <w:p>
      <w:pPr>
        <w:spacing w:after="0" w:line="157" w:lineRule="exact"/>
        <w:rPr>
          <w:rFonts w:ascii="Arial" w:cs="Arial" w:eastAsia="Arial" w:hAnsi="Arial"/>
          <w:sz w:val="16"/>
          <w:szCs w:val="16"/>
          <w:color w:val="auto"/>
        </w:rPr>
      </w:pPr>
    </w:p>
    <w:p>
      <w:pPr>
        <w:ind w:right="120" w:firstLine="1952"/>
        <w:spacing w:after="0" w:line="273" w:lineRule="auto"/>
        <w:tabs>
          <w:tab w:leader="none" w:pos="24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17"/>
          <w:szCs w:val="17"/>
          <w:u w:val="single" w:color="auto"/>
          <w:color w:val="auto"/>
        </w:rPr>
        <w:t>Increased Amount</w:t>
      </w:r>
      <w:r>
        <w:rPr>
          <w:rFonts w:ascii="Arial" w:cs="Arial" w:eastAsia="Arial" w:hAnsi="Arial"/>
          <w:sz w:val="17"/>
          <w:szCs w:val="17"/>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7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7"/>
          <w:szCs w:val="17"/>
          <w:u w:val="single" w:color="auto"/>
          <w:color w:val="auto"/>
        </w:rPr>
        <w:t>[RESERVED].</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8" w:name="page149"/>
    <w:bookmarkEnd w:id="148"/>
    <w:p>
      <w:pPr>
        <w:ind w:left="1300"/>
        <w:spacing w:after="0"/>
        <w:tabs>
          <w:tab w:leader="none" w:pos="290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u w:val="single" w:color="auto"/>
          <w:color w:val="auto"/>
        </w:rPr>
        <w:t>OFFER TO REPURCHASE UPON CHANGE OF CONTROL</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9" w:lineRule="auto"/>
        <w:tabs>
          <w:tab w:leader="none" w:pos="245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If a Change of Control occurs after the Issue Date, unless, prior to or concurrently with the time the Issuer is required to make a Change of Control Offer, the Issuer or a third-party has mailed or delivered, or otherwise sent through electronic transmission, a redemption notice with respect to all the outstanding Notes as described under </w:t>
      </w:r>
      <w:r>
        <w:rPr>
          <w:rFonts w:ascii="Arial" w:cs="Arial" w:eastAsia="Arial" w:hAnsi="Arial"/>
          <w:sz w:val="17"/>
          <w:szCs w:val="17"/>
          <w:u w:val="single" w:color="auto"/>
          <w:color w:val="auto"/>
        </w:rPr>
        <w:t>Article 3</w:t>
      </w:r>
      <w:r>
        <w:rPr>
          <w:rFonts w:ascii="Arial" w:cs="Arial" w:eastAsia="Arial" w:hAnsi="Arial"/>
          <w:sz w:val="17"/>
          <w:szCs w:val="17"/>
          <w:color w:val="auto"/>
        </w:rPr>
        <w:t>, the Issuer shall make an offer to purchase all of the Notes pursuant to the offer described below (the “</w:t>
      </w:r>
      <w:r>
        <w:rPr>
          <w:rFonts w:ascii="Arial" w:cs="Arial" w:eastAsia="Arial" w:hAnsi="Arial"/>
          <w:sz w:val="17"/>
          <w:szCs w:val="17"/>
          <w:u w:val="single" w:color="auto"/>
          <w:color w:val="auto"/>
        </w:rPr>
        <w:t>Change of Control Offer</w:t>
      </w:r>
      <w:r>
        <w:rPr>
          <w:rFonts w:ascii="Arial" w:cs="Arial" w:eastAsia="Arial" w:hAnsi="Arial"/>
          <w:sz w:val="17"/>
          <w:szCs w:val="17"/>
          <w:color w:val="auto"/>
        </w:rPr>
        <w:t>“) at a price in cash equal to 101.0% of the aggregate principal amount thereof (or such higher amount as the Issuer may determine (any Change of Control Offer at a higher amount, an “</w:t>
      </w:r>
      <w:r>
        <w:rPr>
          <w:rFonts w:ascii="Arial" w:cs="Arial" w:eastAsia="Arial" w:hAnsi="Arial"/>
          <w:sz w:val="17"/>
          <w:szCs w:val="17"/>
          <w:u w:val="single" w:color="auto"/>
          <w:color w:val="auto"/>
        </w:rPr>
        <w:t>Alternate Offer</w:t>
      </w:r>
      <w:r>
        <w:rPr>
          <w:rFonts w:ascii="Arial" w:cs="Arial" w:eastAsia="Arial" w:hAnsi="Arial"/>
          <w:sz w:val="17"/>
          <w:szCs w:val="17"/>
          <w:color w:val="auto"/>
        </w:rPr>
        <w:t>“)) (such price, the “</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plus accrued and unpaid interest, if any, to, but excluding the date of purchase, subject to the right of Holders of record of the Notes on the relevant record date to receive interest due on the relevant interest payment date falling on or prior to the Change of Control Payment Date (as defined below). Within 60 days following any Change of Control, the Issuer shall send notice of such Change of Control Offer by first-class mail, with a copy to the Trustee, to each Holder of Notes to the address of such Holder appearing in the security register or otherwise deliver in accordance with the procedures of DTC, with the following information:</w:t>
      </w:r>
    </w:p>
    <w:p>
      <w:pPr>
        <w:spacing w:after="0" w:line="185" w:lineRule="exact"/>
        <w:rPr>
          <w:sz w:val="20"/>
          <w:szCs w:val="20"/>
          <w:color w:val="auto"/>
        </w:rPr>
      </w:pPr>
    </w:p>
    <w:p>
      <w:pPr>
        <w:ind w:left="3700" w:hanging="533"/>
        <w:spacing w:after="0"/>
        <w:tabs>
          <w:tab w:leader="none" w:pos="3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that a Change of Control Offer is being made pursuant to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that all Notes</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properly tendered pursuant to such Change of Control Offer will be accepted for payment by the Issuer;</w:t>
      </w:r>
    </w:p>
    <w:p>
      <w:pPr>
        <w:spacing w:after="0" w:line="210" w:lineRule="exact"/>
        <w:rPr>
          <w:rFonts w:ascii="Arial" w:cs="Arial" w:eastAsia="Arial" w:hAnsi="Arial"/>
          <w:sz w:val="18"/>
          <w:szCs w:val="18"/>
          <w:color w:val="auto"/>
        </w:rPr>
      </w:pPr>
    </w:p>
    <w:p>
      <w:pPr>
        <w:ind w:left="740" w:right="860" w:firstLine="2427"/>
        <w:spacing w:after="0" w:line="259" w:lineRule="auto"/>
        <w:tabs>
          <w:tab w:leader="none" w:pos="3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purchase price and the purchase date, which will be no earlier than 20 Business Days nor later than 60 days from the date such notice is sent (the “</w:t>
      </w:r>
      <w:r>
        <w:rPr>
          <w:rFonts w:ascii="Arial" w:cs="Arial" w:eastAsia="Arial" w:hAnsi="Arial"/>
          <w:sz w:val="18"/>
          <w:szCs w:val="18"/>
          <w:u w:val="single" w:color="auto"/>
          <w:color w:val="auto"/>
        </w:rPr>
        <w:t>Change of Control Payment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Change of Control Payment Date shall be delayed until such time (including more than 60 days after the date such notice is sent) as any or all such conditions referred to in clause (8) below shall be satisfied or waived;</w:t>
      </w:r>
    </w:p>
    <w:p>
      <w:pPr>
        <w:spacing w:after="0" w:line="186" w:lineRule="exact"/>
        <w:rPr>
          <w:rFonts w:ascii="Arial" w:cs="Arial" w:eastAsia="Arial" w:hAnsi="Arial"/>
          <w:sz w:val="18"/>
          <w:szCs w:val="18"/>
          <w:color w:val="auto"/>
        </w:rPr>
      </w:pPr>
    </w:p>
    <w:p>
      <w:pPr>
        <w:ind w:left="3700" w:hanging="533"/>
        <w:spacing w:after="0"/>
        <w:tabs>
          <w:tab w:leader="none" w:pos="3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that any Note not properly tendered will remain outstanding and continue to accrue interest;</w:t>
      </w:r>
    </w:p>
    <w:p>
      <w:pPr>
        <w:spacing w:after="0" w:line="225" w:lineRule="exact"/>
        <w:rPr>
          <w:rFonts w:ascii="Arial" w:cs="Arial" w:eastAsia="Arial" w:hAnsi="Arial"/>
          <w:sz w:val="18"/>
          <w:szCs w:val="18"/>
          <w:color w:val="auto"/>
        </w:rPr>
      </w:pPr>
    </w:p>
    <w:p>
      <w:pPr>
        <w:ind w:left="740" w:right="760" w:firstLine="2427"/>
        <w:spacing w:after="0" w:line="263" w:lineRule="auto"/>
        <w:tabs>
          <w:tab w:leader="none" w:pos="3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that unless the Issuer defaults in the payment of the Change of Control Payment plus accrued and unpaid interest, if any, on all properly tendered Notes, all Notes accepted for payment pursuant to the Change of Control Offer will cease to accrue interest on the Change of Control Payment Date;</w:t>
      </w:r>
    </w:p>
    <w:p>
      <w:pPr>
        <w:spacing w:after="0" w:line="183" w:lineRule="exact"/>
        <w:rPr>
          <w:rFonts w:ascii="Arial" w:cs="Arial" w:eastAsia="Arial" w:hAnsi="Arial"/>
          <w:sz w:val="18"/>
          <w:szCs w:val="18"/>
          <w:color w:val="auto"/>
        </w:rPr>
      </w:pPr>
    </w:p>
    <w:p>
      <w:pPr>
        <w:ind w:left="740" w:right="640" w:firstLine="2427"/>
        <w:spacing w:after="0" w:line="279" w:lineRule="auto"/>
        <w:tabs>
          <w:tab w:leader="none" w:pos="36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that Holders electing to have any Notes purchased pursuant to a Change of Control Offer will be required to surrender such Notes, with the form entitled “Option of Holder to Elect Purchase” on the reverse of such Notes completed or otherwise in accordance with the procedures of DTC, to the paying agent specified in the notice at the address specified in the notice prior to the close of business on the third Business Day preceding the Change of Control Payment Date;</w:t>
      </w:r>
    </w:p>
    <w:p>
      <w:pPr>
        <w:spacing w:after="0" w:line="171" w:lineRule="exact"/>
        <w:rPr>
          <w:rFonts w:ascii="Arial" w:cs="Arial" w:eastAsia="Arial" w:hAnsi="Arial"/>
          <w:sz w:val="17"/>
          <w:szCs w:val="17"/>
          <w:color w:val="auto"/>
        </w:rPr>
      </w:pPr>
    </w:p>
    <w:p>
      <w:pPr>
        <w:ind w:left="740" w:right="680" w:firstLine="2427"/>
        <w:spacing w:after="0" w:line="272" w:lineRule="auto"/>
        <w:tabs>
          <w:tab w:leader="none" w:pos="36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until the close of business on the earlier of the last day of the offer period and the tenth Business Day after the date such notice is sent (or such later time and date as the Issuer may decide in its sole discretion) (such time and date, the “</w:t>
      </w:r>
      <w:r>
        <w:rPr>
          <w:rFonts w:ascii="Arial" w:cs="Arial" w:eastAsia="Arial" w:hAnsi="Arial"/>
          <w:sz w:val="17"/>
          <w:szCs w:val="17"/>
          <w:u w:val="single" w:color="auto"/>
          <w:color w:val="auto"/>
        </w:rPr>
        <w:t>withdrawal deadline</w:t>
      </w:r>
      <w:r>
        <w:rPr>
          <w:rFonts w:ascii="Arial" w:cs="Arial" w:eastAsia="Arial" w:hAnsi="Arial"/>
          <w:sz w:val="17"/>
          <w:szCs w:val="17"/>
          <w:color w:val="auto"/>
        </w:rPr>
        <w:t xml:space="preserve">“), that Holders shall be entitled to withdraw their tendered Notes and their election to require the Issuer to purchase such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paying agent receives, not later than the withdrawal deadline, as electronic transmission (in PDF), a facsimile transmission or letter or other communication in accordance with the procedures of DTC setting forth the name of the Holder of the Notes, the principal amount of Notes tendered for purchase, and a statement that such Holder is withdrawing its tendered Notes and its election to have such Notes purchased;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9" w:name="page150"/>
    <w:bookmarkEnd w:id="149"/>
    <w:p>
      <w:pPr>
        <w:jc w:val="both"/>
        <w:ind w:left="740" w:right="500" w:firstLine="2427"/>
        <w:spacing w:after="0" w:line="279" w:lineRule="auto"/>
        <w:tabs>
          <w:tab w:leader="none" w:pos="36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that if less than all of such Holder’s Notes are tendered for purchase, such Holder will be issued new Notes (or, in the case of Global Notes, such Notes shall be reduced by such amount of Notes that the Holder has tendered) and such new Notes will be equal in principal amount to the unpurchased portion of the Notes surrendered (the unpurchased portion of the Notes must be equal to $2,000 or an integral multiple of $1,000 in excess thereof);</w:t>
      </w:r>
    </w:p>
    <w:p>
      <w:pPr>
        <w:spacing w:after="0" w:line="171" w:lineRule="exact"/>
        <w:rPr>
          <w:rFonts w:ascii="Arial" w:cs="Arial" w:eastAsia="Arial" w:hAnsi="Arial"/>
          <w:sz w:val="17"/>
          <w:szCs w:val="17"/>
          <w:color w:val="auto"/>
        </w:rPr>
      </w:pPr>
    </w:p>
    <w:p>
      <w:pPr>
        <w:ind w:left="740" w:right="500" w:firstLine="2427"/>
        <w:spacing w:after="0" w:line="272" w:lineRule="auto"/>
        <w:tabs>
          <w:tab w:leader="none" w:pos="36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such notice is sent prior to the occurrence of a Change of Control, stating that the Change of Control Offer is conditional on the occurrence of such Change of Control or such other conditions specified therein and describing each such condition, and, if applicable, stating that, in the Issuer’s discretion, the Change of Control Payment Date may be delayed until such time (including more than 60 days after the notice is mailed or delivered) as any or all such conditions shall be satisfied or waived, or that such purchase may not occur and such notice may be rescinded in the event that the Issuer reasonably believes that any or all such conditions (including the occurrence of such Change of Control) will not be satisfied or waived by the Change of Control Payment Date, or by the Change of Control Payment Date as so delayed; and</w:t>
      </w:r>
    </w:p>
    <w:p>
      <w:pPr>
        <w:spacing w:after="0" w:line="177" w:lineRule="exact"/>
        <w:rPr>
          <w:rFonts w:ascii="Arial" w:cs="Arial" w:eastAsia="Arial" w:hAnsi="Arial"/>
          <w:sz w:val="17"/>
          <w:szCs w:val="17"/>
          <w:color w:val="auto"/>
        </w:rPr>
      </w:pPr>
    </w:p>
    <w:p>
      <w:pPr>
        <w:ind w:left="3700" w:hanging="533"/>
        <w:spacing w:after="0"/>
        <w:tabs>
          <w:tab w:leader="none" w:pos="37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such other instructions, as determined by the Issuer, consistent with this </w:t>
      </w:r>
      <w:r>
        <w:rPr>
          <w:rFonts w:ascii="Arial" w:cs="Arial" w:eastAsia="Arial" w:hAnsi="Arial"/>
          <w:sz w:val="18"/>
          <w:szCs w:val="18"/>
          <w:u w:val="single" w:color="auto"/>
          <w:color w:val="auto"/>
        </w:rPr>
        <w:t>Section 4.14</w:t>
      </w:r>
      <w:r>
        <w:rPr>
          <w:rFonts w:ascii="Arial" w:cs="Arial" w:eastAsia="Arial" w:hAnsi="Arial"/>
          <w:sz w:val="18"/>
          <w:szCs w:val="18"/>
          <w:color w:val="auto"/>
        </w:rPr>
        <w:t>, that a</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Holder must follow.</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If a notice relating to a Change of Control Offer that is subject to one or more conditions precedent (other than the occurrence of a Change of Control) is later rescinded as described in clause (8) above as a result of the failure of such condition(s) to be satisfied or waived (or as a result of the Issuer reasonably believing that such will be the case), the offer described in such notice will not be deemed a valid “</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4.14</w:t>
      </w:r>
      <w:r>
        <w:rPr>
          <w:rFonts w:ascii="Arial" w:cs="Arial" w:eastAsia="Arial" w:hAnsi="Arial"/>
          <w:sz w:val="18"/>
          <w:szCs w:val="18"/>
          <w:color w:val="auto"/>
        </w:rPr>
        <w:t>.</w:t>
      </w:r>
    </w:p>
    <w:p>
      <w:pPr>
        <w:spacing w:after="0" w:line="187"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While the Notes are in global form and the Issuer makes an offer to purchase all of the Notes pursuant to the Change of Control Offer, a Holder may exercise its option to elect for the purchase of the Notes through the facilities of DTC, subject to its rules and regulations.</w:t>
      </w:r>
    </w:p>
    <w:p>
      <w:pPr>
        <w:spacing w:after="0" w:line="146"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The notice, if sent in a manner herein provided, shall be conclusively presumed to have been given, whether or not the Holder receives such notice. If (a) the notice is sent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w:t>
      </w:r>
    </w:p>
    <w:p>
      <w:pPr>
        <w:spacing w:after="0" w:line="187"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The Issuer shall comply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described in this Indenture by virtue thereof.</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150" w:name="page151"/>
    <w:bookmarkEnd w:id="150"/>
    <w:p>
      <w:pPr>
        <w:ind w:left="2480" w:hanging="528"/>
        <w:spacing w:after="0"/>
        <w:tabs>
          <w:tab w:leader="none" w:pos="24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 the Change of Control Payment Date, the Issuer shall, to the extent permitted by law,</w:t>
      </w:r>
    </w:p>
    <w:p>
      <w:pPr>
        <w:spacing w:after="0" w:line="225" w:lineRule="exact"/>
        <w:rPr>
          <w:rFonts w:ascii="Arial" w:cs="Arial" w:eastAsia="Arial" w:hAnsi="Arial"/>
          <w:sz w:val="18"/>
          <w:szCs w:val="18"/>
          <w:color w:val="auto"/>
        </w:rPr>
      </w:pPr>
    </w:p>
    <w:p>
      <w:pPr>
        <w:ind w:left="3700" w:hanging="533"/>
        <w:spacing w:after="0"/>
        <w:tabs>
          <w:tab w:leader="none" w:pos="37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accept for payment all Notes issued by it or portions thereof properly tendered pursuant to the</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Change of Control Offer,</w:t>
      </w:r>
    </w:p>
    <w:p>
      <w:pPr>
        <w:spacing w:after="0" w:line="210" w:lineRule="exact"/>
        <w:rPr>
          <w:rFonts w:ascii="Arial" w:cs="Arial" w:eastAsia="Arial" w:hAnsi="Arial"/>
          <w:sz w:val="18"/>
          <w:szCs w:val="18"/>
          <w:color w:val="auto"/>
        </w:rPr>
      </w:pPr>
    </w:p>
    <w:p>
      <w:pPr>
        <w:ind w:left="3700" w:hanging="533"/>
        <w:spacing w:after="0"/>
        <w:tabs>
          <w:tab w:leader="none" w:pos="37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deposit with the Paying Agent an amount equal to the aggregate Change of Control Payment in</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respect of all Notes or portions thereof so tendered, plus accrued and unpaid interest thereon, and</w:t>
      </w:r>
    </w:p>
    <w:p>
      <w:pPr>
        <w:spacing w:after="0" w:line="210" w:lineRule="exact"/>
        <w:rPr>
          <w:rFonts w:ascii="Arial" w:cs="Arial" w:eastAsia="Arial" w:hAnsi="Arial"/>
          <w:sz w:val="17"/>
          <w:szCs w:val="17"/>
          <w:color w:val="auto"/>
        </w:rPr>
      </w:pPr>
    </w:p>
    <w:p>
      <w:pPr>
        <w:ind w:left="740" w:right="660" w:firstLine="2427"/>
        <w:spacing w:after="0" w:line="342" w:lineRule="auto"/>
        <w:tabs>
          <w:tab w:leader="none" w:pos="369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123" w:lineRule="exact"/>
        <w:rPr>
          <w:rFonts w:ascii="Arial" w:cs="Arial" w:eastAsia="Arial" w:hAnsi="Arial"/>
          <w:sz w:val="16"/>
          <w:szCs w:val="16"/>
          <w:color w:val="auto"/>
        </w:rPr>
      </w:pPr>
    </w:p>
    <w:p>
      <w:pPr>
        <w:ind w:right="20" w:firstLine="1952"/>
        <w:spacing w:after="0" w:line="293" w:lineRule="auto"/>
        <w:tabs>
          <w:tab w:leader="none" w:pos="245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Issuer shall not be required to make a Change of Control Offer if a third party approved in writing by the Issuer makes the Change of Control Offer (including, for the avoidance of doubt, an Alternate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(including, for the avoidance of doubt, an Alternate Offer) may be made in advance of a Change of Control, conditional upon such Change of Control and such other conditions specified therein, if a definitive agreement is in place for the Change of Control at the time of making of the Change of Control Offer.</w:t>
      </w:r>
    </w:p>
    <w:p>
      <w:pPr>
        <w:spacing w:after="0" w:line="164" w:lineRule="exact"/>
        <w:rPr>
          <w:rFonts w:ascii="Arial" w:cs="Arial" w:eastAsia="Arial" w:hAnsi="Arial"/>
          <w:sz w:val="16"/>
          <w:szCs w:val="16"/>
          <w:color w:val="auto"/>
        </w:rPr>
      </w:pPr>
    </w:p>
    <w:p>
      <w:pPr>
        <w:ind w:firstLine="1952"/>
        <w:spacing w:after="0" w:line="269" w:lineRule="auto"/>
        <w:tabs>
          <w:tab w:leader="none" w:pos="2469"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do not withdraw such Notes in a Change of Control Offer and the Issuer, or any third party approved in writing by the Issuer making a Change of Control Offer in lieu of the Issuer as described above,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Article 8, Article 11 or as specified in Section 3.03(c)), given not more than 60 days following such purchase pursuant to the Change of Control Offer described above, to redeem (with respect to the Issuer) or purchase (with respect to a third party) all of the Notes that remain outstanding following such purchase on a date (the “</w:t>
      </w:r>
      <w:r>
        <w:rPr>
          <w:rFonts w:ascii="Arial" w:cs="Arial" w:eastAsia="Arial" w:hAnsi="Arial"/>
          <w:sz w:val="17"/>
          <w:szCs w:val="17"/>
          <w:u w:val="single" w:color="auto"/>
          <w:color w:val="auto"/>
        </w:rPr>
        <w:t>Second Change of Control Payment Date</w:t>
      </w:r>
      <w:r>
        <w:rPr>
          <w:rFonts w:ascii="Arial" w:cs="Arial" w:eastAsia="Arial" w:hAnsi="Arial"/>
          <w:sz w:val="17"/>
          <w:szCs w:val="17"/>
          <w:color w:val="auto"/>
        </w:rPr>
        <w:t>“) at a price in cash equal to the Change of Control Payment in respect of the Second Change of Control Payment Date, including, to the extent not included in the Change of Control Payment, accrued and unpaid interest, if any, thereon, to, but excluding, the Second Change of Control Payment Date, subject to the right of Holders of record of Notes on the relevant record date to receive interest due on the relevant interest payment date falling on or prior to the Second Change of Control Payment Date.</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1" w:name="page152"/>
    <w:bookmarkEnd w:id="151"/>
    <w:p>
      <w:pPr>
        <w:ind w:right="40" w:firstLine="1952"/>
        <w:spacing w:after="0" w:line="263" w:lineRule="auto"/>
        <w:tabs>
          <w:tab w:leader="none" w:pos="245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provisions of this Indenture and the Notes relating to the Issuer’s obligation to make a Change of Control Offer upon a Change of Control, including the provisions of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and the definition of “Change of Control”, may be waived or modified at any time with the written consent of the Holders of a majority in aggregate principal amount of the Notes then outstanding.</w:t>
      </w:r>
    </w:p>
    <w:p>
      <w:pPr>
        <w:spacing w:after="0" w:line="183" w:lineRule="exact"/>
        <w:rPr>
          <w:rFonts w:ascii="Arial" w:cs="Arial" w:eastAsia="Arial" w:hAnsi="Arial"/>
          <w:sz w:val="18"/>
          <w:szCs w:val="18"/>
          <w:color w:val="auto"/>
        </w:rPr>
      </w:pPr>
    </w:p>
    <w:p>
      <w:pPr>
        <w:ind w:right="100" w:firstLine="1952"/>
        <w:spacing w:after="0" w:line="254" w:lineRule="auto"/>
        <w:tabs>
          <w:tab w:leader="none" w:pos="242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Change of Control Offer (including, for the avoidance of doubt, an Alternate Offer) may be made at the same time as consents are solicited with respect to an amendment, supplement or waiver of this Indenture, the Notes and/or the Note Guarantees so long as the tender of Notes by a Holder is not conditioned upon the delivery of consents by such Holder. In addition, the Issuer or any third party approved in writing by the Issuer that is making the Change of Control Offer (including, for the avoidance of doubt, an Alternate Offer) may, subject to applicable law, increase or decrease the Change of Control Payment (or decline to pay any early tender or similar premium) being offered to Holders at any time in its sole discretion, so long as the Change of Control Payment is at least equal to 101.0% of the aggregate principal amount of the Notes being repurchased, plus accrued and unpaid interest thereon.</w:t>
      </w:r>
    </w:p>
    <w:p>
      <w:pPr>
        <w:spacing w:after="0" w:line="19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7"/>
          <w:szCs w:val="17"/>
          <w:u w:val="single" w:color="auto"/>
          <w:color w:val="auto"/>
        </w:rPr>
        <w:t>ADDITIONAL NOTE GUARANTEES</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The Issuer shall cause each of its Wholly-Owned Restricted Subsidiaries (other than (a) the Guarantors, (b) any Qualified Liquefaction Development Entities, (c) any Receivables Subsidiaries and (d) any Immaterial Subsidiaries) to, within 60 days of the later of (i) such Subsidiary becoming a Wholly-Owned Restricted Subsidiary and (ii) the Issuer determining such Subsidiary ceased to meet any of the exceptions set forth in the preceding parenthetical, execute and deliver a supplemental indenture to this Indenture, substantially in the form attached as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providing for a Note Guarantee by such Subsidiary and, thereafter (and within the time periods or efforts requirements as set forth in such documents), joinders to any applicable Equal Priority Intercreditor Agreement, Junior Priority Intercreditor Agreement and Security Documents or new intercreditor agreements and Security Documents, an updated perfection certificate, together with any filings and agreements to the extent required by the Security Documents to create or perfect the security interests for the benefit of the Holders in the Collateral of such Subsidiary. The Issuer may elect, in its sole discretion, to cause any Subsidiary that is not otherwise required to be a Guarantor to become a Guarantor (and no 60-day period described in the foregoing sentence shall apply to such Subsidiary).</w:t>
      </w:r>
    </w:p>
    <w:p>
      <w:pPr>
        <w:spacing w:after="0" w:line="18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7"/>
          <w:szCs w:val="17"/>
          <w:u w:val="single" w:color="auto"/>
          <w:color w:val="auto"/>
        </w:rPr>
        <w:t>EFFECTIVENESS OF COVENANTS</w:t>
      </w:r>
      <w:r>
        <w:rPr>
          <w:rFonts w:ascii="Arial" w:cs="Arial" w:eastAsia="Arial" w:hAnsi="Arial"/>
          <w:sz w:val="17"/>
          <w:szCs w:val="17"/>
          <w:color w:val="auto"/>
        </w:rPr>
        <w:t>.</w:t>
      </w:r>
    </w:p>
    <w:p>
      <w:pPr>
        <w:spacing w:after="0" w:line="225" w:lineRule="exact"/>
        <w:rPr>
          <w:sz w:val="20"/>
          <w:szCs w:val="20"/>
          <w:color w:val="auto"/>
        </w:rPr>
      </w:pPr>
    </w:p>
    <w:p>
      <w:pPr>
        <w:ind w:right="120" w:firstLine="1952"/>
        <w:spacing w:after="0" w:line="275" w:lineRule="auto"/>
        <w:tabs>
          <w:tab w:leader="none" w:pos="245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If on any date following the Issue Date, (i) the Notes have Investment Grade Ratings from two of three Rating Agencies and (ii) no Default has occurred and is continuing under this Indenture (the occurrence of the events described in the foregoing clauses (i) and (ii) being collectively referred to as a “</w:t>
      </w:r>
      <w:r>
        <w:rPr>
          <w:rFonts w:ascii="Arial" w:cs="Arial" w:eastAsia="Arial" w:hAnsi="Arial"/>
          <w:sz w:val="17"/>
          <w:szCs w:val="17"/>
          <w:u w:val="single" w:color="auto"/>
          <w:color w:val="auto"/>
        </w:rPr>
        <w:t>Covenant Suspension Event</w:t>
      </w:r>
      <w:r>
        <w:rPr>
          <w:rFonts w:ascii="Arial" w:cs="Arial" w:eastAsia="Arial" w:hAnsi="Arial"/>
          <w:sz w:val="17"/>
          <w:szCs w:val="17"/>
          <w:color w:val="auto"/>
        </w:rPr>
        <w:t>“), then, beginning on such date and continuing until the Reversion Date, the Issuer and its Restricted Subsidiaries shall not be subject to the following provisions of this Indenture (collectively, the “</w:t>
      </w:r>
      <w:r>
        <w:rPr>
          <w:rFonts w:ascii="Arial" w:cs="Arial" w:eastAsia="Arial" w:hAnsi="Arial"/>
          <w:sz w:val="17"/>
          <w:szCs w:val="17"/>
          <w:u w:val="single" w:color="auto"/>
          <w:color w:val="auto"/>
        </w:rPr>
        <w:t>Suspended Covenants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4.08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5.01(c)</w:t>
      </w:r>
      <w:r>
        <w:rPr>
          <w:rFonts w:ascii="Arial" w:cs="Arial" w:eastAsia="Arial" w:hAnsi="Arial"/>
          <w:sz w:val="17"/>
          <w:szCs w:val="17"/>
          <w:color w:val="auto"/>
        </w:rPr>
        <w:t>.</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2" w:name="page153"/>
    <w:bookmarkEnd w:id="152"/>
    <w:p>
      <w:pPr>
        <w:ind w:right="20" w:firstLine="1952"/>
        <w:spacing w:after="0" w:line="259" w:lineRule="auto"/>
        <w:tabs>
          <w:tab w:leader="none" w:pos="246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the event that the Issuer and its Restricted Subsidiaries are not subject to the Suspended Covenants for any period of time as a result of the foregoing, and on any subsequent date (the “</w:t>
      </w:r>
      <w:r>
        <w:rPr>
          <w:rFonts w:ascii="Arial" w:cs="Arial" w:eastAsia="Arial" w:hAnsi="Arial"/>
          <w:sz w:val="18"/>
          <w:szCs w:val="18"/>
          <w:u w:val="single" w:color="auto"/>
          <w:color w:val="auto"/>
        </w:rPr>
        <w:t>Reversion Date</w:t>
      </w:r>
      <w:r>
        <w:rPr>
          <w:rFonts w:ascii="Arial" w:cs="Arial" w:eastAsia="Arial" w:hAnsi="Arial"/>
          <w:sz w:val="18"/>
          <w:szCs w:val="18"/>
          <w:color w:val="auto"/>
        </w:rPr>
        <w:t>“) the rating assigned to the Notes by two of three of the Rating Agencies is below an Investment Grade Rating, then the Issuer and its Restricted Subsidiaries will thereafter again be subject to the Suspended Covenants with respect to future events.</w:t>
      </w:r>
    </w:p>
    <w:p>
      <w:pPr>
        <w:spacing w:after="0" w:line="186" w:lineRule="exact"/>
        <w:rPr>
          <w:rFonts w:ascii="Arial" w:cs="Arial" w:eastAsia="Arial" w:hAnsi="Arial"/>
          <w:sz w:val="18"/>
          <w:szCs w:val="18"/>
          <w:color w:val="auto"/>
        </w:rPr>
      </w:pPr>
    </w:p>
    <w:p>
      <w:pPr>
        <w:ind w:right="120" w:firstLine="1952"/>
        <w:spacing w:after="0" w:line="285" w:lineRule="auto"/>
        <w:tabs>
          <w:tab w:leader="none" w:pos="245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period of time between (and including) the date of the Covenant Suspension Event and the Reversion Date (but excluding the Reversion Date) is referred to in this description as the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In the event of any reinstatement, no action taken or omitted to be taken by the Issuer or any of its Restricted Subsidiaries prior to such reinstatement will give rise to a Default or Event of Default with respect to the Suspended Covenants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with respect to Restricted Payments made on or after the Reversion Date and the capacity to make Restricted Payments, the amount of Restricted Payments made and the capacity to make Restricted Payments will be calculated as though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u w:val="single" w:color="auto"/>
          <w:color w:val="auto"/>
        </w:rPr>
        <w:t>4.07</w:t>
      </w:r>
      <w:r>
        <w:rPr>
          <w:rFonts w:ascii="Arial" w:cs="Arial" w:eastAsia="Arial" w:hAnsi="Arial"/>
          <w:sz w:val="17"/>
          <w:szCs w:val="17"/>
          <w:color w:val="auto"/>
        </w:rPr>
        <w:t xml:space="preserve"> had been in effect prior to, but not during, the Suspension Period (including with respect to a Limited Condition Transaction entered into during the Suspension Period) and accordingly, Restricted Payments made or deemed to be made during the Suspension Period will not reduce the amount available to be made as Restricted Payments under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(2) all Indebtedness incurred, or Disqualified Stock or Preferred Stock issued, during the Suspension Period (or deemed incurred or issued in connection with a Limited Condition Transaction entered into during the Suspension Period) will be deemed to have been incurred or issued pursuant to clause (j)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xml:space="preserve">, (3) no Subsidiaries shall be designated as Unrestricted Subsidiaries during any Suspension Period, unless such designation would have complied with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as if such covenant was in effect for the purposes of designating Unrestricted Subsidiaries from the Issue Date to the date of such designation, (4) any Affiliate Transaction entered into on or after the Reversion Date pursuant to an agreement entered into during any Suspension Period shall be deemed to be permitted pursuant to clause (e) of the second paragraph of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(5) any encumbrance or restriction on the ability of any Restricted Subsidiary that is not a Guarantor to take any action described in clauses (1) through (3) of the first paragraph of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that becomes effective during any Suspension Period shall be deemed to be permitted pursuant to clause (i) of the second paragraph of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and (6) all Investments made during the Suspension Period (or deemed made in connection with a Limited Condition Transaction entered into during the Suspension Period) will be classified as having been made pursuant to clause (f) of the definition of “Permitted Investments”. On the Reversion Date, the amount of Excess Proceeds shall be reset at zero.</w:t>
      </w:r>
    </w:p>
    <w:p>
      <w:pPr>
        <w:spacing w:after="0" w:line="181" w:lineRule="exact"/>
        <w:rPr>
          <w:rFonts w:ascii="Arial" w:cs="Arial" w:eastAsia="Arial" w:hAnsi="Arial"/>
          <w:sz w:val="16"/>
          <w:szCs w:val="16"/>
          <w:color w:val="auto"/>
        </w:rPr>
      </w:pPr>
    </w:p>
    <w:p>
      <w:pPr>
        <w:ind w:right="100" w:firstLine="1952"/>
        <w:spacing w:after="0" w:line="279" w:lineRule="auto"/>
        <w:tabs>
          <w:tab w:leader="none" w:pos="246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During the Suspension Period, the Issuer and its Restricted Subsidiaries will be entitled to incur Liens permitted under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Permitted Liens). To the extent such covenant and any Permitted Liens refer to one or more Suspended Covenants, such covenant or definition shall be interpreted as though such applicable Suspended Covenant(s) continued to be applicable during the Suspension Period (but solely for purposes of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and the “</w:t>
      </w:r>
      <w:r>
        <w:rPr>
          <w:rFonts w:ascii="Arial" w:cs="Arial" w:eastAsia="Arial" w:hAnsi="Arial"/>
          <w:sz w:val="17"/>
          <w:szCs w:val="17"/>
          <w:u w:val="single" w:color="auto"/>
          <w:color w:val="auto"/>
        </w:rPr>
        <w:t>Permitted Liens</w:t>
      </w:r>
      <w:r>
        <w:rPr>
          <w:rFonts w:ascii="Arial" w:cs="Arial" w:eastAsia="Arial" w:hAnsi="Arial"/>
          <w:sz w:val="17"/>
          <w:szCs w:val="17"/>
          <w:color w:val="auto"/>
        </w:rPr>
        <w:t>“ definition and for no other covenant).</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ind w:right="40" w:firstLine="1952"/>
        <w:spacing w:after="0" w:line="289" w:lineRule="auto"/>
        <w:tabs>
          <w:tab w:leader="none" w:pos="245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Notwithstanding that the Suspended Covenants may be reinstated after the Reversion Date, (1) no Default, Event of Default or breach of any kind will be deemed to exist or have occurred under the Notes, the Note Guarantees or this Indenture with respect to the Suspended Covenants, and none of the Issuer or any of its Subsidiaries shall bear any liability for any actions taken or events occurring during the Suspension Period (including any Limited Condition Transaction entered into during the Suspension Period), or any actions taken at any time pursuant to any contractual obligation entered into or arising during any Suspension Period, in each case as a result of a failure to comply with the Suspended Covenants during the Suspension Period (or, upon termination of the Suspension Period or after that time, as a result of any action taken or event that occurred during the Suspension Period), and (2) following a Reversion Date, the Issuer and each Restricted Subsidiary will be permitted, without causing a Default or Event of Default, to honor, comply with or otherwise perform any contractual commitments or obligations arising during any Suspension Period and to consummate the transactions contemplated thereby (including any Limited Condition Transaction entered into during the Suspension Period).</w:t>
      </w:r>
    </w:p>
    <w:p>
      <w:pPr>
        <w:spacing w:after="0" w:line="166" w:lineRule="exact"/>
        <w:rPr>
          <w:rFonts w:ascii="Arial" w:cs="Arial" w:eastAsia="Arial" w:hAnsi="Arial"/>
          <w:sz w:val="16"/>
          <w:szCs w:val="16"/>
          <w:color w:val="auto"/>
        </w:rPr>
      </w:pPr>
    </w:p>
    <w:p>
      <w:pPr>
        <w:ind w:left="2440" w:hanging="488"/>
        <w:spacing w:after="0"/>
        <w:tabs>
          <w:tab w:leader="none" w:pos="24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Issuer shall deliver promptly to the Trustee an Officer’s Certificate notifying it of any such occurrence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1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7"/>
          <w:szCs w:val="17"/>
          <w:u w:val="single" w:color="auto"/>
          <w:color w:val="auto"/>
        </w:rPr>
        <w:t>AFTER-ACQUIRED COLLATERAL; REAL PROPERTY MORTGAGE; SHIP MORTGAGE</w:t>
      </w:r>
      <w:r>
        <w:rPr>
          <w:rFonts w:ascii="Arial" w:cs="Arial" w:eastAsia="Arial" w:hAnsi="Arial"/>
          <w:sz w:val="17"/>
          <w:szCs w:val="17"/>
          <w:color w:val="auto"/>
        </w:rPr>
        <w:t>.</w:t>
      </w:r>
    </w:p>
    <w:p>
      <w:pPr>
        <w:spacing w:after="0" w:line="225" w:lineRule="exact"/>
        <w:rPr>
          <w:sz w:val="20"/>
          <w:szCs w:val="20"/>
          <w:color w:val="auto"/>
        </w:rPr>
      </w:pPr>
    </w:p>
    <w:p>
      <w:pPr>
        <w:ind w:right="240" w:firstLine="1952"/>
        <w:spacing w:after="0" w:line="257" w:lineRule="auto"/>
        <w:tabs>
          <w:tab w:leader="none" w:pos="245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From and after the Issue Date, and subject to the applicable limitations and exceptions set forth in the Security Documents and this Indenture (including as described under </w:t>
      </w:r>
      <w:r>
        <w:rPr>
          <w:rFonts w:ascii="Arial" w:cs="Arial" w:eastAsia="Arial" w:hAnsi="Arial"/>
          <w:sz w:val="18"/>
          <w:szCs w:val="18"/>
          <w:u w:val="single" w:color="auto"/>
          <w:color w:val="auto"/>
        </w:rPr>
        <w:t>Section 12.07(c)(x)</w:t>
      </w:r>
      <w:r>
        <w:rPr>
          <w:rFonts w:ascii="Arial" w:cs="Arial" w:eastAsia="Arial" w:hAnsi="Arial"/>
          <w:sz w:val="18"/>
          <w:szCs w:val="18"/>
          <w:color w:val="auto"/>
        </w:rPr>
        <w:t>), if the Issuer or any Guarantor creates, or acquires any security interest upon any property or asset that would constitute Collateral (which, for the avoidance of doubt, does not include any Excluded Assets), the Issuer or such Guarantor must grant a first-priority perfected security interest (subject to Permitted Liens) upon any such Collateral, as security for the Secured Notes Obligations.</w:t>
      </w:r>
    </w:p>
    <w:p>
      <w:pPr>
        <w:spacing w:after="0" w:line="187" w:lineRule="exact"/>
        <w:rPr>
          <w:rFonts w:ascii="Arial" w:cs="Arial" w:eastAsia="Arial" w:hAnsi="Arial"/>
          <w:sz w:val="18"/>
          <w:szCs w:val="18"/>
          <w:color w:val="auto"/>
        </w:rPr>
      </w:pPr>
    </w:p>
    <w:p>
      <w:pPr>
        <w:ind w:right="80" w:firstLine="1952"/>
        <w:spacing w:after="0" w:line="283" w:lineRule="auto"/>
        <w:tabs>
          <w:tab w:leader="none" w:pos="246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Subject to the applicable terms of the Security Documents and any Intercreditor Agreements, within 90 days after the acquisition by any Grantor of any Material Real Estate Asset (or within 90 days after the acquisition of a Person that becomes a Grantor and that owns any Material Real Estate Asset) (in each case, other than any Excluded Asset) (or as soon as practicable thereafter using commercially reasonable efforts), the Issuer shall cause such Grantor to (i) execute, deliver and record a Mortgage with respect thereto, (ii) deliver a fully paid extended coverage policy or policies of title insurance (or executed proforma therefor) from a national title insurance company with respect to such Material Real Estate Asset in an amount not to exceed 100.0% of the fair market value of the such Material Real Estate Asset, as reasonably determined by the Issuer, naming the Notes Collateral Agent for the benefit of the Secured Notes Secured Parties as the insured, insuring such Mortgage to be a valid first priority Lien on the real property described therein, free and clear of all Liens other than Permitted Liens and containing reasonable and customary endorsements (each, a “Title Policy”), (iii) deliver legal opinions of local counsel or Borrower’s counsel with respect to enforceability of such Mortgage and other customary matters;</w:t>
      </w:r>
    </w:p>
    <w:p>
      <w:pPr>
        <w:spacing w:after="0" w:line="5" w:lineRule="exact"/>
        <w:rPr>
          <w:rFonts w:ascii="Arial" w:cs="Arial" w:eastAsia="Arial" w:hAnsi="Arial"/>
          <w:sz w:val="16"/>
          <w:szCs w:val="16"/>
          <w:color w:val="auto"/>
        </w:rPr>
      </w:pPr>
    </w:p>
    <w:p>
      <w:pPr>
        <w:ind w:firstLine="8"/>
        <w:spacing w:after="0" w:line="271" w:lineRule="auto"/>
        <w:tabs>
          <w:tab w:leader="none" w:pos="30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deliver an existing or new ALTA survey of such Material Real Estate Asset or with such affidavits as shall be sufficient for the title insurance company to delete the standard survey exception in the applicable Title Policy; and (v) deliver an updated perfection certificate; it being understood and agreed that with respect to any Material Real Estate Asset owned by any Restricted Subsidiary at the time such Restricted Subsidiary is required to become a Guarantor under this Indenture, such Material Real Estate Asset shall be deemed to have been acquired by such Restricted Subsidiary on the first day of the time period within which such Restricted Subsidiary is required to become a Guarantor under this Indenture.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4" w:name="page155"/>
    <w:bookmarkEnd w:id="154"/>
    <w:p>
      <w:pPr>
        <w:ind w:left="-20" w:firstLine="1952"/>
        <w:spacing w:after="0" w:line="271" w:lineRule="auto"/>
        <w:tabs>
          <w:tab w:leader="none" w:pos="243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Subject to the applicable terms of the Security Documents and any Intercreditor Agreements, after the acquisition by any Grantor of any tanker or other marine vessel with a value (as reasonably estimated by the Issuer) in excess of $40.0 million, the Issuer, as soon as practicable thereafter using commercially reasonable efforts, shall cause such Grantor to (i) execute, deliver and record a Ship Mortgage with respect thereto; (ii) deliver customary legal opinions of admiralty counsel; and (iii) deliver an updated perfection certificate; it being understood and agreed that with respect to any tanker or other marine vessel with a value (as reasonably estimated by the Issuer) in excess of $40.0 million owned by any Restricted Subsidiary at the time such Restricted Subsidiary is required to become a Guarantor under this Indenture, such tanker or other marine vessel shall be deemed to have been acquired by such Restricted Subsidiary on the first day of the time period within which such Restricted Subsidiary is required to become a Guarantor under this Indenture.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SUCCESSORS</w:t>
      </w:r>
    </w:p>
    <w:p>
      <w:pPr>
        <w:spacing w:after="0" w:line="229" w:lineRule="exact"/>
        <w:rPr>
          <w:sz w:val="20"/>
          <w:szCs w:val="20"/>
          <w:color w:val="auto"/>
        </w:rPr>
      </w:pPr>
    </w:p>
    <w:p>
      <w:pPr>
        <w:ind w:left="1280"/>
        <w:spacing w:after="0"/>
        <w:tabs>
          <w:tab w:leader="none" w:pos="28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MERGER, CONSOLIDATION, AMALGAMATION OR SALE OF ALL OR SUBSTANTIALLY ALL ASSETS</w:t>
      </w:r>
      <w:r>
        <w:rPr>
          <w:rFonts w:ascii="Arial" w:cs="Arial" w:eastAsia="Arial" w:hAnsi="Arial"/>
          <w:sz w:val="17"/>
          <w:szCs w:val="17"/>
          <w:color w:val="auto"/>
        </w:rPr>
        <w:t>.</w:t>
      </w:r>
    </w:p>
    <w:p>
      <w:pPr>
        <w:spacing w:after="0" w:line="225" w:lineRule="exact"/>
        <w:rPr>
          <w:sz w:val="20"/>
          <w:szCs w:val="20"/>
          <w:color w:val="auto"/>
        </w:rPr>
      </w:pPr>
    </w:p>
    <w:p>
      <w:pPr>
        <w:jc w:val="both"/>
        <w:ind w:left="-20" w:right="440" w:firstLine="1952"/>
        <w:spacing w:after="0" w:line="263" w:lineRule="auto"/>
        <w:tabs>
          <w:tab w:leader="none" w:pos="24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Issuer shall not merge, consolidate or amalgamate with or into or wind up into (whether or not the Issuer is the surviving Person), or sell, assign, transfer, lease, convey or otherwise dispose of all or substantially all of the properties or assets of the Issuer and its Restricted Subsidiaries, taken as a whole, in one or more related transactions, to any Person unless:</w:t>
      </w:r>
    </w:p>
    <w:p>
      <w:pPr>
        <w:spacing w:after="0" w:line="183" w:lineRule="exact"/>
        <w:rPr>
          <w:rFonts w:ascii="Arial" w:cs="Arial" w:eastAsia="Arial" w:hAnsi="Arial"/>
          <w:sz w:val="18"/>
          <w:szCs w:val="18"/>
          <w:color w:val="auto"/>
        </w:rPr>
      </w:pPr>
    </w:p>
    <w:p>
      <w:pPr>
        <w:ind w:left="640" w:right="600" w:firstLine="1940"/>
        <w:spacing w:after="0" w:line="273" w:lineRule="auto"/>
        <w:tabs>
          <w:tab w:leader="none" w:pos="306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Issuer is the surviving Person or the Person formed by or surviving any such merger, consolidation, amalgamation or winding up (if other than the Issuer) or to which such sale, assignment, transfer, lease, conveyance or other disposition will have been made is a corporation, partnership, limited partnership, limited liability company, trust or other entity organized or existing under the laws of the United States, any state or territory thereof or the District of Columbia (the Issuer or such Person, as the case may be, being herein called the “</w:t>
      </w:r>
      <w:r>
        <w:rPr>
          <w:rFonts w:ascii="Arial" w:cs="Arial" w:eastAsia="Arial" w:hAnsi="Arial"/>
          <w:sz w:val="17"/>
          <w:szCs w:val="17"/>
          <w:u w:val="single" w:color="auto"/>
          <w:color w:val="auto"/>
        </w:rPr>
        <w:t>Successor 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where the Successor Company of the Issuer is not a corporation, a co-issuer of the Notes is a corporation;</w:t>
      </w:r>
    </w:p>
    <w:p>
      <w:pPr>
        <w:spacing w:after="0" w:line="177" w:lineRule="exact"/>
        <w:rPr>
          <w:rFonts w:ascii="Arial" w:cs="Arial" w:eastAsia="Arial" w:hAnsi="Arial"/>
          <w:sz w:val="17"/>
          <w:szCs w:val="17"/>
          <w:color w:val="auto"/>
        </w:rPr>
      </w:pPr>
    </w:p>
    <w:p>
      <w:pPr>
        <w:ind w:left="640" w:right="700" w:firstLine="1940"/>
        <w:spacing w:after="0" w:line="257" w:lineRule="auto"/>
        <w:tabs>
          <w:tab w:leader="none" w:pos="311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Successor Company (if other than the Issuer) expressly assumes all of the obligations of the Issuer under this Indenture, the Notes, any Equal Priority Intercreditor Agreement, any Junior Priority Intercreditor Agreement and the applicable Security Documents pursuant to supplemental indentures, joinders to the applicable Security Documents, any Equal Priority Intercreditor Agreement, any Junior Priority Intercreditor Agreement, or other documents or instruments in form reasonably satisfactory to the Trustee and the Notes Collateral Agent;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341" w:right="399" w:bottom="1440" w:gutter="0" w:footer="0" w:header="0"/>
        </w:sectPr>
      </w:pPr>
    </w:p>
    <w:bookmarkStart w:id="155" w:name="page156"/>
    <w:bookmarkEnd w:id="155"/>
    <w:p>
      <w:pPr>
        <w:ind w:left="3040" w:hanging="580"/>
        <w:spacing w:after="0"/>
        <w:tabs>
          <w:tab w:leader="none" w:pos="304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immediately after such transaction, no Event of Default shall have occurred and be continuing;</w:t>
      </w:r>
    </w:p>
    <w:p>
      <w:pPr>
        <w:spacing w:after="0" w:line="225" w:lineRule="exact"/>
        <w:rPr>
          <w:rFonts w:ascii="Arial" w:cs="Arial" w:eastAsia="Arial" w:hAnsi="Arial"/>
          <w:sz w:val="18"/>
          <w:szCs w:val="18"/>
          <w:color w:val="auto"/>
        </w:rPr>
      </w:pPr>
    </w:p>
    <w:p>
      <w:pPr>
        <w:ind w:left="520" w:right="560" w:firstLine="1940"/>
        <w:spacing w:after="0" w:line="277" w:lineRule="auto"/>
        <w:tabs>
          <w:tab w:leader="none" w:pos="3039"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in the case of the Issuer, immediately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transaction and any related financing transactions, as if such transactions had occurred at the beginning of the Test Period, either</w:t>
      </w:r>
    </w:p>
    <w:p>
      <w:pPr>
        <w:spacing w:after="0" w:line="170" w:lineRule="exact"/>
        <w:rPr>
          <w:rFonts w:ascii="Arial" w:cs="Arial" w:eastAsia="Arial" w:hAnsi="Arial"/>
          <w:sz w:val="18"/>
          <w:szCs w:val="18"/>
          <w:color w:val="auto"/>
        </w:rPr>
      </w:pPr>
    </w:p>
    <w:p>
      <w:pPr>
        <w:ind w:left="3560" w:hanging="533"/>
        <w:spacing w:after="0"/>
        <w:tabs>
          <w:tab w:leader="none" w:pos="3560" w:val="left"/>
        </w:tabs>
        <w:numPr>
          <w:ilvl w:val="2"/>
          <w:numId w:val="215"/>
        </w:numPr>
        <w:rPr>
          <w:rFonts w:ascii="Arial" w:cs="Arial" w:eastAsia="Arial" w:hAnsi="Arial"/>
          <w:sz w:val="17"/>
          <w:szCs w:val="17"/>
          <w:color w:val="auto"/>
        </w:rPr>
      </w:pPr>
      <w:r>
        <w:rPr>
          <w:rFonts w:ascii="Arial" w:cs="Arial" w:eastAsia="Arial" w:hAnsi="Arial"/>
          <w:sz w:val="17"/>
          <w:szCs w:val="17"/>
          <w:color w:val="auto"/>
        </w:rPr>
        <w:t>the Successor Company would be permitted to incur at least $1.00 of additional Indebtedness</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 xml:space="preserve">pursuant to the Fixed Charge Coverage Ratio test set forth in the first paragraph of </w:t>
      </w:r>
      <w:r>
        <w:rPr>
          <w:rFonts w:ascii="Arial" w:cs="Arial" w:eastAsia="Arial" w:hAnsi="Arial"/>
          <w:sz w:val="18"/>
          <w:szCs w:val="18"/>
          <w:u w:val="single" w:color="auto"/>
          <w:color w:val="auto"/>
        </w:rPr>
        <w:t>Section 4.09</w:t>
      </w:r>
      <w:r>
        <w:rPr>
          <w:rFonts w:ascii="Arial" w:cs="Arial" w:eastAsia="Arial" w:hAnsi="Arial"/>
          <w:sz w:val="18"/>
          <w:szCs w:val="18"/>
          <w:color w:val="auto"/>
        </w:rPr>
        <w:t>, or</w:t>
      </w:r>
    </w:p>
    <w:p>
      <w:pPr>
        <w:spacing w:after="0" w:line="210" w:lineRule="exact"/>
        <w:rPr>
          <w:rFonts w:ascii="Arial" w:cs="Arial" w:eastAsia="Arial" w:hAnsi="Arial"/>
          <w:sz w:val="17"/>
          <w:szCs w:val="17"/>
          <w:color w:val="auto"/>
        </w:rPr>
      </w:pPr>
    </w:p>
    <w:p>
      <w:pPr>
        <w:ind w:left="3560" w:hanging="533"/>
        <w:spacing w:after="0"/>
        <w:tabs>
          <w:tab w:leader="none" w:pos="356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the Fixed Charge Coverage Ratio immediately after such transaction would be equal to or</w:t>
      </w:r>
    </w:p>
    <w:p>
      <w:pPr>
        <w:spacing w:after="0" w:line="23"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greater than the Fixed Charge Coverage Ratio of the Issuer immediately prior to such transaction;</w:t>
      </w:r>
    </w:p>
    <w:p>
      <w:pPr>
        <w:spacing w:after="0" w:line="210" w:lineRule="exact"/>
        <w:rPr>
          <w:rFonts w:ascii="Arial" w:cs="Arial" w:eastAsia="Arial" w:hAnsi="Arial"/>
          <w:sz w:val="18"/>
          <w:szCs w:val="18"/>
          <w:color w:val="auto"/>
        </w:rPr>
      </w:pPr>
    </w:p>
    <w:p>
      <w:pPr>
        <w:ind w:left="520" w:right="620" w:firstLine="1940"/>
        <w:spacing w:after="0" w:line="311" w:lineRule="auto"/>
        <w:tabs>
          <w:tab w:leader="none" w:pos="298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Successor Company shall have delivered to the Trustee an Officer’s Certificate and an Opinion of Counsel, each stating that such merger, consolidation, amalgamation, winding up, sale, assignment, transfer, lease, conveyance or disposition and such supplemental indentures or other documents or instruments, if any, comply with this Indenture; and</w:t>
      </w:r>
    </w:p>
    <w:p>
      <w:pPr>
        <w:spacing w:after="0" w:line="148" w:lineRule="exact"/>
        <w:rPr>
          <w:rFonts w:ascii="Arial" w:cs="Arial" w:eastAsia="Arial" w:hAnsi="Arial"/>
          <w:sz w:val="16"/>
          <w:szCs w:val="16"/>
          <w:color w:val="auto"/>
        </w:rPr>
      </w:pPr>
    </w:p>
    <w:p>
      <w:pPr>
        <w:ind w:left="520" w:right="700" w:firstLine="1940"/>
        <w:spacing w:after="0" w:line="296" w:lineRule="auto"/>
        <w:tabs>
          <w:tab w:leader="none" w:pos="3039"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to the extent any assets of the Person who is merged, consolidated or amalgamated with or into the Successor Company are assets of the type that would constitute Collateral under the Security Documents, the Successor Company will take such action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w:t>
      </w:r>
    </w:p>
    <w:p>
      <w:pPr>
        <w:spacing w:after="0" w:line="161" w:lineRule="exact"/>
        <w:rPr>
          <w:rFonts w:ascii="Arial" w:cs="Arial" w:eastAsia="Arial" w:hAnsi="Arial"/>
          <w:sz w:val="16"/>
          <w:szCs w:val="16"/>
          <w:color w:val="auto"/>
        </w:rPr>
      </w:pPr>
    </w:p>
    <w:p>
      <w:pPr>
        <w:ind w:left="-140" w:firstLine="1952"/>
        <w:spacing w:after="0" w:line="301" w:lineRule="auto"/>
        <w:tabs>
          <w:tab w:leader="none" w:pos="232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The Successor Company will succeed to and be substituted for the Issuer under this Indenture, the Notes, any Equal Priority Intercreditor Agreement, any Junior Priority Intercreditor Agreement and the applicable Security Documents and the Issuer will automatically be released and discharged from its obligations under this Indenture, the Notes, the Note Guarantee, any Equal Priority Intercreditor Agreement, any Junior Priority Intercreditor Agreement and the applicable Security Documents, as applicable. Notwithstanding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5.01(a)</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3560" w:hanging="533"/>
        <w:spacing w:after="0"/>
        <w:tabs>
          <w:tab w:leader="none" w:pos="3560" w:val="left"/>
        </w:tabs>
        <w:numPr>
          <w:ilvl w:val="2"/>
          <w:numId w:val="216"/>
        </w:numPr>
        <w:rPr>
          <w:rFonts w:ascii="Arial" w:cs="Arial" w:eastAsia="Arial" w:hAnsi="Arial"/>
          <w:sz w:val="17"/>
          <w:szCs w:val="17"/>
          <w:color w:val="auto"/>
        </w:rPr>
      </w:pPr>
      <w:r>
        <w:rPr>
          <w:rFonts w:ascii="Arial" w:cs="Arial" w:eastAsia="Arial" w:hAnsi="Arial"/>
          <w:sz w:val="17"/>
          <w:szCs w:val="17"/>
          <w:color w:val="auto"/>
        </w:rPr>
        <w:t>any Restricted Subsidiary may merge, consolidate or amalgamate with or into, wind up into or</w:t>
      </w:r>
    </w:p>
    <w:p>
      <w:pPr>
        <w:spacing w:after="0" w:line="35" w:lineRule="exact"/>
        <w:rPr>
          <w:sz w:val="20"/>
          <w:szCs w:val="20"/>
          <w:color w:val="auto"/>
        </w:rPr>
      </w:pPr>
    </w:p>
    <w:p>
      <w:pPr>
        <w:ind w:left="600" w:right="1220"/>
        <w:spacing w:after="0" w:line="260" w:lineRule="auto"/>
        <w:rPr>
          <w:sz w:val="20"/>
          <w:szCs w:val="20"/>
          <w:color w:val="auto"/>
        </w:rPr>
      </w:pPr>
      <w:r>
        <w:rPr>
          <w:rFonts w:ascii="Arial" w:cs="Arial" w:eastAsia="Arial" w:hAnsi="Arial"/>
          <w:sz w:val="18"/>
          <w:szCs w:val="18"/>
          <w:color w:val="auto"/>
        </w:rPr>
        <w:t>sell, assign, transfer, lease, convey or otherwise dispose of all or part of its properties and assets to the Issuer or any Restricted Subsidiary,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48895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60" w:top="341" w:right="539" w:bottom="1440" w:gutter="0" w:footer="0" w:header="0"/>
        </w:sectPr>
      </w:pPr>
    </w:p>
    <w:bookmarkStart w:id="156" w:name="page157"/>
    <w:bookmarkEnd w:id="156"/>
    <w:p>
      <w:pPr>
        <w:ind w:left="700" w:right="820" w:firstLine="2427"/>
        <w:spacing w:after="0" w:line="263" w:lineRule="auto"/>
        <w:tabs>
          <w:tab w:leader="none" w:pos="365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Issuer may merge, consolidate or amalgamate with or into or wind up into an Affiliate of the Issuer solely for the purpose of reincorporating the Issuer in the United States, any state or territory thereof or the District of Columbia, and</w:t>
      </w:r>
    </w:p>
    <w:p>
      <w:pPr>
        <w:spacing w:after="0" w:line="183" w:lineRule="exact"/>
        <w:rPr>
          <w:rFonts w:ascii="Arial" w:cs="Arial" w:eastAsia="Arial" w:hAnsi="Arial"/>
          <w:sz w:val="18"/>
          <w:szCs w:val="18"/>
          <w:color w:val="auto"/>
        </w:rPr>
      </w:pPr>
    </w:p>
    <w:p>
      <w:pPr>
        <w:ind w:left="3660" w:hanging="533"/>
        <w:spacing w:after="0"/>
        <w:tabs>
          <w:tab w:leader="none" w:pos="36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Issuer may merge, consolidate or amalgamate with or into, wind up into or sell, assign,</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transfer, lease convey or otherwise dispose of all or part of its properties and assets to any Guarantor.</w:t>
      </w:r>
    </w:p>
    <w:p>
      <w:pPr>
        <w:spacing w:after="0" w:line="210" w:lineRule="exact"/>
        <w:rPr>
          <w:rFonts w:ascii="Arial" w:cs="Arial" w:eastAsia="Arial" w:hAnsi="Arial"/>
          <w:sz w:val="18"/>
          <w:szCs w:val="18"/>
          <w:color w:val="auto"/>
        </w:rPr>
      </w:pPr>
    </w:p>
    <w:p>
      <w:pPr>
        <w:ind w:left="-40" w:firstLine="1952"/>
        <w:spacing w:after="0" w:line="259" w:lineRule="auto"/>
        <w:tabs>
          <w:tab w:leader="none" w:pos="241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the provisions described in this Indenture and the Security Documents governing release of a Note Guarantee, no Guarantor shall, and the Issuer shall not permit a Guarantor to, merge, consolidate or amalgamate with or into or wind up into (whether or not the Guarantor is the surviving Person), or sell, assign, transfer, lease, convey or otherwise dispose of all or substantially all of its and its Restricted Subsidiaries’ properties or assets, taken as a whole, in one or more related transactions, to any Person unless:</w:t>
      </w:r>
    </w:p>
    <w:p>
      <w:pPr>
        <w:spacing w:after="0" w:line="186" w:lineRule="exact"/>
        <w:rPr>
          <w:rFonts w:ascii="Arial" w:cs="Arial" w:eastAsia="Arial" w:hAnsi="Arial"/>
          <w:sz w:val="18"/>
          <w:szCs w:val="18"/>
          <w:color w:val="auto"/>
        </w:rPr>
      </w:pPr>
    </w:p>
    <w:p>
      <w:pPr>
        <w:ind w:left="700" w:right="600" w:firstLine="2427"/>
        <w:spacing w:after="0" w:line="255" w:lineRule="auto"/>
        <w:tabs>
          <w:tab w:leader="none" w:pos="338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such Guarantor is the surviving Person or the Person formed by or surviving any such merger, consolidation, amalgamation or winding up (if other than such Guarantor) or to which such sale, assignment, transfer, lease, conveyance or other disposition will have been made is a corporation, partnership, limited partnership, limited liability company, trust or other entity organized or existing under the laws of the jurisdiction of organization of such Guarantor or any other Guarantor or the laws of the United States, any state or territory thereof or the District of Columbia (such Guarantor or such Person, as the case may be, being herein called the “</w:t>
      </w:r>
      <w:r>
        <w:rPr>
          <w:rFonts w:ascii="Arial" w:cs="Arial" w:eastAsia="Arial" w:hAnsi="Arial"/>
          <w:sz w:val="18"/>
          <w:szCs w:val="18"/>
          <w:u w:val="single" w:color="auto"/>
          <w:color w:val="auto"/>
        </w:rPr>
        <w:t>Successor Guarantor</w:t>
      </w:r>
      <w:r>
        <w:rPr>
          <w:rFonts w:ascii="Arial" w:cs="Arial" w:eastAsia="Arial" w:hAnsi="Arial"/>
          <w:sz w:val="18"/>
          <w:szCs w:val="18"/>
          <w:color w:val="auto"/>
        </w:rPr>
        <w:t>“);</w:t>
      </w:r>
    </w:p>
    <w:p>
      <w:pPr>
        <w:spacing w:after="0" w:line="192" w:lineRule="exact"/>
        <w:rPr>
          <w:sz w:val="20"/>
          <w:szCs w:val="20"/>
          <w:color w:val="auto"/>
        </w:rPr>
      </w:pPr>
    </w:p>
    <w:p>
      <w:pPr>
        <w:ind w:left="4080" w:hanging="548"/>
        <w:spacing w:after="0"/>
        <w:tabs>
          <w:tab w:leader="none" w:pos="4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Successor Guarantor, if other than such Guarantor, expressly assumes all the</w:t>
      </w:r>
    </w:p>
    <w:p>
      <w:pPr>
        <w:spacing w:after="0" w:line="23" w:lineRule="exact"/>
        <w:rPr>
          <w:rFonts w:ascii="Arial" w:cs="Arial" w:eastAsia="Arial" w:hAnsi="Arial"/>
          <w:sz w:val="18"/>
          <w:szCs w:val="18"/>
          <w:color w:val="auto"/>
        </w:rPr>
      </w:pPr>
    </w:p>
    <w:p>
      <w:pPr>
        <w:ind w:left="1260" w:right="1920"/>
        <w:spacing w:after="0" w:line="253" w:lineRule="auto"/>
        <w:rPr>
          <w:rFonts w:ascii="Arial" w:cs="Arial" w:eastAsia="Arial" w:hAnsi="Arial"/>
          <w:sz w:val="18"/>
          <w:szCs w:val="18"/>
          <w:color w:val="auto"/>
        </w:rPr>
      </w:pPr>
      <w:r>
        <w:rPr>
          <w:rFonts w:ascii="Arial" w:cs="Arial" w:eastAsia="Arial" w:hAnsi="Arial"/>
          <w:sz w:val="18"/>
          <w:szCs w:val="18"/>
          <w:color w:val="auto"/>
        </w:rPr>
        <w:t>obligations of such Guarantor under this Indenture and such Guarantor’s related Note Guarantee pursuant to supplemental indentures, joinders to the applicable Security Documents and any Equal Priority Intercreditor Agreement, any Junior Priority Intercreditor Agreement or other documents or instruments in form reasonably satisfactory to the Trustee and the Notes Collateral Agent; and</w:t>
      </w:r>
    </w:p>
    <w:p>
      <w:pPr>
        <w:spacing w:after="0" w:line="192" w:lineRule="exact"/>
        <w:rPr>
          <w:rFonts w:ascii="Arial" w:cs="Arial" w:eastAsia="Arial" w:hAnsi="Arial"/>
          <w:sz w:val="18"/>
          <w:szCs w:val="18"/>
          <w:color w:val="auto"/>
        </w:rPr>
      </w:pPr>
    </w:p>
    <w:p>
      <w:pPr>
        <w:ind w:left="1260" w:right="1240" w:firstLine="2272"/>
        <w:spacing w:after="0" w:line="273" w:lineRule="auto"/>
        <w:tabs>
          <w:tab w:leader="none" w:pos="408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to the extent any assets of the Person who is merged, consolidated or amalgamated with or into the Successor Guarantor are assets of the type that would constitute Collateral under the Security Documents, the Successor Guarantor will take such action as may be reasonably necessary to cause such property and assets to be made subject to the Lien of the applicable Security Documents in the manner and to the extent required in this Indenture or the applicable Security Documents and shall take all reasonably necessary action so that such Lien is perfected to the extent required by the applicable Security Documents;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60" w:top="341" w:right="419" w:bottom="1440" w:gutter="0" w:footer="0" w:header="0"/>
        </w:sectPr>
      </w:pPr>
    </w:p>
    <w:bookmarkStart w:id="157" w:name="page158"/>
    <w:bookmarkEnd w:id="157"/>
    <w:p>
      <w:pPr>
        <w:ind w:left="3700" w:hanging="533"/>
        <w:spacing w:after="0"/>
        <w:tabs>
          <w:tab w:leader="none" w:pos="37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the transaction is not prohibited by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87" w:lineRule="auto"/>
        <w:tabs>
          <w:tab w:leader="none" w:pos="246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Successor Guarantor will succeed to, and be substituted for, such Guarantor under this Indenture, any Equal Priority Intercreditor Agreement, any Junior Priority Intercreditor Agreement and the applicable Security Documents and such Guarantor’s Note Guarantee and such Guarantor will automatically be released and discharged from its obligations under this Indenture, any Equal Priority Intercreditor Agreement, any Junior Priority Intercreditor Agreement and the applicable Security Documents and such Guarantor’s Note Guarantee. Notwithstanding the foregoing, any Guarantor may (i) merge, consolidate or amalgamate with or into, wind up into or sell, assign, transfer, lease, convey or otherwise dispose of all or part of its properties or assets to another Guarantor or the Issuer, (ii) merge, consolidate or amalgamate with or into or wind up into the Issuer or an Affiliate of the Issuer solely for the purpose of reincorporating or reorganizing such Guarantor in the United States, any state or territory thereof, the District of Columbia or the jurisdiction of organization of any other Guarantor, (iii) convert into a corporation, partnership, limited partnership, limited liability company, trust or other entity organized or existing under the laws of the jurisdiction of organization of such Guarantor or any other Guarantor, or the laws of a jurisdiction in the United States, any state or territory thereof or the District of Columbia or (iv) liquidate or dissolve or change its legal form if the Board of Directors or the senior management of the Issuer determines in good faith that such action is in the best interests of the Issuer and is not materially disadvantageous to the Holders, in each case, without regard to the requirements set forth in </w:t>
      </w:r>
      <w:r>
        <w:rPr>
          <w:rFonts w:ascii="Arial" w:cs="Arial" w:eastAsia="Arial" w:hAnsi="Arial"/>
          <w:sz w:val="16"/>
          <w:szCs w:val="16"/>
          <w:u w:val="single" w:color="auto"/>
          <w:color w:val="auto"/>
        </w:rPr>
        <w:t>Section 5.01(c)</w:t>
      </w:r>
      <w:r>
        <w:rPr>
          <w:rFonts w:ascii="Arial" w:cs="Arial" w:eastAsia="Arial" w:hAnsi="Arial"/>
          <w:sz w:val="16"/>
          <w:szCs w:val="16"/>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DEFAULTS AND REMEDIES</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w:t>
      </w:r>
    </w:p>
    <w:p>
      <w:pPr>
        <w:spacing w:after="0" w:line="225" w:lineRule="exact"/>
        <w:rPr>
          <w:sz w:val="20"/>
          <w:szCs w:val="20"/>
          <w:color w:val="auto"/>
        </w:rPr>
      </w:pPr>
    </w:p>
    <w:p>
      <w:pPr>
        <w:ind w:left="2460" w:hanging="508"/>
        <w:spacing w:after="0"/>
        <w:tabs>
          <w:tab w:leader="none" w:pos="2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w:t>
      </w:r>
    </w:p>
    <w:p>
      <w:pPr>
        <w:spacing w:after="0" w:line="225" w:lineRule="exact"/>
        <w:rPr>
          <w:rFonts w:ascii="Arial" w:cs="Arial" w:eastAsia="Arial" w:hAnsi="Arial"/>
          <w:sz w:val="18"/>
          <w:szCs w:val="18"/>
          <w:color w:val="auto"/>
        </w:rPr>
      </w:pPr>
    </w:p>
    <w:p>
      <w:pPr>
        <w:ind w:left="740" w:right="1080" w:firstLine="2427"/>
        <w:spacing w:after="0" w:line="277" w:lineRule="auto"/>
        <w:tabs>
          <w:tab w:leader="none" w:pos="369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default in payment when due and payable, upon redemption, acceleration or otherwise, of principal of, or premium, if any, on the Notes;</w:t>
      </w:r>
    </w:p>
    <w:p>
      <w:pPr>
        <w:spacing w:after="0" w:line="170" w:lineRule="exact"/>
        <w:rPr>
          <w:rFonts w:ascii="Arial" w:cs="Arial" w:eastAsia="Arial" w:hAnsi="Arial"/>
          <w:sz w:val="18"/>
          <w:szCs w:val="18"/>
          <w:color w:val="auto"/>
        </w:rPr>
      </w:pPr>
    </w:p>
    <w:p>
      <w:pPr>
        <w:ind w:left="3700" w:hanging="533"/>
        <w:spacing w:after="0"/>
        <w:tabs>
          <w:tab w:leader="none" w:pos="37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default for 30 days or more in the payment when due of interest on or with respect to the Notes;</w:t>
      </w:r>
    </w:p>
    <w:p>
      <w:pPr>
        <w:spacing w:after="0" w:line="236" w:lineRule="exact"/>
        <w:rPr>
          <w:rFonts w:ascii="Arial" w:cs="Arial" w:eastAsia="Arial" w:hAnsi="Arial"/>
          <w:sz w:val="17"/>
          <w:szCs w:val="17"/>
          <w:color w:val="auto"/>
        </w:rPr>
      </w:pPr>
    </w:p>
    <w:p>
      <w:pPr>
        <w:ind w:left="740" w:right="640" w:firstLine="2427"/>
        <w:spacing w:after="0" w:line="275" w:lineRule="auto"/>
        <w:tabs>
          <w:tab w:leader="none" w:pos="3695"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failure by the Issuer or any Restricted Subsidiary for 60 days after receipt of written notice given by the Trustee or the Holders of not less than 30.0% in principal amount of the Notes then outstanding (with a copy to the Trustee) to comply with any of its obligations, covenants or agreements (other than a default referred to in clauses (1) or (2) above) contained in this Indenture or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failure to comply with </w:t>
      </w:r>
      <w:r>
        <w:rPr>
          <w:rFonts w:ascii="Arial" w:cs="Arial" w:eastAsia="Arial" w:hAnsi="Arial"/>
          <w:sz w:val="17"/>
          <w:szCs w:val="17"/>
          <w:u w:val="single" w:color="auto"/>
          <w:color w:val="auto"/>
        </w:rPr>
        <w:t>Section 4.03</w:t>
      </w:r>
      <w:r>
        <w:rPr>
          <w:rFonts w:ascii="Arial" w:cs="Arial" w:eastAsia="Arial" w:hAnsi="Arial"/>
          <w:sz w:val="17"/>
          <w:szCs w:val="17"/>
          <w:color w:val="auto"/>
        </w:rPr>
        <w:t>, such period of continuance of such default or breach shall be 180 days after written notice described in this clause (3) has been given;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8" w:name="page159"/>
    <w:bookmarkEnd w:id="158"/>
    <w:p>
      <w:pPr>
        <w:ind w:left="80" w:right="40" w:firstLine="2427"/>
        <w:spacing w:after="0" w:line="270" w:lineRule="auto"/>
        <w:tabs>
          <w:tab w:leader="none" w:pos="3035" w:val="left"/>
        </w:tabs>
        <w:numPr>
          <w:ilvl w:val="1"/>
          <w:numId w:val="223"/>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(other than (i) Indebtedness owed to the Issuer or a Restricted Subsidiary, (ii) any Permitted Receivables Financing, (iii) with respect to Indebtedness consisting of Hedging Obligations, termination events or equivalent events pursuant to the terms of the relevant Hedge Agreement which are not the result of any default thereunder by the Issuer or any Restricted Subsidiary and (iv) Indebtedness of a Restricted Subsidiary as to which the Issuer delivers to the Trustee an Officer’s Certificate certifying a resolution adopted by the Issuer to the effect that the obligees of such Indebtedness have no recourse to the assets of the Issuer or any Guarantor), whether such Indebtedness or guarantee now exists or is created after the issuance of the Notes, if both</w:t>
      </w:r>
    </w:p>
    <w:p>
      <w:pPr>
        <w:spacing w:after="0" w:line="180" w:lineRule="exact"/>
        <w:rPr>
          <w:rFonts w:ascii="Arial" w:cs="Arial" w:eastAsia="Arial" w:hAnsi="Arial"/>
          <w:sz w:val="17"/>
          <w:szCs w:val="17"/>
          <w:color w:val="auto"/>
        </w:rPr>
      </w:pPr>
    </w:p>
    <w:p>
      <w:pPr>
        <w:ind w:right="140" w:firstLine="2264"/>
        <w:spacing w:after="0" w:line="259" w:lineRule="auto"/>
        <w:tabs>
          <w:tab w:leader="none" w:pos="275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spacing w:after="0" w:line="186" w:lineRule="exact"/>
        <w:rPr>
          <w:rFonts w:ascii="Arial" w:cs="Arial" w:eastAsia="Arial" w:hAnsi="Arial"/>
          <w:sz w:val="18"/>
          <w:szCs w:val="18"/>
          <w:color w:val="auto"/>
        </w:rPr>
      </w:pPr>
    </w:p>
    <w:p>
      <w:pPr>
        <w:ind w:right="20" w:firstLine="2264"/>
        <w:spacing w:after="0" w:line="296" w:lineRule="auto"/>
        <w:tabs>
          <w:tab w:leader="none" w:pos="280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equal to $100.0 million (or its foreign currency equivalent);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acceleration is being contested in good faith by appropriate proceedings promptly instituted and diligently concluded, then the Event of Default by reason thereof would not be deemed to have occurred until the conclusion of such proceedings;</w:t>
      </w:r>
    </w:p>
    <w:p>
      <w:pPr>
        <w:spacing w:after="0" w:line="161" w:lineRule="exact"/>
        <w:rPr>
          <w:rFonts w:ascii="Arial" w:cs="Arial" w:eastAsia="Arial" w:hAnsi="Arial"/>
          <w:sz w:val="16"/>
          <w:szCs w:val="16"/>
          <w:color w:val="auto"/>
        </w:rPr>
      </w:pPr>
    </w:p>
    <w:p>
      <w:pPr>
        <w:ind w:left="80" w:firstLine="2427"/>
        <w:spacing w:after="0" w:line="286" w:lineRule="auto"/>
        <w:tabs>
          <w:tab w:leader="none" w:pos="308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failure by the Issuer or any Restricted Subsidiary that is a Significant Subsidiary (other than any Receivables Subsidiary) (or group of Restricted Subsidiaries that together (as determined as of the most recent consolidated financial statements of the Issuer for a fiscal quarter end provided as required under Section 4.03) would constitute a Significant Subsidiary, other than any Receivables Subsidiary) to pay final non-appealable judgments aggregating in excess of $100.0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 provided that such failure shall not be an Event of Default with respect to a judgment against a Significant Subsidiary as to which the Issuer delivers to the Trustee an Officer’s Certificate certifying a resolution adopted by the Board of Directors of the Issuer to the effect that the creditors of such Significant Subsidiary have no recourse to the assets of the Issuer or any Guarantor (other than such Significant Subsidiary) and that the Board of Directors of the Issuer has determined in good faith that the assets of such Significant Subsidiary have a Fair Market Value less than the sum of (x) the amount of such outstanding judgment, and (y) the outstanding Indebtedness of such Significant Subsidiary;</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59" w:name="page160"/>
    <w:bookmarkEnd w:id="159"/>
    <w:p>
      <w:pPr>
        <w:ind w:left="80" w:right="120" w:firstLine="2427"/>
        <w:spacing w:after="0" w:line="259" w:lineRule="auto"/>
        <w:tabs>
          <w:tab w:leader="none" w:pos="2765"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(A)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would constitute a Significant Subsidiary, other than a Receivables Subsidiary), pursuant to or within the meaning of any Bankruptcy Law:</w:t>
      </w:r>
    </w:p>
    <w:p>
      <w:pPr>
        <w:spacing w:after="0" w:line="186" w:lineRule="exact"/>
        <w:rPr>
          <w:rFonts w:ascii="Arial" w:cs="Arial" w:eastAsia="Arial" w:hAnsi="Arial"/>
          <w:sz w:val="18"/>
          <w:szCs w:val="18"/>
          <w:color w:val="auto"/>
        </w:rPr>
      </w:pPr>
    </w:p>
    <w:p>
      <w:pPr>
        <w:ind w:left="2740" w:hanging="476"/>
        <w:spacing w:after="0"/>
        <w:tabs>
          <w:tab w:leader="none" w:pos="27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2800" w:hanging="536"/>
        <w:spacing w:after="0"/>
        <w:tabs>
          <w:tab w:leader="none" w:pos="28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 petition or answer or consent seeking reorganization or relief under applicable Bankruptcy Law;</w:t>
      </w:r>
    </w:p>
    <w:p>
      <w:pPr>
        <w:spacing w:after="0" w:line="210" w:lineRule="exact"/>
        <w:rPr>
          <w:rFonts w:ascii="Arial" w:cs="Arial" w:eastAsia="Arial" w:hAnsi="Arial"/>
          <w:sz w:val="16"/>
          <w:szCs w:val="16"/>
          <w:color w:val="auto"/>
        </w:rPr>
      </w:pPr>
    </w:p>
    <w:p>
      <w:pPr>
        <w:ind w:right="480" w:firstLine="2264"/>
        <w:spacing w:after="0" w:line="277" w:lineRule="auto"/>
        <w:tabs>
          <w:tab w:leader="none" w:pos="28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840" w:hanging="576"/>
        <w:spacing w:after="0"/>
        <w:tabs>
          <w:tab w:leader="none" w:pos="28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sz w:val="20"/>
          <w:szCs w:val="20"/>
          <w:color w:val="auto"/>
        </w:rPr>
      </w:pPr>
    </w:p>
    <w:p>
      <w:pPr>
        <w:ind w:left="3460" w:hanging="548"/>
        <w:spacing w:after="0"/>
        <w:tabs>
          <w:tab w:leader="none" w:pos="3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Law that:</w:t>
      </w:r>
    </w:p>
    <w:p>
      <w:pPr>
        <w:spacing w:after="0" w:line="211" w:lineRule="exact"/>
        <w:rPr>
          <w:sz w:val="20"/>
          <w:szCs w:val="20"/>
          <w:color w:val="auto"/>
        </w:rPr>
      </w:pPr>
    </w:p>
    <w:p>
      <w:pPr>
        <w:ind w:firstLine="2264"/>
        <w:spacing w:after="0" w:line="293" w:lineRule="auto"/>
        <w:tabs>
          <w:tab w:leader="none" w:pos="27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is for relief against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would constitute a Significant Subsidiary other than a Receivables Subsidiary), in a proceeding in which the Issuer or any such Significant Subsidiary or any such group of Restricted Subsidiaries that together (as determined as of the most recent consolidated financial statements of the Issuer for a fiscal quarter end provided as required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would constitute a Significant Subsidiary other than a Receivables Subsidiary, is to be adjudicated bankrupt or insolvent;</w:t>
      </w:r>
    </w:p>
    <w:p>
      <w:pPr>
        <w:spacing w:after="0" w:line="164" w:lineRule="exact"/>
        <w:rPr>
          <w:rFonts w:ascii="Arial" w:cs="Arial" w:eastAsia="Arial" w:hAnsi="Arial"/>
          <w:sz w:val="16"/>
          <w:szCs w:val="16"/>
          <w:color w:val="auto"/>
        </w:rPr>
      </w:pPr>
    </w:p>
    <w:p>
      <w:pPr>
        <w:ind w:right="80" w:firstLine="2264"/>
        <w:spacing w:after="0" w:line="254" w:lineRule="auto"/>
        <w:tabs>
          <w:tab w:leader="none" w:pos="28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appoints a receiver, liquidator, assignee, trustee, sequestrator or other similar official of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would constitute a Significant Subsidiary other than a Receivables Subsidiary), or for all or substantially all of the property of the Issuer or any such Significant Subsidiary or any such group of Restricted Subsidiaries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would constitute a Significant Subsidiary other than a Receivables Subsidiary; or</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341" w:right="1019" w:bottom="1440" w:gutter="0" w:footer="0" w:header="0"/>
        </w:sectPr>
      </w:pPr>
    </w:p>
    <w:bookmarkStart w:id="160" w:name="page161"/>
    <w:bookmarkEnd w:id="160"/>
    <w:p>
      <w:pPr>
        <w:jc w:val="both"/>
        <w:ind w:right="420" w:firstLine="2264"/>
        <w:spacing w:after="0" w:line="311" w:lineRule="auto"/>
        <w:tabs>
          <w:tab w:leader="none" w:pos="2853"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orders the liquidation of the Issuer or any Significant Subsidiary (or any group of Restricted Subsidiaries that together (as determined as of the most recent consolidated financial statements of the Issuer for a fiscal quarter end provided as required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would constitute a Significant Subsidiary other than a Receivables Subsidiary);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left="80" w:firstLine="2427"/>
        <w:spacing w:after="0" w:line="273" w:lineRule="auto"/>
        <w:tabs>
          <w:tab w:leader="none" w:pos="303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any Note Guarantee of any Guarantor that is a Significant Subsidiary (or group of Guarantors that together (as determined as of the most recent consolidated financial statements of the Issuer for a fiscal quarter end provided as required under </w:t>
      </w:r>
      <w:r>
        <w:rPr>
          <w:rFonts w:ascii="Arial" w:cs="Arial" w:eastAsia="Arial" w:hAnsi="Arial"/>
          <w:sz w:val="17"/>
          <w:szCs w:val="17"/>
          <w:u w:val="single" w:color="auto"/>
          <w:color w:val="auto"/>
        </w:rPr>
        <w:t>Section 4.03</w:t>
      </w:r>
      <w:r>
        <w:rPr>
          <w:rFonts w:ascii="Arial" w:cs="Arial" w:eastAsia="Arial" w:hAnsi="Arial"/>
          <w:sz w:val="17"/>
          <w:szCs w:val="17"/>
          <w:color w:val="auto"/>
        </w:rPr>
        <w:t>) would constitute a Significant Subsidiary) ceases to be in full force and effect (other than in accordance with the terms of such Note Guarantee) or such Guarantor or such group of Guarantors denies or disaffirms its obligations under its Note Guarantee (other than by reason of the satisfaction in full of all obligations under this Indenture and discharge of this Indenture or the release of such Note Guarantee in accordance with the terms of this Indenture);</w:t>
      </w:r>
    </w:p>
    <w:p>
      <w:pPr>
        <w:spacing w:after="0" w:line="177" w:lineRule="exact"/>
        <w:rPr>
          <w:rFonts w:ascii="Arial" w:cs="Arial" w:eastAsia="Arial" w:hAnsi="Arial"/>
          <w:sz w:val="17"/>
          <w:szCs w:val="17"/>
          <w:color w:val="auto"/>
        </w:rPr>
      </w:pPr>
    </w:p>
    <w:p>
      <w:pPr>
        <w:ind w:left="3040" w:hanging="533"/>
        <w:spacing w:after="0"/>
        <w:tabs>
          <w:tab w:leader="none" w:pos="30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0" w:right="40" w:firstLine="2427"/>
        <w:spacing w:after="0" w:line="287" w:lineRule="auto"/>
        <w:tabs>
          <w:tab w:leader="none" w:pos="3035" w:val="left"/>
        </w:tabs>
        <w:numPr>
          <w:ilvl w:val="1"/>
          <w:numId w:val="230"/>
        </w:numPr>
        <w:rPr>
          <w:rFonts w:ascii="Arial" w:cs="Arial" w:eastAsia="Arial" w:hAnsi="Arial"/>
          <w:sz w:val="16"/>
          <w:szCs w:val="16"/>
          <w:color w:val="auto"/>
        </w:rPr>
      </w:pPr>
      <w:r>
        <w:rPr>
          <w:rFonts w:ascii="Arial" w:cs="Arial" w:eastAsia="Arial" w:hAnsi="Arial"/>
          <w:sz w:val="16"/>
          <w:szCs w:val="16"/>
          <w:color w:val="auto"/>
        </w:rPr>
        <w:t>(i) the Liens created by the Security Documents shall at any time not constitute a valid and perfected Lien on any material portion of the Collateral intended to be covered thereby (unless perfection is not required by this Indenture or the Security Documents) other than (A) in accordance with the terms of the relevant Security Document and this Indenture,</w:t>
      </w:r>
    </w:p>
    <w:p>
      <w:pPr>
        <w:spacing w:after="0" w:line="2" w:lineRule="exact"/>
        <w:rPr>
          <w:rFonts w:ascii="Arial" w:cs="Arial" w:eastAsia="Arial" w:hAnsi="Arial"/>
          <w:sz w:val="16"/>
          <w:szCs w:val="16"/>
          <w:color w:val="auto"/>
        </w:rPr>
      </w:pPr>
    </w:p>
    <w:p>
      <w:pPr>
        <w:ind w:left="80" w:right="80" w:hanging="3"/>
        <w:spacing w:after="0" w:line="253" w:lineRule="auto"/>
        <w:tabs>
          <w:tab w:leader="none" w:pos="36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satisfaction in full of all Obligations under this Indenture or (C) any loss of perfection that results from the failure of the Controlling Collateral Agent or Notes Collateral Agent to maintain possession of certificates delivered to it representing securities pledged under the Security Documents or to file Uniform Commercial Code continuation statements; and (ii) such default continues for 30 days after receipt of written notice given by the Trustee or the Holders of not less than 30.0% in aggregate principal amount of the then outstanding Notes; or</w:t>
      </w:r>
    </w:p>
    <w:p>
      <w:pPr>
        <w:spacing w:after="0" w:line="190" w:lineRule="exact"/>
        <w:rPr>
          <w:rFonts w:ascii="Arial" w:cs="Arial" w:eastAsia="Arial" w:hAnsi="Arial"/>
          <w:sz w:val="18"/>
          <w:szCs w:val="18"/>
          <w:color w:val="auto"/>
        </w:rPr>
      </w:pPr>
    </w:p>
    <w:p>
      <w:pPr>
        <w:ind w:left="80" w:right="40" w:firstLine="2427"/>
        <w:spacing w:after="0" w:line="254" w:lineRule="auto"/>
        <w:tabs>
          <w:tab w:leader="none" w:pos="312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the Issuer or any Guarantor that is a Significant Subsidiary (or any group of Guarantors that together (as determined as of the most recent consolidated financial statements of the Issuer for a fiscal quarter end provided as required under </w:t>
      </w:r>
      <w:r>
        <w:rPr>
          <w:rFonts w:ascii="Arial" w:cs="Arial" w:eastAsia="Arial" w:hAnsi="Arial"/>
          <w:sz w:val="18"/>
          <w:szCs w:val="18"/>
          <w:u w:val="single" w:color="auto"/>
          <w:color w:val="auto"/>
        </w:rPr>
        <w:t>Section 4.03</w:t>
      </w:r>
      <w:r>
        <w:rPr>
          <w:rFonts w:ascii="Arial" w:cs="Arial" w:eastAsia="Arial" w:hAnsi="Arial"/>
          <w:sz w:val="18"/>
          <w:szCs w:val="18"/>
          <w:color w:val="auto"/>
        </w:rPr>
        <w:t>) would constitute a Significant Subsidiary) shall assert, in any pleading in any court of competent jurisdiction, that any security interest in any material Security Document is invalid or unenforceable (other than by reason of the satisfaction in full of all obligations under this Indenture and discharge of this Indenture, the release of the Note Guarantee of such Guarantor in accordance with the terms of this Indenture or the release of such security interest in accordance with the terms of this Indenture and the Security Documents).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980" w:top="341" w:right="999" w:bottom="1440" w:gutter="0" w:footer="0" w:header="0"/>
        </w:sectPr>
      </w:pPr>
    </w:p>
    <w:bookmarkStart w:id="161" w:name="page162"/>
    <w:bookmarkEnd w:id="161"/>
    <w:p>
      <w:pPr>
        <w:ind w:right="40" w:firstLine="1952"/>
        <w:spacing w:after="0" w:line="286" w:lineRule="auto"/>
        <w:tabs>
          <w:tab w:leader="none" w:pos="246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In the event of any Event of Default specified in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6.01(a)</w:t>
      </w:r>
      <w:r>
        <w:rPr>
          <w:rFonts w:ascii="Arial" w:cs="Arial" w:eastAsia="Arial" w:hAnsi="Arial"/>
          <w:sz w:val="17"/>
          <w:szCs w:val="17"/>
          <w:color w:val="auto"/>
        </w:rPr>
        <w:t>,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spacing w:after="0" w:line="165" w:lineRule="exact"/>
        <w:rPr>
          <w:sz w:val="20"/>
          <w:szCs w:val="20"/>
          <w:color w:val="auto"/>
        </w:rPr>
      </w:pPr>
    </w:p>
    <w:p>
      <w:pPr>
        <w:ind w:left="3700" w:hanging="533"/>
        <w:spacing w:after="0"/>
        <w:tabs>
          <w:tab w:leader="none" w:pos="37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Indebtedness or guarantee that is the basis for such Event of Default has been discharged;</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740" w:right="720" w:firstLine="2427"/>
        <w:spacing w:after="0" w:line="277" w:lineRule="auto"/>
        <w:tabs>
          <w:tab w:leader="none" w:pos="369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requisite holders thereof have rescinded or waived the acceleration, notice or action (as the case may be) giving rise to such Event of Default; or</w:t>
      </w:r>
    </w:p>
    <w:p>
      <w:pPr>
        <w:spacing w:after="0" w:line="170" w:lineRule="exact"/>
        <w:rPr>
          <w:rFonts w:ascii="Arial" w:cs="Arial" w:eastAsia="Arial" w:hAnsi="Arial"/>
          <w:sz w:val="18"/>
          <w:szCs w:val="18"/>
          <w:color w:val="auto"/>
        </w:rPr>
      </w:pPr>
    </w:p>
    <w:p>
      <w:pPr>
        <w:ind w:left="3700" w:hanging="533"/>
        <w:spacing w:after="0"/>
        <w:tabs>
          <w:tab w:leader="none" w:pos="37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default that is the basis for such Event of Default has been cured.</w:t>
      </w:r>
    </w:p>
    <w:p>
      <w:pPr>
        <w:spacing w:after="0" w:line="22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7"/>
          <w:szCs w:val="17"/>
          <w:u w:val="single" w:color="auto"/>
          <w:color w:val="auto"/>
        </w:rPr>
        <w:t>ACCELERATION; NOTEHOLDER DIRECTION</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86" w:lineRule="auto"/>
        <w:tabs>
          <w:tab w:leader="none" w:pos="245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If any Event of Default (other than an Event of Default specified in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with respect to the Issuer) occurs and is continuing under this Indenture, the Trustee or the Holders of at least 30.0% in aggregate principal amount of the then total outstanding Notes may declare the principal, premium, if any, interest and any other monetary obligations on all the then outstanding Notes to be due and payable immediately. Notwithstanding anything in this Indenture to the contrary, a notice of Default may not be given with respect to any action taken, any inaction that occurred or any event that took place and, in each case, was either reported publicly or reported to Holders, more than two years prior to such notice of Default. Any notice of Default, notice of acceleration or instruction to the Trustee to provide a notice of Default, notice of acceleration or take any other action (a “</w:t>
      </w:r>
      <w:r>
        <w:rPr>
          <w:rFonts w:ascii="Arial" w:cs="Arial" w:eastAsia="Arial" w:hAnsi="Arial"/>
          <w:sz w:val="16"/>
          <w:szCs w:val="16"/>
          <w:u w:val="single" w:color="auto"/>
          <w:color w:val="auto"/>
        </w:rPr>
        <w:t>Noteholder Direction</w:t>
      </w:r>
      <w:r>
        <w:rPr>
          <w:rFonts w:ascii="Arial" w:cs="Arial" w:eastAsia="Arial" w:hAnsi="Arial"/>
          <w:sz w:val="16"/>
          <w:szCs w:val="16"/>
          <w:color w:val="auto"/>
        </w:rPr>
        <w:t>“) provided by any one or more Holders (each a “</w:t>
      </w:r>
      <w:r>
        <w:rPr>
          <w:rFonts w:ascii="Arial" w:cs="Arial" w:eastAsia="Arial" w:hAnsi="Arial"/>
          <w:sz w:val="16"/>
          <w:szCs w:val="16"/>
          <w:u w:val="single" w:color="auto"/>
          <w:color w:val="auto"/>
        </w:rPr>
        <w:t>Directing Holder</w:t>
      </w:r>
      <w:r>
        <w:rPr>
          <w:rFonts w:ascii="Arial" w:cs="Arial" w:eastAsia="Arial" w:hAnsi="Arial"/>
          <w:sz w:val="16"/>
          <w:szCs w:val="16"/>
          <w:color w:val="auto"/>
        </w:rPr>
        <w:t>“) must be accompanied by a written representation from each such Holder to the Issuer and the Trustee that such Holder is not (or, in the case such Holder is DTC or its nominee, that such Holder is being instructed solely by beneficial owners that are not) Net Short (a “</w:t>
      </w:r>
      <w:r>
        <w:rPr>
          <w:rFonts w:ascii="Arial" w:cs="Arial" w:eastAsia="Arial" w:hAnsi="Arial"/>
          <w:sz w:val="16"/>
          <w:szCs w:val="16"/>
          <w:u w:val="single" w:color="auto"/>
          <w:color w:val="auto"/>
        </w:rPr>
        <w:t>Position Representation</w:t>
      </w:r>
      <w:r>
        <w:rPr>
          <w:rFonts w:ascii="Arial" w:cs="Arial" w:eastAsia="Arial" w:hAnsi="Arial"/>
          <w:sz w:val="16"/>
          <w:szCs w:val="16"/>
          <w:color w:val="auto"/>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Holder’s Position Representation within five Business Days of request therefor (a “</w:t>
      </w:r>
      <w:r>
        <w:rPr>
          <w:rFonts w:ascii="Arial" w:cs="Arial" w:eastAsia="Arial" w:hAnsi="Arial"/>
          <w:sz w:val="16"/>
          <w:szCs w:val="16"/>
          <w:u w:val="single" w:color="auto"/>
          <w:color w:val="auto"/>
        </w:rPr>
        <w:t>Verification Covenant</w:t>
      </w:r>
      <w:r>
        <w:rPr>
          <w:rFonts w:ascii="Arial" w:cs="Arial" w:eastAsia="Arial" w:hAnsi="Arial"/>
          <w:sz w:val="16"/>
          <w:szCs w:val="16"/>
          <w:color w:val="auto"/>
        </w:rPr>
        <w:t>“). In any case in which the Holder is DTC or its nominee, any Position Representation or Verification Covenant required hereunder shall be provided by the beneficial owner of the Notes in lieu of DTC or its nominee.</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2" w:name="page163"/>
    <w:bookmarkEnd w:id="162"/>
    <w:p>
      <w:pPr>
        <w:ind w:right="60" w:firstLine="1952"/>
        <w:spacing w:after="0" w:line="286" w:lineRule="auto"/>
        <w:tabs>
          <w:tab w:leader="none" w:pos="246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If, following the delivery of a Noteholder Direction, but prior to the acceleration of the Notes, the Issuer determines in good faith that there is a reasonable basis to believe that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If, following the delivery of a Noteholder Direction, but prior to the acceleration of the Notes, the Issuer provides to the Trustee an Officer’s Certificate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the Notes held by the remaining Holders that provided such Noteholder Direction would have been insufficient to validly provide such Noteholder Direction, such Noteholder Direction shall be void </w:t>
      </w:r>
      <w:r>
        <w:rPr>
          <w:rFonts w:ascii="Arial" w:cs="Arial" w:eastAsia="Arial" w:hAnsi="Arial"/>
          <w:sz w:val="16"/>
          <w:szCs w:val="16"/>
          <w:i w:val="1"/>
          <w:iCs w:val="1"/>
          <w:color w:val="auto"/>
        </w:rPr>
        <w:t>ab initio</w:t>
      </w:r>
      <w:r>
        <w:rPr>
          <w:rFonts w:ascii="Arial" w:cs="Arial" w:eastAsia="Arial" w:hAnsi="Arial"/>
          <w:sz w:val="16"/>
          <w:szCs w:val="16"/>
          <w:color w:val="auto"/>
        </w:rPr>
        <w:t>, with the effect that such Event of Default shall be deemed never to have occurred, acceleration voided and the Trustee shall be deemed not to have received such Noteholder Direction or any notice of such Default or Event of Default.</w:t>
      </w:r>
    </w:p>
    <w:p>
      <w:pPr>
        <w:spacing w:after="0" w:line="173" w:lineRule="exact"/>
        <w:rPr>
          <w:rFonts w:ascii="Arial" w:cs="Arial" w:eastAsia="Arial" w:hAnsi="Arial"/>
          <w:sz w:val="16"/>
          <w:szCs w:val="16"/>
          <w:color w:val="auto"/>
        </w:rPr>
      </w:pPr>
    </w:p>
    <w:p>
      <w:pPr>
        <w:jc w:val="both"/>
        <w:ind w:right="160" w:firstLine="1952"/>
        <w:spacing w:after="0" w:line="263" w:lineRule="auto"/>
        <w:tabs>
          <w:tab w:leader="none" w:pos="245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to the contrary, any Noteholder Direction delivered to the Trustee during the pendency of an Event of Default as the result of a bankruptcy or similar proceeding shall not require compliance with the third and fourth sentences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20" w:firstLine="1952"/>
        <w:spacing w:after="0" w:line="286" w:lineRule="auto"/>
        <w:tabs>
          <w:tab w:leader="none" w:pos="246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Upon the effectiveness of a declaration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such principal and interest shall be due and payable immediately. Notwithstanding the foregoing, in the case of an Event of Default arising under </w:t>
      </w:r>
      <w:r>
        <w:rPr>
          <w:rFonts w:ascii="Arial" w:cs="Arial" w:eastAsia="Arial" w:hAnsi="Arial"/>
          <w:sz w:val="17"/>
          <w:szCs w:val="17"/>
          <w:u w:val="single" w:color="auto"/>
          <w:color w:val="auto"/>
        </w:rPr>
        <w:t>clause (6)</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with respect to the Issuer, the principal of and interest on all outstanding Notes shall become due and payable without further action or notice.</w:t>
      </w:r>
    </w:p>
    <w:p>
      <w:pPr>
        <w:spacing w:after="0" w:line="165" w:lineRule="exact"/>
        <w:rPr>
          <w:rFonts w:ascii="Arial" w:cs="Arial" w:eastAsia="Arial" w:hAnsi="Arial"/>
          <w:sz w:val="17"/>
          <w:szCs w:val="17"/>
          <w:color w:val="auto"/>
        </w:rPr>
      </w:pPr>
    </w:p>
    <w:p>
      <w:pPr>
        <w:ind w:right="40" w:firstLine="1952"/>
        <w:spacing w:after="0" w:line="275" w:lineRule="auto"/>
        <w:tabs>
          <w:tab w:leader="none" w:pos="245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The Trustee shall be entitled to conclusively rely on any Noteholder Direction delivered to it in accordance with this </w:t>
      </w:r>
      <w:r>
        <w:rPr>
          <w:rFonts w:ascii="Arial" w:cs="Arial" w:eastAsia="Arial" w:hAnsi="Arial"/>
          <w:sz w:val="17"/>
          <w:szCs w:val="17"/>
          <w:u w:val="single" w:color="auto"/>
          <w:color w:val="auto"/>
        </w:rPr>
        <w:t>Section 6.02</w:t>
      </w:r>
      <w:r>
        <w:rPr>
          <w:rFonts w:ascii="Arial" w:cs="Arial" w:eastAsia="Arial" w:hAnsi="Arial"/>
          <w:sz w:val="17"/>
          <w:szCs w:val="17"/>
          <w:color w:val="auto"/>
        </w:rPr>
        <w:t>,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w:t>
      </w:r>
    </w:p>
    <w:p>
      <w:pPr>
        <w:spacing w:after="0" w:line="176" w:lineRule="exact"/>
        <w:rPr>
          <w:rFonts w:ascii="Arial" w:cs="Arial" w:eastAsia="Arial" w:hAnsi="Arial"/>
          <w:sz w:val="17"/>
          <w:szCs w:val="17"/>
          <w:color w:val="auto"/>
        </w:rPr>
      </w:pPr>
    </w:p>
    <w:p>
      <w:pPr>
        <w:ind w:firstLine="1952"/>
        <w:spacing w:after="0" w:line="272" w:lineRule="auto"/>
        <w:tabs>
          <w:tab w:leader="none" w:pos="248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 If a Default for a failure to report or failure to deliver a required certificate in connection with another default (such other default, the “</w:t>
      </w:r>
      <w:r>
        <w:rPr>
          <w:rFonts w:ascii="Arial" w:cs="Arial" w:eastAsia="Arial" w:hAnsi="Arial"/>
          <w:sz w:val="17"/>
          <w:szCs w:val="17"/>
          <w:u w:val="single" w:color="auto"/>
          <w:color w:val="auto"/>
        </w:rPr>
        <w:t>Initial Default</w:t>
      </w:r>
      <w:r>
        <w:rPr>
          <w:rFonts w:ascii="Arial" w:cs="Arial" w:eastAsia="Arial" w:hAnsi="Arial"/>
          <w:sz w:val="17"/>
          <w:szCs w:val="17"/>
          <w:color w:val="auto"/>
        </w:rPr>
        <w:t xml:space="preserve">“) occurs, then at the time such Initial Default is cured, the Default for a failure to report or failure to deliver a required certificate in connection with the Initial Default will also be cured without any further action and (ii) any Default or Event of Default for the failure to comply with the time periods prescribed under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or otherwise to deliver any notice or certificate pursuant to any other provision of this Indenture shall be deemed to be cured upon the delivery of any such report required by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3" w:name="page164"/>
    <w:bookmarkEnd w:id="163"/>
    <w:p>
      <w:pPr>
        <w:ind w:left="2480" w:hanging="528"/>
        <w:spacing w:after="0"/>
        <w:tabs>
          <w:tab w:leader="none" w:pos="24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Trustee shall have no obligation to accelerate the Notes if in the reasonable judgment of the Trustee acceleration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in the interest of the Holders.</w:t>
      </w:r>
    </w:p>
    <w:p>
      <w:pPr>
        <w:spacing w:after="0" w:line="21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u w:val="single" w:color="auto"/>
          <w:color w:val="auto"/>
        </w:rPr>
        <w:t>OTHER REMEDIES</w:t>
      </w:r>
      <w:r>
        <w:rPr>
          <w:rFonts w:ascii="Arial" w:cs="Arial" w:eastAsia="Arial" w:hAnsi="Arial"/>
          <w:sz w:val="17"/>
          <w:szCs w:val="17"/>
          <w:color w:val="auto"/>
        </w:rPr>
        <w:t>.</w:t>
      </w:r>
    </w:p>
    <w:p>
      <w:pPr>
        <w:spacing w:after="0" w:line="225" w:lineRule="exact"/>
        <w:rPr>
          <w:sz w:val="20"/>
          <w:szCs w:val="20"/>
          <w:color w:val="auto"/>
        </w:rPr>
      </w:pPr>
    </w:p>
    <w:p>
      <w:pPr>
        <w:ind w:right="620" w:firstLine="1296"/>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120" w:firstLine="1296"/>
        <w:spacing w:after="0" w:line="293" w:lineRule="auto"/>
        <w:rPr>
          <w:sz w:val="20"/>
          <w:szCs w:val="20"/>
          <w:color w:val="auto"/>
        </w:rPr>
      </w:pPr>
      <w:r>
        <w:rPr>
          <w:rFonts w:ascii="Arial" w:cs="Arial" w:eastAsia="Arial" w:hAnsi="Arial"/>
          <w:sz w:val="16"/>
          <w:szCs w:val="16"/>
          <w:color w:val="auto"/>
        </w:rPr>
        <w:t xml:space="preserve">Holders of a majority in aggregate principal amount of the then outstanding Notes by notice to the Trustee may on behalf of the Holders of all of the Notes waive any existing Default or Event of Default and its consequences under this Indenture and the Security Documents, except a continuing Default or Event of Default in the payment of the principal of, premium, if any, or interest on, any Note held by a non-consenting Holder, and may rescind any acceleration and its consequences with respect to the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rescission would not conflict with any judgment of a court of competent jurisdiction.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4"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Subject to any Equal Priority Intercreditor Agreement, Holders of a majority in aggregate principal amount of the outstanding Notes shall have the right to direct the time, method and place of conducting any proceeding for exercising any remedy available to the Trustee or the Notes Collateral Agent or of exercising any trust or power conferred on the Trustee or the Notes Collateral Agent, and the Trustee or the Notes Collateral Agent, as applicable, may act at the direction of the Holders without liability. The Trustee or the Notes Collateral Agent, as applicable, however, may refuse to follow any direction that conflicts with law or this Indenture or that the Trustee or the Notes Collateral Agent, as applicable, determines is unduly prejudicial to the rights of any other Holder or that would involve the Trustee or the Notes Collateral Agent, as applicable, in personal liability. Notwithstanding anything to the contrary herein, if, after the Issue Date, the Issuer issues any Additional Equal Priority Obligations, the Controlling Collateral Agent will determine the time and method by which the security interests in the Shared Collateral will be enforced, as will be set forth in any Equal Priority Intercreditor Agreement.</w:t>
      </w: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4" w:name="page165"/>
    <w:bookmarkEnd w:id="164"/>
    <w:p>
      <w:pPr>
        <w:ind w:left="1300"/>
        <w:spacing w:after="0"/>
        <w:tabs>
          <w:tab w:leader="none" w:pos="29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6.07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7.01</w:t>
      </w:r>
      <w:r>
        <w:rPr>
          <w:rFonts w:ascii="Arial" w:cs="Arial" w:eastAsia="Arial" w:hAnsi="Arial"/>
          <w:sz w:val="18"/>
          <w:szCs w:val="18"/>
          <w:color w:val="auto"/>
        </w:rPr>
        <w:t>, in case an Event of Default occurs and is continuing, the Trustee will be under no obligation to exercise any of the rights or powers under this Indenture at the request or direction of any of the Holders unless the Holders have offered to the Trustee indemnity or security reasonably satisfactory to the Trustee against any loss, liability or expense. Subject to any Equal Priority Intercreditor Agreement, and except to enforce the right to receive payment of principal, premium (if any) or interest when due, no Holder may pursue any remedy with respect to the Notes or this Indenture unless:</w:t>
      </w:r>
    </w:p>
    <w:p>
      <w:pPr>
        <w:spacing w:after="0" w:line="188" w:lineRule="exact"/>
        <w:rPr>
          <w:sz w:val="20"/>
          <w:szCs w:val="20"/>
          <w:color w:val="auto"/>
        </w:rPr>
      </w:pPr>
    </w:p>
    <w:p>
      <w:pPr>
        <w:ind w:left="3700" w:hanging="533"/>
        <w:spacing w:after="0"/>
        <w:tabs>
          <w:tab w:leader="none" w:pos="3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ind w:left="740" w:right="840" w:firstLine="2427"/>
        <w:spacing w:after="0" w:line="277" w:lineRule="auto"/>
        <w:tabs>
          <w:tab w:leader="none" w:pos="3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Holders of at least 30.0% in aggregate principal amount of the total outstanding Notes have requested the Trustee in writing to pursue the remedy;</w:t>
      </w:r>
    </w:p>
    <w:p>
      <w:pPr>
        <w:spacing w:after="0" w:line="170" w:lineRule="exact"/>
        <w:rPr>
          <w:rFonts w:ascii="Arial" w:cs="Arial" w:eastAsia="Arial" w:hAnsi="Arial"/>
          <w:sz w:val="18"/>
          <w:szCs w:val="18"/>
          <w:color w:val="auto"/>
        </w:rPr>
      </w:pPr>
    </w:p>
    <w:p>
      <w:pPr>
        <w:ind w:left="740" w:right="1340" w:firstLine="2427"/>
        <w:spacing w:after="0" w:line="277" w:lineRule="auto"/>
        <w:tabs>
          <w:tab w:leader="none" w:pos="3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Holders have offered and, if requested, provided to the Trustee indemnity or security reasonably satisfactory to the Trustee against any loss, liability or expense;</w:t>
      </w:r>
    </w:p>
    <w:p>
      <w:pPr>
        <w:spacing w:after="0" w:line="170" w:lineRule="exact"/>
        <w:rPr>
          <w:rFonts w:ascii="Arial" w:cs="Arial" w:eastAsia="Arial" w:hAnsi="Arial"/>
          <w:sz w:val="18"/>
          <w:szCs w:val="18"/>
          <w:color w:val="auto"/>
        </w:rPr>
      </w:pPr>
    </w:p>
    <w:p>
      <w:pPr>
        <w:ind w:left="3700" w:hanging="533"/>
        <w:spacing w:after="0"/>
        <w:tabs>
          <w:tab w:leader="none" w:pos="37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Trustee has not complied with such request within 60 days after the receipt thereof and the</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offer of security or indemnity; and</w:t>
      </w:r>
    </w:p>
    <w:p>
      <w:pPr>
        <w:spacing w:after="0" w:line="210" w:lineRule="exact"/>
        <w:rPr>
          <w:rFonts w:ascii="Arial" w:cs="Arial" w:eastAsia="Arial" w:hAnsi="Arial"/>
          <w:sz w:val="17"/>
          <w:szCs w:val="17"/>
          <w:color w:val="auto"/>
        </w:rPr>
      </w:pPr>
    </w:p>
    <w:p>
      <w:pPr>
        <w:ind w:left="740" w:right="780" w:firstLine="2427"/>
        <w:spacing w:after="0" w:line="277" w:lineRule="auto"/>
        <w:tabs>
          <w:tab w:leader="none" w:pos="3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total then outstanding Notes have not given the Trustee a direction inconsistent with such request within such 60-day period.</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7"/>
          <w:szCs w:val="17"/>
          <w:u w:val="single" w:color="auto"/>
          <w:color w:val="auto"/>
        </w:rPr>
        <w:t>RIGHTS OF HOLDERS TO RECEIVE PAYMENT</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Notwithstanding any other provision of this Indenture (including </w:t>
      </w:r>
      <w:r>
        <w:rPr>
          <w:rFonts w:ascii="Arial" w:cs="Arial" w:eastAsia="Arial" w:hAnsi="Arial"/>
          <w:sz w:val="18"/>
          <w:szCs w:val="18"/>
          <w:u w:val="single" w:color="auto"/>
          <w:color w:val="auto"/>
        </w:rPr>
        <w:t>Section 6.06</w:t>
      </w:r>
      <w:r>
        <w:rPr>
          <w:rFonts w:ascii="Arial" w:cs="Arial" w:eastAsia="Arial" w:hAnsi="Arial"/>
          <w:sz w:val="18"/>
          <w:szCs w:val="18"/>
          <w:color w:val="auto"/>
        </w:rPr>
        <w:t>), the contractual right expressly set forth in this Indenture or the Notes of any Holder to receive payment of principal of, premium, if any, or interest on the Notes held by such Holder, on or after the respective due dates, Redemption Dates or purchase date expressed in this Indenture or the Notes, or to bring suit for the enforcement of any such payment on or after such respective dates, shall not be amended without the consent of such Holder.</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u w:val="single" w:color="auto"/>
          <w:color w:val="auto"/>
        </w:rPr>
        <w:t>COLLECTION SUIT BY TRUSTEE</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If an Event of Default specified in </w:t>
      </w:r>
      <w:r>
        <w:rPr>
          <w:rFonts w:ascii="Arial" w:cs="Arial" w:eastAsia="Arial" w:hAnsi="Arial"/>
          <w:sz w:val="16"/>
          <w:szCs w:val="16"/>
          <w:u w:val="single" w:color="auto"/>
          <w:color w:val="auto"/>
        </w:rPr>
        <w:t>Section 6.01(a)(1)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165" w:name="page166"/>
    <w:bookmarkEnd w:id="165"/>
    <w:p>
      <w:pPr>
        <w:ind w:left="1300"/>
        <w:spacing w:after="0"/>
        <w:tabs>
          <w:tab w:leader="none" w:pos="290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w:t>
      </w:r>
    </w:p>
    <w:p>
      <w:pPr>
        <w:spacing w:after="0" w:line="225" w:lineRule="exact"/>
        <w:rPr>
          <w:sz w:val="20"/>
          <w:szCs w:val="20"/>
          <w:color w:val="auto"/>
        </w:rPr>
      </w:pPr>
    </w:p>
    <w:p>
      <w:pPr>
        <w:ind w:right="160" w:firstLine="1296"/>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5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w:t>
      </w:r>
    </w:p>
    <w:p>
      <w:pPr>
        <w:spacing w:after="0" w:line="225"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 xml:space="preserve">Except as otherwise provided with respect to the replacement or payment of mutilated, destroyed, lost or stolen Notes in </w:t>
      </w:r>
      <w:r>
        <w:rPr>
          <w:rFonts w:ascii="Arial" w:cs="Arial" w:eastAsia="Arial" w:hAnsi="Arial"/>
          <w:sz w:val="18"/>
          <w:szCs w:val="18"/>
          <w:u w:val="single" w:color="auto"/>
          <w:color w:val="auto"/>
        </w:rPr>
        <w:t>Section 2.07</w:t>
      </w:r>
      <w:r>
        <w:rPr>
          <w:rFonts w:ascii="Arial" w:cs="Arial" w:eastAsia="Arial" w:hAnsi="Arial"/>
          <w:sz w:val="18"/>
          <w:szCs w:val="18"/>
          <w:color w:val="auto"/>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including the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To the extent that the payment of any such compensation, expenses, disbursements and advances of the Trustee, its agents and counsel, and any other amounts due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ind w:left="1300"/>
        <w:spacing w:after="0"/>
        <w:tabs>
          <w:tab w:leader="none" w:pos="29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7"/>
          <w:szCs w:val="17"/>
          <w:u w:val="single" w:color="auto"/>
          <w:color w:val="auto"/>
        </w:rPr>
        <w:t>PRIORITIES</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Subject to the provisions of any Intercreditor Agreements and the Security Documents, if the Trustee collects any money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after an Event of Default, any money or other property distributable in respect of the Issuer’s obligations under this Indenture, it shall pay out the money in the following order:</w:t>
      </w:r>
    </w:p>
    <w:p>
      <w:pPr>
        <w:spacing w:after="0" w:line="184" w:lineRule="exact"/>
        <w:rPr>
          <w:sz w:val="20"/>
          <w:szCs w:val="20"/>
          <w:color w:val="auto"/>
        </w:rPr>
      </w:pPr>
    </w:p>
    <w:p>
      <w:pPr>
        <w:ind w:left="660" w:right="640" w:firstLine="2264"/>
        <w:spacing w:after="0" w:line="259" w:lineRule="auto"/>
        <w:tabs>
          <w:tab w:leader="none" w:pos="34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first to the Trustee (including any predecessor trustee) and second to the Notes Collateral Agent, in each case, and their respective agents and attorneys for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including payment of all compensation, expenses and liabilities incurred, and all advances made, by the Trustee and the Notes Collateral Agent and the costs and expenses of collection;</w:t>
      </w:r>
    </w:p>
    <w:p>
      <w:pPr>
        <w:spacing w:after="0" w:line="186" w:lineRule="exact"/>
        <w:rPr>
          <w:rFonts w:ascii="Arial" w:cs="Arial" w:eastAsia="Arial" w:hAnsi="Arial"/>
          <w:sz w:val="18"/>
          <w:szCs w:val="18"/>
          <w:color w:val="auto"/>
        </w:rPr>
      </w:pPr>
    </w:p>
    <w:p>
      <w:pPr>
        <w:ind w:left="660" w:right="640" w:firstLine="2264"/>
        <w:spacing w:after="0" w:line="263" w:lineRule="auto"/>
        <w:tabs>
          <w:tab w:leader="none" w:pos="346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83" w:lineRule="exact"/>
        <w:rPr>
          <w:rFonts w:ascii="Arial" w:cs="Arial" w:eastAsia="Arial" w:hAnsi="Arial"/>
          <w:sz w:val="18"/>
          <w:szCs w:val="18"/>
          <w:color w:val="auto"/>
        </w:rPr>
      </w:pPr>
    </w:p>
    <w:p>
      <w:pPr>
        <w:ind w:left="3500" w:hanging="576"/>
        <w:spacing w:after="0"/>
        <w:tabs>
          <w:tab w:leader="none" w:pos="35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Issuer or to such party as a court of competent jurisdiction shall direct, including a</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Guarantor, if applicable.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The Trustee may fix a record date and payment date for any payment to Holders pursuant to this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140" w:firstLine="1296"/>
        <w:spacing w:after="0" w:line="275" w:lineRule="auto"/>
        <w:rPr>
          <w:sz w:val="20"/>
          <w:szCs w:val="20"/>
          <w:color w:val="auto"/>
        </w:rPr>
      </w:pPr>
      <w:r>
        <w:rPr>
          <w:rFonts w:ascii="Arial" w:cs="Arial" w:eastAsia="Arial" w:hAnsi="Arial"/>
          <w:sz w:val="17"/>
          <w:szCs w:val="17"/>
          <w:color w:val="auto"/>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does not apply to a suit by the Trustee, a suit by a Holder pursuant to </w:t>
      </w:r>
      <w:r>
        <w:rPr>
          <w:rFonts w:ascii="Arial" w:cs="Arial" w:eastAsia="Arial" w:hAnsi="Arial"/>
          <w:sz w:val="17"/>
          <w:szCs w:val="17"/>
          <w:u w:val="single" w:color="auto"/>
          <w:color w:val="auto"/>
        </w:rPr>
        <w:t>Section 6.07</w:t>
      </w:r>
      <w:r>
        <w:rPr>
          <w:rFonts w:ascii="Arial" w:cs="Arial" w:eastAsia="Arial" w:hAnsi="Arial"/>
          <w:sz w:val="17"/>
          <w:szCs w:val="17"/>
          <w:color w:val="auto"/>
        </w:rPr>
        <w:t>, or a suit by Holders of more than 10.0% in principal amount of the then outstanding Notes.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TRUSTEE</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7"/>
          <w:szCs w:val="17"/>
          <w:u w:val="single" w:color="auto"/>
          <w:color w:val="auto"/>
        </w:rPr>
        <w:t>DUTIES OF TRUSTEE</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63" w:lineRule="auto"/>
        <w:tabs>
          <w:tab w:leader="none" w:pos="24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83" w:lineRule="exact"/>
        <w:rPr>
          <w:rFonts w:ascii="Arial" w:cs="Arial" w:eastAsia="Arial" w:hAnsi="Arial"/>
          <w:sz w:val="18"/>
          <w:szCs w:val="18"/>
          <w:color w:val="auto"/>
        </w:rPr>
      </w:pPr>
    </w:p>
    <w:p>
      <w:pPr>
        <w:ind w:left="2480" w:hanging="528"/>
        <w:spacing w:after="0"/>
        <w:tabs>
          <w:tab w:leader="none" w:pos="2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820" w:firstLine="2264"/>
        <w:spacing w:after="0" w:line="308" w:lineRule="auto"/>
        <w:tabs>
          <w:tab w:leader="none" w:pos="3413" w:val="left"/>
        </w:tabs>
        <w:numPr>
          <w:ilvl w:val="1"/>
          <w:numId w:val="242"/>
        </w:numPr>
        <w:rPr>
          <w:rFonts w:ascii="Arial" w:cs="Arial" w:eastAsia="Arial" w:hAnsi="Arial"/>
          <w:sz w:val="17"/>
          <w:szCs w:val="17"/>
          <w:color w:val="auto"/>
        </w:rPr>
      </w:pPr>
      <w:r>
        <w:rPr>
          <w:rFonts w:ascii="Arial" w:cs="Arial" w:eastAsia="Arial" w:hAnsi="Arial"/>
          <w:sz w:val="17"/>
          <w:szCs w:val="17"/>
          <w:color w:val="auto"/>
        </w:rPr>
        <w:t>the Trustee undertakes to perform such duties and only such duties as are specifically set forth in this Indenture, and no implied covenants or obligations shall be read into this Indenture against the Trustee; and</w:t>
      </w:r>
    </w:p>
    <w:p>
      <w:pPr>
        <w:spacing w:after="0" w:line="146" w:lineRule="exact"/>
        <w:rPr>
          <w:rFonts w:ascii="Arial" w:cs="Arial" w:eastAsia="Arial" w:hAnsi="Arial"/>
          <w:sz w:val="17"/>
          <w:szCs w:val="17"/>
          <w:color w:val="auto"/>
        </w:rPr>
      </w:pPr>
    </w:p>
    <w:p>
      <w:pPr>
        <w:ind w:left="660" w:right="600" w:firstLine="2264"/>
        <w:spacing w:after="0" w:line="255" w:lineRule="auto"/>
        <w:tabs>
          <w:tab w:leader="none" w:pos="346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spacing w:after="0" w:line="192" w:lineRule="exact"/>
        <w:rPr>
          <w:rFonts w:ascii="Arial" w:cs="Arial" w:eastAsia="Arial" w:hAnsi="Arial"/>
          <w:sz w:val="18"/>
          <w:szCs w:val="18"/>
          <w:color w:val="auto"/>
        </w:rPr>
      </w:pPr>
    </w:p>
    <w:p>
      <w:pPr>
        <w:ind w:left="2460" w:hanging="508"/>
        <w:spacing w:after="0"/>
        <w:tabs>
          <w:tab w:leader="none" w:pos="24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Trustee may not be relieved from liabilities for its own negligent action, its own negligent failure to act, or its own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willful misconduct, except that:</w:t>
      </w:r>
    </w:p>
    <w:p>
      <w:pPr>
        <w:spacing w:after="0" w:line="210" w:lineRule="exact"/>
        <w:rPr>
          <w:rFonts w:ascii="Arial" w:cs="Arial" w:eastAsia="Arial" w:hAnsi="Arial"/>
          <w:sz w:val="16"/>
          <w:szCs w:val="16"/>
          <w:color w:val="auto"/>
        </w:rPr>
      </w:pPr>
    </w:p>
    <w:p>
      <w:pPr>
        <w:ind w:left="3400" w:hanging="476"/>
        <w:spacing w:after="0"/>
        <w:tabs>
          <w:tab w:leader="none" w:pos="34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Sections 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7.01(g)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60" w:hanging="536"/>
        <w:spacing w:after="0"/>
        <w:tabs>
          <w:tab w:leader="none" w:pos="346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Officer, unless it is proved in a court of competent jurisdiction that the Trustee was negligent in ascertaining the pertinent facts; and</w:t>
      </w:r>
    </w:p>
    <w:p>
      <w:pPr>
        <w:spacing w:after="0" w:line="211" w:lineRule="exact"/>
        <w:rPr>
          <w:sz w:val="20"/>
          <w:szCs w:val="20"/>
          <w:color w:val="auto"/>
        </w:rPr>
      </w:pPr>
    </w:p>
    <w:p>
      <w:pPr>
        <w:ind w:left="660" w:right="780" w:firstLine="2264"/>
        <w:spacing w:after="0" w:line="277" w:lineRule="auto"/>
        <w:tabs>
          <w:tab w:leader="none" w:pos="3513"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good faith in accordance with a direction received by it pursuant to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Whether or not therein expressly so provided, every provision of this Indenture that in any way relates to the Trustee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80" w:firstLine="1952"/>
        <w:spacing w:after="0" w:line="263" w:lineRule="auto"/>
        <w:tabs>
          <w:tab w:leader="none" w:pos="24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its rights or powers under this Indenture at the request or direction of any of the Holders unless the Holders have offered to the Trustee indemnity or security reasonably satisfactory to the Trustee against any loss, liability or expense, with respect to such exercise.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68" w:name="page169"/>
    <w:bookmarkEnd w:id="168"/>
    <w:p>
      <w:pPr>
        <w:ind w:right="220" w:firstLine="1952"/>
        <w:spacing w:after="0" w:line="277" w:lineRule="auto"/>
        <w:tabs>
          <w:tab w:leader="none" w:pos="243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ind w:right="260" w:firstLine="1952"/>
        <w:spacing w:after="0" w:line="286" w:lineRule="auto"/>
        <w:tabs>
          <w:tab w:leader="none" w:pos="2469"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80" w:firstLine="1952"/>
        <w:spacing w:after="0" w:line="271" w:lineRule="auto"/>
        <w:tabs>
          <w:tab w:leader="none" w:pos="245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shall not be bound to make any investigation into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78" w:lineRule="exact"/>
        <w:rPr>
          <w:rFonts w:ascii="Arial" w:cs="Arial" w:eastAsia="Arial" w:hAnsi="Arial"/>
          <w:sz w:val="17"/>
          <w:szCs w:val="17"/>
          <w:color w:val="auto"/>
        </w:rPr>
      </w:pPr>
    </w:p>
    <w:p>
      <w:pPr>
        <w:ind w:right="140" w:firstLine="1952"/>
        <w:spacing w:after="0" w:line="279" w:lineRule="auto"/>
        <w:tabs>
          <w:tab w:leader="none" w:pos="2469" w:val="left"/>
        </w:tabs>
        <w:numPr>
          <w:ilvl w:val="0"/>
          <w:numId w:val="247"/>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firstLine="1952"/>
        <w:spacing w:after="0" w:line="277" w:lineRule="auto"/>
        <w:tabs>
          <w:tab w:leader="none" w:pos="24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340" w:firstLine="1952"/>
        <w:spacing w:after="0" w:line="277" w:lineRule="auto"/>
        <w:tabs>
          <w:tab w:leader="none" w:pos="24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20" w:firstLine="1952"/>
        <w:spacing w:after="0" w:line="342" w:lineRule="auto"/>
        <w:tabs>
          <w:tab w:leader="none" w:pos="245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Unless otherwise specifically provided in this Indenture, any demand, request, direction or notice from the Issuer shall be sufficient if signed by an Officer of the Issuer. Any request or direction of the Issuer mentioned herein shall be sufficiently evidenced by an Issuer Order.</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9" w:name="page170"/>
    <w:bookmarkEnd w:id="169"/>
    <w:p>
      <w:pPr>
        <w:ind w:right="200" w:firstLine="1952"/>
        <w:spacing w:after="0" w:line="263" w:lineRule="auto"/>
        <w:tabs>
          <w:tab w:leader="none" w:pos="243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spacing w:after="0" w:line="183" w:lineRule="exact"/>
        <w:rPr>
          <w:rFonts w:ascii="Arial" w:cs="Arial" w:eastAsia="Arial" w:hAnsi="Arial"/>
          <w:sz w:val="18"/>
          <w:szCs w:val="18"/>
          <w:color w:val="auto"/>
        </w:rPr>
      </w:pPr>
    </w:p>
    <w:p>
      <w:pPr>
        <w:ind w:right="120" w:firstLine="1952"/>
        <w:spacing w:after="0" w:line="263" w:lineRule="auto"/>
        <w:tabs>
          <w:tab w:leader="none" w:pos="246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right="40" w:firstLine="1952"/>
        <w:spacing w:after="0" w:line="263" w:lineRule="auto"/>
        <w:tabs>
          <w:tab w:leader="none" w:pos="246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rights, privileges, benefits, immunities, indemnities and other protections given to the Trustee are extended to, and shall be enforceable by, the Trustee in each of its capacities hereunder, and each agent, custodian and other Person employed to act hereunder, including the Notes Collateral Agent.</w:t>
      </w:r>
    </w:p>
    <w:p>
      <w:pPr>
        <w:spacing w:after="0" w:line="183" w:lineRule="exact"/>
        <w:rPr>
          <w:rFonts w:ascii="Arial" w:cs="Arial" w:eastAsia="Arial" w:hAnsi="Arial"/>
          <w:sz w:val="18"/>
          <w:szCs w:val="18"/>
          <w:color w:val="auto"/>
        </w:rPr>
      </w:pPr>
    </w:p>
    <w:p>
      <w:pPr>
        <w:ind w:right="160" w:firstLine="1952"/>
        <w:spacing w:after="0" w:line="286" w:lineRule="auto"/>
        <w:tabs>
          <w:tab w:leader="none" w:pos="242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Trustee may request that the Issuer and any Guarantor deliver a certificate setting forth the names of the individuals and/or titles of Officers (with specimen signatures) authorized at such times to take specific actions pursuant to this Indenture, which certificate may be signed by any person specified as so authorized in any certificate previously delivered and not superseded.</w:t>
      </w:r>
    </w:p>
    <w:p>
      <w:pPr>
        <w:spacing w:after="0" w:line="16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u w:val="single" w:color="auto"/>
          <w:color w:val="auto"/>
        </w:rPr>
        <w:t>INDIVIDUAL RIGHTS OF TRUSTEE</w:t>
      </w:r>
      <w:r>
        <w:rPr>
          <w:rFonts w:ascii="Arial" w:cs="Arial" w:eastAsia="Arial" w:hAnsi="Arial"/>
          <w:sz w:val="17"/>
          <w:szCs w:val="17"/>
          <w:color w:val="auto"/>
        </w:rPr>
        <w:t>.</w:t>
      </w:r>
    </w:p>
    <w:p>
      <w:pPr>
        <w:spacing w:after="0" w:line="225"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as Trustee. Any Agent may do the same with like rights and duties. The Trustee is also subject to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TRUSTEE’S DISCLAIMER</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The Trustee shall not be responsible for and makes no representation as to the validity, sufficiency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The Trustee shall not be responsible to make any calculation with respect to any matter under this Indenture. The Trustee shall have no duty to monitor or investigate the Issuer’s compliance with or the breach of, or cause to be performed or observed, any representation, warranty, or covenant, or agreement of any Person, other than the Trustee, made in this Indenture.</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ind w:firstLine="1296"/>
        <w:spacing w:after="0" w:line="289" w:lineRule="auto"/>
        <w:rPr>
          <w:sz w:val="20"/>
          <w:szCs w:val="20"/>
          <w:color w:val="auto"/>
        </w:rPr>
      </w:pPr>
      <w:r>
        <w:rPr>
          <w:rFonts w:ascii="Arial" w:cs="Arial" w:eastAsia="Arial" w:hAnsi="Arial"/>
          <w:sz w:val="16"/>
          <w:szCs w:val="16"/>
          <w:color w:val="auto"/>
        </w:rPr>
        <w:t>The Trustee does not assume any responsibility for any failure or delay in performance or any breach by the Issuer or any other Grantor under this Indenture, any Intercreditor Agreements and the Security Documents. The Trustee shall not be responsible to the Holders or any other Person for any recitals, statements, information, representations or warranties contained in this Indenture, the Security Documents, any Intercreditor Agreements or any certificate, report, statement, or other document referred to or provided for in, or received by the Trustee under or in connection with, this Indenture, any Intercreditor Agreements or any Security Document; the execution, validity, genuineness, effectiveness or enforceability of any Intercreditor Agreements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any Intercreditor Agreements and the Security Documents.</w:t>
      </w:r>
    </w:p>
    <w:p>
      <w:pPr>
        <w:spacing w:after="0" w:line="16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7"/>
          <w:szCs w:val="17"/>
          <w:u w:val="single" w:color="auto"/>
          <w:color w:val="auto"/>
        </w:rPr>
        <w:t>NOTICE OF DEFAULTS</w:t>
      </w:r>
      <w:r>
        <w:rPr>
          <w:rFonts w:ascii="Arial" w:cs="Arial" w:eastAsia="Arial" w:hAnsi="Arial"/>
          <w:sz w:val="17"/>
          <w:szCs w:val="17"/>
          <w:color w:val="auto"/>
        </w:rPr>
        <w:t>.</w:t>
      </w:r>
    </w:p>
    <w:p>
      <w:pPr>
        <w:spacing w:after="0" w:line="225" w:lineRule="exact"/>
        <w:rPr>
          <w:sz w:val="20"/>
          <w:szCs w:val="20"/>
          <w:color w:val="auto"/>
        </w:rPr>
      </w:pPr>
    </w:p>
    <w:p>
      <w:pPr>
        <w:ind w:right="320" w:firstLine="1296"/>
        <w:spacing w:after="0" w:line="259" w:lineRule="auto"/>
        <w:rPr>
          <w:sz w:val="20"/>
          <w:szCs w:val="20"/>
          <w:color w:val="auto"/>
        </w:rPr>
      </w:pPr>
      <w:r>
        <w:rPr>
          <w:rFonts w:ascii="Arial" w:cs="Arial" w:eastAsia="Arial" w:hAnsi="Arial"/>
          <w:sz w:val="18"/>
          <w:szCs w:val="18"/>
          <w:color w:val="auto"/>
        </w:rPr>
        <w:t>If a Default occurs and is continuing and if it is actually known to the Trustee pursuant to Section 7.02(f), the Trustee shall send to Holders a notice of the Default within 90 days after it is known to the Trustee. Except in the case of a Default relating to the payment of principal, premium, if any, or interest on any Note, the Trustee may withhold from the Holders notice of any continuing Default if it in good faith determines that withholding the notice is in the interests of the Holders.</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7"/>
          <w:szCs w:val="17"/>
          <w:u w:val="single" w:color="auto"/>
          <w:color w:val="auto"/>
        </w:rPr>
        <w:t>COMPENSATION AND INDEMNITY</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88" w:lineRule="exact"/>
        <w:rPr>
          <w:sz w:val="20"/>
          <w:szCs w:val="20"/>
          <w:color w:val="auto"/>
        </w:rPr>
      </w:pPr>
    </w:p>
    <w:p>
      <w:pPr>
        <w:ind w:right="100" w:firstLine="1296"/>
        <w:spacing w:after="0" w:line="288" w:lineRule="auto"/>
        <w:rPr>
          <w:sz w:val="20"/>
          <w:szCs w:val="20"/>
          <w:color w:val="auto"/>
        </w:rPr>
      </w:pPr>
      <w:r>
        <w:rPr>
          <w:rFonts w:ascii="Arial" w:cs="Arial" w:eastAsia="Arial" w:hAnsi="Arial"/>
          <w:sz w:val="16"/>
          <w:szCs w:val="16"/>
          <w:color w:val="auto"/>
        </w:rPr>
        <w:t xml:space="preserve">The Issuer and the Guarantors, jointly and severally, shall indemnify each of the Trustee or any predecessor Trustee and their officers, agents, directors and employees for, and hold them harmless against, any and all loss, damage, claim, liability or expense (including attorneys’ fees and expenses), including taxes (other than taxes based upon, measured by or determined by the income of the Trustee), incurred by it in connection with the acceptance or administration of this trust and the performance of its duties hereunder (including the costs and expenses of enforcing this Indenture against the Issuer or any of the Guarantors (including this </w:t>
      </w:r>
      <w:r>
        <w:rPr>
          <w:rFonts w:ascii="Arial" w:cs="Arial" w:eastAsia="Arial" w:hAnsi="Arial"/>
          <w:sz w:val="16"/>
          <w:szCs w:val="16"/>
          <w:u w:val="single" w:color="auto"/>
          <w:color w:val="auto"/>
        </w:rPr>
        <w:t>Section 7.06</w:t>
      </w:r>
      <w:r>
        <w:rPr>
          <w:rFonts w:ascii="Arial" w:cs="Arial" w:eastAsia="Arial" w:hAnsi="Arial"/>
          <w:sz w:val="16"/>
          <w:szCs w:val="16"/>
          <w:color w:val="auto"/>
        </w:rPr>
        <w:t>) or defending itself against any claim whether asserted by any Holder, the Issuer, any Guarantor or any other Person, or liability in connection with the acceptance, exercise or performance of any of its powers or duties hereunder). The Trustee shall notify the Issuer promptly of any claim for which it may seek indemnity. Failure by the Trustee to so notify the Issuer shall not relieve the Issuer of its obligations hereunder and the Trustee shall not incur any liability it if fails to so notify. The Issuer shall defend the claim and the Trustee may have separate counsel and the Issuer shall pay the fees and expenses of such counsel. The Issuer need not reimburse any expense or indemnify against any loss, liability or expense determined to have been caused by the Trustee’s own willful misconduct or gross negligence.</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1" w:name="page172"/>
    <w:bookmarkEnd w:id="171"/>
    <w:p>
      <w:pPr>
        <w:ind w:right="200" w:firstLine="1296"/>
        <w:spacing w:after="0" w:line="308" w:lineRule="auto"/>
        <w:rPr>
          <w:sz w:val="20"/>
          <w:szCs w:val="20"/>
          <w:color w:val="auto"/>
        </w:rPr>
      </w:pPr>
      <w:r>
        <w:rPr>
          <w:rFonts w:ascii="Arial" w:cs="Arial" w:eastAsia="Arial" w:hAnsi="Arial"/>
          <w:sz w:val="17"/>
          <w:szCs w:val="17"/>
          <w:color w:val="auto"/>
        </w:rPr>
        <w:t xml:space="preserve">To secure the payment obligations of the Issuer and the Guarantors in this </w:t>
      </w:r>
      <w:r>
        <w:rPr>
          <w:rFonts w:ascii="Arial" w:cs="Arial" w:eastAsia="Arial" w:hAnsi="Arial"/>
          <w:sz w:val="17"/>
          <w:szCs w:val="17"/>
          <w:u w:val="single" w:color="auto"/>
          <w:color w:val="auto"/>
        </w:rPr>
        <w:t>Section 7.06</w:t>
      </w:r>
      <w:r>
        <w:rPr>
          <w:rFonts w:ascii="Arial" w:cs="Arial" w:eastAsia="Arial" w:hAnsi="Arial"/>
          <w:sz w:val="17"/>
          <w:szCs w:val="17"/>
          <w:color w:val="auto"/>
        </w:rPr>
        <w:t>, the Trustee shall have a Lien prior to the Notes on all money or property held or collected by the Trustee, except that held in trust to pay principal and interest on particular Notes.</w:t>
      </w:r>
    </w:p>
    <w:p>
      <w:pPr>
        <w:spacing w:after="0" w:line="146" w:lineRule="exact"/>
        <w:rPr>
          <w:sz w:val="20"/>
          <w:szCs w:val="20"/>
          <w:color w:val="auto"/>
        </w:rPr>
      </w:pPr>
    </w:p>
    <w:p>
      <w:pPr>
        <w:jc w:val="both"/>
        <w:ind w:right="180" w:firstLine="1296"/>
        <w:spacing w:after="0" w:line="263"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6.01(a)(6)</w:t>
      </w:r>
      <w:r>
        <w:rPr>
          <w:rFonts w:ascii="Arial" w:cs="Arial" w:eastAsia="Arial" w:hAnsi="Arial"/>
          <w:sz w:val="18"/>
          <w:szCs w:val="18"/>
          <w:color w:val="auto"/>
        </w:rPr>
        <w:t xml:space="preserv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for purposes of this Section shall include any predecessor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negligence, willful misconduct or bad faith of any Trustee hereunder shall not affect the rights of any other Trustee hereunder.</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survive the satisfaction and discharge of this Indenture, the earlier resignation or removal of the Trustee or the termination for any reason of this Indenture.</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7"/>
          <w:szCs w:val="17"/>
          <w:u w:val="single" w:color="auto"/>
          <w:color w:val="auto"/>
        </w:rPr>
        <w:t>REPLACEMENT OF TRUSTEE</w:t>
      </w:r>
      <w:r>
        <w:rPr>
          <w:rFonts w:ascii="Arial" w:cs="Arial" w:eastAsia="Arial" w:hAnsi="Arial"/>
          <w:sz w:val="17"/>
          <w:szCs w:val="17"/>
          <w:color w:val="auto"/>
        </w:rPr>
        <w:t>.</w:t>
      </w:r>
    </w:p>
    <w:p>
      <w:pPr>
        <w:spacing w:after="0" w:line="225" w:lineRule="exact"/>
        <w:rPr>
          <w:sz w:val="20"/>
          <w:szCs w:val="20"/>
          <w:color w:val="auto"/>
        </w:rPr>
      </w:pPr>
    </w:p>
    <w:p>
      <w:pPr>
        <w:jc w:val="both"/>
        <w:ind w:right="60" w:firstLine="1296"/>
        <w:spacing w:after="0" w:line="259" w:lineRule="auto"/>
        <w:rPr>
          <w:sz w:val="20"/>
          <w:szCs w:val="20"/>
          <w:color w:val="auto"/>
        </w:rPr>
      </w:pPr>
      <w:r>
        <w:rPr>
          <w:rFonts w:ascii="Arial" w:cs="Arial" w:eastAsia="Arial" w:hAnsi="Arial"/>
          <w:sz w:val="18"/>
          <w:szCs w:val="18"/>
          <w:color w:val="auto"/>
        </w:rPr>
        <w:t xml:space="preserve">A resignation or removal of the Trustee and appointment of a successor Trustee shall become effective only upon the successor Trustee’s acceptance of appointment as provided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The Trustee may resign in writing at any time and be discharged from the trust hereby created by so notifying the Issuer. The Holders of a majority in principal amount of the then outstanding Notes may remove the Trustee by so notifying the Trustee and the Issuer in writing. The Issuer may remove the Trustee if:</w:t>
      </w:r>
    </w:p>
    <w:p>
      <w:pPr>
        <w:spacing w:after="0" w:line="187" w:lineRule="exact"/>
        <w:rPr>
          <w:sz w:val="20"/>
          <w:szCs w:val="20"/>
          <w:color w:val="auto"/>
        </w:rPr>
      </w:pPr>
    </w:p>
    <w:p>
      <w:pPr>
        <w:ind w:left="2460" w:hanging="508"/>
        <w:spacing w:after="0"/>
        <w:tabs>
          <w:tab w:leader="none" w:pos="24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7.09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Bankruptcy Law;</w:t>
      </w:r>
    </w:p>
    <w:p>
      <w:pPr>
        <w:spacing w:after="0" w:line="211" w:lineRule="exact"/>
        <w:rPr>
          <w:sz w:val="20"/>
          <w:szCs w:val="20"/>
          <w:color w:val="auto"/>
        </w:rPr>
      </w:pPr>
    </w:p>
    <w:p>
      <w:pPr>
        <w:ind w:left="2460" w:hanging="508"/>
        <w:spacing w:after="0"/>
        <w:tabs>
          <w:tab w:leader="none" w:pos="24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2" w:name="page173"/>
    <w:bookmarkEnd w:id="172"/>
    <w:p>
      <w:pPr>
        <w:ind w:right="460" w:firstLine="1296"/>
        <w:spacing w:after="0" w:line="263" w:lineRule="auto"/>
        <w:rPr>
          <w:sz w:val="20"/>
          <w:szCs w:val="20"/>
          <w:color w:val="auto"/>
        </w:rPr>
      </w:pPr>
      <w:r>
        <w:rPr>
          <w:rFonts w:ascii="Arial" w:cs="Arial" w:eastAsia="Arial" w:hAnsi="Arial"/>
          <w:sz w:val="18"/>
          <w:szCs w:val="18"/>
          <w:color w:val="auto"/>
        </w:rPr>
        <w:t>If a successor Trustee does not take office within 60 days after the retiring Trustee resigns or is removed, the retiring Trustee (at the Issuer’s expense), the Issuer or the Holders of at least 10.0% in principal amount of the then outstanding Notes may petition any court of competent jurisdiction for the appointment of a successor Trustee.</w:t>
      </w:r>
    </w:p>
    <w:p>
      <w:pPr>
        <w:spacing w:after="0" w:line="184" w:lineRule="exact"/>
        <w:rPr>
          <w:sz w:val="20"/>
          <w:szCs w:val="20"/>
          <w:color w:val="auto"/>
        </w:rPr>
      </w:pPr>
    </w:p>
    <w:p>
      <w:pPr>
        <w:ind w:right="120" w:firstLine="1296"/>
        <w:spacing w:after="0" w:line="308" w:lineRule="auto"/>
        <w:rPr>
          <w:sz w:val="20"/>
          <w:szCs w:val="20"/>
          <w:color w:val="auto"/>
        </w:rPr>
      </w:pPr>
      <w:r>
        <w:rPr>
          <w:rFonts w:ascii="Arial" w:cs="Arial" w:eastAsia="Arial" w:hAnsi="Arial"/>
          <w:sz w:val="17"/>
          <w:szCs w:val="17"/>
          <w:color w:val="auto"/>
        </w:rPr>
        <w:t xml:space="preserve">If the Trustee, after written request by any Holder who has been a Holder for at least six months, fails to comply with </w:t>
      </w:r>
      <w:r>
        <w:rPr>
          <w:rFonts w:ascii="Arial" w:cs="Arial" w:eastAsia="Arial" w:hAnsi="Arial"/>
          <w:sz w:val="17"/>
          <w:szCs w:val="17"/>
          <w:u w:val="single" w:color="auto"/>
          <w:color w:val="auto"/>
        </w:rPr>
        <w:t>Section 7.09</w:t>
      </w:r>
      <w:r>
        <w:rPr>
          <w:rFonts w:ascii="Arial" w:cs="Arial" w:eastAsia="Arial" w:hAnsi="Arial"/>
          <w:sz w:val="17"/>
          <w:szCs w:val="17"/>
          <w:color w:val="auto"/>
        </w:rPr>
        <w:t>, such Holder may petition any court of competent jurisdiction for the removal of the Trustee and the appointment of a successor Trustee.</w:t>
      </w:r>
    </w:p>
    <w:p>
      <w:pPr>
        <w:spacing w:after="0" w:line="146"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sums owing to the Trustee hereunder have been paid and subject to the Lien provided for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Notwithstanding replacement of the Trustee pursuant to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the Issuer’s obligations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continue for the benefit of the retiring Trustee.</w:t>
      </w:r>
    </w:p>
    <w:p>
      <w:pPr>
        <w:spacing w:after="0" w:line="192"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SUCCESSOR TRUSTEE BY MERGER, ETC.</w:t>
      </w:r>
    </w:p>
    <w:p>
      <w:pPr>
        <w:spacing w:after="0" w:line="225"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Person, the successor Person without any further act shall be the successor Trustee.</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225" w:lineRule="exact"/>
        <w:rPr>
          <w:sz w:val="20"/>
          <w:szCs w:val="20"/>
          <w:color w:val="auto"/>
        </w:rPr>
      </w:pPr>
    </w:p>
    <w:p>
      <w:pPr>
        <w:ind w:right="340" w:firstLine="1296"/>
        <w:spacing w:after="0" w:line="259" w:lineRule="auto"/>
        <w:rPr>
          <w:sz w:val="20"/>
          <w:szCs w:val="20"/>
          <w:color w:val="auto"/>
        </w:rPr>
      </w:pPr>
      <w:r>
        <w:rPr>
          <w:rFonts w:ascii="Arial" w:cs="Arial" w:eastAsia="Arial" w:hAnsi="Arial"/>
          <w:sz w:val="18"/>
          <w:szCs w:val="18"/>
          <w:color w:val="auto"/>
        </w:rPr>
        <w:t>There shall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8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CERTAIN TAX MATTERS</w:t>
      </w:r>
      <w:r>
        <w:rPr>
          <w:rFonts w:ascii="Arial" w:cs="Arial" w:eastAsia="Arial" w:hAnsi="Arial"/>
          <w:sz w:val="17"/>
          <w:szCs w:val="17"/>
          <w:color w:val="auto"/>
        </w:rPr>
        <w:t>.</w:t>
      </w:r>
    </w:p>
    <w:p>
      <w:pPr>
        <w:spacing w:after="0" w:line="225" w:lineRule="exact"/>
        <w:rPr>
          <w:sz w:val="20"/>
          <w:szCs w:val="20"/>
          <w:color w:val="auto"/>
        </w:rPr>
      </w:pPr>
    </w:p>
    <w:p>
      <w:pPr>
        <w:ind w:right="40" w:firstLine="1296"/>
        <w:spacing w:after="0" w:line="254" w:lineRule="auto"/>
        <w:rPr>
          <w:sz w:val="20"/>
          <w:szCs w:val="20"/>
          <w:color w:val="auto"/>
        </w:rPr>
      </w:pPr>
      <w:r>
        <w:rPr>
          <w:rFonts w:ascii="Arial" w:cs="Arial" w:eastAsia="Arial" w:hAnsi="Arial"/>
          <w:sz w:val="18"/>
          <w:szCs w:val="18"/>
          <w:color w:val="auto"/>
        </w:rPr>
        <w:t>In order to comply with applicable tax laws (inclusive of rules, regulations and interpretations promulgated by competent authorities) related to this Indenture in effect from time to time (“</w:t>
      </w:r>
      <w:r>
        <w:rPr>
          <w:rFonts w:ascii="Arial" w:cs="Arial" w:eastAsia="Arial" w:hAnsi="Arial"/>
          <w:sz w:val="18"/>
          <w:szCs w:val="18"/>
          <w:u w:val="single" w:color="auto"/>
          <w:color w:val="auto"/>
        </w:rPr>
        <w:t>Applicable Law</w:t>
      </w:r>
      <w:r>
        <w:rPr>
          <w:rFonts w:ascii="Arial" w:cs="Arial" w:eastAsia="Arial" w:hAnsi="Arial"/>
          <w:sz w:val="18"/>
          <w:szCs w:val="18"/>
          <w:color w:val="auto"/>
        </w:rPr>
        <w:t>“) that a foreign financial institution, issuer, trustee, paying agent or other party is or has agreed to be subject to, the Issuer agrees (i) to use commercially reasonable efforts to provide to the Trustee sufficient information about the parties and/or transactions related to this Indenture and the Notes (including any modification to the terms of such transactions) so the Trustee can determine whether it has tax related obligations under Applicable Law, and (ii) that the Trustee shall be entitled to make any withholding or deduction from payments to the extent necessary to comply with Applicable Law for which the Trustee shall not have any liability. The terms of this section shall survive the termination of this Indenture.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3" w:name="page174"/>
    <w:bookmarkEnd w:id="173"/>
    <w:p>
      <w:pPr>
        <w:ind w:left="1300"/>
        <w:spacing w:after="0"/>
        <w:tabs>
          <w:tab w:leader="none" w:pos="29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SECURITY DOCUMENTS; INTERCREDITOR AGREEMENTS</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By their acceptance of the Notes, the Holders hereby authorize and direct the Trustee and Notes Collateral Agent, as the case may be, to execute and deliver each of the Security Documents, any Equal Priority Intercreditor Agreement and, if applicable, any Junior Priority Intercreditor Agreement to which the Trustee or the Notes Collateral Agent, as applicable, is to be a party, including any Intercreditor Agreement or Security Documents executed on or after the Issue Date and any amendments, joinders or supplements to any Intercreditor Agreement or Security Document not prohibited by this Indenture.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any Intercreditor Agreement or any other Security Document,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LEGAL DEFEASANCE AND COVENANT DEFEASANCE</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u w:val="single" w:color="auto"/>
          <w:color w:val="auto"/>
        </w:rPr>
        <w:t>OPTION TO EFFECT LEGAL DEFEASANCE OR COVENANT DEFEASANCE</w:t>
      </w:r>
      <w:r>
        <w:rPr>
          <w:rFonts w:ascii="Arial" w:cs="Arial" w:eastAsia="Arial" w:hAnsi="Arial"/>
          <w:sz w:val="17"/>
          <w:szCs w:val="17"/>
          <w:color w:val="auto"/>
        </w:rPr>
        <w:t>.</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 xml:space="preserve">The Issuer may, at its option and at any time, elect to have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applied to all outstanding Notes upon compliance with the conditions set forth below in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4" w:name="page175"/>
    <w:bookmarkEnd w:id="174"/>
    <w:p>
      <w:pPr>
        <w:ind w:left="1300"/>
        <w:spacing w:after="0"/>
        <w:tabs>
          <w:tab w:leader="none" w:pos="29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Upon the Issuer’s exercise under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the Issuer and the Guarantors shall, subject to the satisfaction of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be deemed to have been discharged from their Obligations with respect to all outstanding Notes, this Indenture, the applicable Security Documents and Note Guarantees on the date the conditions set forth below are satisfied (“</w:t>
      </w:r>
      <w:r>
        <w:rPr>
          <w:rFonts w:ascii="Arial" w:cs="Arial" w:eastAsia="Arial" w:hAnsi="Arial"/>
          <w:sz w:val="17"/>
          <w:szCs w:val="17"/>
          <w:u w:val="single" w:color="auto"/>
          <w:color w:val="auto"/>
        </w:rPr>
        <w:t>Legal Defeasance</w:t>
      </w:r>
      <w:r>
        <w:rPr>
          <w:rFonts w:ascii="Arial" w:cs="Arial" w:eastAsia="Arial" w:hAnsi="Arial"/>
          <w:sz w:val="17"/>
          <w:szCs w:val="17"/>
          <w:color w:val="auto"/>
        </w:rPr>
        <w:t xml:space="preserve">“). For this purpose, Legal Defeasance means that the Issuer shall be deemed to have paid and discharged the entire Indebtedness represented by the outstanding Notes, which shall thereafter be deemed to be “outstanding” only for the purposes of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the other Sections of this Indenture referred to in clauses (a) and (b) below, and to have satisfied all its other Obligations under such Notes and this Indenture, the applicable Security Documents and the applicable Intercreditor Agreements, and to have the Obligations of each of the Guarantors discharged with respect to its Note Guarantee, and to have Liens on the Collateral securing the Notes released (and the Trustee, on demand of and at the expense of the Issuer, shall execute proper instruments acknowledging the same) and to have cured all then existing Events of Default, except for the following provisions which shall survive until otherwise terminated or discharged under this Indenture:</w:t>
      </w:r>
    </w:p>
    <w:p>
      <w:pPr>
        <w:spacing w:after="0" w:line="185" w:lineRule="exact"/>
        <w:rPr>
          <w:sz w:val="20"/>
          <w:szCs w:val="20"/>
          <w:color w:val="auto"/>
        </w:rPr>
      </w:pPr>
    </w:p>
    <w:p>
      <w:pPr>
        <w:ind w:right="180" w:firstLine="1952"/>
        <w:spacing w:after="0" w:line="277" w:lineRule="auto"/>
        <w:tabs>
          <w:tab w:leader="none" w:pos="245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the rights of Holders to receive payments in respect of the principal of, premium, if any, and interest on the Notes when such payments are due solely out of the trust created pursuant to this Indenture referred to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1952"/>
        <w:spacing w:after="0" w:line="308" w:lineRule="auto"/>
        <w:tabs>
          <w:tab w:leader="none" w:pos="246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46" w:lineRule="exact"/>
        <w:rPr>
          <w:rFonts w:ascii="Arial" w:cs="Arial" w:eastAsia="Arial" w:hAnsi="Arial"/>
          <w:sz w:val="17"/>
          <w:szCs w:val="17"/>
          <w:color w:val="auto"/>
        </w:rPr>
      </w:pPr>
    </w:p>
    <w:p>
      <w:pPr>
        <w:ind w:right="800" w:firstLine="1952"/>
        <w:spacing w:after="0" w:line="277" w:lineRule="auto"/>
        <w:tabs>
          <w:tab w:leader="none" w:pos="245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Notes Collateral Agent, and the Issuer’s obligations in connection therewith; and</w:t>
      </w:r>
    </w:p>
    <w:p>
      <w:pPr>
        <w:spacing w:after="0" w:line="170" w:lineRule="exact"/>
        <w:rPr>
          <w:rFonts w:ascii="Arial" w:cs="Arial" w:eastAsia="Arial" w:hAnsi="Arial"/>
          <w:sz w:val="18"/>
          <w:szCs w:val="18"/>
          <w:color w:val="auto"/>
        </w:rPr>
      </w:pPr>
    </w:p>
    <w:p>
      <w:pPr>
        <w:ind w:left="2480" w:hanging="528"/>
        <w:spacing w:after="0"/>
        <w:tabs>
          <w:tab w:leader="none" w:pos="2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Subject to compliance with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the Issuer may exercise its option under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notwithstanding the prior exercise of their option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70"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7"/>
          <w:szCs w:val="17"/>
          <w:u w:val="single" w:color="auto"/>
          <w:color w:val="auto"/>
        </w:rPr>
        <w:t>COVENANT DEFEASANCE</w:t>
      </w:r>
      <w:r>
        <w:rPr>
          <w:rFonts w:ascii="Arial" w:cs="Arial" w:eastAsia="Arial" w:hAnsi="Arial"/>
          <w:sz w:val="17"/>
          <w:szCs w:val="17"/>
          <w:color w:val="auto"/>
        </w:rPr>
        <w:t>.</w:t>
      </w:r>
    </w:p>
    <w:p>
      <w:pPr>
        <w:spacing w:after="0" w:line="225" w:lineRule="exact"/>
        <w:rPr>
          <w:sz w:val="20"/>
          <w:szCs w:val="20"/>
          <w:color w:val="auto"/>
        </w:rPr>
      </w:pPr>
    </w:p>
    <w:p>
      <w:pPr>
        <w:ind w:right="80" w:firstLine="1296"/>
        <w:spacing w:after="0" w:line="291" w:lineRule="auto"/>
        <w:rPr>
          <w:sz w:val="20"/>
          <w:szCs w:val="20"/>
          <w:color w:val="auto"/>
        </w:rPr>
      </w:pPr>
      <w:r>
        <w:rPr>
          <w:rFonts w:ascii="Arial" w:cs="Arial" w:eastAsia="Arial" w:hAnsi="Arial"/>
          <w:sz w:val="16"/>
          <w:szCs w:val="16"/>
          <w:color w:val="auto"/>
        </w:rPr>
        <w:t xml:space="preserve">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Issuer and the Guarantors shall,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be released from their obligations under the covenants contained in </w:t>
      </w:r>
      <w:r>
        <w:rPr>
          <w:rFonts w:ascii="Arial" w:cs="Arial" w:eastAsia="Arial" w:hAnsi="Arial"/>
          <w:sz w:val="16"/>
          <w:szCs w:val="16"/>
          <w:u w:val="single" w:color="auto"/>
          <w:color w:val="auto"/>
        </w:rPr>
        <w:t>Sections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4.04</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w:t>
      </w:r>
    </w:p>
    <w:p>
      <w:pPr>
        <w:ind w:right="80"/>
        <w:spacing w:after="0" w:line="281" w:lineRule="auto"/>
        <w:rPr>
          <w:sz w:val="20"/>
          <w:szCs w:val="20"/>
          <w:color w:val="auto"/>
        </w:rPr>
      </w:pPr>
      <w:r>
        <w:rPr>
          <w:rFonts w:ascii="Arial" w:cs="Arial" w:eastAsia="Arial" w:hAnsi="Arial"/>
          <w:sz w:val="16"/>
          <w:szCs w:val="16"/>
          <w:u w:val="single" w:color="auto"/>
          <w:color w:val="auto"/>
        </w:rPr>
        <w:t>4.07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w:t>
      </w:r>
      <w:r>
        <w:rPr>
          <w:rFonts w:ascii="Arial" w:cs="Arial" w:eastAsia="Arial" w:hAnsi="Arial"/>
          <w:sz w:val="16"/>
          <w:szCs w:val="16"/>
          <w:u w:val="single" w:color="auto"/>
          <w:color w:val="auto"/>
        </w:rPr>
        <w:t>4.09</w:t>
      </w:r>
      <w:r>
        <w:rPr>
          <w:rFonts w:ascii="Arial" w:cs="Arial" w:eastAsia="Arial" w:hAnsi="Arial"/>
          <w:sz w:val="16"/>
          <w:szCs w:val="16"/>
          <w:color w:val="auto"/>
        </w:rPr>
        <w:t xml:space="preserve">, </w:t>
      </w:r>
      <w:r>
        <w:rPr>
          <w:rFonts w:ascii="Arial" w:cs="Arial" w:eastAsia="Arial" w:hAnsi="Arial"/>
          <w:sz w:val="16"/>
          <w:szCs w:val="16"/>
          <w:u w:val="single" w:color="auto"/>
          <w:color w:val="auto"/>
        </w:rPr>
        <w:t>4.10</w:t>
      </w:r>
      <w:r>
        <w:rPr>
          <w:rFonts w:ascii="Arial" w:cs="Arial" w:eastAsia="Arial" w:hAnsi="Arial"/>
          <w:sz w:val="16"/>
          <w:szCs w:val="16"/>
          <w:color w:val="auto"/>
        </w:rPr>
        <w:t xml:space="preserve">, </w:t>
      </w:r>
      <w:r>
        <w:rPr>
          <w:rFonts w:ascii="Arial" w:cs="Arial" w:eastAsia="Arial" w:hAnsi="Arial"/>
          <w:sz w:val="16"/>
          <w:szCs w:val="16"/>
          <w:u w:val="single" w:color="auto"/>
          <w:color w:val="auto"/>
        </w:rPr>
        <w:t>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w:t>
      </w:r>
      <w:r>
        <w:rPr>
          <w:rFonts w:ascii="Arial" w:cs="Arial" w:eastAsia="Arial" w:hAnsi="Arial"/>
          <w:sz w:val="16"/>
          <w:szCs w:val="16"/>
          <w:u w:val="single" w:color="auto"/>
          <w:color w:val="auto"/>
        </w:rPr>
        <w:t>4.14</w:t>
      </w:r>
      <w:r>
        <w:rPr>
          <w:rFonts w:ascii="Arial" w:cs="Arial" w:eastAsia="Arial" w:hAnsi="Arial"/>
          <w:sz w:val="16"/>
          <w:szCs w:val="16"/>
          <w:color w:val="auto"/>
        </w:rPr>
        <w:t xml:space="preserve">, </w:t>
      </w:r>
      <w:r>
        <w:rPr>
          <w:rFonts w:ascii="Arial" w:cs="Arial" w:eastAsia="Arial" w:hAnsi="Arial"/>
          <w:sz w:val="16"/>
          <w:szCs w:val="16"/>
          <w:u w:val="single" w:color="auto"/>
          <w:color w:val="auto"/>
        </w:rPr>
        <w:t>4.15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5.01(d)</w:t>
      </w:r>
      <w:r>
        <w:rPr>
          <w:rFonts w:ascii="Arial" w:cs="Arial" w:eastAsia="Arial" w:hAnsi="Arial"/>
          <w:sz w:val="16"/>
          <w:szCs w:val="16"/>
          <w:color w:val="auto"/>
        </w:rPr>
        <w:t xml:space="preserve"> with respect to the outstanding Notes on and after the date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are satisfied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under this Indenture (it being understood that such Notes shall not be deemed outstanding for accounting purposes). For this purpose, Covenant Defeasance means that, with respect to the outstanding Notes, the Issuer and its Restricted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but, except as specified above, the remainder of this Indenture and such Notes shall be unaffected thereby. In addition, upon the Issuer’s exercise under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option applicable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subject to the satisfaction of the conditions set forth in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w:t>
      </w:r>
    </w:p>
    <w:p>
      <w:pPr>
        <w:spacing w:after="0" w:line="6" w:lineRule="exact"/>
        <w:rPr>
          <w:sz w:val="20"/>
          <w:szCs w:val="20"/>
          <w:color w:val="auto"/>
        </w:rPr>
      </w:pPr>
    </w:p>
    <w:p>
      <w:pPr>
        <w:jc w:val="both"/>
        <w:ind w:right="340"/>
        <w:spacing w:after="0" w:line="323" w:lineRule="auto"/>
        <w:rPr>
          <w:sz w:val="20"/>
          <w:szCs w:val="20"/>
          <w:color w:val="auto"/>
        </w:rPr>
      </w:pPr>
      <w:r>
        <w:rPr>
          <w:rFonts w:ascii="Arial" w:cs="Arial" w:eastAsia="Arial" w:hAnsi="Arial"/>
          <w:sz w:val="16"/>
          <w:szCs w:val="16"/>
          <w:u w:val="single" w:color="auto"/>
          <w:color w:val="auto"/>
        </w:rPr>
        <w:t>6.01(a)(3)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6.01(a)(6)</w:t>
      </w:r>
      <w:r>
        <w:rPr>
          <w:rFonts w:ascii="Arial" w:cs="Arial" w:eastAsia="Arial" w:hAnsi="Arial"/>
          <w:sz w:val="16"/>
          <w:szCs w:val="16"/>
          <w:color w:val="auto"/>
        </w:rPr>
        <w:t xml:space="preserve"> (solely with respect to Restricted Subsidiaries that are Significant Subsidiaries and any group of Restricted Subsidiaries that taken together would constitute a Significant Subsidiary), 6.01(a)(7), 6.01(a)(9) and 6.01(a)(10) shall not constitute Events of Default.</w:t>
      </w: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5" w:name="page176"/>
    <w:bookmarkEnd w:id="175"/>
    <w:p>
      <w:pPr>
        <w:ind w:left="1300"/>
        <w:spacing w:after="0"/>
        <w:tabs>
          <w:tab w:leader="none" w:pos="29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The following shall be the conditions to the application of either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to the outstanding Notes:</w:t>
      </w:r>
    </w:p>
    <w:p>
      <w:pPr>
        <w:spacing w:after="0" w:line="225" w:lineRule="exact"/>
        <w:rPr>
          <w:sz w:val="20"/>
          <w:szCs w:val="20"/>
          <w:color w:val="auto"/>
        </w:rPr>
      </w:pPr>
    </w:p>
    <w:p>
      <w:pPr>
        <w:ind w:left="740" w:right="460" w:firstLine="2427"/>
        <w:spacing w:after="0" w:line="269" w:lineRule="auto"/>
        <w:tabs>
          <w:tab w:leader="none" w:pos="3695"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the Issuer must irrevocably deposit with the Trustee, in trust, for the benefit of the Holders, cash in U.S. dollars, U.S. Government Obligations, or a combination thereof, in such amounts (including scheduled payments thereon) as will be sufficient, in the opinion of an Independent Financial Advisor,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Arial" w:cs="Arial" w:eastAsia="Arial" w:hAnsi="Arial"/>
          <w:sz w:val="17"/>
          <w:szCs w:val="17"/>
          <w:u w:val="single" w:color="auto"/>
          <w:color w:val="auto"/>
        </w:rPr>
        <w:t>Applicable Premium Deficit</w:t>
      </w:r>
      <w:r>
        <w:rPr>
          <w:rFonts w:ascii="Arial" w:cs="Arial" w:eastAsia="Arial" w:hAnsi="Arial"/>
          <w:sz w:val="17"/>
          <w:szCs w:val="17"/>
          <w:color w:val="auto"/>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81" w:lineRule="exact"/>
        <w:rPr>
          <w:rFonts w:ascii="Arial" w:cs="Arial" w:eastAsia="Arial" w:hAnsi="Arial"/>
          <w:sz w:val="17"/>
          <w:szCs w:val="17"/>
          <w:color w:val="auto"/>
        </w:rPr>
      </w:pPr>
    </w:p>
    <w:p>
      <w:pPr>
        <w:ind w:left="3700" w:hanging="533"/>
        <w:spacing w:after="0"/>
        <w:tabs>
          <w:tab w:leader="none" w:pos="370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in the case of Legal Defeasance, the Issuer shall have delivered to the Trustee an Opinion of</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Counsel reasonably acceptable to the Trustee confirming that, subject to customary assumptions and exclusions,</w:t>
      </w:r>
    </w:p>
    <w:p>
      <w:pPr>
        <w:spacing w:after="0" w:line="210" w:lineRule="exact"/>
        <w:rPr>
          <w:rFonts w:ascii="Arial" w:cs="Arial" w:eastAsia="Arial" w:hAnsi="Arial"/>
          <w:sz w:val="17"/>
          <w:szCs w:val="17"/>
          <w:color w:val="auto"/>
        </w:rPr>
      </w:pPr>
    </w:p>
    <w:p>
      <w:pPr>
        <w:ind w:left="2460" w:hanging="508"/>
        <w:spacing w:after="0"/>
        <w:tabs>
          <w:tab w:leader="none" w:pos="24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Issuer has received from, or there has been published by, the U.S. Internal Revenue Service a ruling, or</w:t>
      </w:r>
    </w:p>
    <w:p>
      <w:pPr>
        <w:spacing w:after="0" w:line="236" w:lineRule="exact"/>
        <w:rPr>
          <w:rFonts w:ascii="Arial" w:cs="Arial" w:eastAsia="Arial" w:hAnsi="Arial"/>
          <w:sz w:val="17"/>
          <w:szCs w:val="17"/>
          <w:color w:val="auto"/>
        </w:rPr>
      </w:pPr>
    </w:p>
    <w:p>
      <w:pPr>
        <w:ind w:left="2480" w:hanging="528"/>
        <w:spacing w:after="0"/>
        <w:tabs>
          <w:tab w:leader="none" w:pos="2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since the issuance of the Notes, there has been a change in the applicable U.S. federal income tax law,</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subject to customary assumptions and exclusions, the Holders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ind w:left="740" w:right="480" w:firstLine="2427"/>
        <w:spacing w:after="0" w:line="257" w:lineRule="auto"/>
        <w:tabs>
          <w:tab w:leader="none" w:pos="3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41" w:right="579" w:bottom="1440" w:gutter="0" w:footer="0" w:header="0"/>
        </w:sectPr>
      </w:pPr>
    </w:p>
    <w:bookmarkStart w:id="176" w:name="page177"/>
    <w:bookmarkEnd w:id="176"/>
    <w:p>
      <w:pPr>
        <w:ind w:left="740" w:right="740" w:firstLine="2427"/>
        <w:spacing w:after="0" w:line="263" w:lineRule="auto"/>
        <w:tabs>
          <w:tab w:leader="none" w:pos="3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spacing w:after="0" w:line="183" w:lineRule="exact"/>
        <w:rPr>
          <w:rFonts w:ascii="Arial" w:cs="Arial" w:eastAsia="Arial" w:hAnsi="Arial"/>
          <w:sz w:val="18"/>
          <w:szCs w:val="18"/>
          <w:color w:val="auto"/>
        </w:rPr>
      </w:pPr>
    </w:p>
    <w:p>
      <w:pPr>
        <w:ind w:left="740" w:right="660" w:firstLine="2427"/>
        <w:spacing w:after="0" w:line="257" w:lineRule="auto"/>
        <w:tabs>
          <w:tab w:leader="none" w:pos="3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spacing w:after="0" w:line="187" w:lineRule="exact"/>
        <w:rPr>
          <w:rFonts w:ascii="Arial" w:cs="Arial" w:eastAsia="Arial" w:hAnsi="Arial"/>
          <w:sz w:val="18"/>
          <w:szCs w:val="18"/>
          <w:color w:val="auto"/>
        </w:rPr>
      </w:pPr>
    </w:p>
    <w:p>
      <w:pPr>
        <w:ind w:left="740" w:right="660" w:firstLine="2427"/>
        <w:spacing w:after="0" w:line="263" w:lineRule="auto"/>
        <w:tabs>
          <w:tab w:leader="none" w:pos="3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the Issuer with the intent of defeating, hindering, delaying or defrauding any creditors of the Issuer or any Guarantor or others; and</w:t>
      </w:r>
    </w:p>
    <w:p>
      <w:pPr>
        <w:spacing w:after="0" w:line="183" w:lineRule="exact"/>
        <w:rPr>
          <w:rFonts w:ascii="Arial" w:cs="Arial" w:eastAsia="Arial" w:hAnsi="Arial"/>
          <w:sz w:val="18"/>
          <w:szCs w:val="18"/>
          <w:color w:val="auto"/>
        </w:rPr>
      </w:pPr>
    </w:p>
    <w:p>
      <w:pPr>
        <w:jc w:val="both"/>
        <w:ind w:left="740" w:right="660" w:firstLine="2427"/>
        <w:spacing w:after="0" w:line="311" w:lineRule="auto"/>
        <w:tabs>
          <w:tab w:leader="none" w:pos="369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49"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DEPOSITED MONEY AND U.S. GOVERNMENT OBLIGATIONS TO BE HELD IN TRUST; 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all money and U.S. Government Obligations (including the proceeds thereof) deposited with the Trustee (or other qualifying trustee, collectively for purposes of this </w:t>
      </w:r>
      <w:r>
        <w:rPr>
          <w:rFonts w:ascii="Arial" w:cs="Arial" w:eastAsia="Arial" w:hAnsi="Arial"/>
          <w:sz w:val="18"/>
          <w:szCs w:val="18"/>
          <w:u w:val="single" w:color="auto"/>
          <w:color w:val="auto"/>
        </w:rPr>
        <w:t>Section 8.05</w:t>
      </w:r>
      <w:r>
        <w:rPr>
          <w:rFonts w:ascii="Arial" w:cs="Arial" w:eastAsia="Arial" w:hAnsi="Arial"/>
          <w:sz w:val="18"/>
          <w:szCs w:val="18"/>
          <w:color w:val="auto"/>
        </w:rPr>
        <w:t>, the “</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in respect of the outstanding Notes shall be held in trust and applied by the Trustee, in accordance with the provisions of such Notes and this Indenture, to the payment, either directly or through any Paying Agent (including the Issuer or a Guarantor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92" w:lineRule="exact"/>
        <w:rPr>
          <w:sz w:val="20"/>
          <w:szCs w:val="20"/>
          <w:color w:val="auto"/>
        </w:rPr>
      </w:pPr>
    </w:p>
    <w:p>
      <w:pPr>
        <w:ind w:right="320" w:firstLine="1296"/>
        <w:spacing w:after="0" w:line="263" w:lineRule="auto"/>
        <w:rPr>
          <w:sz w:val="20"/>
          <w:szCs w:val="20"/>
          <w:color w:val="auto"/>
        </w:rPr>
      </w:pPr>
      <w:r>
        <w:rPr>
          <w:rFonts w:ascii="Arial" w:cs="Arial" w:eastAsia="Arial" w:hAnsi="Arial"/>
          <w:sz w:val="18"/>
          <w:szCs w:val="18"/>
          <w:color w:val="auto"/>
        </w:rPr>
        <w:t xml:space="preserve">The Issuer shall pay and indemnify the Trustee against any tax, fee or other charge imposed on or assessed against the cash or U.S. Government Obligations deposited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the outstanding Notes.</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7" w:name="page178"/>
    <w:bookmarkEnd w:id="177"/>
    <w:p>
      <w:pPr>
        <w:ind w:firstLine="1296"/>
        <w:spacing w:after="0" w:line="279" w:lineRule="auto"/>
        <w:rPr>
          <w:sz w:val="20"/>
          <w:szCs w:val="20"/>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the contrary notwithstanding, the Trustee shall deliver or pay to the Issuer from time to time upon the request of the Issuer any money or U.S. Government Obligations held by it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which, in the opinion of an Independent Financial Advisor expressed in a written certification thereof delivered to the Trustee (which may be the opinion delivered under </w:t>
      </w:r>
      <w:r>
        <w:rPr>
          <w:rFonts w:ascii="Arial" w:cs="Arial" w:eastAsia="Arial" w:hAnsi="Arial"/>
          <w:sz w:val="17"/>
          <w:szCs w:val="17"/>
          <w:u w:val="single" w:color="auto"/>
          <w:color w:val="auto"/>
        </w:rPr>
        <w:t>Section 8.04(1)</w:t>
      </w:r>
      <w:r>
        <w:rPr>
          <w:rFonts w:ascii="Arial" w:cs="Arial" w:eastAsia="Arial" w:hAnsi="Arial"/>
          <w:sz w:val="17"/>
          <w:szCs w:val="17"/>
          <w:color w:val="auto"/>
        </w:rPr>
        <w:t>), are in excess of the amount thereof that would then be required to be deposited to effect an equivalent Legal Defeasance or Covenant Defeasance.</w:t>
      </w:r>
    </w:p>
    <w:p>
      <w:pPr>
        <w:spacing w:after="0" w:line="17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REPAYMENT TO ISSUER</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The Trustee and each Paying Agent shall promptly turn over to the Issuer upon receipt of an Issuer Order any excess money or securities held by them upon payment of all the obligations under this Indenture.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78"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7"/>
          <w:szCs w:val="17"/>
          <w:u w:val="single" w:color="auto"/>
          <w:color w:val="auto"/>
        </w:rPr>
        <w:t>REINSTATEMENT</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If the Trustee or Paying Agent is unable to apply any United States dollars or U.S. Government Obligations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until such time as the Trustee or Paying Agent is permitted to apply all such money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Issuer makes any payment of principal of, premium or interest on any Note following the reinstatement of their obligations, the Issuer shall be subrogated to the rights of the Holders of such Notes to receive such payment from the money held by the Trustee or Paying Agent.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AMENDMENT, SUPPLEMENT AND WAIVER</w:t>
      </w:r>
    </w:p>
    <w:p>
      <w:pPr>
        <w:spacing w:after="0" w:line="229"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u w:val="single" w:color="auto"/>
          <w:color w:val="auto"/>
        </w:rPr>
        <w:t>WITHOUT CONSENT OF HOLDERS</w:t>
      </w:r>
      <w:r>
        <w:rPr>
          <w:rFonts w:ascii="Arial" w:cs="Arial" w:eastAsia="Arial" w:hAnsi="Arial"/>
          <w:sz w:val="17"/>
          <w:szCs w:val="17"/>
          <w:color w:val="auto"/>
        </w:rPr>
        <w:t>.</w:t>
      </w:r>
    </w:p>
    <w:p>
      <w:pPr>
        <w:spacing w:after="0" w:line="225" w:lineRule="exact"/>
        <w:rPr>
          <w:sz w:val="20"/>
          <w:szCs w:val="20"/>
          <w:color w:val="auto"/>
        </w:rPr>
      </w:pPr>
    </w:p>
    <w:p>
      <w:pPr>
        <w:ind w:right="200" w:firstLine="1296"/>
        <w:spacing w:after="0" w:line="257" w:lineRule="auto"/>
        <w:rPr>
          <w:sz w:val="20"/>
          <w:szCs w:val="20"/>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9.02</w:t>
      </w:r>
      <w:r>
        <w:rPr>
          <w:rFonts w:ascii="Arial" w:cs="Arial" w:eastAsia="Arial" w:hAnsi="Arial"/>
          <w:sz w:val="18"/>
          <w:szCs w:val="18"/>
          <w:color w:val="auto"/>
        </w:rPr>
        <w:t>, the Issuer, any Guarantor (with respect to its Note Guarantee, this Indenture, any Equal Priority Intercreditor Agreement, any Junior Priority Intercreditor Agreement or the Security Documents to which it is a party and excluding any amendment or supplement the sole purpose of which is to add an additional Guarantor), the Trustee and the Notes Collateral Agent, without the consent of any Holders, may amend the Notes, the Note Guarantee, this Indenture, any Equal Priority Intercreditor Agreement, any Junior Priority Intercreditor Agreement or the Security Documents, for any of the following purposes:</w:t>
      </w:r>
    </w:p>
    <w:p>
      <w:pPr>
        <w:spacing w:after="0" w:line="188" w:lineRule="exact"/>
        <w:rPr>
          <w:sz w:val="20"/>
          <w:szCs w:val="20"/>
          <w:color w:val="auto"/>
        </w:rPr>
      </w:pPr>
    </w:p>
    <w:p>
      <w:pPr>
        <w:ind w:left="5460" w:right="2800" w:hanging="2293"/>
        <w:spacing w:after="0" w:line="762" w:lineRule="auto"/>
        <w:tabs>
          <w:tab w:leader="none" w:pos="369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8" w:name="page179"/>
    <w:bookmarkEnd w:id="178"/>
    <w:p>
      <w:pPr>
        <w:ind w:right="40" w:firstLine="2427"/>
        <w:spacing w:after="0" w:line="263" w:lineRule="auto"/>
        <w:tabs>
          <w:tab w:leader="none" w:pos="29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or to alter the provisions of this Indenture relating to the form of Notes (including the related definitions) in a manner that does not materially adversely affect any Holder;</w:t>
      </w:r>
    </w:p>
    <w:p>
      <w:pPr>
        <w:spacing w:after="0" w:line="183" w:lineRule="exact"/>
        <w:rPr>
          <w:rFonts w:ascii="Arial" w:cs="Arial" w:eastAsia="Arial" w:hAnsi="Arial"/>
          <w:sz w:val="18"/>
          <w:szCs w:val="18"/>
          <w:color w:val="auto"/>
        </w:rPr>
      </w:pPr>
    </w:p>
    <w:p>
      <w:pPr>
        <w:ind w:left="2960" w:hanging="533"/>
        <w:spacing w:after="0"/>
        <w:tabs>
          <w:tab w:leader="none" w:pos="2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2427"/>
        <w:spacing w:after="0" w:line="263" w:lineRule="auto"/>
        <w:tabs>
          <w:tab w:leader="none" w:pos="29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provide for the assumption of the Issuer’s or any Guarantor’s obligations to the Holders pursuant to the terms of this Indenture, any Equal Priority Intercreditor Agreement, any Junior Priority Intercreditor Agreement or any Security Document;</w:t>
      </w:r>
    </w:p>
    <w:p>
      <w:pPr>
        <w:spacing w:after="0" w:line="183" w:lineRule="exact"/>
        <w:rPr>
          <w:rFonts w:ascii="Arial" w:cs="Arial" w:eastAsia="Arial" w:hAnsi="Arial"/>
          <w:sz w:val="18"/>
          <w:szCs w:val="18"/>
          <w:color w:val="auto"/>
        </w:rPr>
      </w:pPr>
    </w:p>
    <w:p>
      <w:pPr>
        <w:ind w:left="2960" w:hanging="533"/>
        <w:spacing w:after="0"/>
        <w:tabs>
          <w:tab w:leader="none" w:pos="29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or that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does not adversely affect the legal rights under this Indenture of any such Holder in any material respect;</w:t>
      </w:r>
    </w:p>
    <w:p>
      <w:pPr>
        <w:spacing w:after="0" w:line="210" w:lineRule="exact"/>
        <w:rPr>
          <w:rFonts w:ascii="Arial" w:cs="Arial" w:eastAsia="Arial" w:hAnsi="Arial"/>
          <w:sz w:val="16"/>
          <w:szCs w:val="16"/>
          <w:color w:val="auto"/>
        </w:rPr>
      </w:pPr>
    </w:p>
    <w:p>
      <w:pPr>
        <w:ind w:left="2960" w:hanging="533"/>
        <w:spacing w:after="0"/>
        <w:tabs>
          <w:tab w:leader="none" w:pos="29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add covenants for the benefit of the Holders or to surrender any right or power conferred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upon the Issuer or any Guarantor;</w:t>
      </w:r>
    </w:p>
    <w:p>
      <w:pPr>
        <w:spacing w:after="0" w:line="210" w:lineRule="exact"/>
        <w:rPr>
          <w:rFonts w:ascii="Arial" w:cs="Arial" w:eastAsia="Arial" w:hAnsi="Arial"/>
          <w:sz w:val="17"/>
          <w:szCs w:val="17"/>
          <w:color w:val="auto"/>
        </w:rPr>
      </w:pPr>
    </w:p>
    <w:p>
      <w:pPr>
        <w:ind w:left="2960" w:hanging="533"/>
        <w:spacing w:after="0"/>
        <w:tabs>
          <w:tab w:leader="none" w:pos="29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terms of this Indenture;</w:t>
      </w:r>
    </w:p>
    <w:p>
      <w:pPr>
        <w:spacing w:after="0" w:line="248" w:lineRule="exact"/>
        <w:rPr>
          <w:rFonts w:ascii="Arial" w:cs="Arial" w:eastAsia="Arial" w:hAnsi="Arial"/>
          <w:sz w:val="16"/>
          <w:szCs w:val="16"/>
          <w:color w:val="auto"/>
        </w:rPr>
      </w:pPr>
    </w:p>
    <w:p>
      <w:pPr>
        <w:ind w:right="120" w:firstLine="2427"/>
        <w:spacing w:after="0" w:line="277" w:lineRule="auto"/>
        <w:tabs>
          <w:tab w:leader="none" w:pos="295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Trust Indenture Act, if applicable;</w:t>
      </w:r>
    </w:p>
    <w:p>
      <w:pPr>
        <w:spacing w:after="0" w:line="170" w:lineRule="exact"/>
        <w:rPr>
          <w:rFonts w:ascii="Arial" w:cs="Arial" w:eastAsia="Arial" w:hAnsi="Arial"/>
          <w:sz w:val="18"/>
          <w:szCs w:val="18"/>
          <w:color w:val="auto"/>
        </w:rPr>
      </w:pPr>
    </w:p>
    <w:p>
      <w:pPr>
        <w:ind w:firstLine="2427"/>
        <w:spacing w:after="0" w:line="342" w:lineRule="auto"/>
        <w:tabs>
          <w:tab w:leader="none" w:pos="295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this Indenture of a successor Trustee, a successor Notes Collateral Agent or a successor paying agent hereunder pursuant to the requirements hereof;</w:t>
      </w:r>
    </w:p>
    <w:p>
      <w:pPr>
        <w:spacing w:after="0" w:line="123" w:lineRule="exact"/>
        <w:rPr>
          <w:rFonts w:ascii="Arial" w:cs="Arial" w:eastAsia="Arial" w:hAnsi="Arial"/>
          <w:sz w:val="16"/>
          <w:szCs w:val="16"/>
          <w:color w:val="auto"/>
        </w:rPr>
      </w:pPr>
    </w:p>
    <w:p>
      <w:pPr>
        <w:ind w:left="2960" w:hanging="533"/>
        <w:spacing w:after="0"/>
        <w:tabs>
          <w:tab w:leader="none" w:pos="29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add a Guarantor or a co-obligor of the Notes under this Indenture, any Equal Priority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Intercreditor Agreement, any Junior Priority Intercreditor Agreement and/or the Security Documents;</w:t>
      </w:r>
    </w:p>
    <w:p>
      <w:pPr>
        <w:spacing w:after="0" w:line="210" w:lineRule="exact"/>
        <w:rPr>
          <w:rFonts w:ascii="Arial" w:cs="Arial" w:eastAsia="Arial" w:hAnsi="Arial"/>
          <w:sz w:val="17"/>
          <w:szCs w:val="17"/>
          <w:color w:val="auto"/>
        </w:rPr>
      </w:pPr>
    </w:p>
    <w:p>
      <w:pPr>
        <w:ind w:right="20" w:firstLine="2427"/>
        <w:spacing w:after="0" w:line="257" w:lineRule="auto"/>
        <w:tabs>
          <w:tab w:leader="none" w:pos="294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conform the text of this Indenture, any Equal Priority Intercreditor Agreement, any Junior Priority Intercreditor Agreement, the Security Documents, the Notes or the Note Guarantees to any provision of the “Description of Notes” section of the Offering Memorandum to the extent that such provision in such “Description of Notes” section was intended to be a verbatim recitation of a provision of this Indenture, any Equal Priority Intercreditor Agreement, any Junior Priority Intercreditor Agreement, any Security Document, the Notes or the Note Guarantees;</w:t>
      </w: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48895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20"/>
          </w:cols>
          <w:pgMar w:left="1060" w:top="341" w:right="1019" w:bottom="1440" w:gutter="0" w:footer="0" w:header="0"/>
        </w:sectPr>
      </w:pPr>
    </w:p>
    <w:bookmarkStart w:id="179" w:name="page180"/>
    <w:bookmarkEnd w:id="179"/>
    <w:p>
      <w:pPr>
        <w:jc w:val="both"/>
        <w:ind w:right="640" w:firstLine="2427"/>
        <w:spacing w:after="0" w:line="286" w:lineRule="auto"/>
        <w:tabs>
          <w:tab w:leader="none" w:pos="30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to make any amendment to the provisions of this Indenture relating to the transfer and legending of Notes as permitted by this Indenture, including to facilitate the issuance and administration of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amendment does not materially and adversely affect the rights of Holders to transfer Notes;</w:t>
      </w:r>
    </w:p>
    <w:p>
      <w:pPr>
        <w:spacing w:after="0" w:line="165" w:lineRule="exact"/>
        <w:rPr>
          <w:rFonts w:ascii="Arial" w:cs="Arial" w:eastAsia="Arial" w:hAnsi="Arial"/>
          <w:sz w:val="17"/>
          <w:szCs w:val="17"/>
          <w:color w:val="auto"/>
        </w:rPr>
      </w:pPr>
    </w:p>
    <w:p>
      <w:pPr>
        <w:ind w:left="3040" w:hanging="613"/>
        <w:spacing w:after="0"/>
        <w:tabs>
          <w:tab w:leader="none" w:pos="30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add Collateral with respect to any or all of the Notes and/or the Note Guarantees;</w:t>
      </w:r>
    </w:p>
    <w:p>
      <w:pPr>
        <w:spacing w:after="0" w:line="225" w:lineRule="exact"/>
        <w:rPr>
          <w:rFonts w:ascii="Arial" w:cs="Arial" w:eastAsia="Arial" w:hAnsi="Arial"/>
          <w:sz w:val="18"/>
          <w:szCs w:val="18"/>
          <w:color w:val="auto"/>
        </w:rPr>
      </w:pPr>
    </w:p>
    <w:p>
      <w:pPr>
        <w:ind w:left="3040" w:hanging="613"/>
        <w:spacing w:after="0"/>
        <w:tabs>
          <w:tab w:leader="none" w:pos="30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to release any Guarantor from its Note Guarantee pursuant to this Indenture when permitted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this Indenture;</w:t>
      </w:r>
    </w:p>
    <w:p>
      <w:pPr>
        <w:spacing w:after="0" w:line="210" w:lineRule="exact"/>
        <w:rPr>
          <w:rFonts w:ascii="Arial" w:cs="Arial" w:eastAsia="Arial" w:hAnsi="Arial"/>
          <w:sz w:val="16"/>
          <w:szCs w:val="16"/>
          <w:color w:val="auto"/>
        </w:rPr>
      </w:pPr>
    </w:p>
    <w:p>
      <w:pPr>
        <w:ind w:right="160" w:firstLine="2427"/>
        <w:spacing w:after="0" w:line="286" w:lineRule="auto"/>
        <w:tabs>
          <w:tab w:leader="none" w:pos="30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to release any Collateral from the Lien securing the Notes when permitted or required by the Security Documents, this Indenture (including pursuant to </w:t>
      </w:r>
      <w:r>
        <w:rPr>
          <w:rFonts w:ascii="Arial" w:cs="Arial" w:eastAsia="Arial" w:hAnsi="Arial"/>
          <w:sz w:val="17"/>
          <w:szCs w:val="17"/>
          <w:u w:val="single" w:color="auto"/>
          <w:color w:val="auto"/>
        </w:rPr>
        <w:t>Section 4.12(b)</w:t>
      </w:r>
      <w:r>
        <w:rPr>
          <w:rFonts w:ascii="Arial" w:cs="Arial" w:eastAsia="Arial" w:hAnsi="Arial"/>
          <w:sz w:val="17"/>
          <w:szCs w:val="17"/>
          <w:color w:val="auto"/>
        </w:rPr>
        <w:t xml:space="preserve"> and including any release of any Lien that is not then otherwise required by this Indenture to be pledged as security for the Notes) or any Equal Priority Intercreditor Agreement;</w:t>
      </w:r>
    </w:p>
    <w:p>
      <w:pPr>
        <w:spacing w:after="0" w:line="165" w:lineRule="exact"/>
        <w:rPr>
          <w:rFonts w:ascii="Arial" w:cs="Arial" w:eastAsia="Arial" w:hAnsi="Arial"/>
          <w:sz w:val="17"/>
          <w:szCs w:val="17"/>
          <w:color w:val="auto"/>
        </w:rPr>
      </w:pPr>
    </w:p>
    <w:p>
      <w:pPr>
        <w:ind w:left="3040" w:hanging="613"/>
        <w:spacing w:after="0"/>
        <w:tabs>
          <w:tab w:leader="none" w:pos="30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depositary;</w:t>
      </w:r>
    </w:p>
    <w:p>
      <w:pPr>
        <w:spacing w:after="0" w:line="225" w:lineRule="exact"/>
        <w:rPr>
          <w:rFonts w:ascii="Arial" w:cs="Arial" w:eastAsia="Arial" w:hAnsi="Arial"/>
          <w:sz w:val="18"/>
          <w:szCs w:val="18"/>
          <w:color w:val="auto"/>
        </w:rPr>
      </w:pPr>
    </w:p>
    <w:p>
      <w:pPr>
        <w:ind w:right="80" w:firstLine="2427"/>
        <w:spacing w:after="0" w:line="308" w:lineRule="auto"/>
        <w:tabs>
          <w:tab w:leader="none" w:pos="30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add any Additional Equal Priority Secured Parties to any Security Documents or any Equal Priority Intercreditor Agreement or add any Junior Priority Secured Parties to any Junior Priority Intercreditor Agreement;</w:t>
      </w:r>
    </w:p>
    <w:p>
      <w:pPr>
        <w:spacing w:after="0" w:line="146" w:lineRule="exact"/>
        <w:rPr>
          <w:rFonts w:ascii="Arial" w:cs="Arial" w:eastAsia="Arial" w:hAnsi="Arial"/>
          <w:sz w:val="17"/>
          <w:szCs w:val="17"/>
          <w:color w:val="auto"/>
        </w:rPr>
      </w:pPr>
    </w:p>
    <w:p>
      <w:pPr>
        <w:ind w:left="3040" w:hanging="613"/>
        <w:spacing w:after="0"/>
        <w:tabs>
          <w:tab w:leader="none" w:pos="30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enter into any Equal Priority Intercreditor Agreement, any Junior Priority Intercreditor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or any joinder thereto</w:t>
      </w:r>
    </w:p>
    <w:p>
      <w:pPr>
        <w:spacing w:after="0" w:line="210" w:lineRule="exact"/>
        <w:rPr>
          <w:rFonts w:ascii="Arial" w:cs="Arial" w:eastAsia="Arial" w:hAnsi="Arial"/>
          <w:sz w:val="17"/>
          <w:szCs w:val="17"/>
          <w:color w:val="auto"/>
        </w:rPr>
      </w:pPr>
    </w:p>
    <w:p>
      <w:pPr>
        <w:jc w:val="both"/>
        <w:ind w:right="260" w:firstLine="2427"/>
        <w:spacing w:after="0" w:line="286" w:lineRule="auto"/>
        <w:tabs>
          <w:tab w:leader="none" w:pos="30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case of any Security Document, to include therein any legend required to be set forth therein pursuant to any Equal Priority Intercreditor Agreement or any Junior Priority Intercreditor Agreement, or to modify any such legend as required by any Equal Priority Intercreditor Agreement or any Junior Priority Intercreditor Agreement;</w:t>
      </w:r>
    </w:p>
    <w:p>
      <w:pPr>
        <w:spacing w:after="0" w:line="165" w:lineRule="exact"/>
        <w:rPr>
          <w:rFonts w:ascii="Arial" w:cs="Arial" w:eastAsia="Arial" w:hAnsi="Arial"/>
          <w:sz w:val="17"/>
          <w:szCs w:val="17"/>
          <w:color w:val="auto"/>
        </w:rPr>
      </w:pPr>
    </w:p>
    <w:p>
      <w:pPr>
        <w:ind w:firstLine="2427"/>
        <w:spacing w:after="0" w:line="263" w:lineRule="auto"/>
        <w:tabs>
          <w:tab w:leader="none" w:pos="304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with respect to the Security Documents, any Equal Priority Intercreditor Agreement and any Junior Priority Intercreditor Agreement, as provided in the relevant Security Document, Equal Priority Intercreditor Agreement or Junior Priority Intercreditor Agreement, as applicable; or</w:t>
      </w:r>
    </w:p>
    <w:p>
      <w:pPr>
        <w:spacing w:after="0" w:line="183" w:lineRule="exact"/>
        <w:rPr>
          <w:rFonts w:ascii="Arial" w:cs="Arial" w:eastAsia="Arial" w:hAnsi="Arial"/>
          <w:sz w:val="18"/>
          <w:szCs w:val="18"/>
          <w:color w:val="auto"/>
        </w:rPr>
      </w:pPr>
    </w:p>
    <w:p>
      <w:pPr>
        <w:ind w:right="260" w:firstLine="2427"/>
        <w:spacing w:after="0" w:line="279" w:lineRule="auto"/>
        <w:tabs>
          <w:tab w:leader="none" w:pos="304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to provide for the succession of any parties to the Security Documents, any Equal Priority Intercreditor Agreement or any Junior Priority Intercreditor Agreement (and any amendments that are administrative or ministerial in nature) in connection with an amendment, renewal, extension, substitution, refinancing, restructuring, replacement, supplementing or other modification from time to time of any agreement that is not prohibited by this Indenture.</w:t>
      </w:r>
    </w:p>
    <w:p>
      <w:pPr>
        <w:spacing w:after="0" w:line="37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48895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60"/>
          </w:cols>
          <w:pgMar w:left="1060" w:top="341" w:right="979" w:bottom="1440" w:gutter="0" w:footer="0" w:header="0"/>
        </w:sectPr>
      </w:pPr>
    </w:p>
    <w:bookmarkStart w:id="180" w:name="page181"/>
    <w:bookmarkEnd w:id="180"/>
    <w:p>
      <w:pPr>
        <w:ind w:right="60" w:firstLine="1296"/>
        <w:spacing w:after="0" w:line="296" w:lineRule="auto"/>
        <w:rPr>
          <w:sz w:val="20"/>
          <w:szCs w:val="20"/>
          <w:color w:val="auto"/>
        </w:rPr>
      </w:pPr>
      <w:r>
        <w:rPr>
          <w:rFonts w:ascii="Arial" w:cs="Arial" w:eastAsia="Arial" w:hAnsi="Arial"/>
          <w:sz w:val="16"/>
          <w:szCs w:val="16"/>
          <w:color w:val="auto"/>
        </w:rPr>
        <w:t xml:space="preserve">Upon the request of the Issuer, and upon receipt by the Trustee of the documents described in </w:t>
      </w:r>
      <w:r>
        <w:rPr>
          <w:rFonts w:ascii="Arial" w:cs="Arial" w:eastAsia="Arial" w:hAnsi="Arial"/>
          <w:sz w:val="16"/>
          <w:szCs w:val="16"/>
          <w:u w:val="single" w:color="auto"/>
          <w:color w:val="auto"/>
        </w:rPr>
        <w:t>Section 9.06</w:t>
      </w:r>
      <w:r>
        <w:rPr>
          <w:rFonts w:ascii="Arial" w:cs="Arial" w:eastAsia="Arial" w:hAnsi="Arial"/>
          <w:sz w:val="16"/>
          <w:szCs w:val="16"/>
          <w:color w:val="auto"/>
        </w:rPr>
        <w:t>, the Trustee and/or the Notes Collateral Agent shall join with the Issuer and the Guarantors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16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7"/>
          <w:szCs w:val="17"/>
          <w:u w:val="single" w:color="auto"/>
          <w:color w:val="auto"/>
        </w:rPr>
        <w:t>WITH CONSENT OF HOLDERS</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Except as provided in Section 9.01 or below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Issuer, the Guarantors and the Trustee and the Notes Collateral Agent may amend or supplement this Indenture, the Notes, any Note Guarantee, any Equal Priority Intercreditor Agreement, any Junior Priority Intercreditor Agreement and the Security Documents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and,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any existing Default or Event of Default (other than a Default or Event of Default in the payment of the principal of, premium or interest on the Notes, except a payment default resulting from an acceleration that has been rescinded) or compliance with any provision of this Indenture, the Notes, any Note Guarantee, any Equal Priority Intercreditor Agreement, any Junior Priority Intercreditor Agreement or any Security Document may be waived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shall determine which Notes are considered to be “outstanding” for the purposes of this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79"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 xml:space="preserve">Upon the request of the Issuer and upon the filing with the Trustee of evidence satisfactory to the Trustee of the consent of the Holders as aforesaid, and upon receipt by the Trustee of the documents described in </w:t>
      </w:r>
      <w:r>
        <w:rPr>
          <w:rFonts w:ascii="Arial" w:cs="Arial" w:eastAsia="Arial" w:hAnsi="Arial"/>
          <w:sz w:val="17"/>
          <w:szCs w:val="17"/>
          <w:u w:val="single" w:color="auto"/>
          <w:color w:val="auto"/>
        </w:rPr>
        <w:t>Section 9.06</w:t>
      </w:r>
      <w:r>
        <w:rPr>
          <w:rFonts w:ascii="Arial" w:cs="Arial" w:eastAsia="Arial" w:hAnsi="Arial"/>
          <w:sz w:val="17"/>
          <w:szCs w:val="17"/>
          <w:color w:val="auto"/>
        </w:rPr>
        <w:t>, the Trustee and/or the Notes Collateral Agent shall join with the Issuer and the Guarantors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81" w:name="page182"/>
    <w:bookmarkEnd w:id="181"/>
    <w:p>
      <w:pPr>
        <w:ind w:firstLine="1296"/>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to approve the particular form of any proposed amendment or waiver; it shall be sufficient if such consent approves the substance thereof.</w:t>
      </w:r>
    </w:p>
    <w:p>
      <w:pPr>
        <w:spacing w:after="0" w:line="170" w:lineRule="exact"/>
        <w:rPr>
          <w:sz w:val="20"/>
          <w:szCs w:val="20"/>
          <w:color w:val="auto"/>
        </w:rPr>
      </w:pPr>
    </w:p>
    <w:p>
      <w:pPr>
        <w:jc w:val="both"/>
        <w:ind w:right="280" w:firstLine="1296"/>
        <w:spacing w:after="0" w:line="286" w:lineRule="auto"/>
        <w:rPr>
          <w:sz w:val="20"/>
          <w:szCs w:val="20"/>
          <w:color w:val="auto"/>
        </w:rPr>
      </w:pPr>
      <w:r>
        <w:rPr>
          <w:rFonts w:ascii="Arial" w:cs="Arial" w:eastAsia="Arial" w:hAnsi="Arial"/>
          <w:sz w:val="17"/>
          <w:szCs w:val="17"/>
          <w:color w:val="auto"/>
        </w:rPr>
        <w:t xml:space="preserve">After an amendment, supplement or waiver under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becomes effective, the Issuer shall deliver to the Holders of Notes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spacing w:after="0" w:line="16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Without the consent of each affected Holder, an amendment or waiver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may not, with respect to any Notes held by a non-consenting Holder:</w:t>
      </w:r>
    </w:p>
    <w:p>
      <w:pPr>
        <w:spacing w:after="0" w:line="170" w:lineRule="exact"/>
        <w:rPr>
          <w:sz w:val="20"/>
          <w:szCs w:val="20"/>
          <w:color w:val="auto"/>
        </w:rPr>
      </w:pPr>
    </w:p>
    <w:p>
      <w:pPr>
        <w:ind w:left="3700" w:hanging="533"/>
        <w:spacing w:after="0"/>
        <w:tabs>
          <w:tab w:leader="none" w:pos="37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ind w:left="740" w:right="1020" w:firstLine="2427"/>
        <w:spacing w:after="0" w:line="259" w:lineRule="auto"/>
        <w:tabs>
          <w:tab w:leader="none" w:pos="3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reduce the principal of or change the fixed final maturity of any such Note or reduce the premium payable upon the redemption of such Notes or change the time at which such Notes may be redeemed under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amendment to notice periods may be made with the consent of the Holders of a majority in aggregate principal amount of the Notes then outstanding;</w:t>
      </w:r>
    </w:p>
    <w:p>
      <w:pPr>
        <w:spacing w:after="0" w:line="186" w:lineRule="exact"/>
        <w:rPr>
          <w:rFonts w:ascii="Arial" w:cs="Arial" w:eastAsia="Arial" w:hAnsi="Arial"/>
          <w:sz w:val="18"/>
          <w:szCs w:val="18"/>
          <w:color w:val="auto"/>
        </w:rPr>
      </w:pPr>
    </w:p>
    <w:p>
      <w:pPr>
        <w:ind w:left="3700" w:hanging="533"/>
        <w:spacing w:after="0"/>
        <w:tabs>
          <w:tab w:leader="none" w:pos="3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ind w:left="740" w:right="700" w:firstLine="2427"/>
        <w:spacing w:after="0" w:line="257" w:lineRule="auto"/>
        <w:tabs>
          <w:tab w:leader="none" w:pos="3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waive a Default or Event of Default in (a)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(b) in respect of a covenant or provision contained in this Indenture or any Note Guarantee which cannot be amended or modified without the consent of all affected Holders;</w:t>
      </w:r>
    </w:p>
    <w:p>
      <w:pPr>
        <w:spacing w:after="0" w:line="187" w:lineRule="exact"/>
        <w:rPr>
          <w:rFonts w:ascii="Arial" w:cs="Arial" w:eastAsia="Arial" w:hAnsi="Arial"/>
          <w:sz w:val="18"/>
          <w:szCs w:val="18"/>
          <w:color w:val="auto"/>
        </w:rPr>
      </w:pPr>
    </w:p>
    <w:p>
      <w:pPr>
        <w:ind w:left="3700" w:hanging="533"/>
        <w:spacing w:after="0"/>
        <w:tabs>
          <w:tab w:leader="none" w:pos="3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therein;</w:t>
      </w:r>
    </w:p>
    <w:p>
      <w:pPr>
        <w:spacing w:after="0" w:line="225" w:lineRule="exact"/>
        <w:rPr>
          <w:rFonts w:ascii="Arial" w:cs="Arial" w:eastAsia="Arial" w:hAnsi="Arial"/>
          <w:sz w:val="18"/>
          <w:szCs w:val="18"/>
          <w:color w:val="auto"/>
        </w:rPr>
      </w:pPr>
    </w:p>
    <w:p>
      <w:pPr>
        <w:ind w:left="3700" w:hanging="533"/>
        <w:spacing w:after="0"/>
        <w:tabs>
          <w:tab w:leader="none" w:pos="3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w:t>
      </w:r>
    </w:p>
    <w:p>
      <w:pPr>
        <w:spacing w:after="0" w:line="2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rights of Holders to receive payments of principal of or premium, if any, or interest on the Notes;</w:t>
      </w:r>
    </w:p>
    <w:p>
      <w:pPr>
        <w:spacing w:after="0" w:line="210" w:lineRule="exact"/>
        <w:rPr>
          <w:rFonts w:ascii="Arial" w:cs="Arial" w:eastAsia="Arial" w:hAnsi="Arial"/>
          <w:sz w:val="18"/>
          <w:szCs w:val="18"/>
          <w:color w:val="auto"/>
        </w:rPr>
      </w:pPr>
    </w:p>
    <w:p>
      <w:pPr>
        <w:ind w:left="3700" w:hanging="533"/>
        <w:spacing w:after="0"/>
        <w:tabs>
          <w:tab w:leader="none" w:pos="3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225" w:lineRule="exact"/>
        <w:rPr>
          <w:rFonts w:ascii="Arial" w:cs="Arial" w:eastAsia="Arial" w:hAnsi="Arial"/>
          <w:sz w:val="18"/>
          <w:szCs w:val="18"/>
          <w:color w:val="auto"/>
        </w:rPr>
      </w:pPr>
    </w:p>
    <w:p>
      <w:pPr>
        <w:jc w:val="both"/>
        <w:ind w:left="740" w:right="840" w:firstLine="2427"/>
        <w:spacing w:after="0" w:line="263" w:lineRule="auto"/>
        <w:tabs>
          <w:tab w:leader="none" w:pos="3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amend the contractual right expressly set forth in this Indenture or any Note of any Holder to institute suit for the enforcement of any payment of principal, premium, if any, and interest on such Holder’s Notes on or after the due dates therefor;</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2" w:name="page183"/>
    <w:bookmarkEnd w:id="182"/>
    <w:p>
      <w:pPr>
        <w:ind w:left="3700" w:hanging="533"/>
        <w:spacing w:after="0"/>
        <w:tabs>
          <w:tab w:leader="none" w:pos="37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make any change to or modify the ranking of the Notes that would adversely affect the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Holders; or</w:t>
      </w:r>
    </w:p>
    <w:p>
      <w:pPr>
        <w:spacing w:after="0" w:line="211" w:lineRule="exact"/>
        <w:rPr>
          <w:sz w:val="20"/>
          <w:szCs w:val="20"/>
          <w:color w:val="auto"/>
        </w:rPr>
      </w:pPr>
    </w:p>
    <w:p>
      <w:pPr>
        <w:ind w:left="740" w:right="1440" w:firstLine="2427"/>
        <w:spacing w:after="0" w:line="277" w:lineRule="auto"/>
        <w:tabs>
          <w:tab w:leader="none" w:pos="378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except as expressly permitted by this Indenture, modify the Note Guarantees of any Significant Subsidiary in any manner materially adverse to the Holders.</w:t>
      </w:r>
    </w:p>
    <w:p>
      <w:pPr>
        <w:spacing w:after="0" w:line="27" w:lineRule="exact"/>
        <w:rPr>
          <w:sz w:val="20"/>
          <w:szCs w:val="20"/>
          <w:color w:val="auto"/>
        </w:rPr>
      </w:pPr>
    </w:p>
    <w:p>
      <w:pPr>
        <w:ind w:firstLine="1296"/>
        <w:spacing w:after="0" w:line="294" w:lineRule="auto"/>
        <w:rPr>
          <w:sz w:val="20"/>
          <w:szCs w:val="20"/>
          <w:color w:val="auto"/>
        </w:rPr>
      </w:pPr>
      <w:r>
        <w:rPr>
          <w:rFonts w:ascii="Arial" w:cs="Arial" w:eastAsia="Arial" w:hAnsi="Arial"/>
          <w:sz w:val="16"/>
          <w:szCs w:val="16"/>
          <w:color w:val="auto"/>
        </w:rPr>
        <w:t>Notwithstanding the foregoing, without the consent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aggregate principal amount of the Notes then outstanding, no amendment or waiver may (A) make any change in any Security Document, any Equal Priority Intercreditor Agreement, any Junior Priority Intercreditor Agreement or the provisions in this Indenture dealing with Collateral or application of trust proceeds of the Collateral, which change has the effect of releasing the Liens on all or substantially all of the Collateral which secure the Secured Notes Obligations or (B) change or alter the priority of the Liens securing the Secured Notes Obligations in any material portion of the Collateral in any way materially adverse, taken as a whole, to the Holders, other than, in each case, as provided under the terms of this Indenture, the Security Documents or any Equal Priority Intercreditor Agreement.</w:t>
      </w:r>
    </w:p>
    <w:p>
      <w:pPr>
        <w:spacing w:after="0" w:line="162"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u w:val="single" w:color="auto"/>
          <w:color w:val="auto"/>
        </w:rPr>
        <w:t>REVOCATION AND EFFECT OF CONSENTS</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the Holder and every subsequent Holder of a Note or portion thereof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8" w:lineRule="exact"/>
        <w:rPr>
          <w:sz w:val="20"/>
          <w:szCs w:val="20"/>
          <w:color w:val="auto"/>
        </w:rPr>
      </w:pPr>
    </w:p>
    <w:p>
      <w:pPr>
        <w:ind w:right="60" w:firstLine="1296"/>
        <w:spacing w:after="0" w:line="275" w:lineRule="auto"/>
        <w:rPr>
          <w:sz w:val="20"/>
          <w:szCs w:val="20"/>
          <w:color w:val="auto"/>
        </w:rPr>
      </w:pPr>
      <w:r>
        <w:rPr>
          <w:rFonts w:ascii="Arial" w:cs="Arial" w:eastAsia="Arial" w:hAnsi="Arial"/>
          <w:sz w:val="17"/>
          <w:szCs w:val="17"/>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NOTATION ON OR EXCHANGE OF NOTES</w:t>
      </w:r>
      <w:r>
        <w:rPr>
          <w:rFonts w:ascii="Arial" w:cs="Arial" w:eastAsia="Arial" w:hAnsi="Arial"/>
          <w:sz w:val="17"/>
          <w:szCs w:val="17"/>
          <w:color w:val="auto"/>
        </w:rPr>
        <w:t>.</w:t>
      </w:r>
    </w:p>
    <w:p>
      <w:pPr>
        <w:spacing w:after="0" w:line="225"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waiver.</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3" w:name="page184"/>
    <w:bookmarkEnd w:id="183"/>
    <w:p>
      <w:pPr>
        <w:ind w:left="1300"/>
        <w:spacing w:after="0"/>
        <w:tabs>
          <w:tab w:leader="none" w:pos="290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7"/>
          <w:szCs w:val="17"/>
          <w:u w:val="single" w:color="auto"/>
          <w:color w:val="auto"/>
        </w:rPr>
        <w:t>TRUSTEE TO SIGN AMENDMENTS, ETC.</w:t>
      </w:r>
    </w:p>
    <w:p>
      <w:pPr>
        <w:spacing w:after="0" w:line="22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The Trustee and the Notes Collateral Agent shall sign any amendment, supplement or waiver authorized pursuant to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if the amendment or supplement does not adversely affect the rights, duties, liabilities or immunities of the Trustee and the Notes Collateral Agent. The Issuer may not sign an amendment, supplement or waiver until its Board approves it. In executing any amendment, supplement or waiver, the Trustee shall receive and (subject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be fully protected in relying upon, in addition to the documents required by </w:t>
      </w:r>
      <w:r>
        <w:rPr>
          <w:rFonts w:ascii="Arial" w:cs="Arial" w:eastAsia="Arial" w:hAnsi="Arial"/>
          <w:sz w:val="18"/>
          <w:szCs w:val="18"/>
          <w:u w:val="single" w:color="auto"/>
          <w:color w:val="auto"/>
        </w:rPr>
        <w:t>Section 13.04</w:t>
      </w:r>
      <w:r>
        <w:rPr>
          <w:rFonts w:ascii="Arial" w:cs="Arial" w:eastAsia="Arial" w:hAnsi="Arial"/>
          <w:sz w:val="18"/>
          <w:szCs w:val="18"/>
          <w:color w:val="auto"/>
        </w:rPr>
        <w:t>, an Officer’s Certificate and an Opinion of Counsel stating that the execution of such amended or supplemental indenture or security documents or intercreditor agreements is authorized or not prohibited by this Indenture and that such amendment, supplement or waiver is the legal, valid and binding obligation of the Issuer and any Guarantors party thereto, enforceable against them in accordance with its terms, subject to customary exceptions, and complies with the provisions hereof.</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GUARANTEES</w:t>
      </w:r>
    </w:p>
    <w:p>
      <w:pPr>
        <w:spacing w:after="0" w:line="229"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7"/>
          <w:szCs w:val="17"/>
          <w:u w:val="single" w:color="auto"/>
          <w:color w:val="auto"/>
        </w:rPr>
        <w:t>GUARANTEE</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Subject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each of the Guarantors hereby, jointly and severally, fully and unconditionally guarantees, as primary obligor and not merely as surety, to each Holder of a Note authenticated and delivered by the Trustee and to the Trustee and its successors and assigns, irrespective of the validity and enforceability of this Indenture, the Notes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 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8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Issuer, any right to require a proceeding first against the Issuer, protest, notice and all demands whatsoever and covenants that this Note Guarantee shall not be discharged except by complete performance of the obligations contained in the Notes and this Indenture.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84" w:name="page185"/>
    <w:bookmarkEnd w:id="184"/>
    <w:p>
      <w:pPr>
        <w:ind w:right="260" w:firstLine="1296"/>
        <w:spacing w:after="0" w:line="277" w:lineRule="auto"/>
        <w:rPr>
          <w:sz w:val="20"/>
          <w:szCs w:val="20"/>
          <w:color w:val="auto"/>
        </w:rPr>
      </w:pPr>
      <w:r>
        <w:rPr>
          <w:rFonts w:ascii="Arial" w:cs="Arial" w:eastAsia="Arial" w:hAnsi="Arial"/>
          <w:sz w:val="18"/>
          <w:szCs w:val="18"/>
          <w:color w:val="auto"/>
        </w:rPr>
        <w:t xml:space="preserve">Each Guarantor also agrees to pay any and all costs and expenses (including reasonable attorneys’ fees) incurred by the Trustee or any Holder in enforcing any rights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ind w:right="240" w:firstLine="1296"/>
        <w:spacing w:after="0" w:line="263" w:lineRule="auto"/>
        <w:rPr>
          <w:sz w:val="20"/>
          <w:szCs w:val="20"/>
          <w:color w:val="auto"/>
        </w:rPr>
      </w:pPr>
      <w:r>
        <w:rPr>
          <w:rFonts w:ascii="Arial" w:cs="Arial" w:eastAsia="Arial" w:hAnsi="Arial"/>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Note Guarantee, to the extent theretofore discharged, shall be reinstated in full force and effect.</w:t>
      </w:r>
    </w:p>
    <w:p>
      <w:pPr>
        <w:spacing w:after="0" w:line="184"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for the purposes of this Note Guarantee, notwithstanding any stay, injunction or other prohibition preventing such acceleration in respect of the obligations guaranteed hereby, and (y) in the event of any declaration of acceleration of such obligations as provided in </w:t>
      </w:r>
      <w:r>
        <w:rPr>
          <w:rFonts w:ascii="Arial" w:cs="Arial" w:eastAsia="Arial" w:hAnsi="Arial"/>
          <w:sz w:val="16"/>
          <w:szCs w:val="16"/>
          <w:u w:val="single" w:color="auto"/>
          <w:color w:val="auto"/>
        </w:rPr>
        <w:t>Article 6</w:t>
      </w:r>
      <w:r>
        <w:rPr>
          <w:rFonts w:ascii="Arial" w:cs="Arial" w:eastAsia="Arial" w:hAnsi="Arial"/>
          <w:sz w:val="16"/>
          <w:szCs w:val="16"/>
          <w:color w:val="auto"/>
        </w:rPr>
        <w:t>, such obligations (whether or not due and payable) shall forthwith become due and payable by the Guarantors for the purpose of this Note Guarantee. The Guarantors shall have the right to seek contribution from any non-paying Guarantor so long as the exercise of such right does not impair the rights of the Holders under the Note Guarantees.</w:t>
      </w:r>
    </w:p>
    <w:p>
      <w:pPr>
        <w:spacing w:after="0" w:line="166"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Each Note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6"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In case any provision of any Note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Note Guarantee issued by any Guarantor shall be a general senior obligation of such Guarantor and shall be equal in right of payment with all existing and future Senior Indebtedness of such Guarantor.</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5" w:name="page186"/>
    <w:bookmarkEnd w:id="185"/>
    <w:p>
      <w:pPr>
        <w:ind w:right="500" w:firstLine="1296"/>
        <w:spacing w:after="0" w:line="277" w:lineRule="auto"/>
        <w:rPr>
          <w:sz w:val="20"/>
          <w:szCs w:val="20"/>
          <w:color w:val="auto"/>
        </w:rPr>
      </w:pPr>
      <w:r>
        <w:rPr>
          <w:rFonts w:ascii="Arial" w:cs="Arial" w:eastAsia="Arial" w:hAnsi="Arial"/>
          <w:sz w:val="18"/>
          <w:szCs w:val="18"/>
          <w:color w:val="auto"/>
        </w:rPr>
        <w:t>Each payment to be made by a Guarantor in respect of its Note Guarantee shall be made without set-off, counterclaim, reduction or diminution of any kind or nature.</w:t>
      </w:r>
    </w:p>
    <w:p>
      <w:pPr>
        <w:spacing w:after="0" w:line="170"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8"/>
          <w:szCs w:val="18"/>
          <w:u w:val="single" w:color="auto"/>
          <w:color w:val="auto"/>
        </w:rPr>
        <w:t>LIMITATION ON GUARANTOR LIABILITY</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88" w:lineRule="auto"/>
        <w:rPr>
          <w:sz w:val="20"/>
          <w:szCs w:val="20"/>
          <w:color w:val="auto"/>
        </w:rPr>
      </w:pPr>
      <w:r>
        <w:rPr>
          <w:rFonts w:ascii="Arial" w:cs="Arial" w:eastAsia="Arial" w:hAnsi="Arial"/>
          <w:sz w:val="16"/>
          <w:szCs w:val="16"/>
          <w:color w:val="auto"/>
        </w:rPr>
        <w:t xml:space="preserve">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result in the obligations of such Guarantor under its Note Guarantee not constituting a fraudulent conveyance or fraudulent transfer under applicable law. Each Guarantor that makes a payment under its Note Guarantee shall be entitled upon payment in full of all guaranteed Obligations under this Indenture to a contribution from each other Guarantor in an amount equal to such other Guarantor’s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portion of such payment based on the respective net assets of all the Guarantors at the time of such payment determined in accordance with GAAP.</w:t>
      </w:r>
    </w:p>
    <w:p>
      <w:pPr>
        <w:spacing w:after="0" w:line="168" w:lineRule="exact"/>
        <w:rPr>
          <w:sz w:val="20"/>
          <w:szCs w:val="20"/>
          <w:color w:val="auto"/>
        </w:rPr>
      </w:pPr>
    </w:p>
    <w:p>
      <w:pPr>
        <w:ind w:right="60" w:firstLine="1296"/>
        <w:spacing w:after="0" w:line="308" w:lineRule="auto"/>
        <w:rPr>
          <w:sz w:val="20"/>
          <w:szCs w:val="20"/>
          <w:color w:val="auto"/>
        </w:rPr>
      </w:pPr>
      <w:r>
        <w:rPr>
          <w:rFonts w:ascii="Arial" w:cs="Arial" w:eastAsia="Arial" w:hAnsi="Arial"/>
          <w:sz w:val="17"/>
          <w:szCs w:val="17"/>
          <w:color w:val="auto"/>
        </w:rPr>
        <w:t>Any Note Guarantee of a Guarantor incorporated under the laws of England and Wales shall not apply to the extent that it would result in such Note Guarantee constituting unlawful financial assistance within the meaning of sections 678 or 679 of the Companies Act 2006.</w:t>
      </w:r>
    </w:p>
    <w:p>
      <w:pPr>
        <w:spacing w:after="0" w:line="146"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7"/>
          <w:szCs w:val="17"/>
          <w:u w:val="single" w:color="auto"/>
          <w:color w:val="auto"/>
        </w:rPr>
        <w:t>EXECUTION AND DELIVERY</w:t>
      </w:r>
      <w:r>
        <w:rPr>
          <w:rFonts w:ascii="Arial" w:cs="Arial" w:eastAsia="Arial" w:hAnsi="Arial"/>
          <w:sz w:val="17"/>
          <w:szCs w:val="17"/>
          <w:color w:val="auto"/>
        </w:rPr>
        <w:t>.</w:t>
      </w:r>
    </w:p>
    <w:p>
      <w:pPr>
        <w:spacing w:after="0" w:line="225"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 xml:space="preserve">To evidence its Note Guarantee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(i) each Subsidiary that executes this Indenture as a Guarantor on the Issue Date hereby agrees that this Indenture shall be executed on behalf of such Guarantor by any Officer of such Guarantor and (ii) each Subsidiary that thereafter becomes a Guarantor in accordance with the terms of this Indenture agrees that a supplemental indenture,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shall be executed on behalf of such Guarantor by any Officer of such Guarantor.</w:t>
      </w:r>
    </w:p>
    <w:p>
      <w:pPr>
        <w:spacing w:after="0" w:line="187"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 xml:space="preserve">Each Guarantor hereby agrees that its Note Guarantee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remain in full force and effect notwithstanding the absence of the endorsement of any notation of such Note Guarantee on the Notes.</w:t>
      </w:r>
    </w:p>
    <w:p>
      <w:pPr>
        <w:spacing w:after="0" w:line="170"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If an Officer of the Issuer or any Guarantor whose signature is on this Indenture or any supplemental indenture hereto no longer holds that office at the time the Trustee authenticates any Note, the Note Guarantee shall be valid nevertheless.</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Note Guarantee set forth in this Indenture on behalf of the Guarantors.</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6" w:name="page187"/>
    <w:bookmarkEnd w:id="186"/>
    <w:p>
      <w:pPr>
        <w:ind w:right="380" w:firstLine="1296"/>
        <w:spacing w:after="0" w:line="277" w:lineRule="auto"/>
        <w:rPr>
          <w:sz w:val="20"/>
          <w:szCs w:val="20"/>
          <w:color w:val="auto"/>
        </w:rPr>
      </w:pPr>
      <w:r>
        <w:rPr>
          <w:rFonts w:ascii="Arial" w:cs="Arial" w:eastAsia="Arial" w:hAnsi="Arial"/>
          <w:sz w:val="18"/>
          <w:szCs w:val="18"/>
          <w:color w:val="auto"/>
        </w:rPr>
        <w:t xml:space="preserve">If required by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the Issuer shall cause any of its Wholly-Owned Restricted Subsidiaries to comply with the provisions of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10</w:t>
      </w:r>
      <w:r>
        <w:rPr>
          <w:rFonts w:ascii="Arial" w:cs="Arial" w:eastAsia="Arial" w:hAnsi="Arial"/>
          <w:sz w:val="18"/>
          <w:szCs w:val="18"/>
          <w:color w:val="auto"/>
        </w:rPr>
        <w:t>, to the extent applicable.</w:t>
      </w:r>
    </w:p>
    <w:p>
      <w:pPr>
        <w:spacing w:after="0" w:line="170"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7"/>
          <w:szCs w:val="17"/>
          <w:u w:val="single" w:color="auto"/>
          <w:color w:val="auto"/>
        </w:rPr>
        <w:t>SUBROGATION</w:t>
      </w:r>
      <w:r>
        <w:rPr>
          <w:rFonts w:ascii="Arial" w:cs="Arial" w:eastAsia="Arial" w:hAnsi="Arial"/>
          <w:sz w:val="17"/>
          <w:szCs w:val="17"/>
          <w:color w:val="auto"/>
        </w:rPr>
        <w:t>.</w:t>
      </w:r>
    </w:p>
    <w:p>
      <w:pPr>
        <w:spacing w:after="0" w:line="2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Each Guarantor shall be subrogated to all rights of Holders against the Issuer in respect of any amounts paid by any Guarantor pursuant to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and the Notes shall have been paid in full.</w:t>
      </w:r>
    </w:p>
    <w:p>
      <w:pPr>
        <w:spacing w:after="0" w:line="187"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7"/>
          <w:szCs w:val="17"/>
          <w:u w:val="single" w:color="auto"/>
          <w:color w:val="auto"/>
        </w:rPr>
        <w:t>BENEFITS ACKNOWLEDGED</w:t>
      </w:r>
      <w:r>
        <w:rPr>
          <w:rFonts w:ascii="Arial" w:cs="Arial" w:eastAsia="Arial" w:hAnsi="Arial"/>
          <w:sz w:val="17"/>
          <w:szCs w:val="17"/>
          <w:color w:val="auto"/>
        </w:rPr>
        <w:t>.</w:t>
      </w:r>
    </w:p>
    <w:p>
      <w:pPr>
        <w:spacing w:after="0" w:line="225" w:lineRule="exact"/>
        <w:rPr>
          <w:sz w:val="20"/>
          <w:szCs w:val="20"/>
          <w:color w:val="auto"/>
        </w:rPr>
      </w:pPr>
    </w:p>
    <w:p>
      <w:pPr>
        <w:ind w:right="440" w:firstLine="1296"/>
        <w:spacing w:after="0" w:line="342" w:lineRule="auto"/>
        <w:rPr>
          <w:sz w:val="20"/>
          <w:szCs w:val="20"/>
          <w:color w:val="auto"/>
        </w:rPr>
      </w:pPr>
      <w:r>
        <w:rPr>
          <w:rFonts w:ascii="Arial" w:cs="Arial" w:eastAsia="Arial" w:hAnsi="Arial"/>
          <w:sz w:val="16"/>
          <w:szCs w:val="16"/>
          <w:color w:val="auto"/>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spacing w:after="0" w:line="124"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7"/>
          <w:szCs w:val="17"/>
          <w:u w:val="single" w:color="auto"/>
          <w:color w:val="auto"/>
        </w:rPr>
        <w:t>RELEASE OF NOTE GUARANTEES</w:t>
      </w:r>
      <w:r>
        <w:rPr>
          <w:rFonts w:ascii="Arial" w:cs="Arial" w:eastAsia="Arial" w:hAnsi="Arial"/>
          <w:sz w:val="17"/>
          <w:szCs w:val="17"/>
          <w:color w:val="auto"/>
        </w:rPr>
        <w:t>.</w:t>
      </w:r>
    </w:p>
    <w:p>
      <w:pPr>
        <w:spacing w:after="0" w:line="225" w:lineRule="exact"/>
        <w:rPr>
          <w:sz w:val="20"/>
          <w:szCs w:val="20"/>
          <w:color w:val="auto"/>
        </w:rPr>
      </w:pPr>
    </w:p>
    <w:p>
      <w:pPr>
        <w:ind w:right="420" w:firstLine="1296"/>
        <w:spacing w:after="0" w:line="342" w:lineRule="auto"/>
        <w:rPr>
          <w:sz w:val="20"/>
          <w:szCs w:val="20"/>
          <w:color w:val="auto"/>
        </w:rPr>
      </w:pPr>
      <w:r>
        <w:rPr>
          <w:rFonts w:ascii="Arial" w:cs="Arial" w:eastAsia="Arial" w:hAnsi="Arial"/>
          <w:sz w:val="16"/>
          <w:szCs w:val="16"/>
          <w:color w:val="auto"/>
        </w:rPr>
        <w:t>Notwithstanding anything to the contrary, a Note Guarantee by a Guarantor shall be automatically and unconditionally released and discharged, and no further action by such Guarantor, the Issuer or the Trustee is required for the release of such Guarantor’s Note Guarantee:</w:t>
      </w:r>
    </w:p>
    <w:p>
      <w:pPr>
        <w:spacing w:after="0" w:line="124" w:lineRule="exact"/>
        <w:rPr>
          <w:sz w:val="20"/>
          <w:szCs w:val="20"/>
          <w:color w:val="auto"/>
        </w:rPr>
      </w:pPr>
    </w:p>
    <w:p>
      <w:pPr>
        <w:ind w:right="420" w:firstLine="1952"/>
        <w:spacing w:after="0" w:line="259" w:lineRule="auto"/>
        <w:tabs>
          <w:tab w:leader="none" w:pos="24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upon any sale, exchange, issuance, transfer or other disposition (by merger, consolidation, amalgamation, dividend, distribution or otherwise) of (i) the Capital Stock of such Guarantor, after which such Guarantor is no longer a Restricted Subsidiary, or (ii) all or substantially all of the assets of such Guarantor, in each case, if such sale, exchange, issuance, transfer or other disposition is not prohibited by the applicable provisions of this Indenture;</w:t>
      </w:r>
    </w:p>
    <w:p>
      <w:pPr>
        <w:spacing w:after="0" w:line="186" w:lineRule="exact"/>
        <w:rPr>
          <w:rFonts w:ascii="Arial" w:cs="Arial" w:eastAsia="Arial" w:hAnsi="Arial"/>
          <w:sz w:val="18"/>
          <w:szCs w:val="18"/>
          <w:color w:val="auto"/>
        </w:rPr>
      </w:pPr>
    </w:p>
    <w:p>
      <w:pPr>
        <w:ind w:left="2520" w:hanging="568"/>
        <w:spacing w:after="0"/>
        <w:tabs>
          <w:tab w:leader="none" w:pos="25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60" w:firstLine="1952"/>
        <w:spacing w:after="0" w:line="342" w:lineRule="auto"/>
        <w:tabs>
          <w:tab w:leader="none" w:pos="245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upon the designation of such Guarantor as an Unrestricted Subsidiary or upon such Guarantor becoming (i) a Qualified Liquefaction Development Entity or (ii) a Receivables Subsidiary, in each case in compliance with the applicable provisions of this Indenture;</w:t>
      </w:r>
    </w:p>
    <w:p>
      <w:pPr>
        <w:spacing w:after="0" w:line="123" w:lineRule="exact"/>
        <w:rPr>
          <w:rFonts w:ascii="Arial" w:cs="Arial" w:eastAsia="Arial" w:hAnsi="Arial"/>
          <w:sz w:val="16"/>
          <w:szCs w:val="16"/>
          <w:color w:val="auto"/>
        </w:rPr>
      </w:pPr>
    </w:p>
    <w:p>
      <w:pPr>
        <w:ind w:firstLine="1952"/>
        <w:spacing w:after="0" w:line="277" w:lineRule="auto"/>
        <w:tabs>
          <w:tab w:leader="none" w:pos="246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upon a Legal Defeasance or Covenant Defeasance with respect to the Notes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a satisfaction and discharge of this Indenture with respect to the Notes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80" w:firstLine="1952"/>
        <w:spacing w:after="0" w:line="342" w:lineRule="auto"/>
        <w:tabs>
          <w:tab w:leader="none" w:pos="2459" w:val="left"/>
        </w:tabs>
        <w:numPr>
          <w:ilvl w:val="0"/>
          <w:numId w:val="263"/>
        </w:numPr>
        <w:rPr>
          <w:rFonts w:ascii="Arial" w:cs="Arial" w:eastAsia="Arial" w:hAnsi="Arial"/>
          <w:sz w:val="16"/>
          <w:szCs w:val="16"/>
          <w:color w:val="auto"/>
        </w:rPr>
      </w:pPr>
      <w:r>
        <w:rPr>
          <w:rFonts w:ascii="Arial" w:cs="Arial" w:eastAsia="Arial" w:hAnsi="Arial"/>
          <w:sz w:val="16"/>
          <w:szCs w:val="16"/>
          <w:color w:val="auto"/>
        </w:rPr>
        <w:t>upon the merger, amalgamation, consolidation or winding up of such Guarantor with and into the Issuer or another Guarantor that is the surviving Person in such merger, amalgamation, consolidation or winding up, or upon the liquidation of such Guarantor;</w:t>
      </w:r>
    </w:p>
    <w:p>
      <w:pPr>
        <w:spacing w:after="0" w:line="123" w:lineRule="exact"/>
        <w:rPr>
          <w:rFonts w:ascii="Arial" w:cs="Arial" w:eastAsia="Arial" w:hAnsi="Arial"/>
          <w:sz w:val="16"/>
          <w:szCs w:val="16"/>
          <w:color w:val="auto"/>
        </w:rPr>
      </w:pPr>
    </w:p>
    <w:p>
      <w:pPr>
        <w:ind w:left="2500" w:hanging="548"/>
        <w:spacing w:after="0"/>
        <w:tabs>
          <w:tab w:leader="none" w:pos="25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87" w:name="page188"/>
    <w:bookmarkEnd w:id="187"/>
    <w:p>
      <w:pPr>
        <w:ind w:left="2520" w:hanging="568"/>
        <w:spacing w:after="0"/>
        <w:tabs>
          <w:tab w:leader="none" w:pos="25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as described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hereof or in accordance with the provisions of any Equal Priority Intercreditor Agreement.</w:t>
      </w:r>
    </w:p>
    <w:p>
      <w:pPr>
        <w:spacing w:after="0" w:line="244" w:lineRule="exact"/>
        <w:rPr>
          <w:rFonts w:ascii="Arial" w:cs="Arial" w:eastAsia="Arial" w:hAnsi="Arial"/>
          <w:sz w:val="16"/>
          <w:szCs w:val="16"/>
          <w:color w:val="auto"/>
        </w:rPr>
      </w:pPr>
    </w:p>
    <w:p>
      <w:pPr>
        <w:ind w:left="5100"/>
        <w:spacing w:after="0"/>
        <w:rPr>
          <w:rFonts w:ascii="Arial" w:cs="Arial" w:eastAsia="Arial" w:hAnsi="Arial"/>
          <w:sz w:val="16"/>
          <w:szCs w:val="16"/>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229"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SATISFACTION AND DISCHARGE</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This Indenture shall be discharged and shall cease to be of further effect as to all Notes, and the Liens on the Collateral securing the Notes will be released, when:</w:t>
      </w:r>
    </w:p>
    <w:p>
      <w:pPr>
        <w:spacing w:after="0" w:line="170" w:lineRule="exact"/>
        <w:rPr>
          <w:sz w:val="20"/>
          <w:szCs w:val="20"/>
          <w:color w:val="auto"/>
        </w:rPr>
      </w:pPr>
    </w:p>
    <w:p>
      <w:pPr>
        <w:ind w:left="3700" w:hanging="533"/>
        <w:spacing w:after="0"/>
        <w:tabs>
          <w:tab w:leader="none" w:pos="37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660" w:right="660" w:firstLine="2264"/>
        <w:spacing w:after="0" w:line="263" w:lineRule="auto"/>
        <w:tabs>
          <w:tab w:leader="none" w:pos="341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(except mutilated, lost, stolen or destroyed Notes which have been replaced or paid and Notes for whose payment money has theretofore been deposited in trust) have been delivered to the Trustee for cancellation; or</w:t>
      </w:r>
    </w:p>
    <w:p>
      <w:pPr>
        <w:spacing w:after="0" w:line="184"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300" w:right="1440" w:firstLine="2272"/>
        <w:spacing w:after="0" w:line="257" w:lineRule="auto"/>
        <w:tabs>
          <w:tab w:leader="none" w:pos="413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by reason of the making of a notice of redemption or otherwise, (ii) will become due and payable within one year or (iii) are to be called for redemption within one year under arrangements reasonably satisfactory to the Trustee for the giving of notice of redemption by the Trustee in the name, and at the expense, of the Issuer;</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8" w:name="page189"/>
    <w:bookmarkEnd w:id="188"/>
    <w:p>
      <w:pPr>
        <w:ind w:left="1300" w:right="1340" w:firstLine="2272"/>
        <w:spacing w:after="0" w:line="287" w:lineRule="auto"/>
        <w:tabs>
          <w:tab w:leader="none" w:pos="412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Issuer or any Guarantor has irrevocably deposited or caused to be deposited with the Trustee as trust funds in trust solely for the benefit of the Holders, cash in U.S. dollars, U.S. Government Obligations or a combination thereof in an amount (including scheduled payments thereon) sufficient to pay and discharge the entire Indebtedness on the Notes not theretofore delivered to the Trustee for cancellation, for principal, premium, if any, and accrued interest to the date of such deposit (in the case of Notes which have become due and payable) or to the date of maturity or redemption, as the case may be; provided,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67" w:lineRule="exact"/>
        <w:rPr>
          <w:rFonts w:ascii="Arial" w:cs="Arial" w:eastAsia="Arial" w:hAnsi="Arial"/>
          <w:sz w:val="16"/>
          <w:szCs w:val="16"/>
          <w:color w:val="auto"/>
        </w:rPr>
      </w:pPr>
    </w:p>
    <w:p>
      <w:pPr>
        <w:ind w:left="1300" w:right="1340" w:firstLine="2272"/>
        <w:spacing w:after="0" w:line="271" w:lineRule="auto"/>
        <w:tabs>
          <w:tab w:leader="none" w:pos="4123" w:val="left"/>
        </w:tabs>
        <w:numPr>
          <w:ilvl w:val="1"/>
          <w:numId w:val="268"/>
        </w:numPr>
        <w:rPr>
          <w:rFonts w:ascii="Arial" w:cs="Arial" w:eastAsia="Arial" w:hAnsi="Arial"/>
          <w:sz w:val="17"/>
          <w:szCs w:val="17"/>
          <w:color w:val="auto"/>
        </w:rPr>
      </w:pPr>
      <w:r>
        <w:rPr>
          <w:rFonts w:ascii="Arial" w:cs="Arial" w:eastAsia="Arial" w:hAnsi="Arial"/>
          <w:sz w:val="17"/>
          <w:szCs w:val="17"/>
          <w:color w:val="auto"/>
        </w:rPr>
        <w:t>no Default or Event of Default (other than that resulting from borrowing funds to be applied to make such deposit or any similar and simultaneous deposit relating to other Indebtedness and, in each case, the granting of Liens in connection therewith) shall have occurred and be continuing on the date of such deposit or shall occur as a result of such deposit and such deposit will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 and</w:t>
      </w:r>
    </w:p>
    <w:p>
      <w:pPr>
        <w:spacing w:after="0" w:line="178" w:lineRule="exact"/>
        <w:rPr>
          <w:rFonts w:ascii="Arial" w:cs="Arial" w:eastAsia="Arial" w:hAnsi="Arial"/>
          <w:sz w:val="17"/>
          <w:szCs w:val="17"/>
          <w:color w:val="auto"/>
        </w:rPr>
      </w:pPr>
    </w:p>
    <w:p>
      <w:pPr>
        <w:ind w:left="4140" w:hanging="568"/>
        <w:spacing w:after="0"/>
        <w:tabs>
          <w:tab w:leader="none" w:pos="41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deposited money toward the payment of the Notes at maturity or the Redemption Date, as the case may be.</w:t>
      </w:r>
    </w:p>
    <w:p>
      <w:pPr>
        <w:spacing w:after="0" w:line="210" w:lineRule="exact"/>
        <w:rPr>
          <w:rFonts w:ascii="Arial" w:cs="Arial" w:eastAsia="Arial" w:hAnsi="Arial"/>
          <w:sz w:val="18"/>
          <w:szCs w:val="18"/>
          <w:color w:val="auto"/>
        </w:rPr>
      </w:pPr>
    </w:p>
    <w:p>
      <w:pPr>
        <w:ind w:left="3700" w:hanging="533"/>
        <w:spacing w:after="0"/>
        <w:tabs>
          <w:tab w:leader="none" w:pos="37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by it under this Indenture; and</w:t>
      </w:r>
    </w:p>
    <w:p>
      <w:pPr>
        <w:spacing w:after="0" w:line="225" w:lineRule="exact"/>
        <w:rPr>
          <w:rFonts w:ascii="Arial" w:cs="Arial" w:eastAsia="Arial" w:hAnsi="Arial"/>
          <w:sz w:val="18"/>
          <w:szCs w:val="18"/>
          <w:color w:val="auto"/>
        </w:rPr>
      </w:pPr>
    </w:p>
    <w:p>
      <w:pPr>
        <w:ind w:left="740" w:right="720" w:firstLine="2427"/>
        <w:spacing w:after="0" w:line="259" w:lineRule="auto"/>
        <w:tabs>
          <w:tab w:leader="none" w:pos="369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Issuer has delivered an Officer’s Certificate and an Opinion of Counsel (which Opinion of Counsel may be subject to customary assumptions and exclusions) to the Trustee stating that all conditions precedent to satisfaction and discharge have been complied with. Such Opinion of Counsel may rely on such Officer’s Certificate as to matters of fact, including clauses (ii)(A), (B), (C) and (D) above.</w:t>
      </w:r>
    </w:p>
    <w:p>
      <w:pPr>
        <w:spacing w:after="0" w:line="187" w:lineRule="exact"/>
        <w:rPr>
          <w:sz w:val="20"/>
          <w:szCs w:val="20"/>
          <w:color w:val="auto"/>
        </w:rPr>
      </w:pPr>
    </w:p>
    <w:p>
      <w:pPr>
        <w:ind w:right="660" w:firstLine="1296"/>
        <w:spacing w:after="0" w:line="308" w:lineRule="auto"/>
        <w:rPr>
          <w:sz w:val="20"/>
          <w:szCs w:val="20"/>
          <w:color w:val="auto"/>
        </w:rPr>
      </w:pPr>
      <w:r>
        <w:rPr>
          <w:rFonts w:ascii="Arial" w:cs="Arial" w:eastAsia="Arial" w:hAnsi="Arial"/>
          <w:sz w:val="17"/>
          <w:szCs w:val="17"/>
          <w:color w:val="auto"/>
        </w:rPr>
        <w:t xml:space="preserve">Notwithstanding the satisfaction and discharge of this Indenture, if money shall have been deposited with the Trustee pursuant to </w:t>
      </w:r>
      <w:r>
        <w:rPr>
          <w:rFonts w:ascii="Arial" w:cs="Arial" w:eastAsia="Arial" w:hAnsi="Arial"/>
          <w:sz w:val="17"/>
          <w:szCs w:val="17"/>
          <w:u w:val="single" w:color="auto"/>
          <w:color w:val="auto"/>
        </w:rPr>
        <w:t>subclause (ii)(B)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shall survive.</w:t>
      </w:r>
    </w:p>
    <w:p>
      <w:pPr>
        <w:spacing w:after="0" w:line="146"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all money deposited with the Trustee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be held in trust and applied by it, in accordance with the provisions of the Notes and this Indenture, to the payment, either directly or through any Paying Agent (including the Issuer or a Guarantor acting as Paying Agent) as the Trustee may determine, to the Persons entitled thereto, of the principal, premium and interest for whose payment such money has been deposited with the Trustee; but such money need not be segregated from other funds except to the extent required by law.</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9" w:name="page190"/>
    <w:bookmarkEnd w:id="189"/>
    <w:p>
      <w:pPr>
        <w:ind w:firstLine="1296"/>
        <w:spacing w:after="0" w:line="296" w:lineRule="auto"/>
        <w:rPr>
          <w:sz w:val="20"/>
          <w:szCs w:val="20"/>
          <w:color w:val="auto"/>
        </w:rPr>
      </w:pPr>
      <w:r>
        <w:rPr>
          <w:rFonts w:ascii="Arial" w:cs="Arial" w:eastAsia="Arial" w:hAnsi="Arial"/>
          <w:sz w:val="16"/>
          <w:szCs w:val="16"/>
          <w:color w:val="auto"/>
        </w:rPr>
        <w:t xml:space="preserve">If the Trustee or Paying Agent is unable to apply any money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Issuer has made any payment of principal of, premium or interest on any Notes because of the reinstatement of its obligations, the Issuer shall be subrogated to the rights of the Holders of such Notes to receive such payment from the money held by the Trustee or Paying Agent.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COLLATERAL</w:t>
      </w:r>
    </w:p>
    <w:p>
      <w:pPr>
        <w:spacing w:after="0" w:line="229"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7"/>
          <w:szCs w:val="17"/>
          <w:u w:val="single" w:color="auto"/>
          <w:color w:val="auto"/>
        </w:rPr>
        <w:t>SECURITY DOCUMENTS</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84" w:lineRule="auto"/>
        <w:tabs>
          <w:tab w:leader="none" w:pos="245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Issuer and the Guarantors to the Holders or the Trustee under this Indenture, the Notes, the Note Guarantees, any Intercreditor Agreements and the Security Documents, according to the terms hereunder or thereunder, shall be secured as provided in the Security Documents, which define the terms of the Liens that secure Secured Notes Obligations, subject to the terms of any Intercreditor Agreements. The Trustee, the Issuer and the Guarantors hereby acknowledge and agree that the Notes Collateral Agent holds the Collateral in trust for the benefit of the Holders, the Trustee and the Notes Collateral Agent and pursuant to the terms of the Security Documents and any Intercreditor Agreements. Each Holder, by accepting a Note, consents and agrees to the terms of the Security Documents (including the provisions providing for the possession, use, release and foreclosure of Collateral) and any Intercreditor Agreements as the same may be in effect or may be amended from time to time in accordance with their terms and this Indenture and any Intercreditor Agreements, and authorizes and directs the Notes Collateral Agent to enter into the Security Documents on the Issue Date and to perform its obligations and exercise its rights thereunder in accordance therewith. In the event of conflict between an Intercreditor Agreement, any of the other Security Documents and this Indenture, the applicable Intercreditor Agreement shall control. The Issuer shall deliver to the Notes Collateral Agent copies of all documents required to be filed pursuant to the Security Documents, and will do or cause to be done all such acts and things as may be reasonably required by the next sentence of this </w:t>
      </w:r>
      <w:r>
        <w:rPr>
          <w:rFonts w:ascii="Arial" w:cs="Arial" w:eastAsia="Arial" w:hAnsi="Arial"/>
          <w:sz w:val="16"/>
          <w:szCs w:val="16"/>
          <w:u w:val="single" w:color="auto"/>
          <w:color w:val="auto"/>
        </w:rPr>
        <w:t>Section 12.01</w:t>
      </w:r>
      <w:r>
        <w:rPr>
          <w:rFonts w:ascii="Arial" w:cs="Arial" w:eastAsia="Arial" w:hAnsi="Arial"/>
          <w:sz w:val="16"/>
          <w:szCs w:val="16"/>
          <w:color w:val="auto"/>
        </w:rPr>
        <w:t>,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Issuer and the Guarantors shall, at their sole expense and subject to the other limitations set forth in Section 12.07, take all actions (including filing Uniform Commercial Code and other financing statements, mortgages and deeds of trust) that may be required under applicable law, or that the Trustee or the Notes Collateral Agent may reasonably request, in order to ensure the creation, perfection and priority (or continuance thereof) of the security interests created or intended to be created by the Security Documents in the Collateral. Such security interests will be created under the Security Documents and other security agreements, mortgages, deeds of trust and other instruments and documents in form reasonably satisfactory to the Trustee.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0" w:name="page191"/>
    <w:bookmarkEnd w:id="190"/>
    <w:p>
      <w:pPr>
        <w:ind w:left="1260"/>
        <w:spacing w:after="0"/>
        <w:tabs>
          <w:tab w:leader="none" w:pos="294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7"/>
          <w:szCs w:val="17"/>
          <w:u w:val="single" w:color="auto"/>
          <w:color w:val="auto"/>
        </w:rPr>
        <w:t>RELEASE OF COLLATERAL</w:t>
      </w:r>
      <w:r>
        <w:rPr>
          <w:rFonts w:ascii="Arial" w:cs="Arial" w:eastAsia="Arial" w:hAnsi="Arial"/>
          <w:sz w:val="17"/>
          <w:szCs w:val="17"/>
          <w:color w:val="auto"/>
        </w:rPr>
        <w:t>.</w:t>
      </w:r>
    </w:p>
    <w:p>
      <w:pPr>
        <w:spacing w:after="0" w:line="225" w:lineRule="exact"/>
        <w:rPr>
          <w:sz w:val="20"/>
          <w:szCs w:val="20"/>
          <w:color w:val="auto"/>
        </w:rPr>
      </w:pPr>
    </w:p>
    <w:p>
      <w:pPr>
        <w:ind w:left="-40" w:firstLine="1952"/>
        <w:spacing w:after="0" w:line="257" w:lineRule="auto"/>
        <w:tabs>
          <w:tab w:leader="none" w:pos="241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Collateral may be released from the Liens and security interests created by the Security Documents at any time and from time to time in accordance with the provisions of the Security Documents, any Intercreditor Agreements and this Indenture. Notwithstanding anything to the contrary in the Security Documents, any Intercreditor Agreements and this Indenture, the Issuer and the Guarantors will be entitled to the release of property and other assets constituting Collateral from the Liens securing the Notes and the Note Guarantees under any one or more of the following circumstances:</w:t>
      </w:r>
    </w:p>
    <w:p>
      <w:pPr>
        <w:spacing w:after="0" w:line="188" w:lineRule="exact"/>
        <w:rPr>
          <w:sz w:val="20"/>
          <w:szCs w:val="20"/>
          <w:color w:val="auto"/>
        </w:rPr>
      </w:pPr>
    </w:p>
    <w:p>
      <w:pPr>
        <w:ind w:left="620" w:right="760" w:firstLine="2264"/>
        <w:spacing w:after="0" w:line="259" w:lineRule="auto"/>
        <w:tabs>
          <w:tab w:leader="none" w:pos="337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to enable the Issuer or any Guarantor to consummate the sale, transfer or other disposition (including by the termination of Financing Leases or the repossession of the leased property in a Financing Lease by the lessor and by means of a Restricted Payment) of such Collateral to any Person other than the Issuer or a Guarantor, to the extent such sale, transfer or other disposition is not prohibited under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20" w:right="960" w:firstLine="2264"/>
        <w:spacing w:after="0" w:line="308" w:lineRule="auto"/>
        <w:tabs>
          <w:tab w:leader="none" w:pos="342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in the case of a Guarantor that is released from its Note Guarantee, with respect to the Capital Stock, and property and other assets, of such Guarantor, upon the release of such Guarantor from its Note Guarantee;</w:t>
      </w:r>
    </w:p>
    <w:p>
      <w:pPr>
        <w:spacing w:after="0" w:line="146" w:lineRule="exact"/>
        <w:rPr>
          <w:rFonts w:ascii="Arial" w:cs="Arial" w:eastAsia="Arial" w:hAnsi="Arial"/>
          <w:sz w:val="17"/>
          <w:szCs w:val="17"/>
          <w:color w:val="auto"/>
        </w:rPr>
      </w:pPr>
    </w:p>
    <w:p>
      <w:pPr>
        <w:jc w:val="both"/>
        <w:ind w:left="620" w:right="580" w:firstLine="2264"/>
        <w:spacing w:after="0" w:line="263" w:lineRule="auto"/>
        <w:tabs>
          <w:tab w:leader="none" w:pos="347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with respect to Collateral that is Capital Stock, upon (i) the dissolution or liquidation of the issuer of that Capital Stock that is not prohibited by this Indenture or (ii) upon the designation by the Issuer of such issuer of Capital Stock as an Unrestricted Subsidiary under this Indenture;</w:t>
      </w:r>
    </w:p>
    <w:p>
      <w:pPr>
        <w:spacing w:after="0" w:line="183" w:lineRule="exact"/>
        <w:rPr>
          <w:rFonts w:ascii="Arial" w:cs="Arial" w:eastAsia="Arial" w:hAnsi="Arial"/>
          <w:sz w:val="18"/>
          <w:szCs w:val="18"/>
          <w:color w:val="auto"/>
        </w:rPr>
      </w:pPr>
    </w:p>
    <w:p>
      <w:pPr>
        <w:ind w:left="3420" w:hanging="536"/>
        <w:spacing w:after="0"/>
        <w:tabs>
          <w:tab w:leader="none" w:pos="3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with respect to any Collateral that becomes an </w:t>
      </w:r>
      <w:r>
        <w:rPr>
          <w:rFonts w:ascii="Arial" w:cs="Arial" w:eastAsia="Arial" w:hAnsi="Arial"/>
          <w:sz w:val="18"/>
          <w:szCs w:val="18"/>
          <w:u w:val="single" w:color="auto"/>
          <w:color w:val="auto"/>
        </w:rPr>
        <w:t>Excluded Asset,</w:t>
      </w:r>
      <w:r>
        <w:rPr>
          <w:rFonts w:ascii="Arial" w:cs="Arial" w:eastAsia="Arial" w:hAnsi="Arial"/>
          <w:sz w:val="18"/>
          <w:szCs w:val="18"/>
          <w:color w:val="auto"/>
        </w:rPr>
        <w:t xml:space="preserve"> upon it becoming an Excluded</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Asset;</w:t>
      </w:r>
    </w:p>
    <w:p>
      <w:pPr>
        <w:spacing w:after="0" w:line="210" w:lineRule="exact"/>
        <w:rPr>
          <w:rFonts w:ascii="Arial" w:cs="Arial" w:eastAsia="Arial" w:hAnsi="Arial"/>
          <w:sz w:val="18"/>
          <w:szCs w:val="18"/>
          <w:color w:val="auto"/>
        </w:rPr>
      </w:pPr>
    </w:p>
    <w:p>
      <w:pPr>
        <w:ind w:left="3400" w:hanging="516"/>
        <w:spacing w:after="0"/>
        <w:tabs>
          <w:tab w:leader="none" w:pos="34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4.12(b)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20" w:hanging="536"/>
        <w:spacing w:after="0"/>
        <w:tabs>
          <w:tab w:leader="none" w:pos="3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20" w:right="1400" w:firstLine="2264"/>
        <w:spacing w:after="0" w:line="277" w:lineRule="auto"/>
        <w:tabs>
          <w:tab w:leader="none" w:pos="342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connection with any enforcement action taken by the Controlling Collateral Agent in accordance with the terms of the Equal Priority Intercreditor Agreement; or</w:t>
      </w:r>
    </w:p>
    <w:p>
      <w:pPr>
        <w:spacing w:after="0" w:line="170" w:lineRule="exact"/>
        <w:rPr>
          <w:rFonts w:ascii="Arial" w:cs="Arial" w:eastAsia="Arial" w:hAnsi="Arial"/>
          <w:sz w:val="18"/>
          <w:szCs w:val="18"/>
          <w:color w:val="auto"/>
        </w:rPr>
      </w:pPr>
    </w:p>
    <w:p>
      <w:pPr>
        <w:ind w:left="3420" w:hanging="536"/>
        <w:spacing w:after="0"/>
        <w:tabs>
          <w:tab w:leader="none" w:pos="34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as described under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60" w:top="341" w:right="419" w:bottom="1440" w:gutter="0" w:footer="0" w:header="0"/>
        </w:sectPr>
      </w:pPr>
    </w:p>
    <w:bookmarkStart w:id="191" w:name="page192"/>
    <w:bookmarkEnd w:id="191"/>
    <w:p>
      <w:pPr>
        <w:ind w:right="40" w:firstLine="1952"/>
        <w:spacing w:after="0" w:line="277" w:lineRule="auto"/>
        <w:tabs>
          <w:tab w:leader="none" w:pos="246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Liens on the Collateral securing the Notes and the Note Guarantees also shall automatically and without the need for any further action by any Person be terminated and released:</w:t>
      </w:r>
    </w:p>
    <w:p>
      <w:pPr>
        <w:spacing w:after="0" w:line="170" w:lineRule="exact"/>
        <w:rPr>
          <w:sz w:val="20"/>
          <w:szCs w:val="20"/>
          <w:color w:val="auto"/>
        </w:rPr>
      </w:pPr>
    </w:p>
    <w:p>
      <w:pPr>
        <w:ind w:left="660" w:right="820" w:firstLine="2264"/>
        <w:spacing w:after="0" w:line="286" w:lineRule="auto"/>
        <w:tabs>
          <w:tab w:leader="none" w:pos="341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upon payment in full of the principal of, together with accrued and unpaid interest on, the Notes and all other Obligations in respect of the Notes under this Indenture, the Note Guarantees and the Security Documents that are due and payable at or prior to the time such principal, together with accrued and unpaid interest, are paid;</w:t>
      </w:r>
    </w:p>
    <w:p>
      <w:pPr>
        <w:spacing w:after="0" w:line="165" w:lineRule="exact"/>
        <w:rPr>
          <w:rFonts w:ascii="Arial" w:cs="Arial" w:eastAsia="Arial" w:hAnsi="Arial"/>
          <w:sz w:val="17"/>
          <w:szCs w:val="17"/>
          <w:color w:val="auto"/>
        </w:rPr>
      </w:pPr>
    </w:p>
    <w:p>
      <w:pPr>
        <w:jc w:val="both"/>
        <w:ind w:left="660" w:right="780" w:firstLine="2264"/>
        <w:spacing w:after="0" w:line="263" w:lineRule="auto"/>
        <w:tabs>
          <w:tab w:leader="none" w:pos="346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upon a Legal Defeasance or Covenant Defeasance with respect to the Notes under this Indenture as described under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 satisfaction and discharge of this Indenture with respect to the Notes as described under </w:t>
      </w:r>
      <w:r>
        <w:rPr>
          <w:rFonts w:ascii="Arial" w:cs="Arial" w:eastAsia="Arial" w:hAnsi="Arial"/>
          <w:sz w:val="18"/>
          <w:szCs w:val="18"/>
          <w:u w:val="single" w:color="auto"/>
          <w:color w:val="auto"/>
        </w:rPr>
        <w:t>Section 11.01</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3500" w:hanging="576"/>
        <w:spacing w:after="0"/>
        <w:tabs>
          <w:tab w:leader="none" w:pos="35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pursuant to any Equal Priority Intercreditor Agreement and the Security Documents with respect</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 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other than any contingent obligations (including contingent indemnity obligations not yet due or payable).</w:t>
      </w:r>
    </w:p>
    <w:p>
      <w:pPr>
        <w:spacing w:after="0" w:line="225" w:lineRule="exact"/>
        <w:rPr>
          <w:sz w:val="20"/>
          <w:szCs w:val="20"/>
          <w:color w:val="auto"/>
        </w:rPr>
      </w:pPr>
    </w:p>
    <w:p>
      <w:pPr>
        <w:jc w:val="both"/>
        <w:ind w:right="160" w:firstLine="1952"/>
        <w:spacing w:after="0" w:line="291" w:lineRule="auto"/>
        <w:tabs>
          <w:tab w:leader="none" w:pos="245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In addition, any Lien on any Collateral may be subordinated to the holder of any Lien on such Collateral that is created, incurred, or assumed pursuant to clauses (c), (d), (e), (f), (g), (i), (j), (l), (m) (with respect to any assets subject to such Sale and Lease-Back Transaction),</w:t>
      </w:r>
    </w:p>
    <w:p>
      <w:pPr>
        <w:ind w:firstLine="8"/>
        <w:spacing w:after="0" w:line="269" w:lineRule="auto"/>
        <w:tabs>
          <w:tab w:leader="none" w:pos="25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(solely to the extent such Lien related to Indebtedness incurred under clause (n) of the second paragraph of </w:t>
      </w:r>
      <w:r>
        <w:rPr>
          <w:rFonts w:ascii="Arial" w:cs="Arial" w:eastAsia="Arial" w:hAnsi="Arial"/>
          <w:sz w:val="17"/>
          <w:szCs w:val="17"/>
          <w:u w:val="single" w:color="auto"/>
          <w:color w:val="auto"/>
        </w:rPr>
        <w:t>Section 4.09</w:t>
      </w:r>
      <w:r>
        <w:rPr>
          <w:rFonts w:ascii="Arial" w:cs="Arial" w:eastAsia="Arial" w:hAnsi="Arial"/>
          <w:sz w:val="17"/>
          <w:szCs w:val="17"/>
          <w:color w:val="auto"/>
        </w:rPr>
        <w:t>), (o) (other than any Lien on the Equity Interests of any Guarantor), (p), (r), (u) (to the extent the relevant Lien is of the type to which the Lien of the Notes Collateral Agent is otherwise required or, if requested by the Issuer, permitted to be subordinated pursuant to any of the other exceptions included in this clause (c)), (w), (x), (y), (z)(i), (bb), (cc), (dd) (in the case of subclause (ii) thereof, to the extent the relevant Lien covers cash collateral posted to secure the relevant obligation), (ee), (ff), (gg), (hh), (ii), (jj), (kk), (ll) and/or (oo) of the definition of “Permitted Liens” (and, in the case of each such clause, any Refinancing Indebtedness in respect of any thereof to the extent such Refinancing Indebtedness is permitted to be secured under clause (k) of the definition of “Permitted Liens”) to the extent required by the terms of the Obligations secured by such Liens.</w:t>
      </w:r>
    </w:p>
    <w:p>
      <w:pPr>
        <w:spacing w:after="0" w:line="180" w:lineRule="exact"/>
        <w:rPr>
          <w:rFonts w:ascii="Arial" w:cs="Arial" w:eastAsia="Arial" w:hAnsi="Arial"/>
          <w:sz w:val="17"/>
          <w:szCs w:val="17"/>
          <w:color w:val="auto"/>
        </w:rPr>
      </w:pPr>
    </w:p>
    <w:p>
      <w:pPr>
        <w:ind w:right="60" w:firstLine="1952"/>
        <w:spacing w:after="0" w:line="269" w:lineRule="auto"/>
        <w:tabs>
          <w:tab w:leader="none" w:pos="2465" w:val="left"/>
        </w:tabs>
        <w:numPr>
          <w:ilvl w:val="1"/>
          <w:numId w:val="276"/>
        </w:numPr>
        <w:rPr>
          <w:rFonts w:ascii="Arial" w:cs="Arial" w:eastAsia="Arial" w:hAnsi="Arial"/>
          <w:sz w:val="17"/>
          <w:szCs w:val="17"/>
          <w:color w:val="auto"/>
        </w:rPr>
      </w:pPr>
      <w:r>
        <w:rPr>
          <w:rFonts w:ascii="Arial" w:cs="Arial" w:eastAsia="Arial" w:hAnsi="Arial"/>
          <w:sz w:val="17"/>
          <w:szCs w:val="17"/>
          <w:color w:val="auto"/>
        </w:rPr>
        <w:t>With respect to any release of Collateral, upon receipt of an Officer’s Certificate and an Opinion of Counsel stating that all conditions precedent under this Indenture and the Security Documents and any Intercreditor Agreements, as applicable, to such release have been met and that it is permitted for the Trustee or Notes Collateral Agent to execute and deliver the documents requested by the Issuer in connection with such release and any necessary or proper instruments of termination, satisfaction or release prepared by the Issuer, the Trustee and the Notes Collateral Agent shall execute, deliver or acknowledge (at the Issuer’s expense) such instruments or releases to evidence the release of any Collateral permitted to be released pursuant to this Indenture or the Security Documents or any Intercreditor Agreements and shall do or cause to be done (at the Issuer’s expense) all acts reasonably requested of them to release such Lien as soon as is reasonably practicable. Neither the Trustee nor the Notes Collateral Agent shall be liable for any such release undertaken in reliance upon any such Officer’s Certificate and such Opinion of Counsel, and notwithstanding any term hereof or in any Security Document or in any Intercreditor Agreements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2" w:name="page193"/>
    <w:bookmarkEnd w:id="192"/>
    <w:p>
      <w:pPr>
        <w:ind w:left="1300"/>
        <w:spacing w:after="0"/>
        <w:tabs>
          <w:tab w:leader="none" w:pos="29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7"/>
          <w:szCs w:val="17"/>
          <w:u w:val="single" w:color="auto"/>
          <w:color w:val="auto"/>
        </w:rPr>
        <w:t>SUITS TO PROTECT THE COLLATERAL</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the Security Documents and any Intercreditor Agreements, the Trustee may or may direct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Collateral Agent to take all actions it determines in order to:</w:t>
      </w:r>
    </w:p>
    <w:p>
      <w:pPr>
        <w:spacing w:after="0" w:line="211" w:lineRule="exact"/>
        <w:rPr>
          <w:sz w:val="20"/>
          <w:szCs w:val="20"/>
          <w:color w:val="auto"/>
        </w:rPr>
      </w:pPr>
    </w:p>
    <w:p>
      <w:pPr>
        <w:ind w:left="2460" w:hanging="508"/>
        <w:spacing w:after="0"/>
        <w:tabs>
          <w:tab w:leader="none" w:pos="24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enforce any of the terms of the Security Documents; and</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collect and receive any and all amounts payable in respect of the Obligations hereunder.</w:t>
      </w:r>
    </w:p>
    <w:p>
      <w:pPr>
        <w:spacing w:after="0" w:line="225"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 xml:space="preserve">Subject to the provisions of the Security Documents and any Intercreditor Agreements, the Trustee and the Notes Collateral Agent shall have power to institute and to maintain such suits and proceedings as the Trustee may determine to prevent any impairment of the Collateral by any acts which may be unlawful or in violation of any of the Security Documents or this Indenture, and such suits and proceedings as the Trustee may determine to preserve or protect its interests and the interests of the Holders in the Collateral. Nothing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considered to impose any such duty or obligation to act on the part of the Trustee or the Notes Collateral Agent.</w:t>
      </w:r>
    </w:p>
    <w:p>
      <w:pPr>
        <w:spacing w:after="0" w:line="188"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7"/>
          <w:szCs w:val="17"/>
          <w:u w:val="single" w:color="auto"/>
          <w:color w:val="auto"/>
        </w:rPr>
        <w:t>AUTHORIZATION OF RECEIPT OF FUNDS BY THE TRUSTEE UNDER THE SECURITY DOCUMENTS</w:t>
      </w:r>
      <w:r>
        <w:rPr>
          <w:rFonts w:ascii="Arial" w:cs="Arial" w:eastAsia="Arial" w:hAnsi="Arial"/>
          <w:sz w:val="17"/>
          <w:szCs w:val="17"/>
          <w:color w:val="auto"/>
        </w:rPr>
        <w:t>.</w:t>
      </w:r>
    </w:p>
    <w:p>
      <w:pPr>
        <w:spacing w:after="0" w:line="225" w:lineRule="exact"/>
        <w:rPr>
          <w:sz w:val="20"/>
          <w:szCs w:val="20"/>
          <w:color w:val="auto"/>
        </w:rPr>
      </w:pPr>
    </w:p>
    <w:p>
      <w:pPr>
        <w:ind w:right="260" w:firstLine="1296"/>
        <w:spacing w:after="0" w:line="342" w:lineRule="auto"/>
        <w:rPr>
          <w:sz w:val="20"/>
          <w:szCs w:val="20"/>
          <w:color w:val="auto"/>
        </w:rPr>
      </w:pPr>
      <w:r>
        <w:rPr>
          <w:rFonts w:ascii="Arial" w:cs="Arial" w:eastAsia="Arial" w:hAnsi="Arial"/>
          <w:sz w:val="16"/>
          <w:szCs w:val="16"/>
          <w:color w:val="auto"/>
        </w:rPr>
        <w:t>Subject to the provisions of any Intercreditor Agreements, the Trustee is authorized to receive any funds for the benefit of the Holders distributed under the Security Documents, and to make further distributions of such funds to the Holders according to the provisions of this Indenture.</w:t>
      </w:r>
    </w:p>
    <w:p>
      <w:pPr>
        <w:spacing w:after="0" w:line="124"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6"/>
          <w:szCs w:val="16"/>
          <w:u w:val="single" w:color="auto"/>
          <w:color w:val="auto"/>
        </w:rPr>
        <w:t>PURCHASER PROTECTED</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In no event shall any purchaser in good faith of any property purported to be released hereunder be bound to ascertain the authority of the Notes Collateral Agent or the Trustee to execute the applicable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not prohibited by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to be sold be under any obligation to ascertain or inquire into the authority of the Issuer or the applicable Guarantor to make any such sale or other transfer.</w:t>
      </w:r>
    </w:p>
    <w:p>
      <w:pPr>
        <w:spacing w:after="0" w:line="188"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7"/>
          <w:szCs w:val="17"/>
          <w:u w:val="single" w:color="auto"/>
          <w:color w:val="auto"/>
        </w:rPr>
        <w:t>POWERS EXERCISABLE BY RECEIVER OR TRUSTEE</w:t>
      </w:r>
      <w:r>
        <w:rPr>
          <w:rFonts w:ascii="Arial" w:cs="Arial" w:eastAsia="Arial" w:hAnsi="Arial"/>
          <w:sz w:val="17"/>
          <w:szCs w:val="17"/>
          <w:color w:val="auto"/>
        </w:rPr>
        <w:t>.</w:t>
      </w:r>
    </w:p>
    <w:p>
      <w:pPr>
        <w:spacing w:after="0" w:line="225"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 xml:space="preserve">In case the Collateral shall be in the possession of a receiver or trustee, lawfully appointed, the powers conferred in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upon the Issuer or a Guarantor with respect to the release, sale or other disposition of such property may be exercised by such receiver or trustee, and an instrument signed by such receiver or trustee shall be deemed the equivalent of any similar instrument of the Issuer or a Guarantor or of any Officer or Officers thereof required by the provisions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and if the Trustee shall be in the possession of the Collateral under any provision of this Indenture, then such powers may be exercised by the Trustee.</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3" w:name="page194"/>
    <w:bookmarkEnd w:id="193"/>
    <w:p>
      <w:pPr>
        <w:ind w:left="1300"/>
        <w:spacing w:after="0"/>
        <w:tabs>
          <w:tab w:leader="none" w:pos="298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7"/>
          <w:szCs w:val="17"/>
          <w:u w:val="single" w:color="auto"/>
          <w:color w:val="auto"/>
        </w:rPr>
        <w:t>CERTAIN LIMITATIONS ON COLLATERAL</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Notwithstanding anything to the contrary, to the extent that the Lien on any Collateral is not or cannot be created and/or perfected on the Issue Date (other than (a) by the execution and delivery of the Security Agreement by the Issuer and the Guarantors, (b) a Lien on Collateral that is of the type that may be perfected by the filing of a financing statement in the United States under the UCC and (c) a Lien on the Equity Interests of each Restricted Subsidiary (other than a Foreign Subsidiary) required to be pledged pursuant to the Security Agreement that may be perfected on the Issue Date by the delivery of a stock or equivalent certificate (together with a stock power or similar instrument endorsed in blank for the relevant certificate)), in each case after the Issuer’s use of commercially reasonably efforts to do so or without undue burden or expense, the Issuer shall take all necessary actions to create and/or perfect such Lien pursuant to arrangements to be mutually agreed between the Issuer and the Notes Collateral Agent acting reasonably. In addition, notwithstanding anything to the contrary, it is further understood and agreed that:</w:t>
      </w:r>
    </w:p>
    <w:p>
      <w:pPr>
        <w:spacing w:after="0" w:line="178" w:lineRule="exact"/>
        <w:rPr>
          <w:sz w:val="20"/>
          <w:szCs w:val="20"/>
          <w:color w:val="auto"/>
        </w:rPr>
      </w:pPr>
    </w:p>
    <w:p>
      <w:pPr>
        <w:ind w:firstLine="1952"/>
        <w:spacing w:after="0" w:line="263" w:lineRule="auto"/>
        <w:tabs>
          <w:tab w:leader="none" w:pos="24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Notes Collateral Agent may waive or grant extensions of time for the creation and perfection of security interests in, or obtaining Mortgages, policies of title insurance, legal opinions, surveys, appraisals or other deliverables with respect to, particular assets or the provision of any Note Guarantee by any Restricted Subsidiary;</w:t>
      </w:r>
    </w:p>
    <w:p>
      <w:pPr>
        <w:spacing w:after="0" w:line="183" w:lineRule="exact"/>
        <w:rPr>
          <w:rFonts w:ascii="Arial" w:cs="Arial" w:eastAsia="Arial" w:hAnsi="Arial"/>
          <w:sz w:val="18"/>
          <w:szCs w:val="18"/>
          <w:color w:val="auto"/>
        </w:rPr>
      </w:pPr>
    </w:p>
    <w:p>
      <w:pPr>
        <w:ind w:right="40" w:firstLine="1952"/>
        <w:spacing w:after="0" w:line="259" w:lineRule="auto"/>
        <w:tabs>
          <w:tab w:leader="none" w:pos="251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(1) perfection by control shall not be required with respect to assets requiring perfection through control agreements or other control arrangements, including Deposit Accounts, securities accounts and commodities accounts (other than control or possession of pledged Equity Interests (to the extent certificated) that constitute Collateral) and (2) no blocked account agreement, deposit account control agreement or similar agreement shall be required for any Deposit Account, securities account or commodities account;</w:t>
      </w:r>
    </w:p>
    <w:p>
      <w:pPr>
        <w:spacing w:after="0" w:line="186" w:lineRule="exact"/>
        <w:rPr>
          <w:rFonts w:ascii="Arial" w:cs="Arial" w:eastAsia="Arial" w:hAnsi="Arial"/>
          <w:sz w:val="18"/>
          <w:szCs w:val="18"/>
          <w:color w:val="auto"/>
        </w:rPr>
      </w:pPr>
    </w:p>
    <w:p>
      <w:pPr>
        <w:ind w:right="80" w:firstLine="1952"/>
        <w:spacing w:after="0" w:line="263" w:lineRule="auto"/>
        <w:tabs>
          <w:tab w:leader="none" w:pos="245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Notes Collateral Agent will only be authorized to take actions in any non-U.S. jurisdiction or under the laws of any non-U.S. jurisdiction to create security interests in assets located or titled outside of the U.S. or to perfect or make enforceable any security interests in any such assets as follows:</w:t>
      </w:r>
    </w:p>
    <w:p>
      <w:pPr>
        <w:spacing w:after="0" w:line="184" w:lineRule="exact"/>
        <w:rPr>
          <w:sz w:val="20"/>
          <w:szCs w:val="20"/>
          <w:color w:val="auto"/>
        </w:rPr>
      </w:pPr>
    </w:p>
    <w:p>
      <w:pPr>
        <w:ind w:left="660" w:right="800" w:firstLine="2264"/>
        <w:spacing w:after="0" w:line="263" w:lineRule="auto"/>
        <w:tabs>
          <w:tab w:leader="none" w:pos="341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Barbados as of the date of the Offering Memorandum, a charge over shares and debentures under the Laws of Barbados and any customary filings associated therewith;</w:t>
      </w:r>
    </w:p>
    <w:p>
      <w:pPr>
        <w:spacing w:after="0" w:line="183" w:lineRule="exact"/>
        <w:rPr>
          <w:rFonts w:ascii="Arial" w:cs="Arial" w:eastAsia="Arial" w:hAnsi="Arial"/>
          <w:sz w:val="18"/>
          <w:szCs w:val="18"/>
          <w:color w:val="auto"/>
        </w:rPr>
      </w:pPr>
    </w:p>
    <w:p>
      <w:pPr>
        <w:ind w:left="660" w:right="760" w:firstLine="2264"/>
        <w:spacing w:after="0" w:line="342" w:lineRule="auto"/>
        <w:tabs>
          <w:tab w:leader="none" w:pos="346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 respect to Equity Interests in, and Collateral owned by, Guarantors located in Bermuda as of the date of the Offering Memorandum, a share charge under the Laws of Bermuda and any customary filings associated therewith;</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4" w:name="page195"/>
    <w:bookmarkEnd w:id="194"/>
    <w:p>
      <w:pPr>
        <w:ind w:left="580" w:right="760" w:firstLine="2264"/>
        <w:spacing w:after="0" w:line="342" w:lineRule="auto"/>
        <w:tabs>
          <w:tab w:leader="none" w:pos="3433" w:val="left"/>
        </w:tabs>
        <w:numPr>
          <w:ilvl w:val="1"/>
          <w:numId w:val="280"/>
        </w:numPr>
        <w:rPr>
          <w:rFonts w:ascii="Arial" w:cs="Arial" w:eastAsia="Arial" w:hAnsi="Arial"/>
          <w:sz w:val="16"/>
          <w:szCs w:val="16"/>
          <w:color w:val="auto"/>
        </w:rPr>
      </w:pPr>
      <w:r>
        <w:rPr>
          <w:rFonts w:ascii="Arial" w:cs="Arial" w:eastAsia="Arial" w:hAnsi="Arial"/>
          <w:sz w:val="16"/>
          <w:szCs w:val="16"/>
          <w:color w:val="auto"/>
        </w:rPr>
        <w:t>with respect to Equity Interests in, and Collateral owned by, Guarantors located in Ireland as of the date of the Offering Memorandum, a charge over shares under the laws of Ireland and any customary filings associated therewith;</w:t>
      </w:r>
    </w:p>
    <w:p>
      <w:pPr>
        <w:spacing w:after="0" w:line="123" w:lineRule="exact"/>
        <w:rPr>
          <w:rFonts w:ascii="Arial" w:cs="Arial" w:eastAsia="Arial" w:hAnsi="Arial"/>
          <w:sz w:val="16"/>
          <w:szCs w:val="16"/>
          <w:color w:val="auto"/>
        </w:rPr>
      </w:pPr>
    </w:p>
    <w:p>
      <w:pPr>
        <w:ind w:left="580" w:right="560" w:firstLine="2264"/>
        <w:spacing w:after="0" w:line="257" w:lineRule="auto"/>
        <w:tabs>
          <w:tab w:leader="none" w:pos="342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Equity Interests and Collateral located in Jamaica as of the date of the Offering Memorandum, (i) a debenture creating charges over Collateral, (ii) four share charges by a Barbadian parent over shares in four Jamaican subsidiaries, (iii) a share charge by a United States parent over shares in a Jamaican subsidiary and (iv) two mortgages over certain real property interests under the Laws of Jamaica (and Barbados, as applicable, with respect to the charge over shares), and any customary filings associated therewith;</w:t>
      </w:r>
    </w:p>
    <w:p>
      <w:pPr>
        <w:spacing w:after="0" w:line="187" w:lineRule="exact"/>
        <w:rPr>
          <w:rFonts w:ascii="Arial" w:cs="Arial" w:eastAsia="Arial" w:hAnsi="Arial"/>
          <w:sz w:val="18"/>
          <w:szCs w:val="18"/>
          <w:color w:val="auto"/>
        </w:rPr>
      </w:pPr>
    </w:p>
    <w:p>
      <w:pPr>
        <w:ind w:left="580" w:right="780" w:firstLine="2264"/>
        <w:spacing w:after="0" w:line="263" w:lineRule="auto"/>
        <w:tabs>
          <w:tab w:leader="none" w:pos="337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Mexico as of the date of the Offering Memorandum, equity interests pledge agreements and non-possessory pledge agreements under the Laws of Mexico, and any customary filings associated therewith;</w:t>
      </w:r>
    </w:p>
    <w:p>
      <w:pPr>
        <w:spacing w:after="0" w:line="183" w:lineRule="exact"/>
        <w:rPr>
          <w:rFonts w:ascii="Arial" w:cs="Arial" w:eastAsia="Arial" w:hAnsi="Arial"/>
          <w:sz w:val="18"/>
          <w:szCs w:val="18"/>
          <w:color w:val="auto"/>
        </w:rPr>
      </w:pPr>
    </w:p>
    <w:p>
      <w:pPr>
        <w:ind w:left="580" w:right="780" w:firstLine="2264"/>
        <w:spacing w:after="0" w:line="263" w:lineRule="auto"/>
        <w:tabs>
          <w:tab w:leader="none" w:pos="342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located in The Netherlands as of the date of the Offering Memorandum, a pledge of shares and pledge on receivables and accounts under the Laws of The Netherlands, and any customary filings associated therewith;</w:t>
      </w:r>
    </w:p>
    <w:p>
      <w:pPr>
        <w:spacing w:after="0" w:line="183" w:lineRule="exact"/>
        <w:rPr>
          <w:rFonts w:ascii="Arial" w:cs="Arial" w:eastAsia="Arial" w:hAnsi="Arial"/>
          <w:sz w:val="18"/>
          <w:szCs w:val="18"/>
          <w:color w:val="auto"/>
        </w:rPr>
      </w:pPr>
    </w:p>
    <w:p>
      <w:pPr>
        <w:ind w:left="580" w:right="840" w:firstLine="2264"/>
        <w:spacing w:after="0" w:line="263" w:lineRule="auto"/>
        <w:tabs>
          <w:tab w:leader="none" w:pos="347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Collateral owned by, Guarantors located in Nicaragua as of the date of the Offering Memorandum, movable pledge over the Power Purchase Agreement under the laws of Nicaragua, and any customary filings associated therewith;</w:t>
      </w:r>
    </w:p>
    <w:p>
      <w:pPr>
        <w:spacing w:after="0" w:line="183" w:lineRule="exact"/>
        <w:rPr>
          <w:rFonts w:ascii="Arial" w:cs="Arial" w:eastAsia="Arial" w:hAnsi="Arial"/>
          <w:sz w:val="18"/>
          <w:szCs w:val="18"/>
          <w:color w:val="auto"/>
        </w:rPr>
      </w:pPr>
    </w:p>
    <w:p>
      <w:pPr>
        <w:ind w:left="580" w:right="560" w:firstLine="2264"/>
        <w:spacing w:after="0" w:line="286" w:lineRule="auto"/>
        <w:tabs>
          <w:tab w:leader="none" w:pos="3478" w:val="left"/>
        </w:tabs>
        <w:numPr>
          <w:ilvl w:val="1"/>
          <w:numId w:val="280"/>
        </w:numPr>
        <w:rPr>
          <w:rFonts w:ascii="Arial" w:cs="Arial" w:eastAsia="Arial" w:hAnsi="Arial"/>
          <w:sz w:val="17"/>
          <w:szCs w:val="17"/>
          <w:color w:val="auto"/>
        </w:rPr>
      </w:pPr>
      <w:r>
        <w:rPr>
          <w:rFonts w:ascii="Arial" w:cs="Arial" w:eastAsia="Arial" w:hAnsi="Arial"/>
          <w:sz w:val="17"/>
          <w:szCs w:val="17"/>
          <w:color w:val="auto"/>
        </w:rPr>
        <w:t>with respect to Equity Interests in, and Collateral owned by, Guarantors located in Puerto Rico as of the date of the Offering Memorandum, a filing of the applicable financing statement before the Commonwealth of Puerto Rico Department of State’s Secured Transactions Registry and any customary filings associated therewith;</w:t>
      </w:r>
    </w:p>
    <w:p>
      <w:pPr>
        <w:spacing w:after="0" w:line="165" w:lineRule="exact"/>
        <w:rPr>
          <w:rFonts w:ascii="Arial" w:cs="Arial" w:eastAsia="Arial" w:hAnsi="Arial"/>
          <w:sz w:val="17"/>
          <w:szCs w:val="17"/>
          <w:color w:val="auto"/>
        </w:rPr>
      </w:pPr>
    </w:p>
    <w:p>
      <w:pPr>
        <w:ind w:left="580" w:right="600" w:firstLine="2264"/>
        <w:spacing w:after="0" w:line="263" w:lineRule="auto"/>
        <w:tabs>
          <w:tab w:leader="none" w:pos="351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Guarantors incorporated in England and Wales as of the date of the Offering Memorandum, a charge over shares and debentures under the Laws of England and Wales and any customary filings associated therewith; and</w:t>
      </w:r>
    </w:p>
    <w:p>
      <w:pPr>
        <w:spacing w:after="0" w:line="183" w:lineRule="exact"/>
        <w:rPr>
          <w:rFonts w:ascii="Arial" w:cs="Arial" w:eastAsia="Arial" w:hAnsi="Arial"/>
          <w:sz w:val="18"/>
          <w:szCs w:val="18"/>
          <w:color w:val="auto"/>
        </w:rPr>
      </w:pPr>
    </w:p>
    <w:p>
      <w:pPr>
        <w:ind w:left="580" w:right="680" w:firstLine="2264"/>
        <w:spacing w:after="0" w:line="263" w:lineRule="auto"/>
        <w:tabs>
          <w:tab w:leader="none" w:pos="350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with respect to Equity Interests in, and Collateral owned by, Foreign Subsidiaries that become Guarantors after the date of the Offering Memorandum, only such share pledges, debentures and similar instruments as are substantially consistent with those described in the foregoing clauses (i) through (x), as applicable.</w:t>
      </w:r>
    </w:p>
    <w:p>
      <w:pPr>
        <w:spacing w:after="0" w:line="183" w:lineRule="exact"/>
        <w:rPr>
          <w:rFonts w:ascii="Arial" w:cs="Arial" w:eastAsia="Arial" w:hAnsi="Arial"/>
          <w:sz w:val="18"/>
          <w:szCs w:val="18"/>
          <w:color w:val="auto"/>
        </w:rPr>
      </w:pPr>
    </w:p>
    <w:p>
      <w:pPr>
        <w:ind w:left="-80" w:firstLine="1952"/>
        <w:spacing w:after="0" w:line="275" w:lineRule="auto"/>
        <w:tabs>
          <w:tab w:leader="none" w:pos="238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no actions shall be required to perfect a security interest in (1) any vehicle, tanker, marine vessel, ISO container or other asset subject to a certificate of title, other than tankers or other marine vessels with a value (as reasonably estimated by the Issuer) in excess of $40.0 million, (2) letter-of-credit rights not constituting supporting obligations of other Collateral, (3) the Equity Interests of any Immaterial Subsidiary not constituting Collateral, (4) the Equity Interests of any Person that is not a Subsidiary or (5) commercial tort claims with a value of less than $40.0 million, except in the case of each of clauses (1) through (5), perfection actions limited solely to the filing of a UCC financing statement.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00" w:top="341" w:right="459" w:bottom="1440" w:gutter="0" w:footer="0" w:header="0"/>
        </w:sectPr>
      </w:pPr>
    </w:p>
    <w:bookmarkStart w:id="195" w:name="page196"/>
    <w:bookmarkEnd w:id="195"/>
    <w:p>
      <w:pPr>
        <w:ind w:right="380" w:firstLine="1296"/>
        <w:spacing w:after="0" w:line="293" w:lineRule="auto"/>
        <w:rPr>
          <w:sz w:val="20"/>
          <w:szCs w:val="20"/>
          <w:color w:val="auto"/>
        </w:rPr>
      </w:pPr>
      <w:r>
        <w:rPr>
          <w:rFonts w:ascii="Arial" w:cs="Arial" w:eastAsia="Arial" w:hAnsi="Arial"/>
          <w:sz w:val="16"/>
          <w:szCs w:val="16"/>
          <w:color w:val="auto"/>
        </w:rPr>
        <w:t>As discussed above, the Issuer and the Guarantors expect to create security interests in certain of the Collateral on the Issue Date by entering into the Security Agreement, filing certain financing statements in the United States under the UCC and delivering certain stock or equivalent certificates for Domestic Subsidiaries. In addition, on the Issue Date the Issuer, the Guarantors and the Notes Collateral Agent will use commercially reasonable efforts to enter into the other Security Documents (except with respect to mortgages and other documents or agreements that (x) shall be delivered on a post-Issue Date basis per the terms of the Indenture or any Security Document or (y) cannot be reasonably delivered on the Issue Date without undue burden or expense in the sole judgment of the Issuer), which will create the security interests in certain of the other Collateral.</w:t>
      </w:r>
    </w:p>
    <w:p>
      <w:pPr>
        <w:spacing w:after="0" w:line="164"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7"/>
          <w:szCs w:val="17"/>
          <w:u w:val="single" w:color="auto"/>
          <w:color w:val="auto"/>
        </w:rPr>
        <w:t>NOTES COLLATERAL AGENT</w:t>
      </w:r>
      <w:r>
        <w:rPr>
          <w:rFonts w:ascii="Arial" w:cs="Arial" w:eastAsia="Arial" w:hAnsi="Arial"/>
          <w:sz w:val="17"/>
          <w:szCs w:val="17"/>
          <w:color w:val="auto"/>
        </w:rPr>
        <w:t>.</w:t>
      </w:r>
    </w:p>
    <w:p>
      <w:pPr>
        <w:spacing w:after="0" w:line="225" w:lineRule="exact"/>
        <w:rPr>
          <w:sz w:val="20"/>
          <w:szCs w:val="20"/>
          <w:color w:val="auto"/>
        </w:rPr>
      </w:pPr>
    </w:p>
    <w:p>
      <w:pPr>
        <w:ind w:firstLine="1952"/>
        <w:spacing w:after="0" w:line="285" w:lineRule="auto"/>
        <w:tabs>
          <w:tab w:leader="none" w:pos="2455"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The Issuer and each of the Holders by acceptance of the Notes hereby designates and appoints the Notes Collateral Agent as its agent under this Indenture, the Security Documents and any Intercreditor Agreements, and the Issuer and each of the Holders by acceptance of the Notes hereby irrevocably authorizes the Notes Collateral Agent to take such action on its behalf under the provisions of this Indenture, the Security Documents and any Intercreditor Agreements and to exercise such powers and perform such duties as are expressly delegated to the Notes Collateral Agent by the terms of this Indenture, the Security Documents and any Intercreditor Agreements, and consents and agrees to the terms of any Intercreditor Agreements and each Security Document, as the same may be in effect or may be amended, restated, supplemented or otherwise modified from time to time in accordance with their respective terms. The Notes Collateral Agent agrees to act as such on the express conditions contained in this </w:t>
      </w:r>
      <w:r>
        <w:rPr>
          <w:rFonts w:ascii="Arial" w:cs="Arial" w:eastAsia="Arial" w:hAnsi="Arial"/>
          <w:sz w:val="16"/>
          <w:szCs w:val="16"/>
          <w:u w:val="single" w:color="auto"/>
          <w:color w:val="auto"/>
        </w:rPr>
        <w:t>Section 12.08</w:t>
      </w:r>
      <w:r>
        <w:rPr>
          <w:rFonts w:ascii="Arial" w:cs="Arial" w:eastAsia="Arial" w:hAnsi="Arial"/>
          <w:sz w:val="16"/>
          <w:szCs w:val="16"/>
          <w:color w:val="auto"/>
        </w:rPr>
        <w:t>. Each Holder agrees that any action taken by the Notes Collateral Agent in accordance with the provision of this Indenture, any Intercreditor Agreements and the Security Documents, and the exercise by the Notes Collateral Agent of any rights or remedies set forth herein and therein shall be authorized and binding upon all Holders. Notwithstanding any provision to the contrary contained elsewhere in this Indenture, the Security Documents and any Intercreditor Agreements, the duties of the Notes Collateral Agent shall be ministerial and administrative in nature, and the Notes Collateral Agent shall not have any duties or responsibilities, except those expressly set forth herein and in the Security Documents and any Intercreditor Agreements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Security Documents and any Intercreditor Agreements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6" w:name="page197"/>
    <w:bookmarkEnd w:id="196"/>
    <w:p>
      <w:pPr>
        <w:ind w:firstLine="1952"/>
        <w:spacing w:after="0" w:line="293" w:lineRule="auto"/>
        <w:tabs>
          <w:tab w:leader="none" w:pos="246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Notes Collateral Agent may perform any of its duties under this Indenture, the Security Documents or any Intercreditor Agreements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6"/>
          <w:szCs w:val="16"/>
          <w:u w:val="single" w:color="auto"/>
          <w:color w:val="auto"/>
        </w:rPr>
        <w:t>Related Person</w:t>
      </w:r>
      <w:r>
        <w:rPr>
          <w:rFonts w:ascii="Arial" w:cs="Arial" w:eastAsia="Arial" w:hAnsi="Arial"/>
          <w:sz w:val="16"/>
          <w:szCs w:val="16"/>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w:t>
      </w:r>
    </w:p>
    <w:p>
      <w:pPr>
        <w:spacing w:after="0" w:line="164" w:lineRule="exact"/>
        <w:rPr>
          <w:rFonts w:ascii="Arial" w:cs="Arial" w:eastAsia="Arial" w:hAnsi="Arial"/>
          <w:sz w:val="16"/>
          <w:szCs w:val="16"/>
          <w:color w:val="auto"/>
        </w:rPr>
      </w:pPr>
    </w:p>
    <w:p>
      <w:pPr>
        <w:ind w:right="40" w:firstLine="1952"/>
        <w:spacing w:after="0" w:line="268" w:lineRule="auto"/>
        <w:tabs>
          <w:tab w:leader="none" w:pos="2459" w:val="left"/>
        </w:tabs>
        <w:numPr>
          <w:ilvl w:val="0"/>
          <w:numId w:val="283"/>
        </w:numPr>
        <w:rPr>
          <w:rFonts w:ascii="Arial" w:cs="Arial" w:eastAsia="Arial" w:hAnsi="Arial"/>
          <w:sz w:val="17"/>
          <w:szCs w:val="17"/>
          <w:color w:val="auto"/>
        </w:rPr>
      </w:pPr>
      <w:r>
        <w:rPr>
          <w:rFonts w:ascii="Arial" w:cs="Arial" w:eastAsia="Arial" w:hAnsi="Arial"/>
          <w:sz w:val="17"/>
          <w:szCs w:val="17"/>
          <w:color w:val="auto"/>
        </w:rPr>
        <w:t>None of the Notes Collateral Agent or any of its respective Related Persons shall (i) be liable for any action taken or omitted to be taken by any of them under or in connection with this Indenture or the transactions contemplated hereby (except for its own gross negligence or willful misconduct) or under or in connection with any Security Document or any Intercreditor Agreements or the transactions contemplated thereby (except for its own gross negligence or willful misconduct),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the Security Documents, any Intercreditor Agreements or any certificate, report, statement or other document referred to or provided for in, or received by the Notes Collateral Agent under or in connection with, this Indenture, the Security Documents or any Intercreditor Agreements, or the validity, effectiveness, genuineness, enforceability or sufficiency of this Indenture, the Security Documents or any Intercreditor Agreements, or for any failure of any Grantor or any other party to this Indenture, the Security Documents or any Intercreditor Agreements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the Security Documents or any Intercreditor Agreements or to inspect the properties, books, or records of any Grantor or any Grantor’s Affiliates.</w:t>
      </w:r>
    </w:p>
    <w:p>
      <w:pPr>
        <w:spacing w:after="0" w:line="186" w:lineRule="exact"/>
        <w:rPr>
          <w:rFonts w:ascii="Arial" w:cs="Arial" w:eastAsia="Arial" w:hAnsi="Arial"/>
          <w:sz w:val="17"/>
          <w:szCs w:val="17"/>
          <w:color w:val="auto"/>
        </w:rPr>
      </w:pPr>
    </w:p>
    <w:p>
      <w:pPr>
        <w:ind w:firstLine="1952"/>
        <w:spacing w:after="0" w:line="286" w:lineRule="auto"/>
        <w:tabs>
          <w:tab w:leader="none" w:pos="246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counsel to the Issuer or any other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Security Documents or any Intercreditor Agreements unless it shall first receive such advice or concurrence of the Trustee or the Holders of a majority in aggregate principal amount of the Notes as it determines and, if it so requests, it shall first be indemnified to its reasonable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Security Documents or any Intercreditor Agreements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97" w:name="page198"/>
    <w:bookmarkEnd w:id="197"/>
    <w:p>
      <w:pPr>
        <w:ind w:right="200" w:firstLine="1952"/>
        <w:spacing w:after="0" w:line="257" w:lineRule="auto"/>
        <w:tabs>
          <w:tab w:leader="none" w:pos="245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the Holders of a majority in aggregate principal amount of the Notes (subject to this </w:t>
      </w:r>
      <w:r>
        <w:rPr>
          <w:rFonts w:ascii="Arial" w:cs="Arial" w:eastAsia="Arial" w:hAnsi="Arial"/>
          <w:sz w:val="18"/>
          <w:szCs w:val="18"/>
          <w:u w:val="single" w:color="auto"/>
          <w:color w:val="auto"/>
        </w:rPr>
        <w:t>Section 12.08</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firstLine="1952"/>
        <w:spacing w:after="0" w:line="286" w:lineRule="auto"/>
        <w:tabs>
          <w:tab w:leader="none" w:pos="243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Trustee, at the direction of the Holders of a majority of the aggregate principal amount of the Notes then outstanding, may appoint a successor collateral agent, subject to the consent of the Issuer (which consent shall not be unreasonably withheld and which shall not be required during a continuing Event of Default).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w:t>
      </w:r>
      <w:r>
        <w:rPr>
          <w:rFonts w:ascii="Arial" w:cs="Arial" w:eastAsia="Arial" w:hAnsi="Arial"/>
          <w:sz w:val="16"/>
          <w:szCs w:val="16"/>
          <w:u w:val="single" w:color="auto"/>
          <w:color w:val="auto"/>
        </w:rPr>
        <w:t>Notes Collateral Agent</w:t>
      </w:r>
      <w:r>
        <w:rPr>
          <w:rFonts w:ascii="Arial" w:cs="Arial" w:eastAsia="Arial" w:hAnsi="Arial"/>
          <w:sz w:val="16"/>
          <w:szCs w:val="16"/>
          <w:color w:val="auto"/>
        </w:rPr>
        <w:t xml:space="preserve">“ shall mean such successor collateral agent, and the retiring Notes Collateral Agent’s appointment, powers and duties as the Notes Collateral Agent shall be terminated. After the retiring Notes Collateral Agent’s resignation hereunder, the provisions of this </w:t>
      </w:r>
      <w:r>
        <w:rPr>
          <w:rFonts w:ascii="Arial" w:cs="Arial" w:eastAsia="Arial" w:hAnsi="Arial"/>
          <w:sz w:val="16"/>
          <w:szCs w:val="16"/>
          <w:u w:val="single" w:color="auto"/>
          <w:color w:val="auto"/>
        </w:rPr>
        <w:t>Section 12.08</w:t>
      </w:r>
      <w:r>
        <w:rPr>
          <w:rFonts w:ascii="Arial" w:cs="Arial" w:eastAsia="Arial" w:hAnsi="Arial"/>
          <w:sz w:val="16"/>
          <w:szCs w:val="16"/>
          <w:color w:val="auto"/>
        </w:rPr>
        <w:t xml:space="preserve">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173" w:lineRule="exact"/>
        <w:rPr>
          <w:rFonts w:ascii="Arial" w:cs="Arial" w:eastAsia="Arial" w:hAnsi="Arial"/>
          <w:sz w:val="16"/>
          <w:szCs w:val="16"/>
          <w:color w:val="auto"/>
        </w:rPr>
      </w:pPr>
    </w:p>
    <w:p>
      <w:pPr>
        <w:ind w:right="80" w:firstLine="1952"/>
        <w:spacing w:after="0" w:line="254" w:lineRule="auto"/>
        <w:tabs>
          <w:tab w:leader="none" w:pos="246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Trustee shall initially act as Notes Collateral Agent and shall be authorized to appoint co-Notes Collateral Agents as necessary in its sole discretion. Except as otherwise explicitly provided herein or in the Security Documents or any Intercreditor Agreements,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8" w:name="page199"/>
    <w:bookmarkEnd w:id="198"/>
    <w:p>
      <w:pPr>
        <w:ind w:left="-100" w:right="220" w:firstLine="1952"/>
        <w:spacing w:after="0" w:line="257" w:lineRule="auto"/>
        <w:tabs>
          <w:tab w:leader="none" w:pos="236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Notes Collateral Agent is authorized and directed to (i) enter into the Security Documents to which it is party, whether executed on or after the Issue Date, (ii) enter into any Intercreditor Agreements, whether executed on or after the Issue Date, (iii) make the representations of the Holders set forth in the Security Documents and Intercreditor Agreements, (iv) bind the Holders on the terms as set forth in the Security Documents and any Intercreditor Agreements and (v) perform and observe its obligations under the Security Documents and any Intercreditor Agreements.</w:t>
      </w:r>
    </w:p>
    <w:p>
      <w:pPr>
        <w:spacing w:after="0" w:line="187" w:lineRule="exact"/>
        <w:rPr>
          <w:rFonts w:ascii="Arial" w:cs="Arial" w:eastAsia="Arial" w:hAnsi="Arial"/>
          <w:sz w:val="18"/>
          <w:szCs w:val="18"/>
          <w:color w:val="auto"/>
        </w:rPr>
      </w:pPr>
    </w:p>
    <w:p>
      <w:pPr>
        <w:ind w:left="-100" w:firstLine="1952"/>
        <w:spacing w:after="0" w:line="273" w:lineRule="auto"/>
        <w:tabs>
          <w:tab w:leader="none" w:pos="232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the Security Documents and any Intercreditor Agreements.</w:t>
      </w:r>
    </w:p>
    <w:p>
      <w:pPr>
        <w:spacing w:after="0" w:line="177" w:lineRule="exact"/>
        <w:rPr>
          <w:rFonts w:ascii="Arial" w:cs="Arial" w:eastAsia="Arial" w:hAnsi="Arial"/>
          <w:sz w:val="17"/>
          <w:szCs w:val="17"/>
          <w:color w:val="auto"/>
        </w:rPr>
      </w:pPr>
    </w:p>
    <w:p>
      <w:pPr>
        <w:jc w:val="both"/>
        <w:ind w:left="-100" w:right="80" w:firstLine="1952"/>
        <w:spacing w:after="0" w:line="301" w:lineRule="auto"/>
        <w:tabs>
          <w:tab w:leader="none" w:pos="232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57" w:lineRule="exact"/>
        <w:rPr>
          <w:rFonts w:ascii="Arial" w:cs="Arial" w:eastAsia="Arial" w:hAnsi="Arial"/>
          <w:sz w:val="16"/>
          <w:szCs w:val="16"/>
          <w:color w:val="auto"/>
        </w:rPr>
      </w:pPr>
    </w:p>
    <w:p>
      <w:pPr>
        <w:ind w:left="-100" w:right="20" w:firstLine="1952"/>
        <w:spacing w:after="0" w:line="253" w:lineRule="auto"/>
        <w:tabs>
          <w:tab w:leader="none" w:pos="236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Security Document or any Intercreditor Agreements other than pursuant to the instructions of the Trustee or the Holders of a majority in aggregate principal amount of the Notes or as otherwise provided in the Security Documents.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48895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341" w:right="479" w:bottom="1440" w:gutter="0" w:footer="0" w:header="0"/>
        </w:sectPr>
      </w:pPr>
    </w:p>
    <w:bookmarkStart w:id="199" w:name="page200"/>
    <w:bookmarkEnd w:id="199"/>
    <w:p>
      <w:pPr>
        <w:ind w:right="80" w:firstLine="1952"/>
        <w:spacing w:after="0" w:line="255" w:lineRule="auto"/>
        <w:tabs>
          <w:tab w:leader="none" w:pos="242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If the Issuer or any Guarantor (i) incurs any Junior Priority Obligations at any time when no Junior Priority Intercreditor Agreement is in effect and (ii) delivers to the Notes Collateral Agent an Officer’s Certificate so stating and requesting the Notes Collateral Agent to enter into a Junior Priority Intercreditor Agreement in favor of a designated agent or representative for the holders of the Junior Priority Obligations so incurred, the Notes Collateral Agent shall (and is hereby authorized and directed to) enter into such intercreditor agreement (at the sole expense and cost of the Issuer, including legal fees and expenses of the Notes Collateral Agent), bind the Holders on the terms set forth therein and perform and observe its obligations thereunder.</w:t>
      </w:r>
    </w:p>
    <w:p>
      <w:pPr>
        <w:spacing w:after="0" w:line="192" w:lineRule="exact"/>
        <w:rPr>
          <w:rFonts w:ascii="Arial" w:cs="Arial" w:eastAsia="Arial" w:hAnsi="Arial"/>
          <w:sz w:val="18"/>
          <w:szCs w:val="18"/>
          <w:color w:val="auto"/>
        </w:rPr>
      </w:pPr>
    </w:p>
    <w:p>
      <w:pPr>
        <w:ind w:right="20" w:firstLine="1952"/>
        <w:spacing w:after="0" w:line="287" w:lineRule="auto"/>
        <w:tabs>
          <w:tab w:leader="none" w:pos="251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 provision of this Indenture, any Intercreditor Agreements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reasonably satisfactory to the Notes Collateral Agent and the Trustee against potential costs and liabilities incurred by the Notes Collateral Agent relating thereto. Notwithstanding anything to the contrary contained in this Indenture, any Intercreditor Agreements or the Security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spacing w:after="0" w:line="171" w:lineRule="exact"/>
        <w:rPr>
          <w:rFonts w:ascii="Arial" w:cs="Arial" w:eastAsia="Arial" w:hAnsi="Arial"/>
          <w:sz w:val="16"/>
          <w:szCs w:val="16"/>
          <w:color w:val="auto"/>
        </w:rPr>
      </w:pPr>
    </w:p>
    <w:p>
      <w:pPr>
        <w:ind w:right="60" w:firstLine="1952"/>
        <w:spacing w:after="0" w:line="271" w:lineRule="auto"/>
        <w:tabs>
          <w:tab w:leader="none" w:pos="246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Notes Collateral Agent (i) shall not be liable for any action taken or omitted to be taken by it in connection with this Indenture, any Intercreditor Agreements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78" w:lineRule="exact"/>
        <w:rPr>
          <w:rFonts w:ascii="Arial" w:cs="Arial" w:eastAsia="Arial" w:hAnsi="Arial"/>
          <w:sz w:val="17"/>
          <w:szCs w:val="17"/>
          <w:color w:val="auto"/>
        </w:rPr>
      </w:pPr>
    </w:p>
    <w:p>
      <w:pPr>
        <w:ind w:firstLine="1952"/>
        <w:spacing w:after="0" w:line="275" w:lineRule="auto"/>
        <w:tabs>
          <w:tab w:leader="none" w:pos="246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0" w:name="page201"/>
    <w:bookmarkEnd w:id="200"/>
    <w:p>
      <w:pPr>
        <w:ind w:right="20" w:firstLine="1952"/>
        <w:spacing w:after="0" w:line="268" w:lineRule="auto"/>
        <w:tabs>
          <w:tab w:leader="none" w:pos="246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Notes Collateral Agent does not assume any responsibility for any failure or delay in performance or any breach by the Issuer or any other Grantor under this Indenture, any Intercreditor Agreements and the Security Documents. The Notes Collateral Agent shall not be responsible to the Holders or any other Person for any recitals, statements, information, representations or warranties contained in this Indenture, the Security Documents, any Intercreditor Agreements or any certificate, report, statement, or other document referred to or provided for in, or received by the Notes Collateral Agent under or in connection with, this Indenture, any Intercreditor Agreements or any Security Document; the execution, validity, genuineness, effectiveness or enforceability of any Intercreditor Agreements and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any Intercreditor Agreements and the Security Documents. The Notes Collateral Agent shall have no obligation to any Holder or any other Person to ascertain or inquire into the existence of any Default or Event of Default, the observance or performance by any obligor of any terms of this Indenture, any Intercreditor Agreements and the Security Documents, or the satisfaction of any conditions precedent contained in this Indenture, any Intercreditor Agreements and any Security Documents. The Notes Collateral Agent shall not be required to initiate or conduct any litigation or collection or other proceeding under this Indenture, any Intercreditor Agreements and the Security Documents unless expressly set forth hereunder or thereunder. The Notes Collateral Agent shall have the right at any time to seek instructions from the Holders with respect to the administration of this Indenture, the Security Documents and any Intercreditor Agreements.</w:t>
      </w:r>
    </w:p>
    <w:p>
      <w:pPr>
        <w:spacing w:after="0" w:line="179" w:lineRule="exact"/>
        <w:rPr>
          <w:rFonts w:ascii="Arial" w:cs="Arial" w:eastAsia="Arial" w:hAnsi="Arial"/>
          <w:sz w:val="17"/>
          <w:szCs w:val="17"/>
          <w:color w:val="auto"/>
        </w:rPr>
      </w:pPr>
    </w:p>
    <w:p>
      <w:pPr>
        <w:ind w:firstLine="1952"/>
        <w:spacing w:after="0" w:line="284" w:lineRule="auto"/>
        <w:tabs>
          <w:tab w:leader="none" w:pos="246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any remediation, corrective action, response, removal or remedial action, or investigation, operations and maintenance or monitoring costs, for personal injury or property damages, real or personal) of any kind whatsoever, pursuant to any environmental law as a result of this Indenture, any Intercreditor Agreements, the Security Documents or any actions taken pursuant hereto or thereto. Further, the parties hereto and the Holders hereby agree and acknowledge that in the exercise of its rights under this Indenture, any Intercreditor Agreements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Arial" w:cs="Arial" w:eastAsia="Arial" w:hAnsi="Arial"/>
          <w:sz w:val="16"/>
          <w:szCs w:val="16"/>
          <w:u w:val="single" w:color="auto"/>
          <w:color w:val="auto"/>
        </w:rPr>
        <w:t>CERCLA</w:t>
      </w:r>
      <w:r>
        <w:rPr>
          <w:rFonts w:ascii="Arial" w:cs="Arial" w:eastAsia="Arial" w:hAnsi="Arial"/>
          <w:sz w:val="16"/>
          <w:szCs w:val="16"/>
          <w:color w:val="auto"/>
        </w:rPr>
        <w:t>“), 42 U.S.C. §9601, et seq., or otherwise cause the Notes Collateral Agent or the Trustee to incur liability under CERCLA or any other federal, state or local law, the Notes Collateral Agent and the Trustee reserves the right, instead of taking such action, to either resign as the Notes Collateral Agent or the Trustee or arrange for the transfer of the title or control of the asset to a court-appointed receiver. Neither the Notes Collateral Agent nor the Trustee shall be liable to the Issuer, the Guarantors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 or the Guarantors, a majority in interest of Holders shall direct the Notes Collateral Agent or the Trustee to appoint an appropriately qualified Person (excluding the Notes Collateral Agent or the Trustee) who they shall designate to possess, own, operate or manage, as the case may be, the property.</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1" w:name="page202"/>
    <w:bookmarkEnd w:id="201"/>
    <w:p>
      <w:pPr>
        <w:ind w:firstLine="1952"/>
        <w:spacing w:after="0" w:line="254" w:lineRule="auto"/>
        <w:tabs>
          <w:tab w:leader="none" w:pos="243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Upon the receipt by the Notes Collateral Agent of a written request of the Issuer signed by an Officer (a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 Order</w:t>
      </w:r>
      <w:r>
        <w:rPr>
          <w:rFonts w:ascii="Arial" w:cs="Arial" w:eastAsia="Arial" w:hAnsi="Arial"/>
          <w:sz w:val="18"/>
          <w:szCs w:val="18"/>
          <w:color w:val="auto"/>
        </w:rPr>
        <w:t xml:space="preserve">“), the Notes Collateral Agent is hereby authorized to execute and enter into, and shall execute and enter into, without the further consent of any Holder or the Trustee, any Security Document to be executed after the Issue Date. Such Security Document Order shall (i) state that it is being delivered to the Notes Collateral Agent pursuant to, and is a Security Document Order referred to in, this </w:t>
      </w:r>
      <w:r>
        <w:rPr>
          <w:rFonts w:ascii="Arial" w:cs="Arial" w:eastAsia="Arial" w:hAnsi="Arial"/>
          <w:sz w:val="18"/>
          <w:szCs w:val="18"/>
          <w:u w:val="single" w:color="auto"/>
          <w:color w:val="auto"/>
        </w:rPr>
        <w:t>Section 12.08(r)</w:t>
      </w:r>
      <w:r>
        <w:rPr>
          <w:rFonts w:ascii="Arial" w:cs="Arial" w:eastAsia="Arial" w:hAnsi="Arial"/>
          <w:sz w:val="18"/>
          <w:szCs w:val="18"/>
          <w:color w:val="auto"/>
        </w:rPr>
        <w:t>, and (ii) instruct the Notes Collateral Agent to execute and enter into such Security Document. Any such execution of a Security Document shall be at the direction and expense of the Issuer, upon delivery to the Notes Collateral Agent of an Officer’s Certificate stating that all conditions precedent to the execution and delivery of the Security Document have been satisfied. The Holders, by their acceptance of the Notes, hereby authorize and direct the Notes Collateral Agent to execute such Security Documents.</w:t>
      </w:r>
    </w:p>
    <w:p>
      <w:pPr>
        <w:spacing w:after="0" w:line="191" w:lineRule="exact"/>
        <w:rPr>
          <w:rFonts w:ascii="Arial" w:cs="Arial" w:eastAsia="Arial" w:hAnsi="Arial"/>
          <w:sz w:val="18"/>
          <w:szCs w:val="18"/>
          <w:color w:val="auto"/>
        </w:rPr>
      </w:pPr>
    </w:p>
    <w:p>
      <w:pPr>
        <w:ind w:right="120" w:firstLine="1952"/>
        <w:spacing w:after="0" w:line="255" w:lineRule="auto"/>
        <w:tabs>
          <w:tab w:leader="none" w:pos="244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Subject to the provisions of the applicable Security Documents and any Intercreditor Agreements, each Holder, by acceptance of the Notes, agrees that the Notes Collateral Agent shall execute and deliver any Intercreditor Agreements and the Security Documents to which it is a party and all agreements, documents and instruments incidental thereto, and act in accordance with the terms thereof. For the avoidance of doubt, except as otherwise provided in this Indenture, the Notes Collateral Agent shall have no discretion under this Indenture and shall not be required to make or give any determination, consent, approval, request or direction without the written direction of the Holders of a majority in aggregate principal amount of the then outstanding Notes or the Trustee, as applicable.</w:t>
      </w:r>
    </w:p>
    <w:p>
      <w:pPr>
        <w:spacing w:after="0" w:line="192" w:lineRule="exact"/>
        <w:rPr>
          <w:rFonts w:ascii="Arial" w:cs="Arial" w:eastAsia="Arial" w:hAnsi="Arial"/>
          <w:sz w:val="18"/>
          <w:szCs w:val="18"/>
          <w:color w:val="auto"/>
        </w:rPr>
      </w:pPr>
    </w:p>
    <w:p>
      <w:pPr>
        <w:ind w:right="120" w:firstLine="1952"/>
        <w:spacing w:after="0" w:line="263" w:lineRule="auto"/>
        <w:tabs>
          <w:tab w:leader="none" w:pos="241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After the occurrence and continuance of an Event of Default, the Trustee, acting at the direction of the Holders of a majority of the aggregate principal amount of the Notes then outstanding, may direct the Notes Collateral Agent in connection with any action required or permitted by this Indenture, the Security Documents or any Intercreditor Agreements.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2" w:name="page203"/>
    <w:bookmarkEnd w:id="202"/>
    <w:p>
      <w:pPr>
        <w:ind w:firstLine="1952"/>
        <w:spacing w:after="0" w:line="259" w:lineRule="auto"/>
        <w:tabs>
          <w:tab w:leader="none" w:pos="246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The Notes Collateral Agent is authorized to receive any funds for the benefit of itself, the Trustee and the Holders distributed under the Security Documents or any Intercreditor Agreements and to the extent not prohibited under any Intercreditor Agreements, for turnover to the Trustee to make further distributions of such funds to itself, the Trustee and the Holders in accordance with the provisions of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and the other provisions of this Indenture.</w:t>
      </w:r>
    </w:p>
    <w:p>
      <w:pPr>
        <w:spacing w:after="0" w:line="186" w:lineRule="exact"/>
        <w:rPr>
          <w:rFonts w:ascii="Arial" w:cs="Arial" w:eastAsia="Arial" w:hAnsi="Arial"/>
          <w:sz w:val="18"/>
          <w:szCs w:val="18"/>
          <w:color w:val="auto"/>
        </w:rPr>
      </w:pPr>
    </w:p>
    <w:p>
      <w:pPr>
        <w:ind w:right="40" w:firstLine="1952"/>
        <w:spacing w:after="0" w:line="270" w:lineRule="auto"/>
        <w:tabs>
          <w:tab w:leader="none" w:pos="246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 each case that the Notes Collateral Agent may or is required hereunder or under any Security Document or any Intercreditor Agreement to take any action (an “</w:t>
      </w:r>
      <w:r>
        <w:rPr>
          <w:rFonts w:ascii="Arial" w:cs="Arial" w:eastAsia="Arial" w:hAnsi="Arial"/>
          <w:sz w:val="17"/>
          <w:szCs w:val="17"/>
          <w:u w:val="single" w:color="auto"/>
          <w:color w:val="auto"/>
        </w:rPr>
        <w:t>Action</w:t>
      </w:r>
      <w:r>
        <w:rPr>
          <w:rFonts w:ascii="Arial" w:cs="Arial" w:eastAsia="Arial" w:hAnsi="Arial"/>
          <w:sz w:val="17"/>
          <w:szCs w:val="17"/>
          <w:color w:val="auto"/>
        </w:rPr>
        <w:t>“), including to make any determination, to give consents, to exercise rights, powers or remedies, to release or sell Collateral or otherwise to act hereunder or under any Security Document or any Intercreditor Agreement,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the Notes Collateral Agent shall not incur liability to any Person by reason of so refraining.</w:t>
      </w:r>
    </w:p>
    <w:p>
      <w:pPr>
        <w:spacing w:after="0" w:line="180" w:lineRule="exact"/>
        <w:rPr>
          <w:rFonts w:ascii="Arial" w:cs="Arial" w:eastAsia="Arial" w:hAnsi="Arial"/>
          <w:sz w:val="17"/>
          <w:szCs w:val="17"/>
          <w:color w:val="auto"/>
        </w:rPr>
      </w:pPr>
    </w:p>
    <w:p>
      <w:pPr>
        <w:ind w:right="80" w:firstLine="1952"/>
        <w:spacing w:after="0" w:line="293" w:lineRule="auto"/>
        <w:tabs>
          <w:tab w:leader="none" w:pos="250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or in any Security Document or any Intercreditor Agreement, in no event shall the Notes Collateral Agent or the Trustee be responsible for, or have any duty or obligation with respect to, the recording, filing, registering, perfection, protection or maintenance of the security interests or Liens intended to be created by this Indenture, the Security Documents or any Intercreditor Agreements (including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spacing w:after="0" w:line="164" w:lineRule="exact"/>
        <w:rPr>
          <w:rFonts w:ascii="Arial" w:cs="Arial" w:eastAsia="Arial" w:hAnsi="Arial"/>
          <w:sz w:val="16"/>
          <w:szCs w:val="16"/>
          <w:color w:val="auto"/>
        </w:rPr>
      </w:pPr>
    </w:p>
    <w:p>
      <w:pPr>
        <w:jc w:val="both"/>
        <w:ind w:right="60" w:firstLine="1952"/>
        <w:spacing w:after="0" w:line="279" w:lineRule="auto"/>
        <w:tabs>
          <w:tab w:leader="none" w:pos="246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Before the Notes Collateral Agent acts or refrains from acting in each case at the request or direction of the Issuer or the Guarantors, it may require an Officer’s Certificate, which shall conform to the provisions of this </w:t>
      </w:r>
      <w:r>
        <w:rPr>
          <w:rFonts w:ascii="Arial" w:cs="Arial" w:eastAsia="Arial" w:hAnsi="Arial"/>
          <w:sz w:val="17"/>
          <w:szCs w:val="17"/>
          <w:u w:val="single" w:color="auto"/>
          <w:color w:val="auto"/>
        </w:rPr>
        <w:t>Section 12.08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13.03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Officer’s Certificate shall be required in connection with the Security Documents to be entered by the Notes Collateral Agent on the Issue Date. The Notes Collateral Agent shall not be liable for any action it takes or omits to take in good faith in reliance on such certificate.</w:t>
      </w:r>
    </w:p>
    <w:p>
      <w:pPr>
        <w:spacing w:after="0" w:line="171" w:lineRule="exact"/>
        <w:rPr>
          <w:rFonts w:ascii="Arial" w:cs="Arial" w:eastAsia="Arial" w:hAnsi="Arial"/>
          <w:sz w:val="17"/>
          <w:szCs w:val="17"/>
          <w:color w:val="auto"/>
        </w:rPr>
      </w:pPr>
    </w:p>
    <w:p>
      <w:pPr>
        <w:ind w:right="780" w:firstLine="1952"/>
        <w:spacing w:after="0" w:line="277" w:lineRule="auto"/>
        <w:tabs>
          <w:tab w:leader="none" w:pos="246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Notes Collateral Agent shall act pursuant to the instructions of the Holders and the Trustee solely with respect to the Security Documents and the Collateral.</w:t>
      </w:r>
    </w:p>
    <w:p>
      <w:pPr>
        <w:spacing w:after="0" w:line="170" w:lineRule="exact"/>
        <w:rPr>
          <w:rFonts w:ascii="Arial" w:cs="Arial" w:eastAsia="Arial" w:hAnsi="Arial"/>
          <w:sz w:val="18"/>
          <w:szCs w:val="18"/>
          <w:color w:val="auto"/>
        </w:rPr>
      </w:pPr>
    </w:p>
    <w:p>
      <w:pPr>
        <w:ind w:right="220" w:firstLine="1952"/>
        <w:spacing w:after="0" w:line="263" w:lineRule="auto"/>
        <w:tabs>
          <w:tab w:leader="none" w:pos="24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3" w:name="page204"/>
    <w:bookmarkEnd w:id="203"/>
    <w:p>
      <w:pPr>
        <w:ind w:firstLine="1952"/>
        <w:spacing w:after="0" w:line="283" w:lineRule="auto"/>
        <w:tabs>
          <w:tab w:leader="none" w:pos="2269"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The Issuer and the Guarantors shall furnish to the Trustee and the Notes Collateral Agent, within 120 days after the end of each fiscal year (beginning with the first fiscal year ending after the Issue Date and after giving effect to any fiscal year end change effected on or after the Issue Date), an Officer’s Certificate (which may be the same certificate required to be delivered by the Issuer pursuant to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either (i) (x) stating that such action has been taken with respect to the recording, filing, re-recording, and refiling of this Indenture or the Security Documents, as applicable, as are necessary to maintain the perfected Liens of the applicable Security Documents securing the Obligations under applicable law to the extent required by the Security Documents other than any action as described therein to be taken, and (y) stating that on the date of such Officer’s Certificate, all financing statements, financing statement amendments and continuation statements have been or will be executed and filed that are necessary, as of such date or promptly thereafter and during the succeeding 12 months, fully to maintain the perfection (to the extent required by the Security Documents) of the security interests of the Notes Collateral Agent securing the Obligations thereunder and under the Security Documents with respect to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a required filing of a continuation statement or other instrument within such 12-month period and such continuation statement or amendment is not effective if filed at the time of the Officer’s Certificate, such Officer’s Certificate may so state and in that case the Issuer and the Guarantors shall cause a continuation statement or amendment to be timely filed and become effective so as to maintain such Liens and security interests securing Obligations or</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stating that no such action is necessary to maintain such Liens or security interests.</w:t>
      </w:r>
    </w:p>
    <w:p>
      <w:pPr>
        <w:spacing w:after="0" w:line="210" w:lineRule="exact"/>
        <w:rPr>
          <w:rFonts w:ascii="Arial" w:cs="Arial" w:eastAsia="Arial" w:hAnsi="Arial"/>
          <w:sz w:val="18"/>
          <w:szCs w:val="18"/>
          <w:color w:val="auto"/>
        </w:rPr>
      </w:pPr>
    </w:p>
    <w:p>
      <w:pPr>
        <w:ind w:left="2300" w:hanging="348"/>
        <w:spacing w:after="0"/>
        <w:tabs>
          <w:tab w:leader="none" w:pos="2300" w:val="left"/>
        </w:tabs>
        <w:numPr>
          <w:ilvl w:val="1"/>
          <w:numId w:val="291"/>
        </w:numPr>
        <w:rPr>
          <w:rFonts w:ascii="Arial" w:cs="Arial" w:eastAsia="Arial" w:hAnsi="Arial"/>
          <w:sz w:val="18"/>
          <w:szCs w:val="18"/>
          <w:color w:val="auto"/>
        </w:rPr>
      </w:pP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of this Indenture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Notes Collateral Agent in its capacity as such.</w:t>
      </w:r>
    </w:p>
    <w:p>
      <w:pPr>
        <w:spacing w:after="0" w:line="221" w:lineRule="exact"/>
        <w:rPr>
          <w:rFonts w:ascii="Arial" w:cs="Arial" w:eastAsia="Arial" w:hAnsi="Arial"/>
          <w:sz w:val="18"/>
          <w:szCs w:val="18"/>
          <w:color w:val="auto"/>
        </w:rPr>
      </w:pPr>
    </w:p>
    <w:p>
      <w:pPr>
        <w:ind w:left="5100"/>
        <w:spacing w:after="0"/>
        <w:rPr>
          <w:rFonts w:ascii="Arial" w:cs="Arial" w:eastAsia="Arial" w:hAnsi="Arial"/>
          <w:sz w:val="18"/>
          <w:szCs w:val="18"/>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Any notice or communication by the Issuer, any Guarantor, the Trustee or the Notes Collateral Agent to the others is duly given if in writing and delivered in person or mailed by first-class mail (registered or certified, return receipt requested), fax or overnight air courier guaranteeing next day delivery, to the others’ address, or given electronically: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Issuer and/or any Guarantor: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Cameron D. MacDougall,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cmacdougall@fortress.com</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4" w:name="page205"/>
    <w:bookmarkEnd w:id="204"/>
    <w:p>
      <w:pPr>
        <w:ind w:left="1300" w:right="520"/>
        <w:spacing w:after="0" w:line="277" w:lineRule="auto"/>
        <w:rPr>
          <w:sz w:val="20"/>
          <w:szCs w:val="20"/>
          <w:color w:val="auto"/>
        </w:rPr>
      </w:pPr>
      <w:r>
        <w:rPr>
          <w:rFonts w:ascii="Arial" w:cs="Arial" w:eastAsia="Arial" w:hAnsi="Arial"/>
          <w:sz w:val="18"/>
          <w:szCs w:val="18"/>
          <w:color w:val="auto"/>
        </w:rPr>
        <w:t>With a copy to (which copy shall be delivered as an accommodation and shall not be required to be delivered in satisfaction of any requirement hereof):</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Cravath, Swaine and Moore LLP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Worldwide Plaza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Stephen L. Burns and Johnny G. Skumpija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sburns@cravath.com and jskumpija@cravath.com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Notes Collateral Agent: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The Issuer, any Guarantor, the Trustee or the Notes Collateral Agent, by notice to the others, may designate additional or different addresses for subsequent notices or communications.</w:t>
      </w:r>
    </w:p>
    <w:p>
      <w:pPr>
        <w:spacing w:after="0" w:line="170"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 xml:space="preserve">Notices given by publication (including posting of information as contemplated by the provisions described under </w:t>
      </w:r>
      <w:r>
        <w:rPr>
          <w:rFonts w:ascii="Arial" w:cs="Arial" w:eastAsia="Arial" w:hAnsi="Arial"/>
          <w:sz w:val="16"/>
          <w:szCs w:val="16"/>
          <w:u w:val="single" w:color="auto"/>
          <w:color w:val="auto"/>
        </w:rPr>
        <w:t>Section 4.03</w:t>
      </w:r>
      <w:r>
        <w:rPr>
          <w:rFonts w:ascii="Arial" w:cs="Arial" w:eastAsia="Arial" w:hAnsi="Arial"/>
          <w:sz w:val="16"/>
          <w:szCs w:val="16"/>
          <w:color w:val="auto"/>
        </w:rPr>
        <w:t>) will be deemed given on the first date on which publication is made, notices given by first-class mail, postage prepaid, will be deemed given five calendar days after mailing or transmitting, notices sent by overnight delivery service will be deemed given on the next Business Day after timely delivery to the courier and notices given electronically will be deemed given when sent. Notice given in accordance with the procedures of DTC will be deemed given on the date sent to DTC. Failure to send a notice or communication to a Holder or any defect in it shall not affect its sufficiency with respect to other Holders.</w:t>
      </w:r>
    </w:p>
    <w:p>
      <w:pPr>
        <w:spacing w:after="0" w:line="161"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5" w:name="page206"/>
    <w:bookmarkEnd w:id="205"/>
    <w:p>
      <w:pPr>
        <w:ind w:right="420" w:firstLine="1296"/>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the Issuer mails a notice or communication to Holders, it shall mail a copy to the Trustee at the same time.</w:t>
      </w:r>
    </w:p>
    <w:p>
      <w:pPr>
        <w:spacing w:after="0" w:line="225"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Each of the Trustee and the Notes Collateral Agent agrees to accept and act upon instructions or directions pursuant to this Indenture sent by unsecured e-mail, facsimile transmission or other similar unsecured electronic methods. If the Issuer, any Guarantor or any Holder elects to give the Trustee or the Notes Collateral Agent e-mail or facsimile instructions (or instructions by a similar electronic method) and the Trustee or the Notes Collateral Agent, as applicable, in its discretion elects to act upon such instructions, the Trustee’s or Notes Collateral Agent’s, as applicable, understanding of such instructions shall be deemed controlling. The Trustee or the Notes Collateral Agent, as applicable, shall not be liable for any losses, costs or expenses arising directly or indirectly from the Trustee’s or the Notes Collateral Agent’s, as applicable,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the risk of the Trustee or the Notes Collateral Agent, as applicable, acting on unauthorized instructions, and the risk of interception and misuse by third parties.</w:t>
      </w:r>
    </w:p>
    <w:p>
      <w:pPr>
        <w:spacing w:after="0" w:line="166" w:lineRule="exact"/>
        <w:rPr>
          <w:sz w:val="20"/>
          <w:szCs w:val="20"/>
          <w:color w:val="auto"/>
        </w:rPr>
      </w:pPr>
    </w:p>
    <w:p>
      <w:pPr>
        <w:ind w:right="140" w:firstLine="1296"/>
        <w:spacing w:after="0" w:line="25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MEXICAN PROCESS AGENT</w:t>
      </w:r>
      <w:r>
        <w:rPr>
          <w:rFonts w:ascii="Arial" w:cs="Arial" w:eastAsia="Arial" w:hAnsi="Arial"/>
          <w:sz w:val="18"/>
          <w:szCs w:val="18"/>
          <w:color w:val="auto"/>
        </w:rPr>
        <w:t>. For purposes of this Section 13.02, each Guarantor incorporated or formed under the laws of Mexico (each a “Mexican Guarantor”), specifically for the purpose of receiving legal and/or judicial service of process in the U.S. in connection with this Section 13.02, independently from the Notes Collateral Agent’s right to make and deliver service of process to the Mexican Guarantors in any other way or form which is legally valid, hereby irrevocably and unconditionally designate the following agent and attorney-in-fact for such purposes in the U.S. (the “</w:t>
      </w:r>
      <w:r>
        <w:rPr>
          <w:rFonts w:ascii="Arial" w:cs="Arial" w:eastAsia="Arial" w:hAnsi="Arial"/>
          <w:sz w:val="18"/>
          <w:szCs w:val="18"/>
          <w:u w:val="single" w:color="auto"/>
          <w:color w:val="auto"/>
        </w:rPr>
        <w:t>Mexican Process Agent</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NFE Management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Corporation Trust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Corporation Trust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1209 Orange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Wilmington, New Castle County,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Delaware 19801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United States of America</w:t>
      </w:r>
    </w:p>
    <w:p>
      <w:pPr>
        <w:spacing w:after="0" w:line="211"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Each Mexican Guarantor represents and warrants to the Notes Collateral Agent that it has received evidence of the acceptance by the Mexican Process Agent of its appointment as such by the Mexican Guarantors.</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6" w:name="page207"/>
    <w:bookmarkEnd w:id="206"/>
    <w:p>
      <w:pPr>
        <w:ind w:firstLine="1296"/>
        <w:spacing w:after="0" w:line="271" w:lineRule="auto"/>
        <w:rPr>
          <w:sz w:val="20"/>
          <w:szCs w:val="20"/>
          <w:color w:val="auto"/>
        </w:rPr>
      </w:pPr>
      <w:r>
        <w:rPr>
          <w:rFonts w:ascii="Arial" w:cs="Arial" w:eastAsia="Arial" w:hAnsi="Arial"/>
          <w:sz w:val="17"/>
          <w:szCs w:val="17"/>
          <w:color w:val="auto"/>
        </w:rPr>
        <w:t>Additionally, each Mexican Guarantor covenants and agrees that it will take all necessary and appropriate action in order to grant in favor of the Mexican Process Agent, and within 15 calendar days immediately following the Issue Date, a document of authority or power of attorney, for lawsuits and collections, granted by each Mexican Guarantor in favor of the Mexican Process Agent in full compliance with Mexican law and duly formalized before a Mexican Notary Public for its validity in Mexico, through such corporate actions as may be required by each Mexican Guarantor’s incorporation documents and bylaws, and in form and substance reasonably acceptable to the Notes Collateral Agent, in order to fully and duly formalize the designation of the Mexican Process Agent as each Mexican Guarantor’s agent for service of process in the United States of America in accordance with Mexican law. Each Mexican Guarantor hereby agrees to provide the Notes Collateral Agent with a copy of the formalization of the designation of the Mexican Process Agent within 25 Business Days immediately following the Issue Date.</w:t>
      </w:r>
    </w:p>
    <w:p>
      <w:pPr>
        <w:spacing w:after="0" w:line="178"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7"/>
          <w:szCs w:val="17"/>
          <w:u w:val="single" w:color="auto"/>
          <w:color w:val="auto"/>
        </w:rPr>
        <w:t>COMMUNICATION BY HOLDERS WITH OTHER HOLDERS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7"/>
          <w:szCs w:val="17"/>
          <w:u w:val="single" w:color="auto"/>
          <w:color w:val="auto"/>
        </w:rPr>
        <w:t>CERTIFICATE AND OPINION AS TO CONDITIONS PRECEDENT</w:t>
      </w:r>
      <w:r>
        <w:rPr>
          <w:rFonts w:ascii="Arial" w:cs="Arial" w:eastAsia="Arial" w:hAnsi="Arial"/>
          <w:sz w:val="17"/>
          <w:szCs w:val="17"/>
          <w:color w:val="auto"/>
        </w:rPr>
        <w:t>.</w:t>
      </w:r>
    </w:p>
    <w:p>
      <w:pPr>
        <w:spacing w:after="0" w:line="225" w:lineRule="exact"/>
        <w:rPr>
          <w:sz w:val="20"/>
          <w:szCs w:val="20"/>
          <w:color w:val="auto"/>
        </w:rPr>
      </w:pPr>
    </w:p>
    <w:p>
      <w:pPr>
        <w:jc w:val="both"/>
        <w:ind w:right="280" w:firstLine="1296"/>
        <w:spacing w:after="0" w:line="263" w:lineRule="auto"/>
        <w:rPr>
          <w:sz w:val="20"/>
          <w:szCs w:val="20"/>
          <w:color w:val="auto"/>
        </w:rPr>
      </w:pPr>
      <w:r>
        <w:rPr>
          <w:rFonts w:ascii="Arial" w:cs="Arial" w:eastAsia="Arial" w:hAnsi="Arial"/>
          <w:sz w:val="18"/>
          <w:szCs w:val="18"/>
          <w:color w:val="auto"/>
        </w:rPr>
        <w:t>Upon any request or application by the Issuer or any of the Guarantors to the Trustee or the Notes Collateral Agent to take any action under this Indenture, the Issuer or such Guarantor, as the case may be, shall furnish to the Trustee or, if such action relates to a Security Document or an Intercreditor Agreement, the Notes Collateral Agent:</w:t>
      </w:r>
    </w:p>
    <w:p>
      <w:pPr>
        <w:spacing w:after="0" w:line="184" w:lineRule="exact"/>
        <w:rPr>
          <w:sz w:val="20"/>
          <w:szCs w:val="20"/>
          <w:color w:val="auto"/>
        </w:rPr>
      </w:pPr>
    </w:p>
    <w:p>
      <w:pPr>
        <w:ind w:right="40" w:firstLine="1952"/>
        <w:spacing w:after="0" w:line="259" w:lineRule="auto"/>
        <w:tabs>
          <w:tab w:leader="none" w:pos="24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An Officer’s Certificate (which shall include the statements set forth in </w:t>
      </w:r>
      <w:r>
        <w:rPr>
          <w:rFonts w:ascii="Arial" w:cs="Arial" w:eastAsia="Arial" w:hAnsi="Arial"/>
          <w:sz w:val="18"/>
          <w:szCs w:val="18"/>
          <w:u w:val="single" w:color="auto"/>
          <w:color w:val="auto"/>
        </w:rPr>
        <w:t>Section 13.05</w:t>
      </w:r>
      <w:r>
        <w:rPr>
          <w:rFonts w:ascii="Arial" w:cs="Arial" w:eastAsia="Arial" w:hAnsi="Arial"/>
          <w:sz w:val="18"/>
          <w:szCs w:val="18"/>
          <w:color w:val="auto"/>
        </w:rPr>
        <w:t xml:space="preserve">) stating that, in the opinion of the signatory thereto, all conditions precedent and covenants, if any, provided for in this Indenture relating to the proposed action have been complied 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Officer’s Certificate shall not be required in connection with the entering into the Security Documents and any Equal Priority Intercreditor Agreement; and</w:t>
      </w:r>
    </w:p>
    <w:p>
      <w:pPr>
        <w:spacing w:after="0" w:line="186" w:lineRule="exact"/>
        <w:rPr>
          <w:rFonts w:ascii="Arial" w:cs="Arial" w:eastAsia="Arial" w:hAnsi="Arial"/>
          <w:sz w:val="18"/>
          <w:szCs w:val="18"/>
          <w:color w:val="auto"/>
        </w:rPr>
      </w:pPr>
    </w:p>
    <w:p>
      <w:pPr>
        <w:ind w:right="40" w:firstLine="1952"/>
        <w:spacing w:after="0" w:line="311" w:lineRule="auto"/>
        <w:tabs>
          <w:tab w:leader="none" w:pos="250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An Opinion of Counsel (which shall include the statements set forth in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stating that, in the opinion of such counsel, all such conditions precedent and covenants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Opinion of Counsel shall not be required in connection with (i) the issuance of the Notes that are issued on the Issue Date and (ii) the entering into of the Security Documents and any Intercreditor Agreements.</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7" w:name="page208"/>
    <w:bookmarkEnd w:id="207"/>
    <w:p>
      <w:pPr>
        <w:ind w:left="1300"/>
        <w:spacing w:after="0"/>
        <w:tabs>
          <w:tab w:leader="none" w:pos="30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7"/>
          <w:szCs w:val="17"/>
          <w:u w:val="single" w:color="auto"/>
          <w:color w:val="auto"/>
        </w:rPr>
        <w:t>STATEMENTS REQUIRED IN CERTIFICATE OR OPINION</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Each certificate or opinion with respect to compliance with a condition or covenant provided for in this Indenture (other than a certificate provided pursuant to </w:t>
      </w:r>
      <w:r>
        <w:rPr>
          <w:rFonts w:ascii="Arial" w:cs="Arial" w:eastAsia="Arial" w:hAnsi="Arial"/>
          <w:sz w:val="18"/>
          <w:szCs w:val="18"/>
          <w:u w:val="single" w:color="auto"/>
          <w:color w:val="auto"/>
        </w:rPr>
        <w:t>Section 4.04</w:t>
      </w:r>
      <w:r>
        <w:rPr>
          <w:rFonts w:ascii="Arial" w:cs="Arial" w:eastAsia="Arial" w:hAnsi="Arial"/>
          <w:sz w:val="18"/>
          <w:szCs w:val="18"/>
          <w:color w:val="auto"/>
        </w:rPr>
        <w:t>) shall include:</w:t>
      </w:r>
    </w:p>
    <w:p>
      <w:pPr>
        <w:spacing w:after="0" w:line="170" w:lineRule="exact"/>
        <w:rPr>
          <w:sz w:val="20"/>
          <w:szCs w:val="20"/>
          <w:color w:val="auto"/>
        </w:rPr>
      </w:pPr>
    </w:p>
    <w:p>
      <w:pPr>
        <w:ind w:left="2500" w:hanging="548"/>
        <w:spacing w:after="0"/>
        <w:tabs>
          <w:tab w:leader="none" w:pos="25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220" w:firstLine="1952"/>
        <w:spacing w:after="0" w:line="277" w:lineRule="auto"/>
        <w:tabs>
          <w:tab w:leader="none" w:pos="25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60" w:firstLine="1952"/>
        <w:spacing w:after="0" w:line="263" w:lineRule="auto"/>
        <w:tabs>
          <w:tab w:leader="none" w:pos="249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183" w:lineRule="exact"/>
        <w:rPr>
          <w:rFonts w:ascii="Arial" w:cs="Arial" w:eastAsia="Arial" w:hAnsi="Arial"/>
          <w:sz w:val="18"/>
          <w:szCs w:val="18"/>
          <w:color w:val="auto"/>
        </w:rPr>
      </w:pPr>
    </w:p>
    <w:p>
      <w:pPr>
        <w:ind w:right="380" w:firstLine="1952"/>
        <w:spacing w:after="0" w:line="342" w:lineRule="auto"/>
        <w:tabs>
          <w:tab w:leader="none" w:pos="25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such Person, such condition or covenant has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matters of fact an Opinion of Counsel may rely on an Officer’s Certificate or certificates of public officials.</w:t>
      </w:r>
    </w:p>
    <w:p>
      <w:pPr>
        <w:spacing w:after="0" w:line="124"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7"/>
          <w:szCs w:val="17"/>
          <w:u w:val="single" w:color="auto"/>
          <w:color w:val="auto"/>
        </w:rPr>
        <w:t>RULES BY TRUSTEE AND AGENTS</w:t>
      </w:r>
      <w:r>
        <w:rPr>
          <w:rFonts w:ascii="Arial" w:cs="Arial" w:eastAsia="Arial" w:hAnsi="Arial"/>
          <w:sz w:val="17"/>
          <w:szCs w:val="17"/>
          <w:color w:val="auto"/>
        </w:rPr>
        <w:t>.</w:t>
      </w:r>
    </w:p>
    <w:p>
      <w:pPr>
        <w:spacing w:after="0" w:line="225"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ind w:right="1000" w:firstLine="1296"/>
        <w:spacing w:after="0" w:line="277" w:lineRule="auto"/>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NO PERSONAL LIABILITY OF DIRECTORS, MANAGERS, OFFICERS, EMPLOYEES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170"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No past, present or future director, manager, officer, employee, incorporator, member, partner or stockholder of the Issuer or any Guarantor or any of their parent companies or entities, as such, shall have any liability for any obligations of the Issuer or the Guarantors under the Notes, the Note Guarantees, the Security Documents, any Intercreditor Agreements or this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88"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w:t>
      </w:r>
    </w:p>
    <w:p>
      <w:pPr>
        <w:spacing w:after="0" w:line="225" w:lineRule="exact"/>
        <w:rPr>
          <w:sz w:val="20"/>
          <w:szCs w:val="20"/>
          <w:color w:val="auto"/>
        </w:rPr>
      </w:pPr>
    </w:p>
    <w:p>
      <w:pPr>
        <w:ind w:right="920" w:firstLine="1296"/>
        <w:spacing w:after="0" w:line="277" w:lineRule="auto"/>
        <w:rPr>
          <w:sz w:val="20"/>
          <w:szCs w:val="20"/>
          <w:color w:val="auto"/>
        </w:rPr>
      </w:pPr>
      <w:r>
        <w:rPr>
          <w:rFonts w:ascii="Arial" w:cs="Arial" w:eastAsia="Arial" w:hAnsi="Arial"/>
          <w:sz w:val="18"/>
          <w:szCs w:val="18"/>
          <w:color w:val="auto"/>
        </w:rPr>
        <w:t>THIS INDENTURE, THE NOTES AND ANY NOTE GUARANTEE WILL BE GOVERNED BY AND CONSTRUED IN ACCORDANCE WITH THE LAWS OF THE STATE OF NEW YORK.</w:t>
      </w:r>
    </w:p>
    <w:p>
      <w:pPr>
        <w:spacing w:after="0" w:line="170"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 OR TO COMMENCE LEGAL PROCEEDINGS OR OTHERWISE PROCEED IN ANY OTHER JURISDICTION</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8" w:name="page209"/>
    <w:bookmarkEnd w:id="208"/>
    <w:p>
      <w:pPr>
        <w:ind w:left="1300"/>
        <w:spacing w:after="0"/>
        <w:tabs>
          <w:tab w:leader="none" w:pos="30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EACH OF THE ISSUER, THE GUARANTORS, THE TRUSTEE AND THE NOTES COLLATERAL AGENT, AND EACH HOLDER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18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In no event shall the Trustee or the Notes Collateral Agent be responsible or liable for any failure or delay in the performance of its obligations under this Indenture arising out of or caused by, directly or indirectly, forces beyond its reasonable control, including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187" w:lineRule="exact"/>
        <w:rPr>
          <w:sz w:val="20"/>
          <w:szCs w:val="20"/>
          <w:color w:val="auto"/>
        </w:rPr>
      </w:pPr>
    </w:p>
    <w:p>
      <w:pPr>
        <w:ind w:left="1300"/>
        <w:spacing w:after="0"/>
        <w:tabs>
          <w:tab w:leader="none" w:pos="306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7"/>
          <w:szCs w:val="17"/>
          <w:u w:val="single" w:color="auto"/>
          <w:color w:val="auto"/>
        </w:rPr>
        <w:t>NO ADVERSE INTERPRETATION OF OTHER AGREEMENTS</w:t>
      </w:r>
      <w:r>
        <w:rPr>
          <w:rFonts w:ascii="Arial" w:cs="Arial" w:eastAsia="Arial" w:hAnsi="Arial"/>
          <w:sz w:val="17"/>
          <w:szCs w:val="17"/>
          <w:color w:val="auto"/>
        </w:rPr>
        <w:t>.</w:t>
      </w:r>
    </w:p>
    <w:p>
      <w:pPr>
        <w:spacing w:after="0" w:line="22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Issuer or the Restricted Subsidiaries or of any other Person. Any such indenture, loan or debt agreement may not be used to interpret this Indenture.</w:t>
      </w:r>
    </w:p>
    <w:p>
      <w:pPr>
        <w:spacing w:after="0" w:line="17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All agreements of the Issuer in this Indenture and the Notes shall bind its respective successors. All agreements of the Trustee in this Indenture shall bind its successors. All agreements of each Guarantor in this Indenture shall bind its successors.</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09" w:name="page210"/>
    <w:bookmarkEnd w:id="209"/>
    <w:p>
      <w:pPr>
        <w:ind w:left="1300"/>
        <w:spacing w:after="0"/>
        <w:tabs>
          <w:tab w:leader="none" w:pos="3080" w:val="left"/>
        </w:tabs>
        <w:rPr>
          <w:sz w:val="20"/>
          <w:szCs w:val="20"/>
          <w:color w:val="auto"/>
        </w:rPr>
      </w:pPr>
      <w:r>
        <w:rPr>
          <w:rFonts w:ascii="Arial" w:cs="Arial" w:eastAsia="Arial" w:hAnsi="Arial"/>
          <w:sz w:val="18"/>
          <w:szCs w:val="18"/>
          <w:color w:val="auto"/>
        </w:rPr>
        <w:t>SECTION 13.13.</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w:t>
      </w:r>
    </w:p>
    <w:p>
      <w:pPr>
        <w:spacing w:after="0" w:line="225" w:lineRule="exact"/>
        <w:rPr>
          <w:sz w:val="20"/>
          <w:szCs w:val="20"/>
          <w:color w:val="auto"/>
        </w:rPr>
      </w:pPr>
    </w:p>
    <w:p>
      <w:pPr>
        <w:ind w:right="60" w:firstLine="1296"/>
        <w:spacing w:after="0" w:line="301" w:lineRule="auto"/>
        <w:rPr>
          <w:sz w:val="20"/>
          <w:szCs w:val="20"/>
          <w:color w:val="auto"/>
        </w:rPr>
      </w:pPr>
      <w:r>
        <w:rPr>
          <w:rFonts w:ascii="Arial" w:cs="Arial" w:eastAsia="Arial" w:hAnsi="Arial"/>
          <w:sz w:val="16"/>
          <w:szCs w:val="16"/>
          <w:color w:val="auto"/>
        </w:rPr>
        <w:t xml:space="preserve">Each Holder, by its acceptance of a Note, agrees that it will be bound by and will take no actions contrary to the provisions of any Intercreditor Agreement, and authorizes and instructs the Trustee and the Notes Collateral Agent to enter into any Equal Priority Intercreditor Agreement and/or Junior Priority Intercreditor Agreement after the Issue Date in accordance with </w:t>
      </w:r>
      <w:r>
        <w:rPr>
          <w:rFonts w:ascii="Arial" w:cs="Arial" w:eastAsia="Arial" w:hAnsi="Arial"/>
          <w:sz w:val="16"/>
          <w:szCs w:val="16"/>
          <w:u w:val="single" w:color="auto"/>
          <w:color w:val="auto"/>
        </w:rPr>
        <w:t>Section 12.08(l)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9.01(18)</w:t>
      </w:r>
      <w:r>
        <w:rPr>
          <w:rFonts w:ascii="Arial" w:cs="Arial" w:eastAsia="Arial" w:hAnsi="Arial"/>
          <w:sz w:val="16"/>
          <w:szCs w:val="16"/>
          <w:color w:val="auto"/>
        </w:rPr>
        <w:t>, in each case as Trustee and as Notes Collateral Agent, as the case may be, and on behalf of such Holder, including making the representations of the Holders contained therein.</w:t>
      </w:r>
    </w:p>
    <w:p>
      <w:pPr>
        <w:spacing w:after="0" w:line="15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13.15.</w:t>
      </w:r>
      <w:r>
        <w:rPr>
          <w:sz w:val="20"/>
          <w:szCs w:val="20"/>
          <w:color w:val="auto"/>
        </w:rPr>
        <w:tab/>
      </w:r>
      <w:r>
        <w:rPr>
          <w:rFonts w:ascii="Arial" w:cs="Arial" w:eastAsia="Arial" w:hAnsi="Arial"/>
          <w:sz w:val="17"/>
          <w:szCs w:val="17"/>
          <w:u w:val="single" w:color="auto"/>
          <w:color w:val="auto"/>
        </w:rPr>
        <w:t>COUNTERPART ORIGINALS</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be deemed to be their original signatures for all purposes.</w:t>
      </w:r>
    </w:p>
    <w:p>
      <w:pPr>
        <w:spacing w:after="0" w:line="157"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13.16.</w:t>
      </w:r>
      <w:r>
        <w:rPr>
          <w:sz w:val="20"/>
          <w:szCs w:val="20"/>
          <w:color w:val="auto"/>
        </w:rPr>
        <w:tab/>
      </w:r>
      <w:r>
        <w:rPr>
          <w:rFonts w:ascii="Arial" w:cs="Arial" w:eastAsia="Arial" w:hAnsi="Arial"/>
          <w:sz w:val="17"/>
          <w:szCs w:val="17"/>
          <w:u w:val="single" w:color="auto"/>
          <w:color w:val="auto"/>
        </w:rPr>
        <w:t>TABLE OF CONTENTS, HEADINGS, ETC.</w:t>
      </w:r>
    </w:p>
    <w:p>
      <w:pPr>
        <w:spacing w:after="0" w:line="225"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70" w:lineRule="exact"/>
        <w:rPr>
          <w:sz w:val="20"/>
          <w:szCs w:val="20"/>
          <w:color w:val="auto"/>
        </w:rPr>
      </w:pPr>
    </w:p>
    <w:p>
      <w:pPr>
        <w:ind w:left="1300"/>
        <w:spacing w:after="0"/>
        <w:tabs>
          <w:tab w:leader="none" w:pos="3080" w:val="left"/>
        </w:tabs>
        <w:rPr>
          <w:sz w:val="20"/>
          <w:szCs w:val="20"/>
          <w:color w:val="auto"/>
        </w:rPr>
      </w:pPr>
      <w:r>
        <w:rPr>
          <w:rFonts w:ascii="Arial" w:cs="Arial" w:eastAsia="Arial" w:hAnsi="Arial"/>
          <w:sz w:val="18"/>
          <w:szCs w:val="18"/>
          <w:color w:val="auto"/>
        </w:rPr>
        <w:t>SECTION 13.17.</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25"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ind w:left="4520"/>
        <w:spacing w:after="0"/>
        <w:rPr>
          <w:sz w:val="20"/>
          <w:szCs w:val="20"/>
          <w:color w:val="auto"/>
        </w:rPr>
      </w:pPr>
      <w:r>
        <w:rPr>
          <w:rFonts w:ascii="Arial" w:cs="Arial" w:eastAsia="Arial" w:hAnsi="Arial"/>
          <w:sz w:val="17"/>
          <w:szCs w:val="17"/>
          <w:color w:val="auto"/>
        </w:rPr>
        <w:t>NEW FORTRESS ENERGY INC.,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Name:  Christopher S. Guinta</w:t>
      </w:r>
    </w:p>
    <w:p>
      <w:pPr>
        <w:spacing w:after="0" w:line="34" w:lineRule="exact"/>
        <w:rPr>
          <w:sz w:val="20"/>
          <w:szCs w:val="20"/>
          <w:color w:val="auto"/>
        </w:rPr>
      </w:pPr>
    </w:p>
    <w:p>
      <w:pPr>
        <w:ind w:left="4840"/>
        <w:spacing w:after="0"/>
        <w:tabs>
          <w:tab w:leader="none" w:pos="5420" w:val="left"/>
        </w:tabs>
        <w:rPr>
          <w:sz w:val="20"/>
          <w:szCs w:val="20"/>
          <w:color w:val="auto"/>
        </w:rPr>
      </w:pPr>
      <w:r>
        <w:rPr>
          <w:rFonts w:ascii="Arial" w:cs="Arial" w:eastAsia="Arial" w:hAnsi="Arial"/>
          <w:sz w:val="17"/>
          <w:szCs w:val="17"/>
          <w:color w:val="auto"/>
        </w:rPr>
        <w:t>Title:</w:t>
        <w:tab/>
        <w:t>Chief Financial Officer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1" w:name="page212"/>
    <w:bookmarkEnd w:id="211"/>
    <w:p>
      <w:pPr>
        <w:ind w:left="4500"/>
        <w:spacing w:after="0"/>
        <w:rPr>
          <w:sz w:val="20"/>
          <w:szCs w:val="20"/>
          <w:color w:val="auto"/>
        </w:rPr>
      </w:pPr>
      <w:r>
        <w:rPr>
          <w:rFonts w:ascii="Arial" w:cs="Arial" w:eastAsia="Arial" w:hAnsi="Arial"/>
          <w:sz w:val="18"/>
          <w:szCs w:val="18"/>
          <w:color w:val="auto"/>
        </w:rPr>
        <w:t>GUARANTORS: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Energy Logistics Solutions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American LNG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Bradford County Development Holdings LLC</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GPF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Power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Bradford County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Island LNG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Energy Marketing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Fortress Intermediate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Atlantic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Equipment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Ghana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International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ISO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Jamaica GP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Mexico Holdings LLC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12" w:name="page213"/>
    <w:bookmarkEnd w:id="212"/>
    <w:p>
      <w:pPr>
        <w:ind w:left="4500"/>
        <w:spacing w:after="0"/>
        <w:rPr>
          <w:sz w:val="20"/>
          <w:szCs w:val="20"/>
          <w:color w:val="auto"/>
        </w:rPr>
      </w:pPr>
      <w:r>
        <w:rPr>
          <w:rFonts w:ascii="Arial" w:cs="Arial" w:eastAsia="Arial" w:hAnsi="Arial"/>
          <w:sz w:val="18"/>
          <w:szCs w:val="18"/>
          <w:color w:val="auto"/>
        </w:rPr>
        <w:t>NFE Nicaragua Development Partners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NFE Nicaragua Development Partners LLC, Sucursal Nicaragua</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Nicaragua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Plant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South 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Sub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NFE Transport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TICO Development Partners LLC</w:t>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60"/>
          </w:cols>
          <w:pgMar w:left="1440" w:top="341" w:right="1299" w:bottom="1440" w:gutter="0" w:footer="0" w:header="0"/>
        </w:sectPr>
      </w:pPr>
    </w:p>
    <w:bookmarkStart w:id="213" w:name="page214"/>
    <w:bookmarkEnd w:id="213"/>
    <w:p>
      <w:pPr>
        <w:ind w:left="4440"/>
        <w:spacing w:after="0"/>
        <w:rPr>
          <w:sz w:val="20"/>
          <w:szCs w:val="20"/>
          <w:color w:val="auto"/>
        </w:rPr>
      </w:pPr>
      <w:r>
        <w:rPr>
          <w:rFonts w:ascii="Arial" w:cs="Arial" w:eastAsia="Arial" w:hAnsi="Arial"/>
          <w:sz w:val="18"/>
          <w:szCs w:val="18"/>
          <w:color w:val="auto"/>
        </w:rPr>
        <w:t>Atlantic Energy Holdings Limited</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Atlantic Power Holdings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International Holdings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Distribution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Holdings Limited [Bermuda]</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Holdings Limited [Jamaica]</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Infrastructure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North Transport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South Holdings Limited [Bermuda]</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South Holdings Limited [Jamaica]</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NFE South Power Trading Limited [Bermuda]</w:t>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NFE South Power Trading Limited [Jamaica]</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South Trading Limited</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14" w:name="page215"/>
    <w:bookmarkEnd w:id="214"/>
    <w:p>
      <w:pPr>
        <w:ind w:left="4440"/>
        <w:spacing w:after="0"/>
        <w:rPr>
          <w:sz w:val="20"/>
          <w:szCs w:val="20"/>
          <w:color w:val="auto"/>
        </w:rPr>
      </w:pPr>
      <w:r>
        <w:rPr>
          <w:rFonts w:ascii="Arial" w:cs="Arial" w:eastAsia="Arial" w:hAnsi="Arial"/>
          <w:sz w:val="17"/>
          <w:szCs w:val="17"/>
          <w:color w:val="auto"/>
        </w:rPr>
        <w:t>Atlantic Energy Infrastructure Holdings SRL</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Atlantic Pipeline Holdings SRL</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Atlantic Terminal Infrastructure Holdings SRL</w:t>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Encanto East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Encanto Power East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Encanto Power West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Encanto West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Mexico Holdings B.V.</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Mexico Holdings Parent B.V.</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Power PR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Shannon Holdings Limited</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NFEnergía LLC</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Soluciones de Energia Limpia PR LLC</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Atlantic Distribution Holdings SRL</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Atlantic Power Holdings SRL</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15" w:name="page216"/>
    <w:bookmarkEnd w:id="215"/>
    <w:p>
      <w:pPr>
        <w:ind w:left="444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 Pacifico LAP, S. de R.L. de C.V.</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NFEnergia GN de BCS, S. de R.L. de C.V.</w:t>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NFEnergia Mexico, S. de R.L. de C.V.</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Legal Representative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6" w:name="page217"/>
    <w:bookmarkEnd w:id="216"/>
    <w:p>
      <w:pPr>
        <w:ind w:left="44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Trustee and Notes Collateral Agent</w:t>
      </w:r>
    </w:p>
    <w:p>
      <w:pPr>
        <w:spacing w:after="0" w:line="2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34029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Joshua A. Hahn</w:t>
      </w:r>
    </w:p>
    <w:p>
      <w:pPr>
        <w:spacing w:after="0" w:line="23"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466725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[Insert the Global Note Legend, if applicable pursuant to the provisions of the Indenture]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[Insert the Private Placement Legend, if applicable pursuant to the provisions of the Indenture]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[Insert the Regulation S Global Note Legend, if applicable pursuant to the provisions of the Indenture]</w:t>
      </w: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218" w:name="page219"/>
    <w:bookmarkEnd w:id="218"/>
    <w:p>
      <w:pPr>
        <w:ind w:left="9900"/>
        <w:spacing w:after="0"/>
        <w:rPr>
          <w:sz w:val="20"/>
          <w:szCs w:val="20"/>
          <w:color w:val="auto"/>
        </w:rPr>
      </w:pPr>
      <w:r>
        <w:rPr>
          <w:rFonts w:ascii="Arial" w:cs="Arial" w:eastAsia="Arial" w:hAnsi="Arial"/>
          <w:sz w:val="16"/>
          <w:szCs w:val="16"/>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0500" w:space="680"/>
            <w:col w:w="60"/>
          </w:cols>
          <w:pgMar w:left="320" w:top="341" w:right="339" w:bottom="1440" w:gutter="0" w:footer="0" w:header="0"/>
        </w:sectPr>
      </w:pPr>
    </w:p>
    <w:p>
      <w:pPr>
        <w:spacing w:after="0" w:line="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p>
      <w:pPr>
        <w:spacing w:after="0" w:line="209" w:lineRule="exact"/>
        <w:rPr>
          <w:sz w:val="20"/>
          <w:szCs w:val="20"/>
          <w:color w:val="auto"/>
        </w:rPr>
      </w:pPr>
    </w:p>
    <w:p>
      <w:pPr>
        <w:sectPr>
          <w:pgSz w:w="11900" w:h="16838" w:orient="portrait"/>
          <w:cols w:equalWidth="0" w:num="2">
            <w:col w:w="10440" w:space="660"/>
            <w:col w:w="140"/>
          </w:cols>
          <w:pgMar w:left="320" w:top="341"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[RULE 144A][REGULATION S] GLOBAL NOTE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6.750% Senior Secured Notes due 2025</w:t>
      </w:r>
    </w:p>
    <w:p>
      <w:pPr>
        <w:sectPr>
          <w:pgSz w:w="11900" w:h="16838" w:orient="portrait"/>
          <w:cols w:equalWidth="0" w:num="1">
            <w:col w:w="11240"/>
          </w:cols>
          <w:pgMar w:left="320" w:top="341"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00" w:lineRule="exact"/>
        <w:rPr>
          <w:sz w:val="20"/>
          <w:szCs w:val="20"/>
          <w:color w:val="auto"/>
        </w:rPr>
      </w:pPr>
    </w:p>
    <w:p>
      <w:pPr>
        <w:sectPr>
          <w:pgSz w:w="11900" w:h="16838" w:orient="portrait"/>
          <w:cols w:equalWidth="0" w:num="2">
            <w:col w:w="8720" w:space="720"/>
            <w:col w:w="1800"/>
          </w:cols>
          <w:pgMar w:left="320" w:top="341" w:right="339" w:bottom="1440" w:gutter="0" w:footer="0" w:header="0"/>
          <w:type w:val="continuous"/>
        </w:sectPr>
      </w:pPr>
    </w:p>
    <w:p>
      <w:pPr>
        <w:spacing w:after="0" w:line="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promises to pay to CEDE &amp; CO. or registered assigns, the principal sum [set forth on the Schedule of Exchanges of Interests in the</w:t>
      </w:r>
    </w:p>
    <w:p>
      <w:pPr>
        <w:sectPr>
          <w:pgSz w:w="11900" w:h="16838" w:orient="portrait"/>
          <w:cols w:equalWidth="0" w:num="1">
            <w:col w:w="11240"/>
          </w:cols>
          <w:pgMar w:left="320" w:top="341"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Global Note attached hereto]</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[of ________________________ United States Dollars]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on September 15, 2025.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 commencing on March 15, 2021</w:t>
      </w:r>
      <w:r>
        <w:rPr>
          <w:rFonts w:ascii="Arial" w:cs="Arial" w:eastAsia="Arial" w:hAnsi="Arial"/>
          <w:sz w:val="29"/>
          <w:szCs w:val="29"/>
          <w:color w:val="auto"/>
          <w:vertAlign w:val="superscript"/>
        </w:rPr>
        <w:t>4</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Record Dates: March 1 and September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423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0"/>
          <w:szCs w:val="20"/>
          <w:color w:val="auto"/>
        </w:rPr>
      </w:pPr>
    </w:p>
    <w:p>
      <w:pPr>
        <w:ind w:left="360" w:hanging="352"/>
        <w:spacing w:after="0"/>
        <w:tabs>
          <w:tab w:leader="none" w:pos="360" w:val="left"/>
        </w:tabs>
        <w:numPr>
          <w:ilvl w:val="0"/>
          <w:numId w:val="294"/>
        </w:numPr>
        <w:rPr>
          <w:rFonts w:ascii="Arial" w:cs="Arial" w:eastAsia="Arial" w:hAnsi="Arial"/>
          <w:sz w:val="30"/>
          <w:szCs w:val="30"/>
          <w:color w:val="auto"/>
          <w:vertAlign w:val="superscript"/>
        </w:rPr>
      </w:pPr>
      <w:r>
        <w:rPr>
          <w:rFonts w:ascii="Arial" w:cs="Arial" w:eastAsia="Arial" w:hAnsi="Arial"/>
          <w:sz w:val="18"/>
          <w:szCs w:val="18"/>
          <w:color w:val="auto"/>
        </w:rPr>
        <w:t>Rule 144A Note CUSIP: 644393 AA8</w:t>
      </w:r>
    </w:p>
    <w:p>
      <w:pPr>
        <w:spacing w:after="0" w:line="201" w:lineRule="exact"/>
        <w:rPr>
          <w:rFonts w:ascii="Arial" w:cs="Arial" w:eastAsia="Arial" w:hAnsi="Arial"/>
          <w:sz w:val="30"/>
          <w:szCs w:val="30"/>
          <w:color w:val="auto"/>
          <w:vertAlign w:val="superscript"/>
        </w:rPr>
      </w:pPr>
    </w:p>
    <w:p>
      <w:pPr>
        <w:ind w:left="360"/>
        <w:spacing w:after="0"/>
        <w:rPr>
          <w:rFonts w:ascii="Arial" w:cs="Arial" w:eastAsia="Arial" w:hAnsi="Arial"/>
          <w:sz w:val="30"/>
          <w:szCs w:val="30"/>
          <w:color w:val="auto"/>
          <w:vertAlign w:val="superscript"/>
        </w:rPr>
      </w:pPr>
      <w:r>
        <w:rPr>
          <w:rFonts w:ascii="Arial" w:cs="Arial" w:eastAsia="Arial" w:hAnsi="Arial"/>
          <w:sz w:val="18"/>
          <w:szCs w:val="18"/>
          <w:color w:val="auto"/>
        </w:rPr>
        <w:t>Rule 144A Note ISIN: US644393AA81</w:t>
      </w:r>
    </w:p>
    <w:p>
      <w:pPr>
        <w:spacing w:after="0" w:line="225" w:lineRule="exact"/>
        <w:rPr>
          <w:rFonts w:ascii="Arial" w:cs="Arial" w:eastAsia="Arial" w:hAnsi="Arial"/>
          <w:sz w:val="30"/>
          <w:szCs w:val="30"/>
          <w:color w:val="auto"/>
          <w:vertAlign w:val="superscript"/>
        </w:rPr>
      </w:pPr>
    </w:p>
    <w:p>
      <w:pPr>
        <w:ind w:left="360"/>
        <w:spacing w:after="0"/>
        <w:rPr>
          <w:rFonts w:ascii="Arial" w:cs="Arial" w:eastAsia="Arial" w:hAnsi="Arial"/>
          <w:sz w:val="30"/>
          <w:szCs w:val="30"/>
          <w:color w:val="auto"/>
          <w:vertAlign w:val="superscript"/>
        </w:rPr>
      </w:pPr>
      <w:r>
        <w:rPr>
          <w:rFonts w:ascii="Arial" w:cs="Arial" w:eastAsia="Arial" w:hAnsi="Arial"/>
          <w:sz w:val="18"/>
          <w:szCs w:val="18"/>
          <w:color w:val="auto"/>
        </w:rPr>
        <w:t>Regulation S Note CUSIP: U6422PAA6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Regulation S Note ISIN: USU6422PAA67</w:t>
      </w:r>
    </w:p>
    <w:p>
      <w:pPr>
        <w:spacing w:after="0" w:line="110" w:lineRule="exact"/>
        <w:rPr>
          <w:sz w:val="20"/>
          <w:szCs w:val="20"/>
          <w:color w:val="auto"/>
        </w:rPr>
      </w:pPr>
    </w:p>
    <w:p>
      <w:pPr>
        <w:ind w:left="360" w:hanging="352"/>
        <w:spacing w:after="0"/>
        <w:tabs>
          <w:tab w:leader="none" w:pos="360" w:val="left"/>
        </w:tabs>
        <w:numPr>
          <w:ilvl w:val="0"/>
          <w:numId w:val="295"/>
        </w:numPr>
        <w:rPr>
          <w:rFonts w:ascii="Arial" w:cs="Arial" w:eastAsia="Arial" w:hAnsi="Arial"/>
          <w:sz w:val="30"/>
          <w:szCs w:val="30"/>
          <w:color w:val="auto"/>
          <w:vertAlign w:val="superscript"/>
        </w:rPr>
      </w:pPr>
      <w:r>
        <w:rPr>
          <w:rFonts w:ascii="Arial" w:cs="Arial" w:eastAsia="Arial" w:hAnsi="Arial"/>
          <w:sz w:val="18"/>
          <w:szCs w:val="18"/>
          <w:color w:val="auto"/>
        </w:rPr>
        <w:t>Use bracketed language for a Global Note.</w:t>
      </w:r>
    </w:p>
    <w:p>
      <w:pPr>
        <w:spacing w:after="0" w:line="87" w:lineRule="exact"/>
        <w:rPr>
          <w:sz w:val="20"/>
          <w:szCs w:val="20"/>
          <w:color w:val="auto"/>
        </w:rPr>
      </w:pPr>
    </w:p>
    <w:p>
      <w:pPr>
        <w:ind w:left="360" w:hanging="352"/>
        <w:spacing w:after="0"/>
        <w:tabs>
          <w:tab w:leader="none" w:pos="360" w:val="left"/>
        </w:tabs>
        <w:numPr>
          <w:ilvl w:val="0"/>
          <w:numId w:val="296"/>
        </w:numPr>
        <w:rPr>
          <w:rFonts w:ascii="Arial" w:cs="Arial" w:eastAsia="Arial" w:hAnsi="Arial"/>
          <w:sz w:val="30"/>
          <w:szCs w:val="30"/>
          <w:color w:val="auto"/>
          <w:vertAlign w:val="superscript"/>
        </w:rPr>
      </w:pPr>
      <w:r>
        <w:rPr>
          <w:rFonts w:ascii="Arial" w:cs="Arial" w:eastAsia="Arial" w:hAnsi="Arial"/>
          <w:sz w:val="18"/>
          <w:szCs w:val="18"/>
          <w:color w:val="auto"/>
        </w:rPr>
        <w:t>Use bracketed language for a Definitive Note.</w:t>
      </w:r>
    </w:p>
    <w:p>
      <w:pPr>
        <w:spacing w:after="0" w:line="87" w:lineRule="exact"/>
        <w:rPr>
          <w:sz w:val="20"/>
          <w:szCs w:val="20"/>
          <w:color w:val="auto"/>
        </w:rPr>
      </w:pPr>
    </w:p>
    <w:p>
      <w:pPr>
        <w:ind w:left="360" w:hanging="352"/>
        <w:spacing w:after="0"/>
        <w:tabs>
          <w:tab w:leader="none" w:pos="360" w:val="left"/>
        </w:tabs>
        <w:numPr>
          <w:ilvl w:val="0"/>
          <w:numId w:val="297"/>
        </w:numPr>
        <w:rPr>
          <w:rFonts w:ascii="Arial" w:cs="Arial" w:eastAsia="Arial" w:hAnsi="Arial"/>
          <w:sz w:val="30"/>
          <w:szCs w:val="30"/>
          <w:color w:val="auto"/>
          <w:vertAlign w:val="superscript"/>
        </w:rPr>
      </w:pPr>
      <w:r>
        <w:rPr>
          <w:rFonts w:ascii="Arial" w:cs="Arial" w:eastAsia="Arial" w:hAnsi="Arial"/>
          <w:sz w:val="18"/>
          <w:szCs w:val="18"/>
          <w:color w:val="auto"/>
        </w:rPr>
        <w:t>With respect to the Initial Notes.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9" w:name="page220"/>
    <w:bookmarkEnd w:id="219"/>
    <w:p>
      <w:pPr>
        <w:ind w:left="1300"/>
        <w:spacing w:after="0"/>
        <w:rPr>
          <w:sz w:val="20"/>
          <w:szCs w:val="20"/>
          <w:color w:val="auto"/>
        </w:rPr>
      </w:pPr>
      <w:r>
        <w:rPr>
          <w:rFonts w:ascii="Arial" w:cs="Arial" w:eastAsia="Arial" w:hAnsi="Arial"/>
          <w:sz w:val="18"/>
          <w:szCs w:val="18"/>
          <w:color w:val="auto"/>
        </w:rPr>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NEW FORTRESS ENERGY INC.,</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20" w:name="page221"/>
    <w:bookmarkEnd w:id="220"/>
    <w:p>
      <w:pPr>
        <w:ind w:left="3620"/>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6.750% Senior Secured Notes due 2025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right="20" w:firstLine="656"/>
        <w:spacing w:after="0" w:line="230" w:lineRule="auto"/>
        <w:tabs>
          <w:tab w:leader="none" w:pos="1349"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INTEREST. New Fortress Energy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promises to pay interest on the principal amount of this Note at 6.750% per annum from September 2, 2020</w:t>
      </w:r>
      <w:r>
        <w:rPr>
          <w:rFonts w:ascii="Arial" w:cs="Arial" w:eastAsia="Arial" w:hAnsi="Arial"/>
          <w:sz w:val="28"/>
          <w:szCs w:val="28"/>
          <w:color w:val="auto"/>
          <w:vertAlign w:val="superscript"/>
        </w:rPr>
        <w:t>5</w:t>
      </w:r>
      <w:r>
        <w:rPr>
          <w:rFonts w:ascii="Arial" w:cs="Arial" w:eastAsia="Arial" w:hAnsi="Arial"/>
          <w:sz w:val="17"/>
          <w:szCs w:val="17"/>
          <w:color w:val="auto"/>
        </w:rPr>
        <w:t xml:space="preserve"> until maturity. The Issuer will pay interest semi-annually in arrears on March 15 and September 15 of each year, commencing March 15, 2021</w:t>
      </w:r>
      <w:r>
        <w:rPr>
          <w:rFonts w:ascii="Arial" w:cs="Arial" w:eastAsia="Arial" w:hAnsi="Arial"/>
          <w:sz w:val="28"/>
          <w:szCs w:val="28"/>
          <w:color w:val="auto"/>
          <w:vertAlign w:val="superscript"/>
        </w:rPr>
        <w:t>5</w:t>
      </w:r>
      <w:r>
        <w:rPr>
          <w:rFonts w:ascii="Arial" w:cs="Arial" w:eastAsia="Arial" w:hAnsi="Arial"/>
          <w:sz w:val="17"/>
          <w:szCs w:val="17"/>
          <w:color w:val="auto"/>
        </w:rPr>
        <w:t>, or if any such day is not a Business Day, on the next succeeding Business Day (each, an “</w:t>
      </w:r>
      <w:r>
        <w:rPr>
          <w:rFonts w:ascii="Arial" w:cs="Arial" w:eastAsia="Arial" w:hAnsi="Arial"/>
          <w:sz w:val="17"/>
          <w:szCs w:val="17"/>
          <w:u w:val="single" w:color="auto"/>
          <w:color w:val="auto"/>
        </w:rPr>
        <w:t>Interest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Interest on the Notes will accrue from the most recent date to which interest has been paid or, if no interest has been paid, from September 2, 2020. The Issuer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 from time to time on demand at the interest rate on the Notes. Interest will be computed on the basis of a 360-day year comprised of twelve 30-day months.</w:t>
      </w:r>
    </w:p>
    <w:p>
      <w:pPr>
        <w:spacing w:after="0" w:line="202" w:lineRule="exact"/>
        <w:rPr>
          <w:rFonts w:ascii="Arial" w:cs="Arial" w:eastAsia="Arial" w:hAnsi="Arial"/>
          <w:sz w:val="17"/>
          <w:szCs w:val="17"/>
          <w:color w:val="auto"/>
        </w:rPr>
      </w:pPr>
    </w:p>
    <w:p>
      <w:pPr>
        <w:ind w:right="40" w:firstLine="656"/>
        <w:spacing w:after="0" w:line="253" w:lineRule="auto"/>
        <w:tabs>
          <w:tab w:leader="none" w:pos="134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METHOD OF PAYMENT. The Issuer will pay interest on the Notes to the Persons who are registered Holders of Notes at the close of business on the March 1 or September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or by wire transfer;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payments of principal of and interest and premium, if any, on all Global Notes shall be made in accordance with the Depositary’s applicable procedures. Such payment shall be in such coin or currency of the United States of America as at the time of payment is legal tender for payment of public and private debts. If a payment date is not a Business Day at the place of payment, payment shall be made on the next succeeding day that is a Business Day, and no interest shall accrue for the intervening period. If a regular record date is not a Business Day, the record date shall not be affected.</w:t>
      </w:r>
    </w:p>
    <w:p>
      <w:pPr>
        <w:spacing w:after="0" w:line="196" w:lineRule="exact"/>
        <w:rPr>
          <w:rFonts w:ascii="Arial" w:cs="Arial" w:eastAsia="Arial" w:hAnsi="Arial"/>
          <w:sz w:val="18"/>
          <w:szCs w:val="18"/>
          <w:color w:val="auto"/>
        </w:rPr>
      </w:pPr>
    </w:p>
    <w:p>
      <w:pPr>
        <w:ind w:right="140" w:firstLine="656"/>
        <w:spacing w:after="0" w:line="263" w:lineRule="auto"/>
        <w:tabs>
          <w:tab w:leader="none" w:pos="134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PAYING AGENT AND REGISTRAR. Initially, U.S. Bank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83" w:lineRule="exact"/>
        <w:rPr>
          <w:rFonts w:ascii="Arial" w:cs="Arial" w:eastAsia="Arial" w:hAnsi="Arial"/>
          <w:sz w:val="18"/>
          <w:szCs w:val="18"/>
          <w:color w:val="auto"/>
        </w:rPr>
      </w:pPr>
    </w:p>
    <w:p>
      <w:pPr>
        <w:ind w:firstLine="656"/>
        <w:spacing w:after="0" w:line="255" w:lineRule="auto"/>
        <w:tabs>
          <w:tab w:leader="none" w:pos="134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INDENTURE. The Issuer issued the Notes under an Indenture, dated as of September 2, 2020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This Note is one of a duly authorized issue of notes of the Issuer designated as its 6.750% Senior Secured Notes due 2025. The Issuer shall be entitled to issue Additional Notes pursuant to Sections 2.01, 4.09 and 4.12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4230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0"/>
          <w:szCs w:val="20"/>
          <w:color w:val="auto"/>
        </w:rPr>
      </w:pPr>
    </w:p>
    <w:p>
      <w:pPr>
        <w:ind w:left="360" w:hanging="352"/>
        <w:spacing w:after="0"/>
        <w:tabs>
          <w:tab w:leader="none" w:pos="360" w:val="left"/>
        </w:tabs>
        <w:numPr>
          <w:ilvl w:val="0"/>
          <w:numId w:val="299"/>
        </w:numPr>
        <w:rPr>
          <w:rFonts w:ascii="Arial" w:cs="Arial" w:eastAsia="Arial" w:hAnsi="Arial"/>
          <w:sz w:val="30"/>
          <w:szCs w:val="30"/>
          <w:color w:val="auto"/>
          <w:vertAlign w:val="superscript"/>
        </w:rPr>
      </w:pPr>
      <w:r>
        <w:rPr>
          <w:rFonts w:ascii="Arial" w:cs="Arial" w:eastAsia="Arial" w:hAnsi="Arial"/>
          <w:sz w:val="18"/>
          <w:szCs w:val="18"/>
          <w:color w:val="auto"/>
        </w:rPr>
        <w:t>With respect to the Initial Notes.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2" w:name="page223"/>
    <w:bookmarkEnd w:id="222"/>
    <w:p>
      <w:pPr>
        <w:ind w:left="1360" w:hanging="704"/>
        <w:spacing w:after="0"/>
        <w:tabs>
          <w:tab w:leader="none" w:pos="13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REDEMPTION AND REPURCHASE.</w:t>
      </w:r>
    </w:p>
    <w:p>
      <w:pPr>
        <w:spacing w:after="0" w:line="225"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The Notes are subject to optional redemption, and may be the subject of a Change of Control Offer and an Asset Sale Offer (or an Alternate Offer or Advance Offer, as applicable), as further described in the Indenture. The Issuer shall not be required to make any mandatory or sinking fund payments with respect to the Notes.</w:t>
      </w:r>
    </w:p>
    <w:p>
      <w:pPr>
        <w:spacing w:after="0" w:line="184" w:lineRule="exact"/>
        <w:rPr>
          <w:sz w:val="20"/>
          <w:szCs w:val="20"/>
          <w:color w:val="auto"/>
        </w:rPr>
      </w:pPr>
    </w:p>
    <w:p>
      <w:pPr>
        <w:ind w:firstLine="656"/>
        <w:spacing w:after="0" w:line="290" w:lineRule="auto"/>
        <w:tabs>
          <w:tab w:leader="none" w:pos="134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 Change of Control Offer, an Asset Sale Offer, Alternate Offer, Advance Offer or other tender offer, in whole or in part, except for the unredeemed portion of any Note being redeemed in part. Also, the Issuer need not exchange or register the transfer of any Notes during a period beginning at the opening of business 15 days before the day of selection of Notes to be redeemed and ending at the close of business on the day of selection of Notes to be redeemed.</w:t>
      </w:r>
    </w:p>
    <w:p>
      <w:pPr>
        <w:spacing w:after="0" w:line="165" w:lineRule="exact"/>
        <w:rPr>
          <w:rFonts w:ascii="Arial" w:cs="Arial" w:eastAsia="Arial" w:hAnsi="Arial"/>
          <w:sz w:val="16"/>
          <w:szCs w:val="16"/>
          <w:color w:val="auto"/>
        </w:rPr>
      </w:pPr>
    </w:p>
    <w:p>
      <w:pPr>
        <w:ind w:left="1360" w:hanging="704"/>
        <w:spacing w:after="0"/>
        <w:tabs>
          <w:tab w:leader="none" w:pos="13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PERSONS DEEMED OWNERS. The registered Holder may be treated as its owner for all purposes.</w:t>
      </w:r>
    </w:p>
    <w:p>
      <w:pPr>
        <w:spacing w:after="0" w:line="225" w:lineRule="exact"/>
        <w:rPr>
          <w:rFonts w:ascii="Arial" w:cs="Arial" w:eastAsia="Arial" w:hAnsi="Arial"/>
          <w:sz w:val="18"/>
          <w:szCs w:val="18"/>
          <w:color w:val="auto"/>
        </w:rPr>
      </w:pPr>
    </w:p>
    <w:p>
      <w:pPr>
        <w:ind w:firstLine="656"/>
        <w:spacing w:after="0" w:line="277" w:lineRule="auto"/>
        <w:tabs>
          <w:tab w:leader="none" w:pos="134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AMENDMENT, SUPPLEMENT AND WAIVER. The Indenture, the Note Guarantees or the Notes may be amended or supplemented as provided in the Indenture.</w:t>
      </w:r>
    </w:p>
    <w:p>
      <w:pPr>
        <w:spacing w:after="0" w:line="170" w:lineRule="exact"/>
        <w:rPr>
          <w:rFonts w:ascii="Arial" w:cs="Arial" w:eastAsia="Arial" w:hAnsi="Arial"/>
          <w:sz w:val="18"/>
          <w:szCs w:val="18"/>
          <w:color w:val="auto"/>
        </w:rPr>
      </w:pPr>
    </w:p>
    <w:p>
      <w:pPr>
        <w:ind w:right="40" w:firstLine="656"/>
        <w:spacing w:after="0" w:line="263" w:lineRule="auto"/>
        <w:tabs>
          <w:tab w:leader="none" w:pos="134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DEFAULTS AND REMEDIES. The Events of Default relating to the Notes are defined in Section 6.01 of the Indenture. Upon the occurrence of an Event of Default, the rights and obligations of the Issuer, the Guarantors, the Trustee and the Holders shall be as set forth in the applicable provisions of the Indenture.</w:t>
      </w:r>
    </w:p>
    <w:p>
      <w:pPr>
        <w:spacing w:after="0" w:line="183" w:lineRule="exact"/>
        <w:rPr>
          <w:rFonts w:ascii="Arial" w:cs="Arial" w:eastAsia="Arial" w:hAnsi="Arial"/>
          <w:sz w:val="18"/>
          <w:szCs w:val="18"/>
          <w:color w:val="auto"/>
        </w:rPr>
      </w:pPr>
    </w:p>
    <w:p>
      <w:pPr>
        <w:ind w:right="240" w:firstLine="656"/>
        <w:spacing w:after="0" w:line="277" w:lineRule="auto"/>
        <w:tabs>
          <w:tab w:leader="none" w:pos="131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right="580" w:firstLine="656"/>
        <w:spacing w:after="0" w:line="277" w:lineRule="auto"/>
        <w:tabs>
          <w:tab w:leader="none" w:pos="1307" w:val="left"/>
        </w:tabs>
        <w:numPr>
          <w:ilvl w:val="0"/>
          <w:numId w:val="301"/>
        </w:numPr>
        <w:rPr>
          <w:rFonts w:ascii="Arial" w:cs="Arial" w:eastAsia="Arial" w:hAnsi="Arial"/>
          <w:sz w:val="18"/>
          <w:szCs w:val="18"/>
          <w:color w:val="auto"/>
        </w:rPr>
      </w:pPr>
      <w:r>
        <w:rPr>
          <w:rFonts w:ascii="Arial" w:cs="Arial" w:eastAsia="Arial" w:hAnsi="Arial"/>
          <w:sz w:val="18"/>
          <w:szCs w:val="18"/>
          <w:color w:val="auto"/>
        </w:rPr>
        <w:t>GOVERNING LAW. THE INDENTURE, THE NOTES AND THE NOTE GUARANTEES SHALL BE GOVERNED BY AND CONSTRUED IN ACCORDANCE WITH THE LAWS OF THE STATE OF NEW YORK.</w:t>
      </w:r>
    </w:p>
    <w:p>
      <w:pPr>
        <w:spacing w:after="0" w:line="170" w:lineRule="exact"/>
        <w:rPr>
          <w:rFonts w:ascii="Arial" w:cs="Arial" w:eastAsia="Arial" w:hAnsi="Arial"/>
          <w:sz w:val="18"/>
          <w:szCs w:val="18"/>
          <w:color w:val="auto"/>
        </w:rPr>
      </w:pPr>
    </w:p>
    <w:p>
      <w:pPr>
        <w:ind w:right="200" w:firstLine="656"/>
        <w:spacing w:after="0" w:line="259" w:lineRule="auto"/>
        <w:tabs>
          <w:tab w:leader="none" w:pos="131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3" w:name="page224"/>
    <w:bookmarkEnd w:id="223"/>
    <w:p>
      <w:pPr>
        <w:ind w:left="1300"/>
        <w:spacing w:after="0"/>
        <w:rPr>
          <w:sz w:val="20"/>
          <w:szCs w:val="20"/>
          <w:color w:val="auto"/>
        </w:rPr>
      </w:pPr>
      <w:r>
        <w:rPr>
          <w:rFonts w:ascii="Arial" w:cs="Arial" w:eastAsia="Arial" w:hAnsi="Arial"/>
          <w:sz w:val="16"/>
          <w:szCs w:val="16"/>
          <w:color w:val="auto"/>
        </w:rPr>
        <w:t>The Issuer will furnish to any Holder upon written request and without charge a copy of the Indenture. Requests may be made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 at the following address: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10011</w:t>
      </w:r>
    </w:p>
    <w:p>
      <w:pPr>
        <w:spacing w:after="0" w:line="211" w:lineRule="exact"/>
        <w:rPr>
          <w:sz w:val="20"/>
          <w:szCs w:val="20"/>
          <w:color w:val="auto"/>
        </w:rPr>
      </w:pPr>
    </w:p>
    <w:p>
      <w:pPr>
        <w:ind w:firstLine="656"/>
        <w:spacing w:after="0" w:line="291" w:lineRule="auto"/>
        <w:tabs>
          <w:tab w:leader="none" w:pos="131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SECURITY. The Notes and the Note Guarantees will be secured by the Collateral on the terms and subject to the conditions set forth in the Indenture and the Security Documents. The Trustee and the Notes Collateral Agent, as the case may be, will hold the Collateral in trust for the benefit of the Holders of the Notes, in each case pursuant to the Security Documents and any Intercreditor Agreements. Each Holder, by accepting this Note, consents and agrees to the terms of the Security Documents (including the provisions providing for the foreclosure and release of Collateral) and any Intercreditor Agreements as the same may be in effect or may be amended from time to time in accordance with their terms and the Indenture and authorizes and directs the Notes Collateral Agent to enter into the Security Documents and any Intercreditor Agreements on the Issue Date and at any time after Issue Date, as applicable, and to perform its obligations and exercise its rights thereunder in accordance therewith.</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224" w:name="page225"/>
    <w:bookmarkEnd w:id="224"/>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(Insert assignee’s legal name)</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6017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Issuer. The agent may substitute another to act for him.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__________________________________________________</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w:t>
      </w:r>
    </w:p>
    <w:p>
      <w:pPr>
        <w:spacing w:after="0" w:line="225" w:lineRule="exact"/>
        <w:rPr>
          <w:sz w:val="20"/>
          <w:szCs w:val="20"/>
          <w:color w:val="auto"/>
        </w:rPr>
      </w:pPr>
    </w:p>
    <w:p>
      <w:pPr>
        <w:ind w:left="5460" w:right="799" w:hanging="5452"/>
        <w:spacing w:after="0" w:line="762" w:lineRule="auto"/>
        <w:tabs>
          <w:tab w:leader="none" w:pos="41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25" w:name="page226"/>
    <w:bookmarkEnd w:id="225"/>
    <w:p>
      <w:pPr>
        <w:jc w:val="center"/>
        <w:ind w:right="-3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If you want to elect to have this Note purchased by the Issuer pursuant to Section 4.10 or 4.14 of the Indenture, check the appropriate box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4080"/>
        <w:spacing w:after="0"/>
        <w:tabs>
          <w:tab w:leader="none" w:pos="5940" w:val="left"/>
        </w:tabs>
        <w:rPr>
          <w:sz w:val="20"/>
          <w:szCs w:val="20"/>
          <w:color w:val="auto"/>
        </w:rPr>
      </w:pPr>
      <w:r>
        <w:rPr>
          <w:rFonts w:ascii="Arial" w:cs="Arial" w:eastAsia="Arial" w:hAnsi="Arial"/>
          <w:sz w:val="18"/>
          <w:szCs w:val="18"/>
          <w:color w:val="auto"/>
        </w:rPr>
        <w:t>[  ] Section 4.10</w:t>
      </w:r>
      <w:r>
        <w:rPr>
          <w:sz w:val="20"/>
          <w:szCs w:val="20"/>
          <w:color w:val="auto"/>
        </w:rPr>
        <w:tab/>
      </w:r>
      <w:r>
        <w:rPr>
          <w:rFonts w:ascii="Arial" w:cs="Arial" w:eastAsia="Arial" w:hAnsi="Arial"/>
          <w:sz w:val="17"/>
          <w:szCs w:val="17"/>
          <w:color w:val="auto"/>
        </w:rPr>
        <w:t>[  ] Section 4.14</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If you want to elect to have only part of this Note purchased by the Issuer pursuant to Section 4.10 or Section 4.14 of the Indenture, state the amount you elect to have purchased: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__________________________________________________</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Tax Identification No.: __________________________________________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__________________________________</w:t>
      </w:r>
    </w:p>
    <w:p>
      <w:pPr>
        <w:spacing w:after="0" w:line="225" w:lineRule="exact"/>
        <w:rPr>
          <w:sz w:val="20"/>
          <w:szCs w:val="20"/>
          <w:color w:val="auto"/>
        </w:rPr>
      </w:pPr>
    </w:p>
    <w:p>
      <w:pPr>
        <w:ind w:left="5460" w:right="1860" w:hanging="5452"/>
        <w:spacing w:after="0" w:line="762" w:lineRule="auto"/>
        <w:tabs>
          <w:tab w:leader="none" w:pos="41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initial outstanding principal amount of this Global Note is $__________. The following exchanges of a part of this Global Note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interest in another Global Note or for a Definitive Note, or exchanges of a part of another Global or Definitive Note for an interest in this Global Note,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have been made: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03"/>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Amount of increase</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Amount of</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Signature of</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Principal</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this Global Note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authorized signatory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ind w:left="340"/>
              <w:spacing w:after="0"/>
              <w:rPr>
                <w:sz w:val="20"/>
                <w:szCs w:val="20"/>
                <w:color w:val="auto"/>
              </w:rPr>
            </w:pPr>
            <w:r>
              <w:rPr>
                <w:rFonts w:ascii="Arial" w:cs="Arial" w:eastAsia="Arial" w:hAnsi="Arial"/>
                <w:sz w:val="18"/>
                <w:szCs w:val="18"/>
                <w:color w:val="auto"/>
              </w:rPr>
              <w:t>Amount of decrease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Amount of this</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following such</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of Trustee or</w:t>
            </w:r>
          </w:p>
        </w:tc>
      </w:tr>
      <w:tr>
        <w:trPr>
          <w:trHeight w:val="244"/>
        </w:trPr>
        <w:tc>
          <w:tcPr>
            <w:tcW w:w="22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1"/>
                <w:szCs w:val="21"/>
                <w:color w:val="auto"/>
              </w:rPr>
            </w:pPr>
          </w:p>
        </w:tc>
        <w:tc>
          <w:tcPr>
            <w:tcW w:w="21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 Principal Amount</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Global Note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decrease or increase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Note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14230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left="5420" w:right="5460" w:hanging="5412"/>
        <w:spacing w:after="0" w:line="905" w:lineRule="auto"/>
        <w:tabs>
          <w:tab w:leader="none" w:pos="41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This schedule should be included only if the Note is issued in global form.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6.750% Senior Secured Notes due 2025</w:t>
      </w:r>
    </w:p>
    <w:p>
      <w:pPr>
        <w:spacing w:after="0" w:line="225"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Reference is hereby made to the Indenture, dated as of September 2, 2020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Capitalized terms used but not defined herein shall have the meanings given to them in the Indenture.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xml:space="preserve">”) owns and proposes to transfer the Note[s] or interest in such Note[s] specified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principal amount of $___________ in such Note[s] or interests (the “</w:t>
      </w:r>
      <w:r>
        <w:rPr>
          <w:rFonts w:ascii="Arial" w:cs="Arial" w:eastAsia="Arial" w:hAnsi="Arial"/>
          <w:sz w:val="17"/>
          <w:szCs w:val="17"/>
          <w:u w:val="single" w:color="auto"/>
          <w:color w:val="auto"/>
        </w:rPr>
        <w:t>Transfer</w:t>
      </w:r>
      <w:r>
        <w:rPr>
          <w:rFonts w:ascii="Arial" w:cs="Arial" w:eastAsia="Arial" w:hAnsi="Arial"/>
          <w:sz w:val="17"/>
          <w:szCs w:val="17"/>
          <w:color w:val="auto"/>
        </w:rPr>
        <w:t>”), to _______________ (the “</w:t>
      </w:r>
      <w:r>
        <w:rPr>
          <w:rFonts w:ascii="Arial" w:cs="Arial" w:eastAsia="Arial" w:hAnsi="Arial"/>
          <w:sz w:val="17"/>
          <w:szCs w:val="17"/>
          <w:u w:val="single" w:color="auto"/>
          <w:color w:val="auto"/>
        </w:rPr>
        <w:t>Transferee</w:t>
      </w:r>
      <w:r>
        <w:rPr>
          <w:rFonts w:ascii="Arial" w:cs="Arial" w:eastAsia="Arial" w:hAnsi="Arial"/>
          <w:sz w:val="17"/>
          <w:szCs w:val="17"/>
          <w:color w:val="auto"/>
        </w:rPr>
        <w:t>”), as further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100" w:firstLine="656"/>
        <w:spacing w:after="0" w:line="272" w:lineRule="auto"/>
        <w:tabs>
          <w:tab w:leader="none" w:pos="1349"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 CHECK IF TRANSFEREE WILL TAKE DELIVERY OF A BENEFICIAL INTEREST IN A 144A GLOBAL NOTE OR A DEFINITIVE NOTE PURSUANT TO RULE 144A. The Transfer is being effected pursuant to and in accordance with Rule 144A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spacing w:after="0" w:line="177" w:lineRule="exact"/>
        <w:rPr>
          <w:rFonts w:ascii="Arial" w:cs="Arial" w:eastAsia="Arial" w:hAnsi="Arial"/>
          <w:sz w:val="17"/>
          <w:szCs w:val="17"/>
          <w:color w:val="auto"/>
        </w:rPr>
      </w:pPr>
    </w:p>
    <w:p>
      <w:pPr>
        <w:ind w:right="40" w:firstLine="656"/>
        <w:spacing w:after="0" w:line="287" w:lineRule="auto"/>
        <w:tabs>
          <w:tab w:leader="none" w:pos="134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 CHECK IF TRANSFEREE WILL TAKE DELIVERY OF A BENEFICIAL INTEREST IN A REGULATION S GLOBAL NOTE OR A DEFINITIVE NOTE PURSUANT TO REGULATION S. The Transfer is being effected pursuant to and in accordance with Rule 903 or Rule 904 of Regulation S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 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8" w:name="page229"/>
    <w:bookmarkEnd w:id="228"/>
    <w:p>
      <w:pPr>
        <w:ind w:firstLine="656"/>
        <w:spacing w:after="0" w:line="257" w:lineRule="auto"/>
        <w:tabs>
          <w:tab w:leader="none" w:pos="134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 CHECK AND COMPLETE IF TRANSFEREE WILL TAKE DELIVERY OF A BENEFICIAL INTEREST IN A DEFINITIVE NOTE PURSUANT TO ANY PROVISION OF THE SECURITIES ACT OTHER THAN RULE 144A OR REGULATION S WHICH PROVISION MAY NOT BE RULE 144.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88" w:lineRule="exact"/>
        <w:rPr>
          <w:sz w:val="20"/>
          <w:szCs w:val="20"/>
          <w:color w:val="auto"/>
        </w:rPr>
      </w:pPr>
    </w:p>
    <w:p>
      <w:pPr>
        <w:ind w:left="1300" w:hanging="644"/>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such Transfer is being effected to the Issuer or a subsidiary thereof;</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rFonts w:ascii="Arial" w:cs="Arial" w:eastAsia="Arial" w:hAnsi="Arial"/>
          <w:sz w:val="18"/>
          <w:szCs w:val="18"/>
          <w:color w:val="auto"/>
        </w:rPr>
      </w:pPr>
    </w:p>
    <w:p>
      <w:pPr>
        <w:ind w:left="1300" w:right="820" w:hanging="644"/>
        <w:spacing w:after="0" w:line="277" w:lineRule="auto"/>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such Transfer is being effected pursuant to an effective registration statement under the Securities Act and, if applicable, in compliance with the prospectus delivery requirements of the Securities Act.</w:t>
      </w:r>
    </w:p>
    <w:p>
      <w:pPr>
        <w:spacing w:after="0" w:line="170" w:lineRule="exact"/>
        <w:rPr>
          <w:sz w:val="20"/>
          <w:szCs w:val="20"/>
          <w:color w:val="auto"/>
        </w:rPr>
      </w:pPr>
    </w:p>
    <w:p>
      <w:pPr>
        <w:ind w:firstLine="656"/>
        <w:spacing w:after="0" w:line="277" w:lineRule="auto"/>
        <w:tabs>
          <w:tab w:leader="none" w:pos="134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AN UNRESTRICTED GLOBAL NOTE OR OF AN UNRESTRICTED DEFINITIVE NOTE.</w:t>
      </w:r>
    </w:p>
    <w:p>
      <w:pPr>
        <w:spacing w:after="0" w:line="170" w:lineRule="exact"/>
        <w:rPr>
          <w:sz w:val="20"/>
          <w:szCs w:val="20"/>
          <w:color w:val="auto"/>
        </w:rPr>
      </w:pPr>
    </w:p>
    <w:p>
      <w:pPr>
        <w:ind w:left="1300" w:right="40" w:hanging="644"/>
        <w:spacing w:after="0" w:line="254" w:lineRule="auto"/>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 CHECK IF TRANSFER IS PURSUANT TO REGULATION S. (i) The Transfer is being effected pursuant to and in accordance with Rule 903 or Rule 904 of Regulation S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9" w:name="page230"/>
    <w:bookmarkEnd w:id="229"/>
    <w:p>
      <w:pPr>
        <w:ind w:left="644" w:hanging="644"/>
        <w:spacing w:after="0" w:line="291" w:lineRule="auto"/>
        <w:tabs>
          <w:tab w:leader="none" w:pos="644"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69"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41" w:right="359" w:bottom="1440" w:gutter="0" w:footer="0" w:header="0"/>
        </w:sectPr>
      </w:pPr>
    </w:p>
    <w:bookmarkStart w:id="230" w:name="page231"/>
    <w:bookmarkEnd w:id="230"/>
    <w:p>
      <w:pPr>
        <w:jc w:val="center"/>
        <w:ind w:right="-12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00" w:lineRule="exact"/>
        <w:rPr>
          <w:sz w:val="20"/>
          <w:szCs w:val="20"/>
          <w:color w:val="auto"/>
        </w:rPr>
      </w:pPr>
    </w:p>
    <w:p>
      <w:pPr>
        <w:spacing w:after="0" w:line="22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704" w:hanging="704"/>
        <w:spacing w:after="0"/>
        <w:tabs>
          <w:tab w:leader="none" w:pos="70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3864"/>
        <w:spacing w:after="0"/>
        <w:rPr>
          <w:sz w:val="20"/>
          <w:szCs w:val="20"/>
          <w:color w:val="auto"/>
        </w:rPr>
      </w:pPr>
      <w:r>
        <w:rPr>
          <w:rFonts w:ascii="Arial" w:cs="Arial" w:eastAsia="Arial" w:hAnsi="Arial"/>
          <w:sz w:val="18"/>
          <w:szCs w:val="18"/>
          <w:color w:val="auto"/>
        </w:rPr>
        <w:t>[CHECK ONE OF (a) OR (b)]</w:t>
      </w:r>
    </w:p>
    <w:p>
      <w:pPr>
        <w:spacing w:after="0" w:line="225" w:lineRule="exact"/>
        <w:rPr>
          <w:sz w:val="20"/>
          <w:szCs w:val="20"/>
          <w:color w:val="auto"/>
        </w:rPr>
      </w:pPr>
    </w:p>
    <w:p>
      <w:pPr>
        <w:ind w:left="644" w:hanging="644"/>
        <w:spacing w:after="0"/>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 144A Global Note (CUSIP 98919V AA3),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 Regulation S Global Note (CUSIP U98831 AA5), or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 a Restricted Definitive Note.</w:t>
      </w:r>
    </w:p>
    <w:p>
      <w:pPr>
        <w:spacing w:after="0" w:line="225" w:lineRule="exact"/>
        <w:rPr>
          <w:sz w:val="20"/>
          <w:szCs w:val="20"/>
          <w:color w:val="auto"/>
        </w:rPr>
      </w:pPr>
    </w:p>
    <w:p>
      <w:pPr>
        <w:ind w:left="704" w:hanging="704"/>
        <w:spacing w:after="0"/>
        <w:tabs>
          <w:tab w:leader="none" w:pos="70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404"/>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644" w:hanging="644"/>
        <w:spacing w:after="0"/>
        <w:tabs>
          <w:tab w:leader="none" w:pos="64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 144A Global Note (CUSIP 98919V AA3),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 Regulation S Global Note (CUSIP U98831 AA5), or</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 Unrestricted Global Note (CUSIP [ ]); or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 a Restricted Definitive Note; or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 an Unrestricted Definitive Note,</w:t>
      </w:r>
    </w:p>
    <w:p>
      <w:pPr>
        <w:spacing w:after="0" w:line="23"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in accordance with the terms of the Indenture.</w:t>
      </w:r>
    </w:p>
    <w:p>
      <w:pPr>
        <w:spacing w:after="0" w:line="200" w:lineRule="exact"/>
        <w:rPr>
          <w:sz w:val="20"/>
          <w:szCs w:val="20"/>
          <w:color w:val="auto"/>
        </w:rPr>
      </w:pPr>
    </w:p>
    <w:p>
      <w:pPr>
        <w:spacing w:after="0" w:line="213"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Cameron D. MacDougall,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(651) 466-7430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6.750% Senior Secured Notes due 2025</w:t>
      </w:r>
    </w:p>
    <w:p>
      <w:pPr>
        <w:spacing w:after="0" w:line="225"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Reference is hereby made to the Indenture, dated as of September 2, 2020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Guarantors from time to time parties thereto, the Trustee and the Notes Collateral Agent. Capitalized terms used but not defined herein shall have the meanings given to them in the Indenture.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___________ (the “</w:t>
      </w:r>
      <w:r>
        <w:rPr>
          <w:rFonts w:ascii="Arial" w:cs="Arial" w:eastAsia="Arial" w:hAnsi="Arial"/>
          <w:sz w:val="17"/>
          <w:szCs w:val="17"/>
          <w:u w:val="single" w:color="auto"/>
          <w:color w:val="auto"/>
        </w:rPr>
        <w:t>Owner</w:t>
      </w:r>
      <w:r>
        <w:rPr>
          <w:rFonts w:ascii="Arial" w:cs="Arial" w:eastAsia="Arial" w:hAnsi="Arial"/>
          <w:sz w:val="17"/>
          <w:szCs w:val="17"/>
          <w:color w:val="auto"/>
        </w:rPr>
        <w:t>”) owns and proposes to exchange the Note[s] or interest in such Note[s] specified herein, in the 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 of $__________ in such Note[s] or interests (the “</w:t>
      </w:r>
      <w:r>
        <w:rPr>
          <w:rFonts w:ascii="Arial" w:cs="Arial" w:eastAsia="Arial" w:hAnsi="Arial"/>
          <w:sz w:val="18"/>
          <w:szCs w:val="18"/>
          <w:u w:val="single" w:color="auto"/>
          <w:color w:val="auto"/>
        </w:rPr>
        <w:t>Exchange</w:t>
      </w:r>
      <w:r>
        <w:rPr>
          <w:rFonts w:ascii="Arial" w:cs="Arial" w:eastAsia="Arial" w:hAnsi="Arial"/>
          <w:sz w:val="18"/>
          <w:szCs w:val="18"/>
          <w:color w:val="auto"/>
        </w:rPr>
        <w:t>”). In connection with the Exchange, the Owner hereby certifies that:</w:t>
      </w:r>
    </w:p>
    <w:p>
      <w:pPr>
        <w:spacing w:after="0" w:line="211" w:lineRule="exact"/>
        <w:rPr>
          <w:sz w:val="20"/>
          <w:szCs w:val="20"/>
          <w:color w:val="auto"/>
        </w:rPr>
      </w:pPr>
    </w:p>
    <w:p>
      <w:pPr>
        <w:ind w:right="160" w:firstLine="656"/>
        <w:spacing w:after="0" w:line="277" w:lineRule="auto"/>
        <w:tabs>
          <w:tab w:leader="none" w:pos="138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A RESTRICTED GLOBAL NOTE FOR UNRESTRICTED DEFINITIVE NOTES OR BENEFICIAL INTERESTS IN AN UNRESTRICTED GLOBAL NOTE</w:t>
      </w:r>
    </w:p>
    <w:p>
      <w:pPr>
        <w:spacing w:after="0" w:line="170" w:lineRule="exact"/>
        <w:rPr>
          <w:rFonts w:ascii="Arial" w:cs="Arial" w:eastAsia="Arial" w:hAnsi="Arial"/>
          <w:sz w:val="18"/>
          <w:szCs w:val="18"/>
          <w:color w:val="auto"/>
        </w:rPr>
      </w:pPr>
    </w:p>
    <w:p>
      <w:pPr>
        <w:ind w:left="660" w:right="220" w:firstLine="644"/>
        <w:spacing w:after="0" w:line="271" w:lineRule="auto"/>
        <w:tabs>
          <w:tab w:leader="none" w:pos="1763" w:val="left"/>
        </w:tabs>
        <w:numPr>
          <w:ilvl w:val="1"/>
          <w:numId w:val="316"/>
        </w:numPr>
        <w:rPr>
          <w:rFonts w:ascii="Arial" w:cs="Arial" w:eastAsia="Arial" w:hAnsi="Arial"/>
          <w:sz w:val="17"/>
          <w:szCs w:val="17"/>
          <w:color w:val="auto"/>
        </w:rPr>
      </w:pPr>
      <w:r>
        <w:rPr>
          <w:rFonts w:ascii="Arial" w:cs="Arial" w:eastAsia="Arial" w:hAnsi="Arial"/>
          <w:sz w:val="17"/>
          <w:szCs w:val="17"/>
          <w:color w:val="auto"/>
        </w:rPr>
        <w:t>[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8" w:lineRule="exact"/>
        <w:rPr>
          <w:rFonts w:ascii="Arial" w:cs="Arial" w:eastAsia="Arial" w:hAnsi="Arial"/>
          <w:sz w:val="17"/>
          <w:szCs w:val="17"/>
          <w:color w:val="auto"/>
        </w:rPr>
      </w:pPr>
    </w:p>
    <w:p>
      <w:pPr>
        <w:ind w:left="660" w:right="100" w:firstLine="644"/>
        <w:spacing w:after="0" w:line="254" w:lineRule="auto"/>
        <w:tabs>
          <w:tab w:leader="none" w:pos="177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3" w:name="page234"/>
    <w:bookmarkEnd w:id="233"/>
    <w:p>
      <w:pPr>
        <w:ind w:left="660" w:right="40" w:firstLine="644"/>
        <w:spacing w:after="0" w:line="254" w:lineRule="auto"/>
        <w:tabs>
          <w:tab w:leader="none" w:pos="1763"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94" w:lineRule="exact"/>
        <w:rPr>
          <w:rFonts w:ascii="Arial" w:cs="Arial" w:eastAsia="Arial" w:hAnsi="Arial"/>
          <w:sz w:val="18"/>
          <w:szCs w:val="18"/>
          <w:color w:val="auto"/>
        </w:rPr>
      </w:pPr>
    </w:p>
    <w:p>
      <w:pPr>
        <w:ind w:left="660" w:right="140" w:firstLine="644"/>
        <w:spacing w:after="0" w:line="254" w:lineRule="auto"/>
        <w:tabs>
          <w:tab w:leader="none" w:pos="1773" w:val="left"/>
        </w:tabs>
        <w:numPr>
          <w:ilvl w:val="1"/>
          <w:numId w:val="317"/>
        </w:numPr>
        <w:rPr>
          <w:rFonts w:ascii="Arial" w:cs="Arial" w:eastAsia="Arial" w:hAnsi="Arial"/>
          <w:sz w:val="18"/>
          <w:szCs w:val="18"/>
          <w:color w:val="auto"/>
        </w:rPr>
      </w:pPr>
      <w:r>
        <w:rPr>
          <w:rFonts w:ascii="Arial" w:cs="Arial" w:eastAsia="Arial" w:hAnsi="Arial"/>
          <w:sz w:val="18"/>
          <w:szCs w:val="18"/>
          <w:color w:val="auto"/>
        </w:rPr>
        <w:t>[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4" w:lineRule="exact"/>
        <w:rPr>
          <w:rFonts w:ascii="Arial" w:cs="Arial" w:eastAsia="Arial" w:hAnsi="Arial"/>
          <w:sz w:val="18"/>
          <w:szCs w:val="18"/>
          <w:color w:val="auto"/>
        </w:rPr>
      </w:pPr>
    </w:p>
    <w:p>
      <w:pPr>
        <w:ind w:right="280" w:firstLine="656"/>
        <w:spacing w:after="0" w:line="277" w:lineRule="auto"/>
        <w:tabs>
          <w:tab w:leader="none" w:pos="133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EXCHANGE OF RESTRICTED DEFINITIVE NOTES OR BENEFICIAL INTERESTS IN RESTRICTED GLOBAL NOTES FOR RESTRICTED DEFINITIVE NOTES OR BENEFICIAL INTERESTS IN RESTRICTED GLOBAL NOTES</w:t>
      </w:r>
    </w:p>
    <w:p>
      <w:pPr>
        <w:spacing w:after="0" w:line="170" w:lineRule="exact"/>
        <w:rPr>
          <w:rFonts w:ascii="Arial" w:cs="Arial" w:eastAsia="Arial" w:hAnsi="Arial"/>
          <w:sz w:val="18"/>
          <w:szCs w:val="18"/>
          <w:color w:val="auto"/>
        </w:rPr>
      </w:pPr>
    </w:p>
    <w:p>
      <w:pPr>
        <w:ind w:left="660" w:firstLine="644"/>
        <w:spacing w:after="0" w:line="255" w:lineRule="auto"/>
        <w:tabs>
          <w:tab w:leader="none" w:pos="1763" w:val="left"/>
        </w:tabs>
        <w:numPr>
          <w:ilvl w:val="1"/>
          <w:numId w:val="318"/>
        </w:numPr>
        <w:rPr>
          <w:rFonts w:ascii="Arial" w:cs="Arial" w:eastAsia="Arial" w:hAnsi="Arial"/>
          <w:sz w:val="18"/>
          <w:szCs w:val="18"/>
          <w:color w:val="auto"/>
        </w:rPr>
      </w:pPr>
      <w:r>
        <w:rPr>
          <w:rFonts w:ascii="Arial" w:cs="Arial" w:eastAsia="Arial" w:hAnsi="Arial"/>
          <w:sz w:val="18"/>
          <w:szCs w:val="18"/>
          <w:color w:val="auto"/>
        </w:rPr>
        <w:t>[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4" w:name="page235"/>
    <w:bookmarkEnd w:id="234"/>
    <w:p>
      <w:pPr>
        <w:ind w:left="660" w:firstLine="644"/>
        <w:spacing w:after="0" w:line="271" w:lineRule="auto"/>
        <w:tabs>
          <w:tab w:leader="none" w:pos="177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 ] CHECK IF EXCHANGE IS FROM RESTRICTED DEFINITIVE NOTE TO BENEFICIAL INTEREST IN A RESTRICTED GLOBAL NOTE. In connection with the Exchange of the Owner’s Restricted Definitive Note for a beneficial interest in the [CHECK ONE] [ ] 144A Global </w:t>
      </w:r>
      <w:r>
        <w:rPr>
          <w:rFonts w:ascii="Arial" w:cs="Arial" w:eastAsia="Arial" w:hAnsi="Arial"/>
          <w:sz w:val="17"/>
          <w:szCs w:val="17"/>
          <w:u w:val="single" w:color="auto"/>
          <w:color w:val="auto"/>
        </w:rPr>
        <w:t>Note [ ]</w:t>
      </w:r>
      <w:r>
        <w:rPr>
          <w:rFonts w:ascii="Arial" w:cs="Arial" w:eastAsia="Arial" w:hAnsi="Arial"/>
          <w:sz w:val="17"/>
          <w:szCs w:val="17"/>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Issuer.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Supplemental Indenture (this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dated as of [__________], by [__________________] (the “</w:t>
      </w:r>
      <w:r>
        <w:rPr>
          <w:rFonts w:ascii="Arial" w:cs="Arial" w:eastAsia="Arial" w:hAnsi="Arial"/>
          <w:sz w:val="17"/>
          <w:szCs w:val="17"/>
          <w:u w:val="single" w:color="auto"/>
          <w:color w:val="auto"/>
        </w:rPr>
        <w:t>Guaranteeing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 subsidiary of the Issuer, and U.S.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WHEREAS, the Issuer, the Guarantors party thereto, the Trustee and the Notes Collateral Agent have heretofore executed and delivered an indenture, dated as of September 2, 2020 (as amended, supplemented, waived or otherwise modified,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 the issuance of 6.750% Senior Secured Notes due 2025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4"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Arial" w:cs="Arial" w:eastAsia="Arial" w:hAnsi="Arial"/>
          <w:sz w:val="18"/>
          <w:szCs w:val="18"/>
          <w:u w:val="single" w:color="auto"/>
          <w:color w:val="auto"/>
        </w:rPr>
        <w:t>Note Guarantee</w:t>
      </w:r>
      <w:r>
        <w:rPr>
          <w:rFonts w:ascii="Arial" w:cs="Arial" w:eastAsia="Arial" w:hAnsi="Arial"/>
          <w:sz w:val="18"/>
          <w:szCs w:val="18"/>
          <w:color w:val="auto"/>
        </w:rPr>
        <w:t>”);</w:t>
      </w:r>
    </w:p>
    <w:p>
      <w:pPr>
        <w:spacing w:after="0" w:line="184"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to amend or supplement the Indenture without the consent of any Holder; and</w:t>
      </w:r>
    </w:p>
    <w:p>
      <w:pPr>
        <w:spacing w:after="0" w:line="170"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70" w:lineRule="exact"/>
        <w:rPr>
          <w:sz w:val="20"/>
          <w:szCs w:val="20"/>
          <w:color w:val="auto"/>
        </w:rPr>
      </w:pPr>
    </w:p>
    <w:p>
      <w:pPr>
        <w:ind w:left="1820" w:hanging="516"/>
        <w:spacing w:after="0"/>
        <w:tabs>
          <w:tab w:leader="none" w:pos="182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such terms in the Indenture.</w:t>
      </w:r>
    </w:p>
    <w:p>
      <w:pPr>
        <w:spacing w:after="0" w:line="248" w:lineRule="exact"/>
        <w:rPr>
          <w:rFonts w:ascii="Arial" w:cs="Arial" w:eastAsia="Arial" w:hAnsi="Arial"/>
          <w:sz w:val="16"/>
          <w:szCs w:val="16"/>
          <w:color w:val="auto"/>
        </w:rPr>
      </w:pPr>
    </w:p>
    <w:p>
      <w:pPr>
        <w:ind w:right="240" w:firstLine="1304"/>
        <w:spacing w:after="0" w:line="277" w:lineRule="auto"/>
        <w:tabs>
          <w:tab w:leader="none" w:pos="182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Guaranteeing Subsidiary hereby agrees to provide an unconditional Note Guarantee on the terms and subject to the conditions set forth in the Indenture, including Article 10 thereof.</w:t>
      </w:r>
    </w:p>
    <w:p>
      <w:pPr>
        <w:spacing w:after="0" w:line="170" w:lineRule="exact"/>
        <w:rPr>
          <w:rFonts w:ascii="Arial" w:cs="Arial" w:eastAsia="Arial" w:hAnsi="Arial"/>
          <w:sz w:val="18"/>
          <w:szCs w:val="18"/>
          <w:color w:val="auto"/>
        </w:rPr>
      </w:pPr>
    </w:p>
    <w:p>
      <w:pPr>
        <w:ind w:right="660" w:firstLine="1304"/>
        <w:spacing w:after="0" w:line="277" w:lineRule="auto"/>
        <w:tabs>
          <w:tab w:leader="none" w:pos="182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Guaranteeing Subsidiary agrees that the Note Guarantee shall remain in full force and effect notwithstanding the absence of the endorsement of any notation of such Note Guarantee on the Notes.</w:t>
      </w:r>
    </w:p>
    <w:p>
      <w:pPr>
        <w:spacing w:after="0" w:line="170" w:lineRule="exact"/>
        <w:rPr>
          <w:rFonts w:ascii="Arial" w:cs="Arial" w:eastAsia="Arial" w:hAnsi="Arial"/>
          <w:sz w:val="18"/>
          <w:szCs w:val="18"/>
          <w:color w:val="auto"/>
        </w:rPr>
      </w:pPr>
    </w:p>
    <w:p>
      <w:pPr>
        <w:ind w:right="100" w:firstLine="1304"/>
        <w:spacing w:after="0" w:line="277" w:lineRule="auto"/>
        <w:tabs>
          <w:tab w:leader="none" w:pos="182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WILL BE GOVERNED BY AND CONSTRUED IN ACCORDANCE WITH THE LAWS OF THE STATE OF NEW YORK.</w:t>
      </w:r>
    </w:p>
    <w:p>
      <w:pPr>
        <w:spacing w:after="0" w:line="170" w:lineRule="exact"/>
        <w:rPr>
          <w:rFonts w:ascii="Arial" w:cs="Arial" w:eastAsia="Arial" w:hAnsi="Arial"/>
          <w:sz w:val="18"/>
          <w:szCs w:val="18"/>
          <w:color w:val="auto"/>
        </w:rPr>
      </w:pPr>
    </w:p>
    <w:p>
      <w:pPr>
        <w:ind w:right="100" w:firstLine="1304"/>
        <w:spacing w:after="0" w:line="257" w:lineRule="auto"/>
        <w:tabs>
          <w:tab w:leader="none" w:pos="182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6" w:name="page237"/>
    <w:bookmarkEnd w:id="236"/>
    <w:p>
      <w:pPr>
        <w:ind w:left="1780" w:hanging="516"/>
        <w:spacing w:after="0"/>
        <w:tabs>
          <w:tab w:leader="none" w:pos="178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Effect of Headings</w:t>
      </w:r>
      <w:r>
        <w:rPr>
          <w:rFonts w:ascii="Arial" w:cs="Arial" w:eastAsia="Arial" w:hAnsi="Arial"/>
          <w:sz w:val="17"/>
          <w:szCs w:val="17"/>
          <w:color w:val="auto"/>
        </w:rPr>
        <w:t>.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left="-40" w:firstLine="1304"/>
        <w:spacing w:after="0" w:line="311" w:lineRule="auto"/>
        <w:tabs>
          <w:tab w:leader="none" w:pos="1781"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spacing w:after="0" w:line="148" w:lineRule="exact"/>
        <w:rPr>
          <w:rFonts w:ascii="Arial" w:cs="Arial" w:eastAsia="Arial" w:hAnsi="Arial"/>
          <w:sz w:val="16"/>
          <w:szCs w:val="16"/>
          <w:color w:val="auto"/>
        </w:rPr>
      </w:pPr>
    </w:p>
    <w:p>
      <w:pPr>
        <w:ind w:left="-40" w:right="360" w:firstLine="1304"/>
        <w:spacing w:after="0" w:line="263" w:lineRule="auto"/>
        <w:tabs>
          <w:tab w:leader="none" w:pos="1781"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60" w:top="341" w:right="4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all as of the date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[GUARANTEEING SUBSIDIARY]</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4.2</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PLEDGE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PLEDGE AND SECURITY AGREEMENT (as it may be amended, restated, amended and restated, supplemented or otherwise modified from time to time, this “</w:t>
      </w:r>
      <w:r>
        <w:rPr>
          <w:rFonts w:ascii="Arial" w:cs="Arial" w:eastAsia="Arial" w:hAnsi="Arial"/>
          <w:sz w:val="18"/>
          <w:szCs w:val="18"/>
          <w:u w:val="single" w:color="auto"/>
          <w:color w:val="auto"/>
        </w:rPr>
        <w:t>Security Agreement</w:t>
      </w:r>
      <w:r>
        <w:rPr>
          <w:rFonts w:ascii="Arial" w:cs="Arial" w:eastAsia="Arial" w:hAnsi="Arial"/>
          <w:sz w:val="18"/>
          <w:szCs w:val="18"/>
          <w:color w:val="auto"/>
        </w:rPr>
        <w:t>”) is entered into as of September 2, 2020, by and among the Grantors (as defined below) and U.S. Bank National Association (“</w:t>
      </w:r>
      <w:r>
        <w:rPr>
          <w:rFonts w:ascii="Arial" w:cs="Arial" w:eastAsia="Arial" w:hAnsi="Arial"/>
          <w:sz w:val="18"/>
          <w:szCs w:val="18"/>
          <w:u w:val="single" w:color="auto"/>
          <w:color w:val="auto"/>
        </w:rPr>
        <w:t>U.S. Bank</w:t>
      </w:r>
      <w:r>
        <w:rPr>
          <w:rFonts w:ascii="Arial" w:cs="Arial" w:eastAsia="Arial" w:hAnsi="Arial"/>
          <w:sz w:val="18"/>
          <w:szCs w:val="18"/>
          <w:color w:val="auto"/>
        </w:rPr>
        <w:t>”), in its capacity as collateral agent for the Secured Notes Secured Parties (in such capacity, the “</w:t>
      </w:r>
      <w:r>
        <w:rPr>
          <w:rFonts w:ascii="Arial" w:cs="Arial" w:eastAsia="Arial" w:hAnsi="Arial"/>
          <w:sz w:val="18"/>
          <w:szCs w:val="18"/>
          <w:u w:val="single" w:color="auto"/>
          <w:color w:val="auto"/>
        </w:rPr>
        <w:t>Notes 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that certain Indenture dated as of September 2, 2020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guarantors from time to time parties thereto and U.S. Bank, as trustee and Notes Collateral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Grantor will obtain benefits from the transactions contemplated by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Terms Defined in Indenture</w:t>
      </w:r>
      <w:r>
        <w:rPr>
          <w:rFonts w:ascii="Arial" w:cs="Arial" w:eastAsia="Arial" w:hAnsi="Arial"/>
          <w:sz w:val="18"/>
          <w:szCs w:val="18"/>
          <w:color w:val="auto"/>
        </w:rPr>
        <w:t>. All capitalized terms used herein and not otherwise defined shall have the meanings assigned to such terms in the Indenture.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Terms Defined in UCC</w:t>
      </w:r>
      <w:r>
        <w:rPr>
          <w:rFonts w:ascii="Arial" w:cs="Arial" w:eastAsia="Arial" w:hAnsi="Arial"/>
          <w:sz w:val="18"/>
          <w:szCs w:val="18"/>
          <w:color w:val="auto"/>
        </w:rPr>
        <w:t>. Terms defined in the UCC (as defined below) that are not otherwise defined in this Security Agreement or the Indenture are used herein as defined in Articles 8 or 9 of the UCC, as the context may require (including as if such terms were capitalized in Article 8 or 9 of the UCC, as the context may require, the following terms: “</w:t>
      </w:r>
      <w:r>
        <w:rPr>
          <w:rFonts w:ascii="Arial" w:cs="Arial" w:eastAsia="Arial" w:hAnsi="Arial"/>
          <w:sz w:val="18"/>
          <w:szCs w:val="18"/>
          <w:u w:val="single" w:color="auto"/>
          <w:color w:val="auto"/>
        </w:rPr>
        <w:t>Account</w:t>
      </w:r>
      <w:r>
        <w:rPr>
          <w:rFonts w:ascii="Arial" w:cs="Arial" w:eastAsia="Arial" w:hAnsi="Arial"/>
          <w:sz w:val="18"/>
          <w:szCs w:val="18"/>
          <w:color w:val="auto"/>
        </w:rPr>
        <w:t>,” “</w:t>
      </w:r>
      <w:r>
        <w:rPr>
          <w:rFonts w:ascii="Arial" w:cs="Arial" w:eastAsia="Arial" w:hAnsi="Arial"/>
          <w:sz w:val="18"/>
          <w:szCs w:val="18"/>
          <w:u w:val="single" w:color="auto"/>
          <w:color w:val="auto"/>
        </w:rPr>
        <w:t>Account Debtor</w:t>
      </w:r>
      <w:r>
        <w:rPr>
          <w:rFonts w:ascii="Arial" w:cs="Arial" w:eastAsia="Arial" w:hAnsi="Arial"/>
          <w:sz w:val="18"/>
          <w:szCs w:val="18"/>
          <w:color w:val="auto"/>
        </w:rPr>
        <w:t>,” “</w:t>
      </w:r>
      <w:r>
        <w:rPr>
          <w:rFonts w:ascii="Arial" w:cs="Arial" w:eastAsia="Arial" w:hAnsi="Arial"/>
          <w:sz w:val="18"/>
          <w:szCs w:val="18"/>
          <w:u w:val="single" w:color="auto"/>
          <w:color w:val="auto"/>
        </w:rPr>
        <w:t>Chattel Paper</w:t>
      </w:r>
      <w:r>
        <w:rPr>
          <w:rFonts w:ascii="Arial" w:cs="Arial" w:eastAsia="Arial" w:hAnsi="Arial"/>
          <w:sz w:val="18"/>
          <w:szCs w:val="18"/>
          <w:color w:val="auto"/>
        </w:rPr>
        <w:t>,” “</w:t>
      </w:r>
      <w:r>
        <w:rPr>
          <w:rFonts w:ascii="Arial" w:cs="Arial" w:eastAsia="Arial" w:hAnsi="Arial"/>
          <w:sz w:val="18"/>
          <w:szCs w:val="18"/>
          <w:u w:val="single" w:color="auto"/>
          <w:color w:val="auto"/>
        </w:rPr>
        <w:t>Clearing Corporation</w:t>
      </w:r>
      <w:r>
        <w:rPr>
          <w:rFonts w:ascii="Arial" w:cs="Arial" w:eastAsia="Arial" w:hAnsi="Arial"/>
          <w:sz w:val="18"/>
          <w:szCs w:val="18"/>
          <w:color w:val="auto"/>
        </w:rPr>
        <w:t>,” “</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w:t>
      </w:r>
      <w:r>
        <w:rPr>
          <w:rFonts w:ascii="Arial" w:cs="Arial" w:eastAsia="Arial" w:hAnsi="Arial"/>
          <w:sz w:val="18"/>
          <w:szCs w:val="18"/>
          <w:u w:val="single" w:color="auto"/>
          <w:color w:val="auto"/>
        </w:rPr>
        <w:t>Document</w:t>
      </w:r>
      <w:r>
        <w:rPr>
          <w:rFonts w:ascii="Arial" w:cs="Arial" w:eastAsia="Arial" w:hAnsi="Arial"/>
          <w:sz w:val="18"/>
          <w:szCs w:val="18"/>
          <w:color w:val="auto"/>
        </w:rPr>
        <w:t>,” “</w:t>
      </w:r>
      <w:r>
        <w:rPr>
          <w:rFonts w:ascii="Arial" w:cs="Arial" w:eastAsia="Arial" w:hAnsi="Arial"/>
          <w:sz w:val="18"/>
          <w:szCs w:val="18"/>
          <w:u w:val="single" w:color="auto"/>
          <w:color w:val="auto"/>
        </w:rPr>
        <w:t>Electronic Chattel Paper</w:t>
      </w:r>
      <w:r>
        <w:rPr>
          <w:rFonts w:ascii="Arial" w:cs="Arial" w:eastAsia="Arial" w:hAnsi="Arial"/>
          <w:sz w:val="18"/>
          <w:szCs w:val="18"/>
          <w:color w:val="auto"/>
        </w:rPr>
        <w:t>,” “</w:t>
      </w:r>
      <w:r>
        <w:rPr>
          <w:rFonts w:ascii="Arial" w:cs="Arial" w:eastAsia="Arial" w:hAnsi="Arial"/>
          <w:sz w:val="18"/>
          <w:szCs w:val="18"/>
          <w:u w:val="single" w:color="auto"/>
          <w:color w:val="auto"/>
        </w:rPr>
        <w:t>Equipment</w:t>
      </w:r>
      <w:r>
        <w:rPr>
          <w:rFonts w:ascii="Arial" w:cs="Arial" w:eastAsia="Arial" w:hAnsi="Arial"/>
          <w:sz w:val="18"/>
          <w:szCs w:val="18"/>
          <w:color w:val="auto"/>
        </w:rPr>
        <w:t>,” “</w:t>
      </w:r>
      <w:r>
        <w:rPr>
          <w:rFonts w:ascii="Arial" w:cs="Arial" w:eastAsia="Arial" w:hAnsi="Arial"/>
          <w:sz w:val="18"/>
          <w:szCs w:val="18"/>
          <w:u w:val="single" w:color="auto"/>
          <w:color w:val="auto"/>
        </w:rPr>
        <w:t>Fixture</w:t>
      </w:r>
      <w:r>
        <w:rPr>
          <w:rFonts w:ascii="Arial" w:cs="Arial" w:eastAsia="Arial" w:hAnsi="Arial"/>
          <w:sz w:val="18"/>
          <w:szCs w:val="18"/>
          <w:color w:val="auto"/>
        </w:rPr>
        <w:t>,” “</w:t>
      </w:r>
      <w:r>
        <w:rPr>
          <w:rFonts w:ascii="Arial" w:cs="Arial" w:eastAsia="Arial" w:hAnsi="Arial"/>
          <w:sz w:val="18"/>
          <w:szCs w:val="18"/>
          <w:u w:val="single" w:color="auto"/>
          <w:color w:val="auto"/>
        </w:rPr>
        <w:t>General Intangible</w:t>
      </w:r>
      <w:r>
        <w:rPr>
          <w:rFonts w:ascii="Arial" w:cs="Arial" w:eastAsia="Arial" w:hAnsi="Arial"/>
          <w:sz w:val="18"/>
          <w:szCs w:val="18"/>
          <w:color w:val="auto"/>
        </w:rPr>
        <w:t>,” “</w:t>
      </w:r>
      <w:r>
        <w:rPr>
          <w:rFonts w:ascii="Arial" w:cs="Arial" w:eastAsia="Arial" w:hAnsi="Arial"/>
          <w:sz w:val="18"/>
          <w:szCs w:val="18"/>
          <w:u w:val="single" w:color="auto"/>
          <w:color w:val="auto"/>
        </w:rPr>
        <w:t>Goods</w:t>
      </w:r>
      <w:r>
        <w:rPr>
          <w:rFonts w:ascii="Arial" w:cs="Arial" w:eastAsia="Arial" w:hAnsi="Arial"/>
          <w:sz w:val="18"/>
          <w:szCs w:val="18"/>
          <w:color w:val="auto"/>
        </w:rPr>
        <w:t>,” “</w:t>
      </w:r>
      <w:r>
        <w:rPr>
          <w:rFonts w:ascii="Arial" w:cs="Arial" w:eastAsia="Arial" w:hAnsi="Arial"/>
          <w:sz w:val="18"/>
          <w:szCs w:val="18"/>
          <w:u w:val="single" w:color="auto"/>
          <w:color w:val="auto"/>
        </w:rPr>
        <w:t>Instruments</w:t>
      </w:r>
      <w:r>
        <w:rPr>
          <w:rFonts w:ascii="Arial" w:cs="Arial" w:eastAsia="Arial" w:hAnsi="Arial"/>
          <w:sz w:val="18"/>
          <w:szCs w:val="18"/>
          <w:color w:val="auto"/>
        </w:rPr>
        <w:t>,” “</w:t>
      </w:r>
      <w:r>
        <w:rPr>
          <w:rFonts w:ascii="Arial" w:cs="Arial" w:eastAsia="Arial" w:hAnsi="Arial"/>
          <w:sz w:val="18"/>
          <w:szCs w:val="18"/>
          <w:u w:val="single" w:color="auto"/>
          <w:color w:val="auto"/>
        </w:rPr>
        <w:t>Inventory</w:t>
      </w:r>
      <w:r>
        <w:rPr>
          <w:rFonts w:ascii="Arial" w:cs="Arial" w:eastAsia="Arial" w:hAnsi="Arial"/>
          <w:sz w:val="18"/>
          <w:szCs w:val="18"/>
          <w:color w:val="auto"/>
        </w:rPr>
        <w:t>,” “</w:t>
      </w:r>
      <w:r>
        <w:rPr>
          <w:rFonts w:ascii="Arial" w:cs="Arial" w:eastAsia="Arial" w:hAnsi="Arial"/>
          <w:sz w:val="18"/>
          <w:szCs w:val="18"/>
          <w:u w:val="single" w:color="auto"/>
          <w:color w:val="auto"/>
        </w:rPr>
        <w:t>Investment Property</w:t>
      </w:r>
      <w:r>
        <w:rPr>
          <w:rFonts w:ascii="Arial" w:cs="Arial" w:eastAsia="Arial" w:hAnsi="Arial"/>
          <w:sz w:val="18"/>
          <w:szCs w:val="18"/>
          <w:color w:val="auto"/>
        </w:rPr>
        <w:t>,” “</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w:t>
      </w:r>
      <w:r>
        <w:rPr>
          <w:rFonts w:ascii="Arial" w:cs="Arial" w:eastAsia="Arial" w:hAnsi="Arial"/>
          <w:sz w:val="18"/>
          <w:szCs w:val="18"/>
          <w:u w:val="single" w:color="auto"/>
          <w:color w:val="auto"/>
        </w:rPr>
        <w:t>Tangible Chattel Paper</w:t>
      </w:r>
      <w:r>
        <w:rPr>
          <w:rFonts w:ascii="Arial" w:cs="Arial" w:eastAsia="Arial" w:hAnsi="Arial"/>
          <w:sz w:val="18"/>
          <w:szCs w:val="18"/>
          <w:color w:val="auto"/>
        </w:rPr>
        <w:t>” and “</w:t>
      </w:r>
      <w:r>
        <w:rPr>
          <w:rFonts w:ascii="Arial" w:cs="Arial" w:eastAsia="Arial" w:hAnsi="Arial"/>
          <w:sz w:val="18"/>
          <w:szCs w:val="18"/>
          <w:u w:val="single" w:color="auto"/>
          <w:color w:val="auto"/>
        </w:rPr>
        <w:t>Transmitting Utility</w:t>
      </w:r>
      <w:r>
        <w:rPr>
          <w:rFonts w:ascii="Arial" w:cs="Arial" w:eastAsia="Arial" w:hAnsi="Arial"/>
          <w:sz w:val="18"/>
          <w:szCs w:val="18"/>
          <w:color w:val="auto"/>
        </w:rPr>
        <w: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Definitions of Certain Terms Used Herein</w:t>
      </w:r>
      <w:r>
        <w:rPr>
          <w:rFonts w:ascii="Arial" w:cs="Arial" w:eastAsia="Arial" w:hAnsi="Arial"/>
          <w:sz w:val="18"/>
          <w:szCs w:val="18"/>
          <w:color w:val="auto"/>
        </w:rPr>
        <w:t>. As used in this Security Agreement, the following terms shall have the following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Parties</w:t>
      </w:r>
      <w:r>
        <w:rPr>
          <w:rFonts w:ascii="Arial" w:cs="Arial" w:eastAsia="Arial" w:hAnsi="Arial"/>
          <w:sz w:val="16"/>
          <w:szCs w:val="16"/>
          <w:color w:val="auto"/>
        </w:rPr>
        <w:t xml:space="preserve">” means any Successor Company that becomes a party hereto pursuant to </w:t>
      </w: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hereof and the Indenture.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Rights</w:t>
      </w:r>
      <w:r>
        <w:rPr>
          <w:rFonts w:ascii="Arial" w:cs="Arial" w:eastAsia="Arial" w:hAnsi="Arial"/>
          <w:sz w:val="18"/>
          <w:szCs w:val="18"/>
          <w:color w:val="auto"/>
        </w:rPr>
        <w:t>” means all rights of any Grantor under any Contract, including (a) any and all rights to receive and demand payments under such Contract, (b) any and all rights to receive and compel performance under such Contract and (c) any and all other rights, interests and claims now existing or in the future arising in connection with such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9" w:name="page240"/>
    <w:bookmarkEnd w:id="239"/>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means all contracts between any Grantor and one or more additional parties (including any Hedge Agreement, any licensing agreement and any partnership agreement, joint venture agreement and/or limited liability company agreement).</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has the meaning set forth in Article 8 of the UCC or, if applicable, in Section 9-104, 9-105, 9-106 or 9-107 of Article 9 of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UCC.</w:t>
      </w:r>
    </w:p>
    <w:p>
      <w:pPr>
        <w:spacing w:after="0" w:line="211"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w:t>
      </w:r>
      <w:r>
        <w:rPr>
          <w:rFonts w:ascii="Arial" w:cs="Arial" w:eastAsia="Arial" w:hAnsi="Arial"/>
          <w:sz w:val="16"/>
          <w:szCs w:val="16"/>
          <w:color w:val="auto"/>
        </w:rPr>
        <w:t>” means the following: (a) all copyrights, rights and interests in works protectable by copyright whether published or unpublished and whether registered or unregistered, including copyright registrations and copyright applications (including all copyrights embodied in Software); (b) all renewals of any of the foregoing; (c) all income, royalties, damages, and payments now or hereafter due and/or payable under any of the foregoing, including, without limitation, damages or payments for past or future infringements for any of the foregoing;</w:t>
      </w:r>
    </w:p>
    <w:p>
      <w:pPr>
        <w:spacing w:after="0" w:line="1" w:lineRule="exact"/>
        <w:rPr>
          <w:sz w:val="20"/>
          <w:szCs w:val="20"/>
          <w:color w:val="auto"/>
        </w:rPr>
      </w:pPr>
    </w:p>
    <w:p>
      <w:pPr>
        <w:ind w:left="4" w:hanging="4"/>
        <w:spacing w:after="0" w:line="260" w:lineRule="auto"/>
        <w:tabs>
          <w:tab w:leader="none" w:pos="27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right to sue for past, present, and future infringements of any of the foregoing; and (e) all rights corresponding to any of the foregoing anywhere in the world.</w:t>
      </w:r>
    </w:p>
    <w:p>
      <w:pPr>
        <w:spacing w:after="0" w:line="185"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License</w:t>
      </w:r>
      <w:r>
        <w:rPr>
          <w:rFonts w:ascii="Arial" w:cs="Arial" w:eastAsia="Arial" w:hAnsi="Arial"/>
          <w:sz w:val="17"/>
          <w:szCs w:val="17"/>
          <w:color w:val="auto"/>
        </w:rPr>
        <w:t>” means any written agreement, now or hereafter in effect, granting to any Person any right to use any Copyright owned by any Grantor or that any Grantor otherwise has the right to license, or granting to any Grantor any right to use any Copyright owned by any other Person or that any other Person otherwise has the right to license, and all rights of any Grantor under any such agreement.</w:t>
      </w:r>
    </w:p>
    <w:p>
      <w:pPr>
        <w:spacing w:after="0" w:line="16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Perfection Certificate</w:t>
      </w:r>
      <w:r>
        <w:rPr>
          <w:rFonts w:ascii="Arial" w:cs="Arial" w:eastAsia="Arial" w:hAnsi="Arial"/>
          <w:sz w:val="18"/>
          <w:szCs w:val="18"/>
          <w:color w:val="auto"/>
        </w:rPr>
        <w:t>” means the Perfection Certificate, dated as of the date hereof, delivered by the Issuer, and any perfection certificate delivered pursuant to Sections 4.15 or 4.17 of the Indenture.</w:t>
      </w:r>
    </w:p>
    <w:p>
      <w:pPr>
        <w:spacing w:after="0" w:line="17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w:t>
      </w:r>
      <w:r>
        <w:rPr>
          <w:rFonts w:ascii="Arial" w:cs="Arial" w:eastAsia="Arial" w:hAnsi="Arial"/>
          <w:sz w:val="18"/>
          <w:szCs w:val="18"/>
          <w:color w:val="auto"/>
        </w:rPr>
        <w:t>” means Internet domain names and associated uniform resource locator addresses.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jc w:val="both"/>
        <w:ind w:left="4"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Priority</w:t>
      </w:r>
      <w:r>
        <w:rPr>
          <w:rFonts w:ascii="Arial" w:cs="Arial" w:eastAsia="Arial" w:hAnsi="Arial"/>
          <w:sz w:val="17"/>
          <w:szCs w:val="17"/>
          <w:color w:val="auto"/>
        </w:rPr>
        <w:t>” means, with respect to any Lien purported to be created in any Collateral pursuant to any Security Document, that, subject to any Equal Priority Intercreditor Agreement, such Lien is senior in priority to any other Lien to which such Collateral is subject, other than any Permitted Lien (excluding any Permitted Lien that is expressly subordinated or otherwise required to be junior to such Lien).</w:t>
      </w:r>
    </w:p>
    <w:p>
      <w:pPr>
        <w:spacing w:after="0" w:line="165"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territorial, municipal, national or other government, governmental department, ministry,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thereof, including any supra-national bodies (such as the European Union or the European Central Bank).</w:t>
      </w:r>
    </w:p>
    <w:p>
      <w:pPr>
        <w:spacing w:after="0" w:line="390"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240" w:name="page241"/>
    <w:bookmarkEnd w:id="240"/>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Grantors</w:t>
      </w:r>
      <w:r>
        <w:rPr>
          <w:rFonts w:ascii="Arial" w:cs="Arial" w:eastAsia="Arial" w:hAnsi="Arial"/>
          <w:sz w:val="17"/>
          <w:szCs w:val="17"/>
          <w:color w:val="auto"/>
        </w:rPr>
        <w:t>” means the Issuer, the Subsidiary Parties from time to time party hereto and the Additional Parties from time to time party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has the meaning set forth in the preliminary statement.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means, collectively, all Copyrights, Patents, Trademarks, Trade Secrets, Domain Names, Licenses and Software.</w:t>
      </w:r>
    </w:p>
    <w:p>
      <w:pPr>
        <w:spacing w:after="0" w:line="170"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means an Intellectual Property Security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Security Agreement.</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has the meaning set forth in the preliminary statement.</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the application of relevant Debtor Relief Laws, general principles of equity and/or principles of good faith and fair dealing.</w:t>
      </w:r>
    </w:p>
    <w:p>
      <w:pPr>
        <w:spacing w:after="0" w:line="170" w:lineRule="exact"/>
        <w:rPr>
          <w:sz w:val="20"/>
          <w:szCs w:val="20"/>
          <w:color w:val="auto"/>
        </w:rPr>
      </w:pPr>
    </w:p>
    <w:p>
      <w:pPr>
        <w:jc w:val="both"/>
        <w:ind w:left="4"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Licenses</w:t>
      </w:r>
      <w:r>
        <w:rPr>
          <w:rFonts w:ascii="Arial" w:cs="Arial" w:eastAsia="Arial" w:hAnsi="Arial"/>
          <w:sz w:val="16"/>
          <w:szCs w:val="16"/>
          <w:color w:val="auto"/>
        </w:rPr>
        <w:t>” means, with respect to any Grantor, all of such Grantor’s right, title, and interest in and to (a) any and all written licensing agreements or similar arrangements, whether as licensor or licensee, in (i) Patents, (ii) Copyrights, (iii) Trademarks, (iv) Trade Secrets, (v) Designs or (vi) Software, (b) all income, royalties, damages, claims, and payments now or hereafter due or payable under and with respect thereto, including damages and payments for past and future breaches thereof and (c) all rights to sue for past, present, and future breaches thereof.</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circumstance or condition that has or would reasonably be expected to materially and adversely affect</w:t>
      </w:r>
    </w:p>
    <w:p>
      <w:pPr>
        <w:spacing w:after="0" w:line="46" w:lineRule="exact"/>
        <w:rPr>
          <w:sz w:val="20"/>
          <w:szCs w:val="20"/>
          <w:color w:val="auto"/>
        </w:rPr>
      </w:pPr>
    </w:p>
    <w:p>
      <w:pPr>
        <w:jc w:val="both"/>
        <w:ind w:left="4" w:hanging="4"/>
        <w:spacing w:after="0" w:line="255" w:lineRule="auto"/>
        <w:tabs>
          <w:tab w:leader="none" w:pos="26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business, results of operations or financial condition, in each case, of the Issuer and its Restricted Subsidiaries, taken as a whole, (b) the rights and remedies of the Notes Collateral Agent and the Holders under the applicable Notes Documents or (c) the ability of the Issuer and the other Grantors (taken as a whole) to perform their payment obligations under the Notes Documents.</w:t>
      </w:r>
    </w:p>
    <w:p>
      <w:pPr>
        <w:spacing w:after="0" w:line="190"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w:t>
      </w:r>
      <w:r>
        <w:rPr>
          <w:rFonts w:ascii="Arial" w:cs="Arial" w:eastAsia="Arial" w:hAnsi="Arial"/>
          <w:sz w:val="18"/>
          <w:szCs w:val="18"/>
          <w:color w:val="auto"/>
        </w:rPr>
        <w:t>” has the meaning set forth in Article 1 of the UCC.</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 Documents</w:t>
      </w:r>
      <w:r>
        <w:rPr>
          <w:rFonts w:ascii="Arial" w:cs="Arial" w:eastAsia="Arial" w:hAnsi="Arial"/>
          <w:sz w:val="18"/>
          <w:szCs w:val="18"/>
          <w:color w:val="auto"/>
        </w:rPr>
        <w:t>” means the Notes, the Indenture, this Security Agreement, any other Security Documents and any Intercreditor Agreements.</w:t>
      </w:r>
    </w:p>
    <w:p>
      <w:pPr>
        <w:spacing w:after="0" w:line="170"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means the following: (a) any and all patents and patent applications; (b) all inventions or designs described and claimed therein;</w:t>
      </w:r>
    </w:p>
    <w:p>
      <w:pPr>
        <w:spacing w:after="0" w:line="46" w:lineRule="exact"/>
        <w:rPr>
          <w:sz w:val="20"/>
          <w:szCs w:val="20"/>
          <w:color w:val="auto"/>
        </w:rPr>
      </w:pPr>
    </w:p>
    <w:p>
      <w:pPr>
        <w:jc w:val="both"/>
        <w:ind w:left="4" w:hanging="4"/>
        <w:spacing w:after="0" w:line="253" w:lineRule="auto"/>
        <w:tabs>
          <w:tab w:leader="none" w:pos="26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anywhere in the world.</w:t>
      </w:r>
    </w:p>
    <w:p>
      <w:pPr>
        <w:spacing w:after="0" w:line="193" w:lineRule="exact"/>
        <w:rPr>
          <w:sz w:val="20"/>
          <w:szCs w:val="20"/>
          <w:color w:val="auto"/>
        </w:rPr>
      </w:pPr>
    </w:p>
    <w:p>
      <w:pPr>
        <w:jc w:val="both"/>
        <w:ind w:left="4"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Requirements</w:t>
      </w:r>
      <w:r>
        <w:rPr>
          <w:rFonts w:ascii="Arial" w:cs="Arial" w:eastAsia="Arial" w:hAnsi="Arial"/>
          <w:sz w:val="18"/>
          <w:szCs w:val="18"/>
          <w:color w:val="auto"/>
        </w:rPr>
        <w:t xml:space="preserve">” means (a) the filing of appropriate financing statements with the office of the Secretary of State or other appropriate office in the state of organization or other location under Section 9-307 of the UCC of such Grantor, (b) the filing of appropriate assignments or notices with the United States Patent and Trademark Office and/or the United States Copyright Office, as applicable, with respect to registered (and applied for) Patents, Trademarks, Copyrights and exclusive Copyright Licenses (except to the extent any of the foregoing are included in the definition of Excluded Assets), (c) the proper recording or filing, as applicable, of Mortgages and fixture filings (to the extent necessary) with respect to any Material Real Estate Asset (except to the extent expressly not required to be Collateral pursuant to the terms thereof), in each case in favor of the Notes Collateral Agent for the benefit of the Secured Notes Secured Parties, (d) the delivery to the Notes Collateral Agent of any stock certificate or promissory note required to be delivered pursuant to the applicable Notes Documents, together with instruments of transfer executed in blank, (e) the proper recording or filing, as applicable, of Ship Mortgages with respect to tankers or other marine vessels (to the extent required pursuant to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hereof) in favor of the Notes Collateral Agent for the benefit of the Secured Notes Secured Parties and (f) in the case of a Grantor that is not a Domestic Subsidiary (and its Capital Stock) the other actions required by the Security Documents.</w:t>
      </w:r>
    </w:p>
    <w:p>
      <w:pPr>
        <w:spacing w:after="0" w:line="200" w:lineRule="exact"/>
        <w:rPr>
          <w:sz w:val="20"/>
          <w:szCs w:val="20"/>
          <w:color w:val="auto"/>
        </w:rPr>
      </w:pPr>
    </w:p>
    <w:p>
      <w:pPr>
        <w:spacing w:after="0" w:line="202"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48895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241" w:name="page242"/>
    <w:bookmarkEnd w:id="241"/>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Permits</w:t>
      </w:r>
      <w:r>
        <w:rPr>
          <w:rFonts w:ascii="Arial" w:cs="Arial" w:eastAsia="Arial" w:hAnsi="Arial"/>
          <w:sz w:val="16"/>
          <w:szCs w:val="16"/>
          <w:color w:val="auto"/>
        </w:rPr>
        <w:t>” means all licenses, permits, rights, orders, variances, franchises or authorizations of or from any Governmental Authority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Collateral</w:t>
      </w:r>
      <w:r>
        <w:rPr>
          <w:rFonts w:ascii="Arial" w:cs="Arial" w:eastAsia="Arial" w:hAnsi="Arial"/>
          <w:sz w:val="17"/>
          <w:szCs w:val="17"/>
          <w:color w:val="auto"/>
        </w:rPr>
        <w:t>” means all Pledged Stock, including all Stock Rights, all stock (or equivalent) certificates, options or rights of any nature whatsoever in respect of the Pledged Stock that may be issued or granted to, or held by, any Grantor, and all Instruments, Securities and other Investment Property owned by any Grantor, whether or not physically delivered to the Notes Collateral Agent pursuant to this Security Agreement, in each case whether now owned or hereafter acquired by such Grantor and any and all Proceeds thereof.</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means, with respect to any Grantor, the Capital Stock owned by such Grantor, including the Capital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the Cumulative Perfection Certificate as held by such Grantor, together with any other Capital Stock as are hereafter acquired by such Grantor but excluding the Excluded Assets.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the meaning assigned in Article 9 of the UCC and, in any event, shall also include but not be limited to (a) any and all proceeds of any insurance, indemnity, warranty or guaranty payable to the Notes Collateral Agent or any Grantor from time to time with respect to any of the Collateral, (b) any and all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(c) any and all Stock Rights and (d) any and all other amounts from time to time paid or payable under or in connection with any of the Collateral.</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any Account, Chattel Paper, Document, Investment Property, Instrument and/or General Intangible, in each case, that is a right or claim to receive money and is included as Collateral (whether or not earned by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“Securities” shall not include any earn-out agreement or obligation or any employee bonus or other incentive compensation plan or agreement.</w:t>
      </w:r>
    </w:p>
    <w:p>
      <w:pPr>
        <w:spacing w:after="0" w:line="39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42" w:name="page243"/>
    <w:bookmarkEnd w:id="24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programs, object code, source code and supporting documentation, including, without limitation, “software” as such term is defined in the UCC as in effect on the date hereof in the State of New York and computer programs that may be construed as included in the definition of “goods” in the UCC as in effect on the date hereof in the State of New York.</w:t>
      </w:r>
    </w:p>
    <w:p>
      <w:pPr>
        <w:spacing w:after="0" w:line="184"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all dividends, cash, options, warrants, instruments or other distributions and any other right or property which any Grantor shall receive or shall become entitled to receive for any reason whatsoever with respect to, in substitution for or in exchange for any Capital Stock constituting Collateral, any right to receive any Capital Stock constituting Collateral and any right to receive earnings, in which such Grantor now has or hereafter acquires any right, issued by an issuer of such Capital Stock.</w:t>
      </w:r>
    </w:p>
    <w:p>
      <w:pPr>
        <w:spacing w:after="0" w:line="18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Parties</w:t>
      </w:r>
      <w:r>
        <w:rPr>
          <w:rFonts w:ascii="Arial" w:cs="Arial" w:eastAsia="Arial" w:hAnsi="Arial"/>
          <w:sz w:val="18"/>
          <w:szCs w:val="18"/>
          <w:color w:val="auto"/>
        </w:rPr>
        <w:t xml:space="preserve">” means (a) the subsidiaries of the Issuer party hereto on the Issue Date and (b) each Subsidiary that becomes a party to this Security Agreement after the date hereof in accordance with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hereof and the Indenture.</w:t>
      </w:r>
    </w:p>
    <w:p>
      <w:pPr>
        <w:spacing w:after="0" w:line="17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dilutions or violations thereof; (d) all rights to sue for past, present, and future infringements, dilutions or violations of the foregoing, including the right to settle suits involving claims and demands for royalties owing; and (e) all rights corresponding to any of the foregoing anywhere in the world.</w:t>
      </w:r>
    </w:p>
    <w:p>
      <w:pPr>
        <w:spacing w:after="0" w:line="19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from time to time in the State of New York; provided, however,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enacted and in effect in such other jurisdiction solely for purposes of the provisions hereof relating to such perfection, priority or remedies.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Bank</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Applicable provisions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of the Indenture, but, for the avoidance of doubt, excluding Section 1.04(f), are incorporated by reference herein as if such Section were set forth herein in its entirety,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SECURITY INTEREST</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Grant of Security Interest</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7" w:lineRule="auto"/>
        <w:tabs>
          <w:tab w:leader="none" w:pos="161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As security for the prompt and complete payment or performance, as the case may be, in full of the Secured Notes Obligations, each Grantor hereby pledges, collaterally assigns, mortgages, transfers and grants to the Notes Collateral Agent, its successors and permitted assigns, for the benefit of the Secured Notes Secured Parties, a continuing security interest in all of its right in, and title and interest to and under, all of the following personal property and other assets, whether now owned by or owing to, or hereafter acquired by or arising in favor of, such Grantor, and regardless of where located (all of which are collectively referred to as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420" w:hanging="857"/>
        <w:spacing w:after="0"/>
        <w:tabs>
          <w:tab w:leader="none" w:pos="2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Chattel Paper (including all Tangible Chattel Paper and all Electronic Chattel Paper);</w:t>
      </w:r>
    </w:p>
    <w:p>
      <w:pPr>
        <w:spacing w:after="0" w:line="225" w:lineRule="exact"/>
        <w:rPr>
          <w:rFonts w:ascii="Arial" w:cs="Arial" w:eastAsia="Arial" w:hAnsi="Arial"/>
          <w:sz w:val="18"/>
          <w:szCs w:val="18"/>
          <w:color w:val="auto"/>
        </w:rPr>
      </w:pPr>
    </w:p>
    <w:p>
      <w:pPr>
        <w:ind w:left="2420" w:hanging="857"/>
        <w:spacing w:after="0"/>
        <w:tabs>
          <w:tab w:leader="none" w:pos="2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Intellectual Property Collateral;</w:t>
      </w:r>
    </w:p>
    <w:p>
      <w:pPr>
        <w:spacing w:after="0" w:line="225" w:lineRule="exact"/>
        <w:rPr>
          <w:rFonts w:ascii="Arial" w:cs="Arial" w:eastAsia="Arial" w:hAnsi="Arial"/>
          <w:sz w:val="18"/>
          <w:szCs w:val="18"/>
          <w:color w:val="auto"/>
        </w:rPr>
      </w:pPr>
    </w:p>
    <w:p>
      <w:pPr>
        <w:ind w:left="2360" w:hanging="797"/>
        <w:spacing w:after="0"/>
        <w:tabs>
          <w:tab w:leader="none" w:pos="23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2360" w:hanging="797"/>
        <w:spacing w:after="0"/>
        <w:tabs>
          <w:tab w:leader="none" w:pos="23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2360" w:hanging="797"/>
        <w:spacing w:after="0"/>
        <w:tabs>
          <w:tab w:leader="none" w:pos="23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rFonts w:ascii="Arial" w:cs="Arial" w:eastAsia="Arial" w:hAnsi="Arial"/>
          <w:sz w:val="18"/>
          <w:szCs w:val="18"/>
          <w:color w:val="auto"/>
        </w:rPr>
      </w:pPr>
    </w:p>
    <w:p>
      <w:pPr>
        <w:ind w:left="2360" w:hanging="797"/>
        <w:spacing w:after="0"/>
        <w:tabs>
          <w:tab w:leader="none" w:pos="236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2380" w:hanging="817"/>
        <w:spacing w:after="0"/>
        <w:tabs>
          <w:tab w:leader="none" w:pos="23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Investment Property, Pledged Stock and other Pledged Collateral;</w:t>
      </w:r>
    </w:p>
    <w:p>
      <w:pPr>
        <w:spacing w:after="0" w:line="225" w:lineRule="exact"/>
        <w:rPr>
          <w:rFonts w:ascii="Arial" w:cs="Arial" w:eastAsia="Arial" w:hAnsi="Arial"/>
          <w:sz w:val="18"/>
          <w:szCs w:val="18"/>
          <w:color w:val="auto"/>
        </w:rPr>
      </w:pPr>
    </w:p>
    <w:p>
      <w:pPr>
        <w:ind w:left="2420" w:hanging="857"/>
        <w:spacing w:after="0"/>
        <w:tabs>
          <w:tab w:leader="none" w:pos="2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letters of credit and Letter-of-Credit Rights;</w:t>
      </w:r>
    </w:p>
    <w:p>
      <w:pPr>
        <w:spacing w:after="0" w:line="225" w:lineRule="exact"/>
        <w:rPr>
          <w:rFonts w:ascii="Arial" w:cs="Arial" w:eastAsia="Arial" w:hAnsi="Arial"/>
          <w:sz w:val="18"/>
          <w:szCs w:val="18"/>
          <w:color w:val="auto"/>
        </w:rPr>
      </w:pPr>
    </w:p>
    <w:p>
      <w:pPr>
        <w:ind w:left="2420" w:hanging="857"/>
        <w:spacing w:after="0"/>
        <w:tabs>
          <w:tab w:leader="none" w:pos="2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Security Entitlements in any or all of the foregoing;</w:t>
      </w:r>
    </w:p>
    <w:p>
      <w:pPr>
        <w:spacing w:after="0" w:line="225" w:lineRule="exact"/>
        <w:rPr>
          <w:rFonts w:ascii="Arial" w:cs="Arial" w:eastAsia="Arial" w:hAnsi="Arial"/>
          <w:sz w:val="18"/>
          <w:szCs w:val="18"/>
          <w:color w:val="auto"/>
        </w:rPr>
      </w:pPr>
    </w:p>
    <w:p>
      <w:pPr>
        <w:ind w:left="660" w:firstLine="903"/>
        <w:spacing w:after="0" w:line="277" w:lineRule="auto"/>
        <w:tabs>
          <w:tab w:leader="none" w:pos="2813"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all Commercial Tort Claims described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to the Cumulative Perfection Certificate (including any supplements to such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delivered pursuant to </w:t>
      </w:r>
      <w:r>
        <w:rPr>
          <w:rFonts w:ascii="Arial" w:cs="Arial" w:eastAsia="Arial" w:hAnsi="Arial"/>
          <w:sz w:val="18"/>
          <w:szCs w:val="18"/>
          <w:u w:val="single" w:color="auto"/>
          <w:color w:val="auto"/>
        </w:rPr>
        <w:t>Section 4.04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225" w:lineRule="exact"/>
        <w:rPr>
          <w:rFonts w:ascii="Arial" w:cs="Arial" w:eastAsia="Arial" w:hAnsi="Arial"/>
          <w:sz w:val="18"/>
          <w:szCs w:val="18"/>
          <w:color w:val="auto"/>
        </w:rPr>
      </w:pPr>
    </w:p>
    <w:p>
      <w:pPr>
        <w:ind w:left="2400" w:hanging="837"/>
        <w:spacing w:after="0"/>
        <w:tabs>
          <w:tab w:leader="none" w:pos="24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Contracts, together with all Contract Rights arising thereunder;</w:t>
      </w:r>
    </w:p>
    <w:p>
      <w:pPr>
        <w:spacing w:after="0" w:line="225" w:lineRule="exact"/>
        <w:rPr>
          <w:rFonts w:ascii="Arial" w:cs="Arial" w:eastAsia="Arial" w:hAnsi="Arial"/>
          <w:sz w:val="18"/>
          <w:szCs w:val="18"/>
          <w:color w:val="auto"/>
        </w:rPr>
      </w:pPr>
    </w:p>
    <w:p>
      <w:pPr>
        <w:ind w:left="2420" w:hanging="857"/>
        <w:spacing w:after="0"/>
        <w:tabs>
          <w:tab w:leader="none" w:pos="242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Supporting Obligations; and</w:t>
      </w:r>
    </w:p>
    <w:p>
      <w:pPr>
        <w:spacing w:after="0" w:line="225" w:lineRule="exact"/>
        <w:rPr>
          <w:rFonts w:ascii="Arial" w:cs="Arial" w:eastAsia="Arial" w:hAnsi="Arial"/>
          <w:sz w:val="18"/>
          <w:szCs w:val="18"/>
          <w:color w:val="auto"/>
        </w:rPr>
      </w:pPr>
    </w:p>
    <w:p>
      <w:pPr>
        <w:jc w:val="both"/>
        <w:ind w:left="660" w:firstLine="903"/>
        <w:spacing w:after="0" w:line="259" w:lineRule="auto"/>
        <w:tabs>
          <w:tab w:leader="none" w:pos="2443"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all accessions to, substitutions and replacements for and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 and all collateral security and guarantees given by any Person with respect to any of the foregoing.</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4" w:name="page245"/>
    <w:bookmarkEnd w:id="244"/>
    <w:p>
      <w:pPr>
        <w:jc w:val="both"/>
        <w:ind w:firstLine="656"/>
        <w:spacing w:after="0" w:line="253" w:lineRule="auto"/>
        <w:tabs>
          <w:tab w:leader="none" w:pos="172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Notwithstanding the foregoing, for the avoidance of doubt, the term “Collateral” (and any component definition thereof) shall not include any Excluded Asset. Notwithstanding anything to the contrary contained herein, if any personal property or asset of a Grantor constitutes an Excluded Asset at any time and thereafter such property or asset ceases to constitute an Excluded Asset (whether as a result of the ineffectiveness, lapse or termination of any restriction or condition set forth in the definition of “Excluded Assets” in the Indenture or otherwise), then, if such property or asset would constitute Collateral under any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2.01(a)</w:t>
      </w:r>
      <w:r>
        <w:rPr>
          <w:rFonts w:ascii="Arial" w:cs="Arial" w:eastAsia="Arial" w:hAnsi="Arial"/>
          <w:sz w:val="18"/>
          <w:szCs w:val="18"/>
          <w:color w:val="auto"/>
        </w:rPr>
        <w:t>, immediately upon such cessation the Collateral shall include, and the relevant Grantor shall be deemed to have automatically granted a security interest in, all such property or asset previously constituting an Excluded Asset, as if such property or asset had never been an Excluded Asset. For the avoidance of doubt, “Excluded Assets” shall not include any proceeds, products, substitutions or replacements of Excluded Assets (unless such proceeds, products, substitutions or replacements would otherwise constitute Excluded Assets).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Grantors, jointly and severally, represent and warrant to the Notes Collateral Agent, for the benefit of the Secured Notes Secured Parties, that:</w:t>
      </w:r>
    </w:p>
    <w:p>
      <w:pPr>
        <w:spacing w:after="0" w:line="24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i w:val="1"/>
          <w:iCs w:val="1"/>
          <w:color w:val="auto"/>
        </w:rPr>
        <w:t>Title, Perfection and Priority; Filing Collateral</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7" w:lineRule="auto"/>
        <w:tabs>
          <w:tab w:leader="none" w:pos="1747"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This Security Agreement creates a legal, valid and, subject to the Legal Reservations, enforceable Lien on all of the Collateral in favor of the Notes Collateral Agent for the benefit of itself and the other Secured Notes Secured Parties and, upon the satisfaction of the applicable Perfection Requirements subject, as of the Issue Date, to the terms of </w:t>
      </w:r>
      <w:r>
        <w:rPr>
          <w:rFonts w:ascii="Arial" w:cs="Arial" w:eastAsia="Arial" w:hAnsi="Arial"/>
          <w:sz w:val="18"/>
          <w:szCs w:val="18"/>
          <w:u w:val="single" w:color="auto"/>
          <w:color w:val="auto"/>
        </w:rPr>
        <w:t>Section 4.01</w:t>
      </w:r>
      <w:r>
        <w:rPr>
          <w:rFonts w:ascii="Arial" w:cs="Arial" w:eastAsia="Arial" w:hAnsi="Arial"/>
          <w:sz w:val="18"/>
          <w:szCs w:val="18"/>
          <w:color w:val="auto"/>
        </w:rPr>
        <w:t>, such Liens constitute perfected First Priority Liens on the Collateral securing the Secured Notes Obligations, to the extent perfection may be accomplished by the taking of the actions described in the Perfection Requirements.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66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Grantor (i) is the owner of all of its Collateral free and clear from any Lien or other right, title or interest of any Person (other than a Permitted Lien and/or any such other right, title or interest that is permitted or not prohibited by the terms of the Indenture) or (ii) has the power to transfer rights in the Collateral to the Notes Collateral Agent.</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Intellectual Property</w:t>
      </w:r>
      <w:r>
        <w:rPr>
          <w:rFonts w:ascii="Arial" w:cs="Arial" w:eastAsia="Arial" w:hAnsi="Arial"/>
          <w:sz w:val="18"/>
          <w:szCs w:val="18"/>
          <w:color w:val="auto"/>
        </w:rPr>
        <w:t>. Upon (i) filing of appropriate financing statements with the Secretary of State (or equivalent office) of the state of organization of such Grantor or other location under Section 9-307 of the UCC of such Grantor and the filing of the Intellectual Property Security Agreements with the United States Patent and Trademark Office and (ii) filing of the Intellectual Property Security Agreements with the United States Copyright Office, as applicable, the Notes Collateral Agent shall have a fully perfected First Priority Lien on the Collateral consisting of United States issued, registered or applied for Patents, Trademarks and Copyrights and exclusive Copyright Licenses, as applicable, under the UCC and the laws of the United States for the benefit of the Secured Notes Secured Parties, and such perfected security interests shall be enforceable as such as against any and all creditors of and purchasers from the Grantors, subject to the Legal Reservations. No Grantor shall be required to complete any filings or take any other action with respect to the perfection of the security interests created hereby in Intellectual Property Collateral in any jurisdiction outside of the United States.</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Pledged Stock</w:t>
      </w:r>
      <w:r>
        <w:rPr>
          <w:rFonts w:ascii="Arial" w:cs="Arial" w:eastAsia="Arial" w:hAnsi="Arial"/>
          <w:sz w:val="18"/>
          <w:szCs w:val="18"/>
          <w:color w:val="auto"/>
        </w:rPr>
        <w:t xml:space="preserve">. (i) All Pledged Stock has been duly authorized and validly issued (to the extent such concepts are relevant with respect to such Pledged Stock) by the issuer thereof and is fully paid and non-assessable, (ii) as of the date of the most recently delivered Cumulative Perfection Certificate, each Grantor is the direct owner, beneficially and of record, of the Pledged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the Cumulative Perfection Certificate as held by such Grantor and (iii) as of the date of the most recently delivered Cumulative Perfection Certificate, each Grantor holds the Pledged Stock described in </w:t>
      </w:r>
      <w:r>
        <w:rPr>
          <w:rFonts w:ascii="Arial" w:cs="Arial" w:eastAsia="Arial" w:hAnsi="Arial"/>
          <w:sz w:val="18"/>
          <w:szCs w:val="18"/>
          <w:u w:val="single" w:color="auto"/>
          <w:color w:val="auto"/>
        </w:rPr>
        <w:t>Schedule 9</w:t>
      </w:r>
      <w:r>
        <w:rPr>
          <w:rFonts w:ascii="Arial" w:cs="Arial" w:eastAsia="Arial" w:hAnsi="Arial"/>
          <w:sz w:val="18"/>
          <w:szCs w:val="18"/>
          <w:color w:val="auto"/>
        </w:rPr>
        <w:t xml:space="preserve"> to the Cumulative Perfection Certificate as held by such Grantor free and clear of all Liens (other than Permitted Liens).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5" w:name="page246"/>
    <w:bookmarkEnd w:id="245"/>
    <w:p>
      <w:pPr>
        <w:ind w:right="20"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Perfection Certificate</w:t>
      </w:r>
      <w:r>
        <w:rPr>
          <w:rFonts w:ascii="Arial" w:cs="Arial" w:eastAsia="Arial" w:hAnsi="Arial"/>
          <w:sz w:val="18"/>
          <w:szCs w:val="18"/>
          <w:color w:val="auto"/>
        </w:rPr>
        <w:t>. The Cumulative Perfection Certificate has been duly prepared, completed and executed and the certifications set forth therein are true and correct in all material respects as of the date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the date hereof, and thereafter until the Secured Notes Obligations (other than contingent indemnification obligations for which no claim or demand has been made) shall have been paid in full:</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7" w:lineRule="auto"/>
        <w:tabs>
          <w:tab w:leader="none" w:pos="1581" w:val="left"/>
        </w:tabs>
        <w:numPr>
          <w:ilvl w:val="0"/>
          <w:numId w:val="328"/>
        </w:numPr>
        <w:rPr>
          <w:rFonts w:ascii="Arial" w:cs="Arial" w:eastAsia="Arial" w:hAnsi="Arial"/>
          <w:sz w:val="17"/>
          <w:szCs w:val="17"/>
          <w:color w:val="auto"/>
        </w:rPr>
      </w:pPr>
      <w:r>
        <w:rPr>
          <w:rFonts w:ascii="Arial" w:cs="Arial" w:eastAsia="Arial" w:hAnsi="Arial"/>
          <w:sz w:val="17"/>
          <w:szCs w:val="17"/>
          <w:i w:val="1"/>
          <w:iCs w:val="1"/>
          <w:color w:val="auto"/>
        </w:rPr>
        <w:t>Authorization to File Financing Statements; Ratification</w:t>
      </w:r>
      <w:r>
        <w:rPr>
          <w:rFonts w:ascii="Arial" w:cs="Arial" w:eastAsia="Arial" w:hAnsi="Arial"/>
          <w:sz w:val="17"/>
          <w:szCs w:val="17"/>
          <w:color w:val="auto"/>
        </w:rPr>
        <w:t>. Each Grantor hereby (i) authorizes the Notes Collateral Agent to file (A)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financing statements (including Transmitting Utility filings) and amendments thereto with respect to the Collateral naming such Grantor as debtor and the Notes Collateral Agent as secured party, in form appropriate for filing under the UCC of the relevant jurisdiction and (B) filings with the United States Patent and Trademark Office and the United States Copyright Office (including any Intellectual Property Security Agreement executed by the relevant Grantor) as may be necessary or advisable for the purpose of perfecting, enforcing, maintaining or protecting the Lien of the Notes Collateral Agent in United States issued, registered and applied for Patents, Trademarks and Copyrights and exclusive Copyright Licenses contained in the Collateral and naming such Grantor as debtor and the Notes Collateral Agent as secured party and, (ii) subject to the terms of the Notes Documents (including the limitations set forth in </w:t>
      </w:r>
      <w:r>
        <w:rPr>
          <w:rFonts w:ascii="Arial" w:cs="Arial" w:eastAsia="Arial" w:hAnsi="Arial"/>
          <w:sz w:val="17"/>
          <w:szCs w:val="17"/>
          <w:u w:val="single" w:color="auto"/>
          <w:color w:val="auto"/>
        </w:rPr>
        <w:t>Section 12.07</w:t>
      </w:r>
      <w:r>
        <w:rPr>
          <w:rFonts w:ascii="Arial" w:cs="Arial" w:eastAsia="Arial" w:hAnsi="Arial"/>
          <w:sz w:val="17"/>
          <w:szCs w:val="17"/>
          <w:color w:val="auto"/>
        </w:rPr>
        <w:t xml:space="preserve"> of the Indenture) agrees to take such other actions, in each case described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as may from time to time be necessary and/or reasonably requested by the Notes Collateral Agent (and authorizes the Notes Collateral Agent to take any such other actions, consistent with and limited to the Perfection Requirements, which it has no obligation to take) in order to establish and maintain a First Priority, valid, enforceable (subject to the Legal Reservations) and perfected security interest in and subject, in the case of Pledged Collateral,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hereof and </w:t>
      </w:r>
      <w:r>
        <w:rPr>
          <w:rFonts w:ascii="Arial" w:cs="Arial" w:eastAsia="Arial" w:hAnsi="Arial"/>
          <w:sz w:val="17"/>
          <w:szCs w:val="17"/>
          <w:u w:val="single" w:color="auto"/>
          <w:color w:val="auto"/>
        </w:rPr>
        <w:t>Section 12.07</w:t>
      </w:r>
      <w:r>
        <w:rPr>
          <w:rFonts w:ascii="Arial" w:cs="Arial" w:eastAsia="Arial" w:hAnsi="Arial"/>
          <w:sz w:val="17"/>
          <w:szCs w:val="17"/>
          <w:color w:val="auto"/>
        </w:rPr>
        <w:t xml:space="preserve"> of the Indenture, Control of, the Collateral, including filing, with written notice to the Notes Collateral Agent, all UCC continuation statements or amendments as may be required by Article 9 of the UCC of each applicable jurisdiction to continue the perfection of the security interest created, or intended to be created, by this Agreement in the Collateral as a perfected security interest. Each Grantor shall pay any applicable filing fees, recordation fees and related reasonable expenses relating to its Collateral in accordance with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of the Indenture. Any financing statement (including Transmitting Utility filings) filed by the Grantors may be filed in any filing office in any applicable UCC jurisdiction and may (i) indicate the Collateral (A) as all assets of the applicable Grantor now existing or hereafter acquired or words of similar effect, regardless of whether any particular asset comprised in the Collateral falls within the scope of Article 9 of the UCC of such jurisdiction, or (B) by any other description which reasonably approximates the description contained in this Security Agreement and (ii) contain any other information required by part 5 of Article 9 of the UCC for the sufficiency or filing office acceptance of any financing statement or amendment. Each Grantor agrees to furnish any such information to the Notes Collateral Agent promptly upon request.</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631" w:val="left"/>
        </w:tabs>
        <w:numPr>
          <w:ilvl w:val="0"/>
          <w:numId w:val="328"/>
        </w:numPr>
        <w:rPr>
          <w:rFonts w:ascii="Arial" w:cs="Arial" w:eastAsia="Arial" w:hAnsi="Arial"/>
          <w:sz w:val="17"/>
          <w:szCs w:val="17"/>
          <w:color w:val="auto"/>
        </w:rPr>
      </w:pPr>
      <w:r>
        <w:rPr>
          <w:rFonts w:ascii="Arial" w:cs="Arial" w:eastAsia="Arial" w:hAnsi="Arial"/>
          <w:sz w:val="17"/>
          <w:szCs w:val="17"/>
          <w:i w:val="1"/>
          <w:iCs w:val="1"/>
          <w:color w:val="auto"/>
        </w:rPr>
        <w:t>Further Assurances</w:t>
      </w:r>
      <w:r>
        <w:rPr>
          <w:rFonts w:ascii="Arial" w:cs="Arial" w:eastAsia="Arial" w:hAnsi="Arial"/>
          <w:sz w:val="17"/>
          <w:szCs w:val="17"/>
          <w:color w:val="auto"/>
        </w:rPr>
        <w:t>. Subject to any Equal Priority Intercreditor Agreement, each Grantor agrees, at its own expense, to take 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actions reasonably necessary to defend title to the Collateral against all Persons (other than Persons holding Permitted Liens on such Collateral that have priority over the Notes Collateral Agent’s Lien) and to defend the security interest of the Notes Collateral Agent in the Collateral and the priority thereof against any Lien that is not a Permitted Lien. Notwithstanding the foregoing, Grantor may to the extent permitted by the Indenture, as part of its ordinary course of business substantially consistent with past practice, grant licenses to third parties to use Intellectual Property Collateral owned, licensed or developed by a Grantor; for the purposes of this Security Agreement, such licensing activity shall not constitute a Lien on such Intellectual Property Collateral. The Notes Collateral Agent and each other Secured Notes Secured Party understands that any such license may be exclusive to the applicable licensees, and such exclusivity provisions may limit the ability of the Notes Collateral Agent to utilize, sell, lease or transfer the related Intellectual Property or otherwise realize value from such Intellectual Property pursuant hereto.</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6" w:name="page247"/>
    <w:bookmarkEnd w:id="246"/>
    <w:p>
      <w:pPr>
        <w:ind w:left="660"/>
        <w:spacing w:after="0"/>
        <w:tabs>
          <w:tab w:leader="none" w:pos="22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Pledged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8" w:lineRule="auto"/>
        <w:tabs>
          <w:tab w:leader="none" w:pos="1729" w:val="left"/>
        </w:tabs>
        <w:numPr>
          <w:ilvl w:val="0"/>
          <w:numId w:val="329"/>
        </w:numPr>
        <w:rPr>
          <w:rFonts w:ascii="Arial" w:cs="Arial" w:eastAsia="Arial" w:hAnsi="Arial"/>
          <w:sz w:val="17"/>
          <w:szCs w:val="17"/>
          <w:color w:val="auto"/>
        </w:rPr>
      </w:pPr>
      <w:r>
        <w:rPr>
          <w:rFonts w:ascii="Arial" w:cs="Arial" w:eastAsia="Arial" w:hAnsi="Arial"/>
          <w:sz w:val="17"/>
          <w:szCs w:val="17"/>
          <w:i w:val="1"/>
          <w:iCs w:val="1"/>
          <w:color w:val="auto"/>
        </w:rPr>
        <w:t>Delivery of Certificated Securities, Tangible Chattel Paper, Instruments and Documents</w:t>
      </w:r>
      <w:r>
        <w:rPr>
          <w:rFonts w:ascii="Arial" w:cs="Arial" w:eastAsia="Arial" w:hAnsi="Arial"/>
          <w:sz w:val="17"/>
          <w:szCs w:val="17"/>
          <w:color w:val="auto"/>
        </w:rPr>
        <w:t>. Each Grantor will (i)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certificated Securities (other than Securities issued by Foreign Subsidiaries) representing or evidencing Pledged Collateral and Tangible Chattel Paper and Instruments described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below, held by the Grantors on the Issue Date, subject to </w:t>
      </w:r>
      <w:r>
        <w:rPr>
          <w:rFonts w:ascii="Arial" w:cs="Arial" w:eastAsia="Arial" w:hAnsi="Arial"/>
          <w:sz w:val="17"/>
          <w:szCs w:val="17"/>
          <w:u w:val="single" w:color="auto"/>
          <w:color w:val="auto"/>
        </w:rPr>
        <w:t>Sections 12.01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12.07</w:t>
      </w:r>
      <w:r>
        <w:rPr>
          <w:rFonts w:ascii="Arial" w:cs="Arial" w:eastAsia="Arial" w:hAnsi="Arial"/>
          <w:sz w:val="17"/>
          <w:szCs w:val="17"/>
          <w:color w:val="auto"/>
        </w:rPr>
        <w:t xml:space="preserve"> of the Indenture, deliver to the Notes Collateral Agent for the benefit of the Secured Notes Secured Parties such certificated Securities, Tangible Chattel Paper and Instruments on the Issue Date (or such longer period as the Notes Collateral Agent may reasonably agree), accompanied by undated instruments of transfer or assignment duly executed in blank and (ii) after the Issue Date, hold in trust for the Notes Collateral Agent upon receipt and (x) if the event giving rise to the obligation under this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7"/>
          <w:szCs w:val="17"/>
          <w:u w:val="single" w:color="auto"/>
          <w:color w:val="auto"/>
        </w:rPr>
        <w:t>Section 4.03(a)</w:t>
      </w:r>
      <w:r>
        <w:rPr>
          <w:rFonts w:ascii="Arial" w:cs="Arial" w:eastAsia="Arial" w:hAnsi="Arial"/>
          <w:sz w:val="17"/>
          <w:szCs w:val="17"/>
          <w:color w:val="auto"/>
        </w:rPr>
        <w:t xml:space="preserve"> of the Indenture for the fiscal quarter in which the relevant event occurred or (y) if the event giving rise to the obligation under this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such longer period as the Notes Collateral Agent may reasonably agree) deliver to the Notes Collateral Agent for the benefit of the Secured Notes Secured Parties any (1) certificated Securities representing or evidencing Pledged Collateral and (2) Tangible Chattel Paper and Instruments, (A) in each case under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having an outstanding balance in excess of $40,000,000, and (B) in each case under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w:t>
      </w:r>
      <w:r>
        <w:rPr>
          <w:rFonts w:ascii="Arial" w:cs="Arial" w:eastAsia="Arial" w:hAnsi="Arial"/>
          <w:sz w:val="17"/>
          <w:szCs w:val="17"/>
          <w:color w:val="auto"/>
        </w:rPr>
        <w:t xml:space="preserve"> above, constituting Collateral received after the date hereof, accompanied by undated instruments of transfer or assignment duly executed in blank.</w:t>
      </w:r>
    </w:p>
    <w:p>
      <w:pPr>
        <w:spacing w:after="0" w:line="184" w:lineRule="exact"/>
        <w:rPr>
          <w:rFonts w:ascii="Arial" w:cs="Arial" w:eastAsia="Arial" w:hAnsi="Arial"/>
          <w:sz w:val="17"/>
          <w:szCs w:val="17"/>
          <w:color w:val="auto"/>
        </w:rPr>
      </w:pPr>
    </w:p>
    <w:p>
      <w:pPr>
        <w:jc w:val="both"/>
        <w:ind w:firstLine="656"/>
        <w:spacing w:after="0" w:line="270" w:lineRule="auto"/>
        <w:tabs>
          <w:tab w:leader="none" w:pos="1604" w:val="left"/>
        </w:tabs>
        <w:numPr>
          <w:ilvl w:val="0"/>
          <w:numId w:val="329"/>
        </w:numPr>
        <w:rPr>
          <w:rFonts w:ascii="Arial" w:cs="Arial" w:eastAsia="Arial" w:hAnsi="Arial"/>
          <w:sz w:val="17"/>
          <w:szCs w:val="17"/>
          <w:color w:val="auto"/>
        </w:rPr>
      </w:pPr>
      <w:r>
        <w:rPr>
          <w:rFonts w:ascii="Arial" w:cs="Arial" w:eastAsia="Arial" w:hAnsi="Arial"/>
          <w:sz w:val="17"/>
          <w:szCs w:val="17"/>
          <w:i w:val="1"/>
          <w:iCs w:val="1"/>
          <w:color w:val="auto"/>
        </w:rPr>
        <w:t>Uncertificated Securities and Pledged Collateral</w:t>
      </w:r>
      <w:r>
        <w:rPr>
          <w:rFonts w:ascii="Arial" w:cs="Arial" w:eastAsia="Arial" w:hAnsi="Arial"/>
          <w:sz w:val="17"/>
          <w:szCs w:val="17"/>
          <w:color w:val="auto"/>
        </w:rPr>
        <w:t>. With respect to any partnership interest or limited liability company interest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Capital Stock owned by any Grantor which is required to be pledged to the Notes Collateral Agent pursuant to the terms hereof (other than a partnership interest or limited liability company interest held by a Clearing Corporation, Securities Intermediary or other financial intermediary of any kind) or any other Capital Stock which is not represented by a certificate, such Grantor shall not permit any issuer of such partnership interest, limited liability company interest or any other Capital Stock to (i) enter into any agreement with any Person, other than the Notes Collateral Agent or any holder of a Permitted Lien to the extent such Permitted Lien has priority over the Notes Collateral Agent’s Lien, whereby such issuer effectively delivers “control” of such partnership interest, limited liability company interest or other Capital Stock (as applicable) under the UCC to such Person or (ii) allow such partnership interest, limited liability company interest or any other Capital Stock that is not already a Security to become a Security unless such Grantor complies with the procedures set forth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within the time period prescribed therein.</w:t>
      </w:r>
    </w:p>
    <w:p>
      <w:pPr>
        <w:spacing w:after="0" w:line="180" w:lineRule="exact"/>
        <w:rPr>
          <w:rFonts w:ascii="Arial" w:cs="Arial" w:eastAsia="Arial" w:hAnsi="Arial"/>
          <w:sz w:val="17"/>
          <w:szCs w:val="17"/>
          <w:color w:val="auto"/>
        </w:rPr>
      </w:pPr>
    </w:p>
    <w:p>
      <w:pPr>
        <w:jc w:val="both"/>
        <w:ind w:firstLine="656"/>
        <w:spacing w:after="0" w:line="291" w:lineRule="auto"/>
        <w:tabs>
          <w:tab w:leader="none" w:pos="1675" w:val="left"/>
        </w:tabs>
        <w:numPr>
          <w:ilvl w:val="0"/>
          <w:numId w:val="329"/>
        </w:numPr>
        <w:rPr>
          <w:rFonts w:ascii="Arial" w:cs="Arial" w:eastAsia="Arial" w:hAnsi="Arial"/>
          <w:sz w:val="16"/>
          <w:szCs w:val="16"/>
          <w:color w:val="auto"/>
        </w:rPr>
      </w:pPr>
      <w:r>
        <w:rPr>
          <w:rFonts w:ascii="Arial" w:cs="Arial" w:eastAsia="Arial" w:hAnsi="Arial"/>
          <w:sz w:val="16"/>
          <w:szCs w:val="16"/>
          <w:i w:val="1"/>
          <w:iCs w:val="1"/>
          <w:color w:val="auto"/>
        </w:rPr>
        <w:t>Registration in Nominee Name; Denominations</w:t>
      </w:r>
      <w:r>
        <w:rPr>
          <w:rFonts w:ascii="Arial" w:cs="Arial" w:eastAsia="Arial" w:hAnsi="Arial"/>
          <w:sz w:val="16"/>
          <w:szCs w:val="16"/>
          <w:color w:val="auto"/>
        </w:rPr>
        <w:t>. Subject to any Equal Priority Intercreditor Agreement, the Notes Collateral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behalf of the Secured Notes Secured Parties, shall hold certificated Pledged Collateral required to be delivered to the Notes Collateral Agent under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in the name of the applicable Grantor, endorsed or assigned in blank or in favor of the Notes Collateral Agent, but at any time when an Event of Default exists and is continuing and upon at least three (3) Business Days’ prior written notice to the Issuer, the Notes Collateral Agent shall have the right (in its sole and absolute discretion) to hold the Pledged Collateral in its own name as pledgee, or in the name of its nominee (as pledgee or as sub-agent). At any time when an Event of Default exists, the Notes Collateral Agent shall have the right to exchange the certificates representing Pledged Collateral for certificates of smaller or larger denominations for any purpose consistent with this Security Agreement.</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7" w:name="page248"/>
    <w:bookmarkEnd w:id="247"/>
    <w:p>
      <w:pPr>
        <w:ind w:left="1580" w:hanging="924"/>
        <w:spacing w:after="0"/>
        <w:tabs>
          <w:tab w:leader="none" w:pos="1580"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Exercise of Rights in Pledged Collateral</w:t>
      </w:r>
      <w:r>
        <w:rPr>
          <w:rFonts w:ascii="Arial" w:cs="Arial" w:eastAsia="Arial" w:hAnsi="Arial"/>
          <w:sz w:val="18"/>
          <w:szCs w:val="18"/>
          <w:color w:val="auto"/>
        </w:rPr>
        <w:t>. It is agreed that:</w:t>
      </w:r>
    </w:p>
    <w:p>
      <w:pPr>
        <w:spacing w:after="0" w:line="225" w:lineRule="exact"/>
        <w:rPr>
          <w:rFonts w:ascii="Arial" w:cs="Arial" w:eastAsia="Arial" w:hAnsi="Arial"/>
          <w:sz w:val="18"/>
          <w:szCs w:val="18"/>
          <w:color w:val="auto"/>
        </w:rPr>
      </w:pPr>
    </w:p>
    <w:p>
      <w:pPr>
        <w:jc w:val="both"/>
        <w:ind w:left="660" w:firstLine="903"/>
        <w:spacing w:after="0" w:line="263" w:lineRule="auto"/>
        <w:tabs>
          <w:tab w:leader="none" w:pos="243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without in any way limiting the foregoing and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each Grantor shall have the right to exercise all voting rights or other rights relating to the Pledged Collateral for any purpose that does not violate this Security Agreement, the Indenture or any other Notes Document;</w:t>
      </w:r>
    </w:p>
    <w:p>
      <w:pPr>
        <w:spacing w:after="0" w:line="183" w:lineRule="exact"/>
        <w:rPr>
          <w:rFonts w:ascii="Arial" w:cs="Arial" w:eastAsia="Arial" w:hAnsi="Arial"/>
          <w:sz w:val="18"/>
          <w:szCs w:val="18"/>
          <w:color w:val="auto"/>
        </w:rPr>
      </w:pPr>
    </w:p>
    <w:p>
      <w:pPr>
        <w:jc w:val="both"/>
        <w:ind w:left="660" w:firstLine="903"/>
        <w:spacing w:after="0" w:line="263" w:lineRule="auto"/>
        <w:tabs>
          <w:tab w:leader="none" w:pos="2587"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each Grantor will permit the Notes Collateral Agent or its nominee at any time when an Event of Default exists and is continuing to exercise the rights and remedies provided under </w:t>
      </w:r>
      <w:r>
        <w:rPr>
          <w:rFonts w:ascii="Arial" w:cs="Arial" w:eastAsia="Arial" w:hAnsi="Arial"/>
          <w:sz w:val="18"/>
          <w:szCs w:val="18"/>
          <w:u w:val="single" w:color="auto"/>
          <w:color w:val="auto"/>
        </w:rPr>
        <w:t>Section 5.01(a)(iv)</w:t>
      </w:r>
      <w:r>
        <w:rPr>
          <w:rFonts w:ascii="Arial" w:cs="Arial" w:eastAsia="Arial" w:hAnsi="Arial"/>
          <w:sz w:val="18"/>
          <w:szCs w:val="18"/>
          <w:color w:val="auto"/>
        </w:rPr>
        <w:t xml:space="preserve"> (subject to the notice requirements set forth therein and applicable Requirements of Law); and</w:t>
      </w:r>
    </w:p>
    <w:p>
      <w:pPr>
        <w:spacing w:after="0" w:line="183" w:lineRule="exact"/>
        <w:rPr>
          <w:rFonts w:ascii="Arial" w:cs="Arial" w:eastAsia="Arial" w:hAnsi="Arial"/>
          <w:sz w:val="18"/>
          <w:szCs w:val="18"/>
          <w:color w:val="auto"/>
        </w:rPr>
      </w:pPr>
    </w:p>
    <w:p>
      <w:pPr>
        <w:jc w:val="both"/>
        <w:ind w:left="660" w:firstLine="903"/>
        <w:spacing w:after="0" w:line="272" w:lineRule="auto"/>
        <w:tabs>
          <w:tab w:leader="none" w:pos="2821" w:val="left"/>
        </w:tabs>
        <w:numPr>
          <w:ilvl w:val="1"/>
          <w:numId w:val="33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5.01(a)(iv)</w:t>
      </w:r>
      <w:r>
        <w:rPr>
          <w:rFonts w:ascii="Arial" w:cs="Arial" w:eastAsia="Arial" w:hAnsi="Arial"/>
          <w:sz w:val="17"/>
          <w:szCs w:val="17"/>
          <w:color w:val="auto"/>
        </w:rPr>
        <w:t xml:space="preserve">, each Grantor shall be entitled to receive and retain any and all dividends, interest, principal and other distributions paid on or distributed in respect of the Pledged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non-cash dividends or other distributions that would constitute Pledged Collateral, whether resulting from a subdivision, combination or reclassification of the outstanding Capital Stock of the issuer of any Pledged Collateral or received in exchange for Pledged Collateral or any part thereof, or in redemption thereof, or as a result of any merger, consolidation, acquisition or other exchange of assets to which such issuer may be a party or otherwise, shall, to the extent constituting Collateral, be and become part of the Pledged Collateral, and, if received by any Grantor, shall be delivered to the Notes Collateral Agent as and to the extent required by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716"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Return of Pledged Collateral</w:t>
      </w:r>
      <w:r>
        <w:rPr>
          <w:rFonts w:ascii="Arial" w:cs="Arial" w:eastAsia="Arial" w:hAnsi="Arial"/>
          <w:sz w:val="18"/>
          <w:szCs w:val="18"/>
          <w:color w:val="auto"/>
        </w:rPr>
        <w:t>. So long as no Event of Default then exists, the Notes Collateral Agent shall promptly deliver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Grantor (without recourse and without any representation or warranty) any Pledged Collateral in its possession if requested to be delivered to the issuer or holder thereof in connection with any action or transaction that is permitted or not restricted by the Indenture in accordance with </w:t>
      </w:r>
      <w:r>
        <w:rPr>
          <w:rFonts w:ascii="Arial" w:cs="Arial" w:eastAsia="Arial" w:hAnsi="Arial"/>
          <w:sz w:val="18"/>
          <w:szCs w:val="18"/>
          <w:u w:val="single" w:color="auto"/>
          <w:color w:val="auto"/>
        </w:rPr>
        <w:t>Sections 12.02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12.08</w:t>
      </w:r>
      <w:r>
        <w:rPr>
          <w:rFonts w:ascii="Arial" w:cs="Arial" w:eastAsia="Arial" w:hAnsi="Arial"/>
          <w:sz w:val="18"/>
          <w:szCs w:val="18"/>
          <w:color w:val="auto"/>
        </w:rPr>
        <w:t xml:space="preserve"> of the Indenture.</w:t>
      </w:r>
    </w:p>
    <w:p>
      <w:pPr>
        <w:spacing w:after="0" w:line="18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3" w:lineRule="auto"/>
        <w:tabs>
          <w:tab w:leader="none" w:pos="177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At any time when an Event of Default exists and is continuing and upon the written request of the Notes Collateral Agent, each Grantor will (i) use its commercially reasonable efforts to obtain all consents and approvals necessary or appropriate for the assignment to or for the benefit of the Notes Collateral Agent of any License held by such Grantor in the U.S. to enable the Notes Collateral Agent to enforce the security interests granted hereunder and (ii) to the extent required pursuant to any material License in the U.S. under which such Grantor is the licensee, deliver to the licensor thereunder any notice of the grant of security interest hereunder or such other notices required to be delivered thereunder in order to permit the security interest created or permitted to be created hereunder pursuant to the terms of such License.</w:t>
      </w:r>
    </w:p>
    <w:p>
      <w:pPr>
        <w:spacing w:after="0" w:line="177" w:lineRule="exact"/>
        <w:rPr>
          <w:rFonts w:ascii="Arial" w:cs="Arial" w:eastAsia="Arial" w:hAnsi="Arial"/>
          <w:sz w:val="17"/>
          <w:szCs w:val="17"/>
          <w:color w:val="auto"/>
        </w:rPr>
      </w:pPr>
    </w:p>
    <w:p>
      <w:pPr>
        <w:jc w:val="both"/>
        <w:ind w:firstLine="656"/>
        <w:spacing w:after="0" w:line="254" w:lineRule="auto"/>
        <w:tabs>
          <w:tab w:leader="none" w:pos="19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Grantor shall notify the Notes Collateral Agent promptly if it knows or reasonably expects that any application for or registration of any Patent, Trademark, Domain Name, or Copyright (now or hereafter existing) may become abandoned or dedicated to the public, or of any determination or development (including the institution of, or any such determination or development in, any proceeding in the United States Patent and Trademark Office, the United States Copyright Office or any court, except for routine office actions issued in the normal course of prosecution) abandoning such Grantor’s ownership of any such Patent, Trademark or Copyright, its right to register the same, or to keep and maintain the same, except, in each case, to the extent the same is permitted or not restricted by the Indenture or where the same, individually or in the aggregate, could not reasonably be expected to result in a Material Adverse Effect.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8" w:name="page249"/>
    <w:bookmarkEnd w:id="248"/>
    <w:p>
      <w:pPr>
        <w:jc w:val="both"/>
        <w:ind w:firstLine="656"/>
        <w:spacing w:after="0" w:line="268" w:lineRule="auto"/>
        <w:tabs>
          <w:tab w:leader="none" w:pos="1619"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In the event that any Grantor files an application for the registration of any Patent, Trademark (for the avoidance of doubt, excluding any “intent to use” trademark applications) or Copyright with the United States Patent and Trademark Office or the United States Copyright Office, acquires any such application or registration by purchase or assignment or acquires an exclusive Copyright License, in each case, after the Issue Date (and other than as a result of an application that is then subject to an Intellectual Property Security Agreement becoming registered), it shall (x) if the event giving rise to the obligation under this </w:t>
      </w:r>
      <w:r>
        <w:rPr>
          <w:rFonts w:ascii="Arial" w:cs="Arial" w:eastAsia="Arial" w:hAnsi="Arial"/>
          <w:sz w:val="17"/>
          <w:szCs w:val="17"/>
          <w:u w:val="single" w:color="auto"/>
          <w:color w:val="auto"/>
        </w:rPr>
        <w:t>Section 4.03(c)</w:t>
      </w:r>
      <w:r>
        <w:rPr>
          <w:rFonts w:ascii="Arial" w:cs="Arial" w:eastAsia="Arial" w:hAnsi="Arial"/>
          <w:sz w:val="17"/>
          <w:szCs w:val="17"/>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7"/>
          <w:szCs w:val="17"/>
          <w:u w:val="single" w:color="auto"/>
          <w:color w:val="auto"/>
        </w:rPr>
        <w:t>Section 4.03(a)</w:t>
      </w:r>
      <w:r>
        <w:rPr>
          <w:rFonts w:ascii="Arial" w:cs="Arial" w:eastAsia="Arial" w:hAnsi="Arial"/>
          <w:sz w:val="17"/>
          <w:szCs w:val="17"/>
          <w:color w:val="auto"/>
        </w:rPr>
        <w:t xml:space="preserve"> of the Indenture for the fiscal quarter in which the relevant event occurred or (y) if the event giving rise to the obligation under this </w:t>
      </w:r>
      <w:r>
        <w:rPr>
          <w:rFonts w:ascii="Arial" w:cs="Arial" w:eastAsia="Arial" w:hAnsi="Arial"/>
          <w:sz w:val="17"/>
          <w:szCs w:val="17"/>
          <w:u w:val="single" w:color="auto"/>
          <w:color w:val="auto"/>
        </w:rPr>
        <w:t>Section 4.03(c)</w:t>
      </w:r>
      <w:r>
        <w:rPr>
          <w:rFonts w:ascii="Arial" w:cs="Arial" w:eastAsia="Arial" w:hAnsi="Arial"/>
          <w:sz w:val="17"/>
          <w:szCs w:val="17"/>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above, such longer period as the Notes Collateral Agent may reasonably agree) notify the Notes Collateral Agent and, promptly execute and deliver to the Notes Collateral Agent, at such Grantor’s sole cost and expense, any Intellectual Property Security Agreement, as applicable, or other instrument as may be required by applicable law or as the Notes Collateral Agent may reasonably request and require to evidence the Notes Collateral Agent’s security interest in such applied for or registered Patent, Trademark or Copyright (or application therefor) or exclusive Copyright License, and the General Intangibles of such Grantor relating thereto or represented thereby.</w:t>
      </w:r>
    </w:p>
    <w:p>
      <w:pPr>
        <w:spacing w:after="0" w:line="186" w:lineRule="exact"/>
        <w:rPr>
          <w:rFonts w:ascii="Arial" w:cs="Arial" w:eastAsia="Arial" w:hAnsi="Arial"/>
          <w:sz w:val="17"/>
          <w:szCs w:val="17"/>
          <w:color w:val="auto"/>
        </w:rPr>
      </w:pPr>
    </w:p>
    <w:p>
      <w:pPr>
        <w:jc w:val="both"/>
        <w:ind w:firstLine="656"/>
        <w:spacing w:after="0" w:line="254" w:lineRule="auto"/>
        <w:tabs>
          <w:tab w:leader="none" w:pos="166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Grantor shall take all actions necessary or reasonably requested by the Notes Collateral Agent to (i) maintain and pursue each application and to obtain and maintain the registration of each Patent, Trademark, Domain Name and Copyright included in the Collateral (now or hereafter existing), including by filing applications for renewal, affidavits of use, affidavits of incontestability and, if consistent with good business judgment, by initiating opposition, interference and cancellation proceedings against third parties, (ii) maintain and protect the secrecy or confidentiality of its material Trade Secrets and (iii) otherwise protect and preserve such Grantor’s rights in, and the validity or enforceability of, its Intellectual Property Collateral, in each case except where failure to do so (A) could not reasonably be expected to result in a Material Adverse Effect, or (B) is otherwise permitted under the Indenture.</w:t>
      </w:r>
    </w:p>
    <w:p>
      <w:pPr>
        <w:spacing w:after="0" w:line="194" w:lineRule="exact"/>
        <w:rPr>
          <w:rFonts w:ascii="Arial" w:cs="Arial" w:eastAsia="Arial" w:hAnsi="Arial"/>
          <w:sz w:val="18"/>
          <w:szCs w:val="18"/>
          <w:color w:val="auto"/>
        </w:rPr>
      </w:pPr>
    </w:p>
    <w:p>
      <w:pPr>
        <w:jc w:val="both"/>
        <w:ind w:firstLine="656"/>
        <w:spacing w:after="0" w:line="259" w:lineRule="auto"/>
        <w:tabs>
          <w:tab w:leader="none" w:pos="169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Grantor shall promptly notify the Notes Collateral Agent of any material infringement or misappropriation of such Grantor’s Patents, Trademarks, Copyrights or Trade Secrets of which it becomes aware and shall take such actions as are commercially reasonable and appropriate under the circumstances to protect such Patent, Trademark, Copyright or Trade Secret, except where such infringement, misappropriation or dilution could not reasonably be expected to cause a Material Adverse Effect.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Commercial Tort Claims</w:t>
      </w:r>
      <w:r>
        <w:rPr>
          <w:rFonts w:ascii="Arial" w:cs="Arial" w:eastAsia="Arial" w:hAnsi="Arial"/>
          <w:sz w:val="16"/>
          <w:szCs w:val="16"/>
          <w:color w:val="auto"/>
        </w:rPr>
        <w:t xml:space="preserve">. After the Issue Date, (x) if the event giving rise to the obligation under this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occurs during the first three fiscal quarters of any fiscal year of the Issuer, on or before the date on which financial statements are required to be delivered pursuant to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of the Indenture for the fiscal quarter in which the relevant event occurred or (y) if the event giving rise to the obligation under this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occurs during the fourth fiscal quarter of any fiscal year of the Issuer, on or before the date that is 60 days after the end of such fiscal quarter (or, in each of the cases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such longer period as the Notes Collateral Agent may reasonably agree) each relevant Grantor shall notify the Notes Collateral Agent of any Commercial Tort Claim with an individual value (as reasonably estimated by the Issuer) in excess of $40,000,000 acquired by it, together with an update to </w:t>
      </w:r>
      <w:r>
        <w:rPr>
          <w:rFonts w:ascii="Arial" w:cs="Arial" w:eastAsia="Arial" w:hAnsi="Arial"/>
          <w:sz w:val="16"/>
          <w:szCs w:val="16"/>
          <w:u w:val="single" w:color="auto"/>
          <w:color w:val="auto"/>
        </w:rPr>
        <w:t>Schedule 12</w:t>
      </w:r>
      <w:r>
        <w:rPr>
          <w:rFonts w:ascii="Arial" w:cs="Arial" w:eastAsia="Arial" w:hAnsi="Arial"/>
          <w:sz w:val="16"/>
          <w:szCs w:val="16"/>
          <w:color w:val="auto"/>
        </w:rPr>
        <w:t xml:space="preserve"> to the Cumulative Perfection Certificate containing a summary description thereof, and such Commercial Tort Claim (and the Proceeds thereof) shall automatically constitute Collateral, all upon the terms of this Security Agreement.</w:t>
      </w: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9" w:name="page250"/>
    <w:bookmarkEnd w:id="249"/>
    <w:p>
      <w:pPr>
        <w:jc w:val="both"/>
        <w:ind w:firstLine="648"/>
        <w:spacing w:after="0" w:line="286"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Except to the extent otherwise permitted to be retained by any Grantor or applied by any Grantor pursuant to the terms of the Notes Documents, the Notes Collateral Agent shall, at the time when an Event of Default exists and is continuing and any proceeds of any insurance are distributed to the Secured Notes Secured Parties, apply such proceeds in accordance with </w:t>
      </w:r>
      <w:r>
        <w:rPr>
          <w:rFonts w:ascii="Arial" w:cs="Arial" w:eastAsia="Arial" w:hAnsi="Arial"/>
          <w:sz w:val="17"/>
          <w:szCs w:val="17"/>
          <w:u w:val="single" w:color="auto"/>
          <w:color w:val="auto"/>
        </w:rPr>
        <w:t>Section 5.04</w:t>
      </w:r>
      <w:r>
        <w:rPr>
          <w:rFonts w:ascii="Arial" w:cs="Arial" w:eastAsia="Arial" w:hAnsi="Arial"/>
          <w:sz w:val="17"/>
          <w:szCs w:val="17"/>
          <w:color w:val="auto"/>
        </w:rPr>
        <w:t>.</w:t>
      </w:r>
    </w:p>
    <w:p>
      <w:pPr>
        <w:spacing w:after="0" w:line="16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Grantors Remain Liable.</w:t>
      </w:r>
    </w:p>
    <w:p>
      <w:pPr>
        <w:spacing w:after="0" w:line="225" w:lineRule="exact"/>
        <w:rPr>
          <w:sz w:val="20"/>
          <w:szCs w:val="20"/>
          <w:color w:val="auto"/>
        </w:rPr>
      </w:pPr>
    </w:p>
    <w:p>
      <w:pPr>
        <w:jc w:val="both"/>
        <w:ind w:firstLine="656"/>
        <w:spacing w:after="0" w:line="271" w:lineRule="auto"/>
        <w:tabs>
          <w:tab w:leader="none" w:pos="163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Each Grantor (rather than the Notes Collateral Agent or any Secured Notes Secured Party) shall remain liable (as between itself and any relevant counterparty) to observe and perform all the conditions and obligations to be observed and performed by it under any Contract relating to the Collateral, all in accordance with the terms and conditions thereof. Neither the Notes Collateral Agent nor any other Secured Notes Secured Party shall have any obligation or liability under any Contract by reason of or arising out of this Security Agreement or the receipt by the Notes Collateral Agent or any other Secured Notes Secured Party of any payment relating to such Contract pursuant hereto, nor shall the Notes Collateral Agent or any other Secured Notes Secured Party be obligated in any manner to perform any of the obligations of any Grantor under or pursuant to any Contract, to make any payment, to make any inquiry as to the nature or sufficiency of any performance or to collect the payment of any amounts which may have been assigned to them or to which they may be entitled at any time or times.</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59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Grantor assumes all liability and responsibility in connection with the Collateral acquired by it, and the liability of such Grantor to pay the Secured Notes Obligations shall in no way be affected or diminished by reason of the fact that such Collateral may be lost, destroyed, stolen, damaged or for any reason whatsoever unavailable to such Grantor.</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62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Notwithstanding anything herein to the contrary, each Grantor (rather than the Notes Collateral Agent or any Secured Notes Secured Party) shall remain liable under each of the Accounts to observe and perform all of the conditions and obligations to be observed and performed by it thereunder, all in accordance with the terms of any agreement giving rise to such Accounts. Neither the Notes Collateral Agent nor any other Secured Notes Secured Party shall have any obligation or liability under any Account (or any agreement giving rise thereto) by reason of or arising out of this Security Agreement or the receipt by the Notes Collateral Agent or any other Secured Notes Secured Party of any payment relating to such Account pursuant hereto, nor shall the Notes Collateral Agent or any other Secured Notes Secured Party be obligated in any manner to perform any of the obligations of any Grantor under or pursuant to any Account (or any agreement giving rise thereto), to make any payment, to make any inquiry as to the nature or the sufficiency of any payment received by them or as to the sufficiency of any performance by any party under any Account (or any agreement giving rise thereto), to present or file any claim, to take any action to enforce any performance or to collect the payment of any amounts which may have been assigned to them or to which they may be entitled at any time or times.</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0" w:name="page251"/>
    <w:bookmarkEnd w:id="250"/>
    <w:p>
      <w:pPr>
        <w:ind w:left="518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i w:val="1"/>
          <w:iCs w:val="1"/>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6" w:lineRule="auto"/>
        <w:tabs>
          <w:tab w:leader="none" w:pos="165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Each Grantor agrees that, at any time when an Event of Default exists and is continuing (and upon at least three (3) Business Days’ prior written notice to the Issuer in the case of any exercise of rights and remedies with respect to Collateral), the Notes Collateral Agent may exercise any or all of the following rights and remedies (in addition to the rights and remedies existing under applicable Requirements of Law):</w:t>
      </w:r>
    </w:p>
    <w:p>
      <w:pPr>
        <w:spacing w:after="0" w:line="165" w:lineRule="exact"/>
        <w:rPr>
          <w:rFonts w:ascii="Arial" w:cs="Arial" w:eastAsia="Arial" w:hAnsi="Arial"/>
          <w:sz w:val="17"/>
          <w:szCs w:val="17"/>
          <w:color w:val="auto"/>
        </w:rPr>
      </w:pPr>
    </w:p>
    <w:p>
      <w:pPr>
        <w:jc w:val="both"/>
        <w:ind w:left="660" w:firstLine="903"/>
        <w:spacing w:after="0" w:line="263" w:lineRule="auto"/>
        <w:tabs>
          <w:tab w:leader="none" w:pos="2715"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the rights and remedies provided in this Security Agreement, the Indenture, or any other Notes Document (for the avoidance of doubt, this </w:t>
      </w:r>
      <w:r>
        <w:rPr>
          <w:rFonts w:ascii="Arial" w:cs="Arial" w:eastAsia="Arial" w:hAnsi="Arial"/>
          <w:sz w:val="18"/>
          <w:szCs w:val="18"/>
          <w:u w:val="single" w:color="auto"/>
          <w:color w:val="auto"/>
        </w:rPr>
        <w:t>Section 5.01(a)(i)</w:t>
      </w:r>
      <w:r>
        <w:rPr>
          <w:rFonts w:ascii="Arial" w:cs="Arial" w:eastAsia="Arial" w:hAnsi="Arial"/>
          <w:sz w:val="18"/>
          <w:szCs w:val="18"/>
          <w:color w:val="auto"/>
        </w:rPr>
        <w:t xml:space="preserve"> shall not limit or impair the exercise of any such rights and remedies with respect to matters not involving Collateral that are available under the Notes Documents whether or not an Event of Default has occurred);</w:t>
      </w:r>
    </w:p>
    <w:p>
      <w:pPr>
        <w:spacing w:after="0" w:line="183" w:lineRule="exact"/>
        <w:rPr>
          <w:rFonts w:ascii="Arial" w:cs="Arial" w:eastAsia="Arial" w:hAnsi="Arial"/>
          <w:sz w:val="18"/>
          <w:szCs w:val="18"/>
          <w:color w:val="auto"/>
        </w:rPr>
      </w:pPr>
    </w:p>
    <w:p>
      <w:pPr>
        <w:jc w:val="both"/>
        <w:ind w:left="660" w:firstLine="903"/>
        <w:spacing w:after="0" w:line="263" w:lineRule="auto"/>
        <w:tabs>
          <w:tab w:leader="none" w:pos="254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rights and remedies available to a secured party under the UCC or under any other applicable Requirements of Law (including, without limitation, any law governing the exercise of a bank’s right of setoff or bankers’ Lien) when a debtor is in default under a security agreement;</w:t>
      </w:r>
    </w:p>
    <w:p>
      <w:pPr>
        <w:spacing w:after="0" w:line="183" w:lineRule="exact"/>
        <w:rPr>
          <w:rFonts w:ascii="Arial" w:cs="Arial" w:eastAsia="Arial" w:hAnsi="Arial"/>
          <w:sz w:val="18"/>
          <w:szCs w:val="18"/>
          <w:color w:val="auto"/>
        </w:rPr>
      </w:pPr>
    </w:p>
    <w:p>
      <w:pPr>
        <w:jc w:val="both"/>
        <w:ind w:left="660" w:firstLine="903"/>
        <w:spacing w:after="0" w:line="290" w:lineRule="auto"/>
        <w:tabs>
          <w:tab w:leader="none" w:pos="2548"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enter the premises of any Grantor where any Collateral is located (through self-help and without judicial process) and to collect, receive, assemble, process, appropriate, sell, lease, assign, grant an option or options to purchase or otherwise dispose of, deliver, or realize upon, the Collateral or any part thereof in one or more parcels at one or more public or private sales (which sales may be adjourned or continued from time to time with or without notice and may take place at such Grantor’s premises or elsewhere), for cash, on credit or for future delivery without assumption of any credit risk, and upon such other terms as the Notes Collateral Agent may deem commercially reasonable and each purchaser, assignee, licensee or recipient at any such sale shall acquire the property sold, assigned or licensed absolutely free from any claim or right on the part of any Grantor, and each Grantor hereby waives, to the fullest extent permitted by law, all rights of redemption, stay and/or appraisal which it now has or may at any time in the future have under any rule of law or statute now existing or hereafter enacted;</w:t>
      </w:r>
    </w:p>
    <w:p>
      <w:pPr>
        <w:spacing w:after="0" w:line="165" w:lineRule="exact"/>
        <w:rPr>
          <w:rFonts w:ascii="Arial" w:cs="Arial" w:eastAsia="Arial" w:hAnsi="Arial"/>
          <w:sz w:val="16"/>
          <w:szCs w:val="16"/>
          <w:color w:val="auto"/>
        </w:rPr>
      </w:pPr>
    </w:p>
    <w:p>
      <w:pPr>
        <w:jc w:val="both"/>
        <w:ind w:left="660" w:firstLine="903"/>
        <w:spacing w:after="0" w:line="291" w:lineRule="auto"/>
        <w:tabs>
          <w:tab w:leader="none" w:pos="251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 xml:space="preserve">transfer and register in its name or in the name of its nominee the whole or any part of the Pledged Collateral, to exercise the voting and all other rights as a holder with respect thereto (whereupon the voting and other rights of such Grantor described in </w:t>
      </w:r>
      <w:r>
        <w:rPr>
          <w:rFonts w:ascii="Arial" w:cs="Arial" w:eastAsia="Arial" w:hAnsi="Arial"/>
          <w:sz w:val="16"/>
          <w:szCs w:val="16"/>
          <w:u w:val="single" w:color="auto"/>
          <w:color w:val="auto"/>
        </w:rPr>
        <w:t>Section 4.02(d)</w:t>
      </w:r>
    </w:p>
    <w:p>
      <w:pPr>
        <w:jc w:val="both"/>
        <w:ind w:left="660" w:hanging="4"/>
        <w:spacing w:after="0" w:line="252" w:lineRule="auto"/>
        <w:tabs>
          <w:tab w:leader="none" w:pos="882" w:val="left"/>
        </w:tabs>
        <w:numPr>
          <w:ilvl w:val="0"/>
          <w:numId w:val="335"/>
        </w:numPr>
        <w:rPr>
          <w:rFonts w:ascii="Arial" w:cs="Arial" w:eastAsia="Arial" w:hAnsi="Arial"/>
          <w:sz w:val="18"/>
          <w:szCs w:val="18"/>
          <w:u w:val="single" w:color="auto"/>
          <w:color w:val="auto"/>
        </w:rPr>
      </w:pPr>
      <w:r>
        <w:rPr>
          <w:rFonts w:ascii="Arial" w:cs="Arial" w:eastAsia="Arial" w:hAnsi="Arial"/>
          <w:sz w:val="18"/>
          <w:szCs w:val="18"/>
          <w:color w:val="auto"/>
        </w:rPr>
        <w:t>above shall immediately cease such that the Notes Collateral Agent shall have the sole right to exercise such voting and other rights while the relevant Event of Default exists and is continuing), to collect and receive all cash dividends, interest, principal and other distributions made thereon (it being understood that all Stock Rights received by any Grantor while the relevant Event of Default exists and is continuing shall be received in trust for the benefit of the Notes Collateral Agent and forthwith paid over to the Notes Collateral Agent in the same form as so received (with any necessary endorsements)) and to otherwise act with respect to the Pledged Collateral as though the Notes Collateral Agent was the outright owner thereof; and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1" w:name="page252"/>
    <w:bookmarkEnd w:id="251"/>
    <w:p>
      <w:pPr>
        <w:jc w:val="both"/>
        <w:ind w:left="660" w:right="20" w:firstLine="903"/>
        <w:spacing w:after="0" w:line="342" w:lineRule="auto"/>
        <w:tabs>
          <w:tab w:leader="none" w:pos="2479" w:val="left"/>
        </w:tabs>
        <w:numPr>
          <w:ilvl w:val="2"/>
          <w:numId w:val="336"/>
        </w:numPr>
        <w:rPr>
          <w:rFonts w:ascii="Arial" w:cs="Arial" w:eastAsia="Arial" w:hAnsi="Arial"/>
          <w:sz w:val="16"/>
          <w:szCs w:val="16"/>
          <w:color w:val="auto"/>
        </w:rPr>
      </w:pPr>
      <w:r>
        <w:rPr>
          <w:rFonts w:ascii="Arial" w:cs="Arial" w:eastAsia="Arial" w:hAnsi="Arial"/>
          <w:sz w:val="16"/>
          <w:szCs w:val="16"/>
          <w:color w:val="auto"/>
        </w:rPr>
        <w:t>take possession of the Collateral or any part thereof, by directing such Grantor in writing to deliver the same to the Notes Collateral Agent at any reasonable place or places designated by the Notes Collateral Agent, in which event such Grantor shall at its own expense:</w:t>
      </w:r>
    </w:p>
    <w:p>
      <w:pPr>
        <w:spacing w:after="0" w:line="123" w:lineRule="exact"/>
        <w:rPr>
          <w:rFonts w:ascii="Arial" w:cs="Arial" w:eastAsia="Arial" w:hAnsi="Arial"/>
          <w:sz w:val="16"/>
          <w:szCs w:val="16"/>
          <w:color w:val="auto"/>
        </w:rPr>
      </w:pPr>
    </w:p>
    <w:p>
      <w:pPr>
        <w:ind w:left="1300" w:firstLine="652"/>
        <w:spacing w:after="0" w:line="277" w:lineRule="auto"/>
        <w:tabs>
          <w:tab w:leader="none" w:pos="2938" w:val="left"/>
        </w:tabs>
        <w:numPr>
          <w:ilvl w:val="3"/>
          <w:numId w:val="336"/>
        </w:numPr>
        <w:rPr>
          <w:rFonts w:ascii="Arial" w:cs="Arial" w:eastAsia="Arial" w:hAnsi="Arial"/>
          <w:sz w:val="18"/>
          <w:szCs w:val="18"/>
          <w:color w:val="auto"/>
        </w:rPr>
      </w:pPr>
      <w:r>
        <w:rPr>
          <w:rFonts w:ascii="Arial" w:cs="Arial" w:eastAsia="Arial" w:hAnsi="Arial"/>
          <w:sz w:val="18"/>
          <w:szCs w:val="18"/>
          <w:color w:val="auto"/>
        </w:rPr>
        <w:t>forthwith cause the same to be moved to the place or places so designated by the Notes Collateral Agent and there delivered to the Notes Collateral Agent;</w:t>
      </w:r>
    </w:p>
    <w:p>
      <w:pPr>
        <w:spacing w:after="0" w:line="170" w:lineRule="exact"/>
        <w:rPr>
          <w:rFonts w:ascii="Arial" w:cs="Arial" w:eastAsia="Arial" w:hAnsi="Arial"/>
          <w:sz w:val="18"/>
          <w:szCs w:val="18"/>
          <w:color w:val="auto"/>
        </w:rPr>
      </w:pPr>
    </w:p>
    <w:p>
      <w:pPr>
        <w:ind w:left="1300" w:firstLine="652"/>
        <w:spacing w:after="0" w:line="277" w:lineRule="auto"/>
        <w:tabs>
          <w:tab w:leader="none" w:pos="3049" w:val="left"/>
        </w:tabs>
        <w:numPr>
          <w:ilvl w:val="3"/>
          <w:numId w:val="336"/>
        </w:numPr>
        <w:rPr>
          <w:rFonts w:ascii="Arial" w:cs="Arial" w:eastAsia="Arial" w:hAnsi="Arial"/>
          <w:sz w:val="18"/>
          <w:szCs w:val="18"/>
          <w:color w:val="auto"/>
        </w:rPr>
      </w:pPr>
      <w:r>
        <w:rPr>
          <w:rFonts w:ascii="Arial" w:cs="Arial" w:eastAsia="Arial" w:hAnsi="Arial"/>
          <w:sz w:val="18"/>
          <w:szCs w:val="18"/>
          <w:color w:val="auto"/>
        </w:rPr>
        <w:t>store and keep any Collateral so delivered to the Notes Collateral Agent at such place or places pending further action by the Notes Collateral Agent; and</w:t>
      </w:r>
    </w:p>
    <w:p>
      <w:pPr>
        <w:spacing w:after="0" w:line="170" w:lineRule="exact"/>
        <w:rPr>
          <w:rFonts w:ascii="Arial" w:cs="Arial" w:eastAsia="Arial" w:hAnsi="Arial"/>
          <w:sz w:val="18"/>
          <w:szCs w:val="18"/>
          <w:color w:val="auto"/>
        </w:rPr>
      </w:pPr>
    </w:p>
    <w:p>
      <w:pPr>
        <w:ind w:left="1300" w:firstLine="652"/>
        <w:spacing w:after="0" w:line="277" w:lineRule="auto"/>
        <w:tabs>
          <w:tab w:leader="none" w:pos="3202" w:val="left"/>
        </w:tabs>
        <w:numPr>
          <w:ilvl w:val="3"/>
          <w:numId w:val="336"/>
        </w:numPr>
        <w:rPr>
          <w:rFonts w:ascii="Arial" w:cs="Arial" w:eastAsia="Arial" w:hAnsi="Arial"/>
          <w:sz w:val="18"/>
          <w:szCs w:val="18"/>
          <w:color w:val="auto"/>
        </w:rPr>
      </w:pPr>
      <w:r>
        <w:rPr>
          <w:rFonts w:ascii="Arial" w:cs="Arial" w:eastAsia="Arial" w:hAnsi="Arial"/>
          <w:sz w:val="18"/>
          <w:szCs w:val="18"/>
          <w:color w:val="auto"/>
        </w:rPr>
        <w:t>while the Collateral shall be so stored and kept, provide such security and maintenance services as shall be reasonably necessary to protect the same and to preserve and maintain it in good condition.</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1803"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Each Grantor acknowledges and agrees that compliance by the Notes Collateral Agent, on behalf of the Secured Notes Secured Parties, with any applicable state or federal Requirements of Law and the Notes Documents in connection with a disposition of the Collateral will not be considered to adversely affect the commercial reasonableness of any sale of the Collateral.</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61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The Notes Collateral Agent shall have the right in any public sale and, to the extent permitted by applicable Requirements of Law, in any private sale, to purchase for the benefit of the Notes Collateral Agent and the Secured Notes Secured Parties, all or any part of the Collateral so sold, free of any right of equity redemption, which equity redemption each Grantor hereby expressly releases.</w:t>
      </w:r>
    </w:p>
    <w:p>
      <w:pPr>
        <w:spacing w:after="0" w:line="165" w:lineRule="exact"/>
        <w:rPr>
          <w:rFonts w:ascii="Arial" w:cs="Arial" w:eastAsia="Arial" w:hAnsi="Arial"/>
          <w:sz w:val="17"/>
          <w:szCs w:val="17"/>
          <w:color w:val="auto"/>
        </w:rPr>
      </w:pPr>
    </w:p>
    <w:p>
      <w:pPr>
        <w:jc w:val="both"/>
        <w:ind w:firstLine="656"/>
        <w:spacing w:after="0" w:line="273" w:lineRule="auto"/>
        <w:tabs>
          <w:tab w:leader="none" w:pos="1652"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Until the Notes Collateral Agent is able to effect a sale, lease, transfer or other disposition of any Collateral under this </w:t>
      </w:r>
      <w:r>
        <w:rPr>
          <w:rFonts w:ascii="Arial" w:cs="Arial" w:eastAsia="Arial" w:hAnsi="Arial"/>
          <w:sz w:val="17"/>
          <w:szCs w:val="17"/>
          <w:u w:val="single" w:color="auto"/>
          <w:color w:val="auto"/>
        </w:rPr>
        <w:t>Section 5.01</w:t>
      </w:r>
      <w:r>
        <w:rPr>
          <w:rFonts w:ascii="Arial" w:cs="Arial" w:eastAsia="Arial" w:hAnsi="Arial"/>
          <w:sz w:val="17"/>
          <w:szCs w:val="17"/>
          <w:color w:val="auto"/>
        </w:rPr>
        <w:t>, the Notes Collateral Agent shall have the right to hold or use such Collateral, or any part thereof, to the extent that it deems appropriate for the purpose of preserving such Collateral or the value of such Collateral, or for any other purpose deemed reasonably appropriate by the Notes Collateral Agent. At any time when an Event of Default exists and is continuing, the Notes Collateral Agent may, if it so elects, seek the appointment of a receiver or keeper to take possession of any Collateral and to enforce any of the Notes Collateral Agent’s remedies (for the benefit of the Notes Collateral Agent and Secured Notes Secured Parties), with respect to such appointment without prior notice or hearing as to such appointment.</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656" w:val="left"/>
        </w:tabs>
        <w:numPr>
          <w:ilvl w:val="1"/>
          <w:numId w:val="337"/>
        </w:numPr>
        <w:rPr>
          <w:rFonts w:ascii="Arial" w:cs="Arial" w:eastAsia="Arial" w:hAnsi="Arial"/>
          <w:sz w:val="16"/>
          <w:szCs w:val="16"/>
          <w:color w:val="auto"/>
        </w:rPr>
      </w:pPr>
      <w:r>
        <w:rPr>
          <w:rFonts w:ascii="Arial" w:cs="Arial" w:eastAsia="Arial" w:hAnsi="Arial"/>
          <w:sz w:val="16"/>
          <w:szCs w:val="16"/>
          <w:color w:val="auto"/>
        </w:rPr>
        <w:t>Notwithstanding the foregoing, the Notes Collateral Agent shall not be required to (i) make any demand upon, or pursue or exhaust any of their rights or remedies against, the Grantors, any other obligor, guarantor, pledgor or any other Person with respect to the payment of the Secured Notes Obligations or to pursue or exhaust any of their rights or remedies with respect to any Collateral therefor or any direct or indirect guarantee thereof,</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marshal the Collateral or any guarantee of the Secured Notes Obligations or to resort to the Collateral or any such guarantee in any particular order,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effect a public sale of any Collateral.</w:t>
      </w:r>
    </w:p>
    <w:p>
      <w:pPr>
        <w:spacing w:after="0" w:line="210" w:lineRule="exact"/>
        <w:rPr>
          <w:rFonts w:ascii="Arial" w:cs="Arial" w:eastAsia="Arial" w:hAnsi="Arial"/>
          <w:sz w:val="18"/>
          <w:szCs w:val="18"/>
          <w:color w:val="auto"/>
        </w:rPr>
      </w:pPr>
    </w:p>
    <w:p>
      <w:pPr>
        <w:jc w:val="both"/>
        <w:ind w:firstLine="656"/>
        <w:spacing w:after="0" w:line="254" w:lineRule="auto"/>
        <w:tabs>
          <w:tab w:leader="none" w:pos="160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Each Grantor recognizes that the Notes Collateral Agent may be unable to effect a public sale of any or all the Pledged Collateral and may be compelled to resort to one or more private sales thereof. Each Grantor also acknowledges that any private sale may result in prices and other terms less favorable to the seller than if such sale were a public sale and, notwithstanding such circumstances, agrees that no such private sale shall be deemed to have been made in a commercially unreasonable manner solely by virtue of such sale being private. The Notes Collateral Agent shall be under no obligation to delay a sale of any of the Pledged Collateral for the period of time necessary to permit any Grantor or the issuer of any Pledged Collateral to register such securities for public sale under the Securities Act, as amended, or under applicable state securities Requirements of Law, even if any Grantor and the issuer would agree to do so.</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2" w:name="page253"/>
    <w:bookmarkEnd w:id="252"/>
    <w:p>
      <w:pPr>
        <w:ind w:right="20" w:firstLine="656"/>
        <w:spacing w:after="0" w:line="277" w:lineRule="auto"/>
        <w:tabs>
          <w:tab w:leader="none" w:pos="180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Notwithstanding the foregoing, any rights and remedies provided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subject to the terms of any Equal Priority Intercreditor Agreement and any Junior Priority Intercreditor Agreement.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Grantors’ Obligations Upon Default</w:t>
      </w:r>
      <w:r>
        <w:rPr>
          <w:rFonts w:ascii="Arial" w:cs="Arial" w:eastAsia="Arial" w:hAnsi="Arial"/>
          <w:sz w:val="18"/>
          <w:szCs w:val="18"/>
          <w:color w:val="auto"/>
        </w:rPr>
        <w:t>. Upon three (3) Business Days’ prior written notice to the Grantor from the Notes Collateral Agent, at any time when an Event of Default exists and is continuing, each Grantor will:</w:t>
      </w:r>
    </w:p>
    <w:p>
      <w:pPr>
        <w:spacing w:after="0" w:line="170" w:lineRule="exact"/>
        <w:rPr>
          <w:sz w:val="20"/>
          <w:szCs w:val="20"/>
          <w:color w:val="auto"/>
        </w:rPr>
      </w:pPr>
    </w:p>
    <w:p>
      <w:pPr>
        <w:jc w:val="both"/>
        <w:ind w:firstLine="656"/>
        <w:spacing w:after="0" w:line="254" w:lineRule="auto"/>
        <w:tabs>
          <w:tab w:leader="none" w:pos="1667"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 its own cost and expense (i) assemble and make available to the Notes Collateral Agent, the Collateral and all books and records relating thereto at any place or places reasonably specified by the Notes Collateral Agent, whether at such Grantor’s premises or elsewhere, (ii) deliver all tangible evidence of its Accounts and Contract Rights (including, without limitation, all documents evidencing the Accounts and all Contracts) and such books and records to the Notes Collateral Agent or to its representatives (copies of which evidence and books and records may be retained by such Grantor) and (iii) if the Notes Collateral Agent so directs, legend in a form and manner reasonably satisfactory to the Notes Collateral Agent, the Accounts and the Contracts, as well as books, records and documents (if any) of such Grantor evidencing or pertaining to such Accounts and Contracts with an appropriate reference to the fact that such Accounts and Contracts have been assigned to the Notes Collateral Agent and that the Notes Collateral Agent has a security interest therein; and</w:t>
      </w:r>
    </w:p>
    <w:p>
      <w:pPr>
        <w:spacing w:after="0" w:line="191" w:lineRule="exact"/>
        <w:rPr>
          <w:rFonts w:ascii="Arial" w:cs="Arial" w:eastAsia="Arial" w:hAnsi="Arial"/>
          <w:sz w:val="18"/>
          <w:szCs w:val="18"/>
          <w:color w:val="auto"/>
        </w:rPr>
      </w:pPr>
    </w:p>
    <w:p>
      <w:pPr>
        <w:jc w:val="both"/>
        <w:ind w:firstLine="656"/>
        <w:spacing w:after="0" w:line="259" w:lineRule="auto"/>
        <w:tabs>
          <w:tab w:leader="none" w:pos="157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permit the Notes Collateral Agent and/or its representatives and/or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any Grantor for such use and occupancy.</w:t>
      </w:r>
    </w:p>
    <w:p>
      <w:pPr>
        <w:spacing w:after="0" w:line="18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i w:val="1"/>
          <w:iCs w:val="1"/>
          <w:color w:val="auto"/>
        </w:rPr>
        <w:t>Intellectual Property Remedies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4" w:lineRule="auto"/>
        <w:tabs>
          <w:tab w:leader="none" w:pos="165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For the purpose of enabling the Notes Collateral Agent to exercise the rights and remedies under this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at any time when an Event of Default exists and is continuing and at such time as the Notes Collateral Agent shall be lawfully entitled to exercise such rights and remedies, each Grantor hereby grants to the Notes Collateral Agent a power of attorney to sign any document which may be required by the United States Patent and Trademark Office, the United States Copyright Office, domain name registrar or similar registrar in order to effect an absolute assignment of all right, title and interest in each registered Patent, Trademark, Domain Name and Copyright and exclusive Copyright License included in the Collateral and each application for any such registration, and record the same. At any time when an Event of Default exists and is continuing, the Notes Collateral Agent may</w:t>
      </w:r>
    </w:p>
    <w:p>
      <w:pPr>
        <w:spacing w:after="0" w:line="4" w:lineRule="exact"/>
        <w:rPr>
          <w:rFonts w:ascii="Arial" w:cs="Arial" w:eastAsia="Arial" w:hAnsi="Arial"/>
          <w:sz w:val="16"/>
          <w:szCs w:val="16"/>
          <w:color w:val="auto"/>
        </w:rPr>
      </w:pPr>
    </w:p>
    <w:p>
      <w:pPr>
        <w:jc w:val="both"/>
        <w:ind w:firstLine="8"/>
        <w:spacing w:after="0" w:line="281" w:lineRule="auto"/>
        <w:tabs>
          <w:tab w:leader="none" w:pos="21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declare the entire right, title and interest of such Grantor in and to each item of Intellectual Property Collateral to be vested in the Notes Collateral Agent for the benefit of the Secured Notes Secured Parties, in which event such right, title and interest shall immediately vest in the Notes Collateral Agent for the benefit of the Secured Notes Secured Parties, and the Notes Collateral Agent shall be entitled to exercise the power of attorney referred to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to execute, cause to be acknowledged and notarized and record such absolute assignment with the applicable agency or registrar; (ii) sell any Grantor’s Inventory directly to any Person, including, without limitation, Persons who have previously purchased any Grantor’s Inventory from such Grantor and in connection with any such sale or other enforcement of the Notes Collateral Agent’s rights under this Security Agreement and subject to any restrictions contained in applicable third-party licenses entered into by such Grantor, sell Inventory which bears any Trademark or Copyright owned by or licensed to any Grantor and any Inventory that is covered by any Intellectual Property Collateral owned by or licensed to any Grantor, and the Notes Collateral Agent may finish any work in process and affix any relevant Trademark owned by or licensed to such Grantor and sell such Inventory as provided herein;</w:t>
      </w:r>
    </w:p>
    <w:p>
      <w:pPr>
        <w:spacing w:after="0" w:line="5" w:lineRule="exact"/>
        <w:rPr>
          <w:rFonts w:ascii="Arial" w:cs="Arial" w:eastAsia="Arial" w:hAnsi="Arial"/>
          <w:sz w:val="16"/>
          <w:szCs w:val="16"/>
          <w:color w:val="auto"/>
        </w:rPr>
      </w:pPr>
    </w:p>
    <w:p>
      <w:pPr>
        <w:jc w:val="both"/>
        <w:ind w:firstLine="8"/>
        <w:spacing w:after="0" w:line="253" w:lineRule="auto"/>
        <w:tabs>
          <w:tab w:leader="none" w:pos="33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direct such Grantor to refrain, in which event such Grantor shall refrain, from using any Intellectual Property Collateral in any manner whatsoever, directly or indirectly; and (iv) assign or sell any Patent, Trademark, Copyright, Domain Name, and/or Trade Secret included in the Collateral, as well as the goodwill of such Grantor’s business symbolized by any such Trademark and the right to carry on the business and use the assets of such Grantor in connection with which any such Trademark or Domain Name has been used.</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3" w:name="page254"/>
    <w:bookmarkEnd w:id="253"/>
    <w:p>
      <w:pPr>
        <w:jc w:val="both"/>
        <w:ind w:firstLine="656"/>
        <w:spacing w:after="0" w:line="283" w:lineRule="auto"/>
        <w:tabs>
          <w:tab w:leader="none" w:pos="1641"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Each Grantor hereby grants to the Notes Collateral Agent an irrevocable (until the Secured Notes Obligations (other than contingent indemnification obligations for which no claim or demand has been made) are paid in full), nonexclusive, royalty-free (or any other payment obligation), worldwide license to its right to use, license or sublicense any Intellectual Property Collateral now owned or hereafter acquired by such Grantor, wherever the same may be located, and including in such license reasonable access to all media in which any of the licensed items may be recorded or stored and (to the extent not prohibited by any applicable license and subject to any Grantor’s security policies and obligations of confidentiality) to all computer software and programs used for compilation or printout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require a Grantor to grant any license that (i) is prohibited by any rule of law, statute or regulation or (ii) is prohibited by, or constitutes a breach or default under or results in the termination of or gives rise to any right of acceleration, modification or cancellation under, any license or similar agreement giving rise to a right to use or theretofore granted with respect to such property, which,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 exists on the Issue Date, (x) if such agreement was entered into by a Grantor acquired after the Issue Date, exists at the time such Grantor is acquired and which agreement was not entered into in contemplation of such acquisition or</w:t>
      </w:r>
    </w:p>
    <w:p>
      <w:pPr>
        <w:spacing w:after="0" w:line="4" w:lineRule="exact"/>
        <w:rPr>
          <w:rFonts w:ascii="Arial" w:cs="Arial" w:eastAsia="Arial" w:hAnsi="Arial"/>
          <w:sz w:val="16"/>
          <w:szCs w:val="16"/>
          <w:color w:val="auto"/>
        </w:rPr>
      </w:pPr>
    </w:p>
    <w:p>
      <w:pPr>
        <w:jc w:val="both"/>
        <w:ind w:firstLine="8"/>
        <w:spacing w:after="0" w:line="269" w:lineRule="auto"/>
        <w:tabs>
          <w:tab w:leader="none" w:pos="259"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if such agreement was entered into by any Grantor after the Issue Date, is entered into as part of the Grantor’s ordinary course of business substantially consistent with past practice, and natural evolutions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licenses to be granted hereunder with respect to Trademarks shall be subject to the maintenance of quality standards with respect to the goods and services on which such Trademarks are used sufficient to preserve the validity of such Trademarks. The use of the license granted to the Notes Collateral Agent pursuant to the preceding sentence may be exercised, at the option of the Notes Collateral Agent, only when an Event of Default exists and is continuing;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license, sublicense or other transaction entered into by the Notes Collateral Agent in accordance with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be binding upon each Grantor notwithstanding any subsequent cure of the relevant Event of Default.</w:t>
      </w:r>
    </w:p>
    <w:p>
      <w:pPr>
        <w:spacing w:after="0" w:line="18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i w:val="1"/>
          <w:iCs w:val="1"/>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08" w:lineRule="auto"/>
        <w:tabs>
          <w:tab w:leader="none" w:pos="1783"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Subject to the terms of any Intercreditor Agreement, the Notes Collateral Agent shall apply the proceeds of any collection, sale, foreclosure or other realization of any Collateral, as well as any Collateral consisting of Cash, as set forth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of the Indenture.</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621" w:val="left"/>
        </w:tabs>
        <w:numPr>
          <w:ilvl w:val="0"/>
          <w:numId w:val="346"/>
        </w:numPr>
        <w:rPr>
          <w:rFonts w:ascii="Arial" w:cs="Arial" w:eastAsia="Arial" w:hAnsi="Arial"/>
          <w:sz w:val="16"/>
          <w:szCs w:val="16"/>
          <w:color w:val="auto"/>
        </w:rPr>
      </w:pPr>
      <w:r>
        <w:rPr>
          <w:rFonts w:ascii="Arial" w:cs="Arial" w:eastAsia="Arial" w:hAnsi="Arial"/>
          <w:sz w:val="16"/>
          <w:szCs w:val="16"/>
          <w:color w:val="auto"/>
        </w:rPr>
        <w:t>Except as otherwise provided herein or in any other Notes Document, the Notes Collateral Agent shall have absolute discretion as to the time of application of any such proceeds, money or balance in accordance with this Security Agreement. Upon any sale of Collateral by the Notes Collateral Agent (including pursuant to a power of sale granted by statute or under a judicial proceeding), a receipt by the Notes Collateral Agent or of the officer making the sale of such proceeds, moneys or balances shall be a sufficient discharge to the purchaser or purchasers of the Collateral so sold and such purchaser or purchasers shall not be obligated to see to the application of any part of the purchase money paid over to the Notes Collateral Agent or such officer or be answerable in any way for the misapplication thereof. It is understood that the Grantors shall remain jointly and severally liable to the extent of any deficiency between the amount of the proceeds of the Collateral and the aggregate amount of the Secured Notes Obligations.</w:t>
      </w:r>
    </w:p>
    <w:p>
      <w:pPr>
        <w:spacing w:after="0" w:line="3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 VERIFICATION; ATTORNEY IN FACT; PROXY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Account Verification</w:t>
      </w:r>
      <w:r>
        <w:rPr>
          <w:rFonts w:ascii="Arial" w:cs="Arial" w:eastAsia="Arial" w:hAnsi="Arial"/>
          <w:sz w:val="18"/>
          <w:szCs w:val="18"/>
          <w:color w:val="auto"/>
        </w:rPr>
        <w:t>. The Notes Collateral Agent may at any time and from time to time when an Event of Default exists and is continuing and, upon at least three (3) Business Days’ prior written notice to the Issuer, in the Notes Collateral Agent’s own name, in the name of a nominee of the Notes Collateral Agent, or in the name of any Grantor, communicate (by mail, telephone, facsimile or otherwise) with the Account Debtors of such Grantor, parties to Contracts with such Grantor and obligors in respect of Instruments of such Grantor to verify with such Persons, to the Notes Collateral Agent’s reasonable satisfaction, the existence, amount, terms of, and any other matter relating to, Accounts, Contracts, Instruments, Chattel Paper, payment intangibles and/or other Receivables that constitute Collateral.</w:t>
      </w:r>
    </w:p>
    <w:p>
      <w:pPr>
        <w:spacing w:after="0" w:line="19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Authorization for the Notes Collateral Agent to Take Certain Action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3" w:lineRule="auto"/>
        <w:tabs>
          <w:tab w:leader="none" w:pos="1755" w:val="left"/>
        </w:tabs>
        <w:numPr>
          <w:ilvl w:val="1"/>
          <w:numId w:val="347"/>
        </w:numPr>
        <w:rPr>
          <w:rFonts w:ascii="Arial" w:cs="Arial" w:eastAsia="Arial" w:hAnsi="Arial"/>
          <w:sz w:val="16"/>
          <w:szCs w:val="16"/>
          <w:color w:val="auto"/>
        </w:rPr>
      </w:pPr>
      <w:r>
        <w:rPr>
          <w:rFonts w:ascii="Arial" w:cs="Arial" w:eastAsia="Arial" w:hAnsi="Arial"/>
          <w:sz w:val="16"/>
          <w:szCs w:val="16"/>
          <w:color w:val="auto"/>
        </w:rPr>
        <w:t>Each Grantor hereby irrevocably authorizes the Notes Collateral Agent and appoints the Notes Collateral Agent (and all officers, employees or agents designated by the Notes Collateral Agent) as its true and lawful attorney in fact (i) at any time and from time to time in its sole discretion to execute (to the extent necessary under the Requirements of Law of the applicable jurisdiction) on behalf of such Grantor as debtor and to file financing statements (including Transmitting Utility filings) and Intellectual Property Security Agreements necessary or desirable in the Notes Collateral Agent’s reasonable discretion to perfect and to maintain the perfection and priority of the Notes Collateral Agent’s security interest in the Collateral; (ii) at any time when an Event of Default exists and is continuing in the sole discretion of the Notes Collateral Agent (in the name of such Grantor or otherwise) and upon at least three (3) Business Days’ prior written notice to the Issuer (A) to endorse and collect any cash proceeds of the Collateral and to apply the proceeds of any Collateral received by the Notes Collateral Agent to the Secured Notes Obligations as provided herein or in the Indenture or any other Notes Document, subject to the terms of any Intercreditor Agreement, (B) to demand payment or enforce payment of any Receivable constituting Collateral in the name of the Notes Collateral Agent or such Grantor and to endorse any check, draft and/or any other instrument for the payment of money relating to any such Receivable, (C) to sign such Grantor’s name on any invoice or bill of lading relating to any Receivable constituting Collateral, any draft against any Account Debtor of such Grantor, and/or any assignment and/or verification of any such Receivable, (D) to exercise all of any Grantor’s rights and remedies with respect to the collection of any Receivable constituting Collateral and any other Collateral, (E) to settle, adjust, compromise, extend or renew any Receivable constituting Collateral, (F) to settle, adjust or compromise any legal proceedings brought to collect any Receivable constituting Collateral,</w:t>
      </w:r>
    </w:p>
    <w:p>
      <w:pPr>
        <w:spacing w:after="0" w:line="1" w:lineRule="exact"/>
        <w:rPr>
          <w:rFonts w:ascii="Arial" w:cs="Arial" w:eastAsia="Arial" w:hAnsi="Arial"/>
          <w:sz w:val="16"/>
          <w:szCs w:val="16"/>
          <w:color w:val="auto"/>
        </w:rPr>
      </w:pPr>
    </w:p>
    <w:p>
      <w:pPr>
        <w:jc w:val="both"/>
        <w:ind w:firstLine="8"/>
        <w:spacing w:after="0" w:line="285" w:lineRule="auto"/>
        <w:tabs>
          <w:tab w:leader="none" w:pos="301"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to prepare, file and sign such Grantor’s name on a proof of claim in bankruptcy or similar document against any Account Debtor of such Grantor, (H) to prepare, file and sign such Grantor’s name on any notice of Lien, assignment or satisfaction of Lien or similar document in connection with any Receivable constituting Collateral, (I) to discharge past due taxes, assessments, charges, fees or Liens on the Collateral (except for Permitted Liens), (J) to make, settle and adjust claims in respect of Collateral under policies of insurance and endorse the name of such Grantor on any check, draft, instrument or other item of payment for the proceeds of such policies of insurance, and (K) to obtain or maintain the policies of insurance covering the Collateral with respect to such risks and in such amounts as are customarily obtained by similar businesses or to pay any premium in whole or in part relating thereto; and (iii) to do all other acts and things or institute any proceedings which the Notes Collateral Agent may reasonably deem to be necessary or advisable (pursuant to this Security Agreement and the other Notes Documents and in accordance with applicable law) to carry out the terms of this Security Agreement and to protect the interests of the Secured Notes Secured Parties; and, when and to the extent required pursuant to </w:t>
      </w:r>
      <w:r>
        <w:rPr>
          <w:rFonts w:ascii="Arial" w:cs="Arial" w:eastAsia="Arial" w:hAnsi="Arial"/>
          <w:sz w:val="16"/>
          <w:szCs w:val="16"/>
          <w:u w:val="single" w:color="auto"/>
          <w:color w:val="auto"/>
        </w:rPr>
        <w:t>Section 12.08(bb)</w:t>
      </w:r>
      <w:r>
        <w:rPr>
          <w:rFonts w:ascii="Arial" w:cs="Arial" w:eastAsia="Arial" w:hAnsi="Arial"/>
          <w:sz w:val="16"/>
          <w:szCs w:val="16"/>
          <w:color w:val="auto"/>
        </w:rPr>
        <w:t xml:space="preserve"> of the Indenture, such Grantor agrees to reimburse the Notes Collateral Agent for any payment made in connection with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or any expense (including attorneys’ fees, court costs and expenses) and other changes related thereto incurred by the Notes Collateral Agent in connection with any of the foregoing (it being understood that any such sums shall constitute additional Secured Notes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authorization shall not relieve such Grantor of any of its obligations under this Security Agreement or under the Indenture.</w:t>
      </w:r>
    </w:p>
    <w:p>
      <w:pPr>
        <w:spacing w:after="0" w:line="3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5" w:name="page256"/>
    <w:bookmarkEnd w:id="255"/>
    <w:p>
      <w:pPr>
        <w:jc w:val="both"/>
        <w:ind w:firstLine="656"/>
        <w:spacing w:after="0" w:line="259" w:lineRule="auto"/>
        <w:tabs>
          <w:tab w:leader="none" w:pos="160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All acts of such attorney or designee are hereby ratified and approved by each Grantor. The powers conferred on the Notes Collateral Agent, for the benefit of the Notes Collateral Agent and Secured Notes Secured Parties,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are solely to protect the Notes Collateral Agent’s interests in the Collateral and shall not impose any duty upon the Notes Collateral Agent or any Secured Notes Secured Party to exercise any such powers.</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PROXY</w:t>
      </w:r>
      <w:r>
        <w:rPr>
          <w:rFonts w:ascii="Arial" w:cs="Arial" w:eastAsia="Arial" w:hAnsi="Arial"/>
          <w:sz w:val="18"/>
          <w:szCs w:val="18"/>
          <w:color w:val="auto"/>
        </w:rPr>
        <w:t xml:space="preserve">. EACH GRANTOR HEREBY IRREVOCABLY (UNTIL THE SECURED NOTES OBLIGATIONS (OTHER THAN CONTINGENT INDEMNIFICATION OBLIGATIONS FOR WHICH NO CLAIM OR DEMAND HAS BEEN MADE) ARE PAID IN FULL) CONSTITUTES AND APPOINTS THE NOTES COLLATERAL AGENT AS ITS PROXY AND ATTORNEY-IN-FACT (SUBJECT TO AND AS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WITH RESPECT TO THE PLEDGED COLLATERAL, INCLUDING THE RIGHT TO VOTE SUCH PLEDGED COLLATERAL, WITH FULL POWER OF SUBSTITUTION TO DO SO. IN ADDITION TO THE RIGHT TO VOTE ANY SUCH PLEDGED COLLATERAL, THE APPOINTMENT OF THE NOTES COLLATERAL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IMMEDIATELY AND EXERCISABLE AUTOMATICALLY AND WITHOUT THE NECESSITY OF ANY ACTION (INCLUDING ANY TRANSFER OF ANY SUCH PLEDGED COLLATERAL ON THE RECORD BOOKS OF THE ISSUER THEREOF) BY ANY PERSON (INCLUDING THE ISSUER OF SUCH PLEDGED COLLATERAL OR ANY OFFICER OR AGENT THEREOF), IN EACH CASE ONLY WHEN AN EVENT OF DEFAULT EXISTS AND IS CONTINUING AND UPON AT LEAST THREE (3) BUSINESS DAYS’ PRIOR WRITTEN NOTICE TO THE ISSUER.</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NATURE OF APPOINTMENT; LIMITATION OF DUTY</w:t>
      </w:r>
      <w:r>
        <w:rPr>
          <w:rFonts w:ascii="Arial" w:cs="Arial" w:eastAsia="Arial" w:hAnsi="Arial"/>
          <w:sz w:val="17"/>
          <w:szCs w:val="17"/>
          <w:color w:val="auto"/>
        </w:rPr>
        <w:t xml:space="preserve">. THE APPOINTMENT OF THE NOTES COLLATERAL AGENT AS PROXY AND ATTORNEY-IN-FACT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IS COUPLED WITH AN INTEREST AND SHALL BE IRREVOCABLE UNTIL THE SECURED NOTES OBLIGATIONS (OTHER THAN CONTINGENT INDEMNIFICATION OBLIGATIONS FOR WHICH NO CLAIM OR DEMAND HAS BEEN MADE) ARE PAID IN FULL. NOTWITHSTANDING ANYTHING CONTAINED HEREIN, NEITHER THE NOTES COLLATERAL AGENT, NOR ANY SECURED PARTY, NOR ANY OF THEIR RESPECTIVE AFFILIATES, OFFICERS, DIRECTORS, EMPLOYEES, AGENTS OR REPRESENTATIVES SHALL HAVE ANY DUTY TO EXERCISE ANY RIGHT OR POWER GRANTED HEREUNDER OR OTHERWISE OR TO PRESERVE THE SAME AND SHALL NOT BE LIABLE FOR ANY FAILURE TO DO SO OR FOR ANY DELAY IN DOING SO, EXCEPT TO THE EXTENT SUCH DAMAGES ARE ATTRIBUTABLE TO THE GROSS NEGLIGENCE OR WILLFUL MISCONDUCT OF SUCH PERSON AS FINALLY DETERMINED BY A COURT OF COMPETENT JURISDICTION IN A FINAL AND NON-APPEALABLE DECISION SUBJECT TO </w:t>
      </w:r>
      <w:r>
        <w:rPr>
          <w:rFonts w:ascii="Arial" w:cs="Arial" w:eastAsia="Arial" w:hAnsi="Arial"/>
          <w:sz w:val="17"/>
          <w:szCs w:val="17"/>
          <w:u w:val="single" w:color="auto"/>
          <w:color w:val="auto"/>
        </w:rPr>
        <w:t>SECTION 7.20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EXCEPTION SHALL NOT BE CONSTRUED TO OBLIGATE THE NOTES COLLATERAL AGENT TO TAKE OR REFRAIN FROM TAKING ANY ACTION WITH RESPECT TO THE COLLATERAL.</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Waivers</w:t>
      </w:r>
      <w:r>
        <w:rPr>
          <w:rFonts w:ascii="Arial" w:cs="Arial" w:eastAsia="Arial" w:hAnsi="Arial"/>
          <w:sz w:val="16"/>
          <w:szCs w:val="16"/>
          <w:color w:val="auto"/>
        </w:rPr>
        <w:t xml:space="preserve">. To the maximum extent permitted by applicable Requirements of Law, each Grantor hereby waives notice of the time and place of any judicial hearing in connection with the Notes Collateral Agent’s taking possession of the Collateral or of any public sale or the time after which any private sale or other disposition of all or any part of the Collateral may be made, including, without limitation, any and all prior notice and hearing for any prejudgment remedy or remedies. To the extent such notice may not be waived under applicable Requirements of Law, any notice made shall be deemed reasonable if sent to any Grantor, addressed as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at least 10 days prior to (a) the date of any such public sale or (b) the time after which any such private disposition may be made. To the maximum extent permitted by applicable Requirements of Law, each Grantor waives all claims, damages, and demands against the Notes Collateral Agent arising out of the repossession, retention or sale of the Collateral, except those arising out of the gross negligence or willful misconduct of the Notes Collateral Agent as determined by a court of competent jurisdiction in a final and non-appealable judgment. To the extent it may lawfully do so, each Grantor absolutely and irrevocably waives and relinquishes the benefit and advantage of, and covenants not to assert against the Notes Collateral Agent, any valuation, stay (other than an automatic stay under any applicable Debtor Relief Law), appraisal, extension, moratorium, redemption or similar law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any notice (to the maximum extent permitted by applicable Requirements of Law) of any kind or all other requirements as to the time, place and terms of sale in connection with this Security Agreement or any Collateral.</w:t>
      </w:r>
    </w:p>
    <w:p>
      <w:pPr>
        <w:spacing w:after="0" w:line="1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Limitation on Notes Collateral Agent’s Duty with Respect to the Collateral</w:t>
      </w:r>
      <w:r>
        <w:rPr>
          <w:rFonts w:ascii="Arial" w:cs="Arial" w:eastAsia="Arial" w:hAnsi="Arial"/>
          <w:sz w:val="16"/>
          <w:szCs w:val="16"/>
          <w:color w:val="auto"/>
        </w:rPr>
        <w:t xml:space="preserve">. The Notes Collateral Agent shall not have any obligation to clean or otherwise prepare the Collateral for sale. The Notes Collateral Agent shall use reasonable care with respect to the Collateral in its possession;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Notes Collateral Agent shall be deemed to have exercised reasonable care in the custody and preservation of any Collateral in its possession if such Collateral is accorded treatment substantially equal to which it accords its own property. The Notes Collateral Agent shall not have any other duty as to any Collateral in its possession or control or in the possession or control of any agent or nominee of the Notes Collateral Agent, or any income thereon or as to the preservation of rights against prior parties or any other rights pertaining thereto. To the extent that applicable Requirements of Law impose duties on the Notes Collateral Agent to exercise remedies in a commercially reasonable manner, each Grantor acknowledges and agrees that it would be commercially reasonable for the Notes Collateral Agent (a) to elect not to incur expenses to prepare Collateral for disposition or otherwise to transform raw material or work in process into finished goods or other finished products for disposition, (b) to elect not to obtain third-party consents for access to Collateral to be disposed of, or to obtain or, if not required by other law, to fail to obtain governmental or third-party consents for the collection or disposition of Collateral to be collected or disposed of, (c) to elect not to exercise collection remedies against Account Debtors or other Persons obligated on Collateral or to remove Liens on or any adverse claims against Collateral, (d) to exercise collection remedies against Account Debtors and other Persons obligated on 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any Grantor, for expressions of interest in acquiring all or any portion of such Collateral, (g) to hire one or more professional auctioneers to assist in the disposition of Collateral, whether or not the Collateral is of a specialized nature, (h) to dispose of Collateral by utilizing internet sites that provide for the auction of assets of the types included in the Collateral or that have the reasonable capacity of doing so, or that match buyers and sellers of assets, (i) to dispose of assets in wholesale rather than retail markets, (j) to disclaim disposition warranties, such as title, possession or quiet enjoyment, (k) to purchase insurance or credit enhancements to insure the Notes Collateral Agent against risks of loss in connection with any collection or disposition of Collateral or to provide to the Notes Collateral Agent a guaranteed return from the collection or disposition of Collateral or (l) to the extent deemed appropriate by the Notes Collateral Agent, to obtain the services of other brokers, investment bankers, consultants and other professionals to assist the Notes Collateral Agent in the collection or disposition of any of the Collateral. Each Grantor acknowledges that the purpose of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is to provide non-exhaustive indications of what actions or omissions by the Notes Collateral Agent would be commercially reasonable in the Notes Collateral Agent’s exercise of remedies with respect to the Collateral and that other actions or omissions by the Notes Collateral Agent shall not be deemed commercially unreasonable solely on account of not being indicated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Without limitation upon the foregoing, nothing contained in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shall be construed to grant any rights to any Grantor or to impose any duties on the Notes Collateral Agent that would not have been granted or imposed by this Security Agreement or by applicable law in the absence of this </w:t>
      </w:r>
      <w:r>
        <w:rPr>
          <w:rFonts w:ascii="Arial" w:cs="Arial" w:eastAsia="Arial" w:hAnsi="Arial"/>
          <w:sz w:val="16"/>
          <w:szCs w:val="16"/>
          <w:u w:val="single" w:color="auto"/>
          <w:color w:val="auto"/>
        </w:rPr>
        <w:t>Section 7.02</w:t>
      </w:r>
      <w:r>
        <w:rPr>
          <w:rFonts w:ascii="Arial" w:cs="Arial" w:eastAsia="Arial" w:hAnsi="Arial"/>
          <w:sz w:val="16"/>
          <w:szCs w:val="16"/>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7" w:name="page258"/>
    <w:bookmarkEnd w:id="257"/>
    <w:p>
      <w:pPr>
        <w:ind w:left="660"/>
        <w:spacing w:after="0"/>
        <w:tabs>
          <w:tab w:leader="none" w:pos="21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Notes Collateral Agent Performance of Debtor Obligations</w:t>
      </w:r>
      <w:r>
        <w:rPr>
          <w:rFonts w:ascii="Arial" w:cs="Arial" w:eastAsia="Arial" w:hAnsi="Arial"/>
          <w:sz w:val="17"/>
          <w:szCs w:val="17"/>
          <w:color w:val="auto"/>
        </w:rPr>
        <w:t xml:space="preserve">. Without having any obligation to do so, the Notes Collateral Agent may, at any time when an Event of Default exists and is continuing and upon prior written notice to the Issuer, perform or pay any obligation which any Grantor has agreed to perform or pay under this Security Agreement and which obligation is due and unpaid and not being contested by such Grantor in good faith, and such Grantor shall reimburse the Notes Collateral Agent for any amounts paid by the Notes Collateral Agent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as a Secured Notes Obligation payable in accordance with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 Waiver; Amendments; Cumulative Remedies</w:t>
      </w:r>
      <w:r>
        <w:rPr>
          <w:rFonts w:ascii="Arial" w:cs="Arial" w:eastAsia="Arial" w:hAnsi="Arial"/>
          <w:sz w:val="17"/>
          <w:szCs w:val="17"/>
          <w:color w:val="auto"/>
        </w:rPr>
        <w:t xml:space="preserve">. No delay or omission of the Notes Collateral Agent to exercise any right or remedy granted under this Security Agreement shall impair such right or remedy or be construed to be a waiver of any Default or an acquiescence therein, and no single or partial exercise of any such right or remedy shall preclude any other or further exercise thereof or the exercise of any other right or remedy. No waiver, amendment or other variation of the terms, conditions or provisions of this Security Agreement whatsoever shall be valid unless in writing signed by the Grantors and the Notes Collateral Agent with the concurrence or at the direction of the Holders to the extent required under </w:t>
      </w:r>
      <w:r>
        <w:rPr>
          <w:rFonts w:ascii="Arial" w:cs="Arial" w:eastAsia="Arial" w:hAnsi="Arial"/>
          <w:sz w:val="17"/>
          <w:szCs w:val="17"/>
          <w:u w:val="single" w:color="auto"/>
          <w:color w:val="auto"/>
        </w:rPr>
        <w:t>Sections 9.01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of the Indenture and then only to the extent in such writing specifically set forth. All rights and remedies contained in this Security Agreement or afforded by law shall be cumulative and all shall be available to the Notes Collateral Agent until the Secured Notes Obligations (other than contingent indemnification obligations for which no claim or demand has been made) are paid in full.</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Limitation by Law; Severability of Provisions</w:t>
      </w:r>
      <w:r>
        <w:rPr>
          <w:rFonts w:ascii="Arial" w:cs="Arial" w:eastAsia="Arial" w:hAnsi="Arial"/>
          <w:sz w:val="18"/>
          <w:szCs w:val="18"/>
          <w:color w:val="auto"/>
        </w:rPr>
        <w:t>. All rights, remedies and powers provided in this Security Agreement may be exercised only to the extent that the exercise thereof does not violate any applicable Requirements of Law, and all of the provisions of this Security Agreement are intended to be subject to all applicable mandatory Requirements of Law that may be controlling and to be limited to the extent necessary so that such provisions do not render this Security Agreement invalid, unenforceable or not entitled to be recorded or registered, in whole or in part. To the extent permitted by applicable Requirements of Law, any provision of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of this Security Agreement; and the invalidity of a particular provision in a particular jurisdiction shall not invalidate such provision in any other jurisdiction.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8" w:name="page259"/>
    <w:bookmarkEnd w:id="258"/>
    <w:p>
      <w:pPr>
        <w:jc w:val="both"/>
        <w:ind w:firstLine="648"/>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Security Interest Absolute</w:t>
      </w:r>
      <w:r>
        <w:rPr>
          <w:rFonts w:ascii="Arial" w:cs="Arial" w:eastAsia="Arial" w:hAnsi="Arial"/>
          <w:sz w:val="17"/>
          <w:szCs w:val="17"/>
          <w:color w:val="auto"/>
        </w:rPr>
        <w:t xml:space="preserve">. All rights of the Notes Collateral Agent hereunder, the security interests granted hereunder and all obligations of each Grantor hereunder shall be absolute and unconditional irrespective of (a) any lack of validity or enforceability of the Indenture, any other Notes Document, any agreement with respect to any of the Secured Notes Obligations or any other agreement or instrument relating to any of the foregoing, (b) any change in the time, manner or place of payment of, or in any other term of, all or any of the Secured Notes Obligations, or any other amendment or waiver of or any consent to any departure from the Indenture, any other Notes Document or any other agreement or instrument relating to the foregoing, (c) any exchange, release or nonperfection of any Lien on any Collateral, or any release or amendment or waiver of or consent under or departure from any guaranty, securing or guaranteeing all or any of the Secured Notes Obligations, (d) any bankruptcy, insolvency, reorganization, arrangement, readjustment, composition, liquidation or the like of any Grantor, (e) any exercise or non-exercise, or any waiver of, any right, remedy, power or privilege under or in respect of this Security Agreement or any other Notes Document or (f) any other circumstance that might otherwise constitute a defense available to, or a discharge of, any Grantor in respect of the Secured Notes Obligations or this Security Agreement (other than a termination of any Lien contemplated by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or the repayment of the Secured Notes Obligations in full).</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i w:val="1"/>
          <w:iCs w:val="1"/>
          <w:color w:val="auto"/>
        </w:rPr>
        <w:t>Benefit of Security Agreement</w:t>
      </w:r>
      <w:r>
        <w:rPr>
          <w:rFonts w:ascii="Arial" w:cs="Arial" w:eastAsia="Arial" w:hAnsi="Arial"/>
          <w:sz w:val="17"/>
          <w:szCs w:val="17"/>
          <w:color w:val="auto"/>
        </w:rPr>
        <w:t>. The terms and provisions of this Security Agreement shall be binding upon and inure to the benefit of each Grantor, the Notes Collateral Agent and the Secured Notes Secured Parties and their respective successors and permitted assigns (including all Persons who become bound as a debtor to this Security Agreement). No sale of participations, assignments, transfers, or other dispositions of any agreement governing the Secured Notes Obligations or any portion thereof or interest therein shall in any manner impair the Lien granted to the Notes Collateral Agent hereunder for the benefit of the Notes Collateral Agent and the Secured Notes Secured Parties.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Survival of Representations</w:t>
      </w:r>
      <w:r>
        <w:rPr>
          <w:rFonts w:ascii="Arial" w:cs="Arial" w:eastAsia="Arial" w:hAnsi="Arial"/>
          <w:sz w:val="18"/>
          <w:szCs w:val="18"/>
          <w:color w:val="auto"/>
        </w:rPr>
        <w:t>. All representations and warranties of each Grantor contained in this Security Agreement shall survive the execution and delivery of this Security Agreement until the Secured Notes Obligations (other than contingent indemnification obligations for which no claim or demand has been made) are paid in full.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Additional Grantors</w:t>
      </w:r>
      <w:r>
        <w:rPr>
          <w:rFonts w:ascii="Arial" w:cs="Arial" w:eastAsia="Arial" w:hAnsi="Arial"/>
          <w:sz w:val="18"/>
          <w:szCs w:val="18"/>
          <w:color w:val="auto"/>
        </w:rPr>
        <w:t xml:space="preserve">. Upon the execution and delivery by any Subsidiary or Successor Company of an instrument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accordance with the Indenture, such Person shall become a Subsidiary Party or Additional Party, as applicable, hereunder with the same force and effect as if such Person was originally named as a Grantor herein. The execution and delivery of any such instrument shall not require the consent of any other Grantor or any other Person. The rights and obligations of each Grantor hereunder shall remain in full force and effect notwithstanding the addition of any new Grantor as a party to this Security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Headings</w:t>
      </w:r>
      <w:r>
        <w:rPr>
          <w:rFonts w:ascii="Arial" w:cs="Arial" w:eastAsia="Arial" w:hAnsi="Arial"/>
          <w:sz w:val="18"/>
          <w:szCs w:val="18"/>
          <w:color w:val="auto"/>
        </w:rPr>
        <w:t>. The titles of and section headings in this Security Agreement are for convenience of reference only, and shall not govern the interpretation of any of the terms and provisions of this Security Agreement.</w:t>
      </w:r>
    </w:p>
    <w:p>
      <w:pPr>
        <w:spacing w:after="0" w:line="17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i w:val="1"/>
          <w:iCs w:val="1"/>
          <w:color w:val="auto"/>
        </w:rPr>
        <w:t>Termination or Release</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3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This Security Agreement shall continue in effect until the Secured Notes Obligations (other than contingent indemnification obligations for which no claim or demand has been made) are paid in full, and the Liens granted hereunder shall automatically be released in the circumstances described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of the Indenture.</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51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In connection with any termination or release pursuant to </w:t>
      </w:r>
      <w:r>
        <w:rPr>
          <w:rFonts w:ascii="Arial" w:cs="Arial" w:eastAsia="Arial" w:hAnsi="Arial"/>
          <w:sz w:val="17"/>
          <w:szCs w:val="17"/>
          <w:u w:val="single" w:color="auto"/>
          <w:color w:val="auto"/>
        </w:rPr>
        <w:t>Section 7.12(a)</w:t>
      </w:r>
      <w:r>
        <w:rPr>
          <w:rFonts w:ascii="Arial" w:cs="Arial" w:eastAsia="Arial" w:hAnsi="Arial"/>
          <w:sz w:val="17"/>
          <w:szCs w:val="17"/>
          <w:color w:val="auto"/>
        </w:rPr>
        <w:t xml:space="preserve">, the Notes Collateral Agent shall promptly execute (if applicable) and deliver to any Grantor, at such Grantor’s expense, all UCC termination statements and similar documents that such Grantor shall reasonably request to evidence and/or effectuate such termination or release. Any execution and delivery of documents pursuant to this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shall be without recourse to or representation or warranty by the Notes Collateral Agent or any Secured Notes Secured Party. The Issuer shall reimburse the Notes Collateral Agent for all costs and expenses, including any fees and expenses of counsel, incurred by it in connection with any action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7.12</w:t>
      </w:r>
      <w:r>
        <w:rPr>
          <w:rFonts w:ascii="Arial" w:cs="Arial" w:eastAsia="Arial" w:hAnsi="Arial"/>
          <w:sz w:val="17"/>
          <w:szCs w:val="17"/>
          <w:color w:val="auto"/>
        </w:rPr>
        <w:t xml:space="preserve"> pursuant to and to the extent required by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9" w:name="page260"/>
    <w:bookmarkEnd w:id="259"/>
    <w:p>
      <w:pPr>
        <w:ind w:firstLine="656"/>
        <w:spacing w:after="0" w:line="342" w:lineRule="auto"/>
        <w:tabs>
          <w:tab w:leader="none" w:pos="1347"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The Notes Collateral Agent shall have no liability whatsoever to any other Secured Notes Secured Party as the result of any release of Collateral by it in accordance with (or which the Notes Collateral Agent in good faith believes to be in accordance with) the terms of this </w:t>
      </w:r>
      <w:r>
        <w:rPr>
          <w:rFonts w:ascii="Arial" w:cs="Arial" w:eastAsia="Arial" w:hAnsi="Arial"/>
          <w:sz w:val="16"/>
          <w:szCs w:val="16"/>
          <w:u w:val="single" w:color="auto"/>
          <w:color w:val="auto"/>
        </w:rPr>
        <w:t>Section 7.12</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656"/>
        <w:spacing w:after="0" w:line="254" w:lineRule="auto"/>
        <w:tabs>
          <w:tab w:leader="none" w:pos="14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At any time that a Grantor desires that the Notes Collateral Agent take any action to acknowledge or give effect to any release of Collateral pursuant to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upon request by the Notes Collateral Agent, such Grantor shall deliver to the Notes Collateral Agent a certificate signed by a Responsible Officer of such Grantor (or the Issuer on behalf of such Grantor) stating that the release of the respective Collateral is permitted pursuant to such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and the terms of the Indenture. At any time that any Grantor desires that a Restricted Subsidiary of such Grantor be released hereunder, it shall deliver to the Notes Collateral Agent a certificate signed by a Responsible Officer of such Grantor (or the Issuer on behalf of such Grantor) stating that the release of the respective Grantor (and its Collateral) is permitted pursuant to such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and the terms of the Indenture.</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i w:val="1"/>
          <w:iCs w:val="1"/>
          <w:color w:val="auto"/>
        </w:rPr>
        <w:t>Entire Agreement</w:t>
      </w:r>
      <w:r>
        <w:rPr>
          <w:rFonts w:ascii="Arial" w:cs="Arial" w:eastAsia="Arial" w:hAnsi="Arial"/>
          <w:sz w:val="17"/>
          <w:szCs w:val="17"/>
          <w:color w:val="auto"/>
        </w:rPr>
        <w:t>. This Security Agreement, together with the other Notes Documents (including any Intercreditor Agreements), embodies the entire agreement and understanding between each Grantor and the Notes Collateral Agent relating to the Collateral and supersedes all prior agreements and understandings between any Grantor and the Notes Collateral Agent relating to the Collateral.</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i w:val="1"/>
          <w:iCs w:val="1"/>
          <w:color w:val="auto"/>
        </w:rPr>
        <w:t>CHOICE OF LAW</w:t>
      </w:r>
      <w:r>
        <w:rPr>
          <w:rFonts w:ascii="Arial" w:cs="Arial" w:eastAsia="Arial" w:hAnsi="Arial"/>
          <w:sz w:val="17"/>
          <w:szCs w:val="17"/>
          <w:color w:val="auto"/>
        </w:rPr>
        <w:t>. THIS SECURITY AGREEMENT AND ANY CLAIM, CONTROVERSY OR DISPUTE ARISING UNDER OR RELATED TO THIS SECURITY AGREEMENT, WHETHER IN TORT, CONTRACT (AT LAW OR IN EQUITY) OR OTHERWISE, SHALL BE GOVERNED BY, AND CONSTRUED AND INTERPRETED IN ACCORDANCE WITH, THE LAWS OF THE STATE OF NEW YORK.</w:t>
      </w:r>
    </w:p>
    <w:p>
      <w:pPr>
        <w:spacing w:after="0" w:line="16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7.15.</w:t>
      </w:r>
      <w:r>
        <w:rPr>
          <w:sz w:val="20"/>
          <w:szCs w:val="20"/>
          <w:color w:val="auto"/>
        </w:rPr>
        <w:tab/>
      </w:r>
      <w:r>
        <w:rPr>
          <w:rFonts w:ascii="Arial" w:cs="Arial" w:eastAsia="Arial" w:hAnsi="Arial"/>
          <w:sz w:val="16"/>
          <w:szCs w:val="16"/>
          <w:i w:val="1"/>
          <w:iCs w:val="1"/>
          <w:color w:val="auto"/>
        </w:rPr>
        <w:t>CONSENT TO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7" w:lineRule="auto"/>
        <w:tabs>
          <w:tab w:leader="none" w:pos="134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THIS SECURITY AGREEMENT AND AGREES THAT ALL CLAIMS, CONTROVERSIES OR DISPUTES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NOTHING IN THIS SECURITY AGREEMENT SHALL AFFECT ANY RIGHT THAT THE NOTES COLLATERAL AGENT OR ANY SECURED NOTES SECURED PARTY MAY OTHERWISE HAVE TO BRING ANY ENFORCEMENT ACTION OR PROCEEDING RELATING TO THIS SECURITY AGREEMENT, INCLUDING ANY SUCH ACTION OR PROCEEDING IN CONNECTION WITH THE EXERCISE OF REMEDIES WITH RESPECT TO COLLATERAL, AGAINST THE GRANTORS OR THEIR PROPERTY IN THE COURTS OF ANY JURISDICTION. EACH PARTY HERETO HEREBY IRREVOCABLY AND UNCONDITIONALLY WAIVES, TO THE FULLEST EXTENT IT MAY LEGALLY AND EFFECTIVELY DO SO, ANY OBJECTION WHICH IT MAY NOW OR HEREAFTER HAVE TO THE LAYING OF VENUE OF ANY SUIT, ACTION OR PROCEEDING ARISING OUT OF OR RELATING TO THIS SECURITY AGREEMENT IN ANY SUCH COURT. EACH PARTY HERETO HEREBY IRREVOCABLY WAIVES, TO THE FULLEST EXTENT PERMITTED BY APPLICABLE REQUIREMENTS OF LAW, ANY CLAIM OR DEFENSE OF AN INCONVENIENT FORUM TO THE MAINTENANCE OF SUCH ACTION, SUIT OR PROCEEDING IN ANY SUCH COURT.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0" w:name="page261"/>
    <w:bookmarkEnd w:id="260"/>
    <w:p>
      <w:pPr>
        <w:jc w:val="both"/>
        <w:ind w:firstLine="656"/>
        <w:spacing w:after="0" w:line="271" w:lineRule="auto"/>
        <w:tabs>
          <w:tab w:leader="none" w:pos="172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REQUIREMENTS OF LAW, EACH PARTY TO THIS SECURITY AGREEMENT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OF THE INDENTURE. EACH PARTY TO THIS SECURITY AGREEMENT HEREBY WAIVES ANY OBJECTION TO SUCH SERVICE OF PROCESS AND FURTHER IRREVOCABLY WAIVES AND AGREES NOT TO PLEAD OR CLAIM IN ANY ACTION OR PROCEEDING COMMENCED HEREUNDER THAT SERVICE OF PROCESS WAS INVALID AND INEFFECTIVE. NOTHING IN THIS SECURITY AGREEMENT WILL AFFECT THE RIGHT OF ANY PARTY TO THIS SECURITY AGREEMENT TO SERVE PROCESS IN ANY OTHER MANNER PERMITTED BY APPLICABLE REQUIREMENTS OF LAW.</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SECURITY AGREEMENT OR THE TRANSACTIONS CONTEMPLATED 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w:t>
      </w:r>
      <w:r>
        <w:rPr>
          <w:rFonts w:ascii="Arial" w:cs="Arial" w:eastAsia="Arial" w:hAnsi="Arial"/>
          <w:sz w:val="17"/>
          <w:szCs w:val="17"/>
          <w:u w:val="single" w:color="auto"/>
          <w:color w:val="auto"/>
        </w:rPr>
        <w:t>SECTION 7.16</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7.17. </w:t>
      </w:r>
      <w:r>
        <w:rPr>
          <w:rFonts w:ascii="Arial" w:cs="Arial" w:eastAsia="Arial" w:hAnsi="Arial"/>
          <w:sz w:val="17"/>
          <w:szCs w:val="17"/>
          <w:i w:val="1"/>
          <w:iCs w:val="1"/>
          <w:color w:val="auto"/>
        </w:rPr>
        <w:t>Indemnity</w:t>
      </w:r>
      <w:r>
        <w:rPr>
          <w:rFonts w:ascii="Arial" w:cs="Arial" w:eastAsia="Arial" w:hAnsi="Arial"/>
          <w:sz w:val="17"/>
          <w:szCs w:val="17"/>
          <w:color w:val="auto"/>
        </w:rPr>
        <w:t xml:space="preserve">. Each Grantor hereby agrees to indemnify each of the Notes Collateral Agent or any predecessor Notes Collateral Agent and their respective officers, agents, directors and employees, as, and to the extent, set forth in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of the Indenture.</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i w:val="1"/>
          <w:iCs w:val="1"/>
          <w:color w:val="auto"/>
        </w:rPr>
        <w:t>Counterparts</w:t>
      </w:r>
      <w:r>
        <w:rPr>
          <w:rFonts w:ascii="Arial" w:cs="Arial" w:eastAsia="Arial" w:hAnsi="Arial"/>
          <w:sz w:val="18"/>
          <w:szCs w:val="18"/>
          <w:color w:val="auto"/>
        </w:rPr>
        <w:t>. This Security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Security Agreement by facsimile or by email as a “.pdf” or “.tif” attachment or other electronic transmission shall be effective as delivery of a manually executed counterpart of this Security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1" w:name="page262"/>
    <w:bookmarkEnd w:id="261"/>
    <w:p>
      <w:pPr>
        <w:jc w:val="both"/>
        <w:ind w:firstLine="648"/>
        <w:spacing w:after="0" w:line="254" w:lineRule="auto"/>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i w:val="1"/>
          <w:iCs w:val="1"/>
          <w:color w:val="auto"/>
        </w:rPr>
        <w:t>INTERCREDITOR AGREEMENTS GOVERN</w:t>
      </w:r>
      <w:r>
        <w:rPr>
          <w:rFonts w:ascii="Arial" w:cs="Arial" w:eastAsia="Arial" w:hAnsi="Arial"/>
          <w:sz w:val="18"/>
          <w:szCs w:val="18"/>
          <w:color w:val="auto"/>
        </w:rPr>
        <w:t>. NOTWITHSTANDING ANYTHING HEREIN TO THE CONTRARY, THE LIENS AND SECURITY INTERESTS GRANTED TO THE NOTES COLLATERAL AGENT FOR THE BENEFIT OF THE SECURED NOTES SECURED PARTIES PURSUANT TO THIS SECURITY AGREEMENT AND THE EXERCISE OF ANY RIGHT OR REMEDY BY THE NOTES COLLATERAL AGENT WITH RESPECT TO ANY COLLATERAL HEREUNDER ARE SUBJECT TO THE PROVISIONS OF ANY INTERCREDITOR AGREEMENTS. IN THE EVENT OF ANY CONFLICT BETWEEN THE PROVISIONS OF ANY INTERCREDITOR AGREEMENT (INCLUDING ANY EQUAL PRIORITY INTERCREDITOR AGREEMENT) AND THIS SECURITY AGREEMENT, THE PROVISIONS OF SUCH INTERCREDITOR AGREEMENT SHALL GOVERN AND CONTROL.</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obligation of any Grantor in this Agreement that requires (or any representation or warranty hereunder to the extent that it would have the effect of requiring) delivery of Collateral to, or the possession or Control of Collateral with the Notes Collateral Agent shall be deemed complied with and satisfied (or, in the case of any representation or warranty hereunder, shall be deemed to be true) if such delivery of Collateral is made to, or such possession or Control of Collateral is with, the Controlling Collateral Notes Collateral Agent (as such term is defined in any Equal Priority Intercreditor Agreement) acting as bailee for perfection on behalf of the Notes Collateral Agent in accordance with any Equal Priority Intercreditor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i w:val="1"/>
          <w:iCs w:val="1"/>
          <w:color w:val="auto"/>
        </w:rPr>
        <w:t>Waiver of Consequential Damages, Etc</w:t>
      </w:r>
      <w:r>
        <w:rPr>
          <w:rFonts w:ascii="Arial" w:cs="Arial" w:eastAsia="Arial" w:hAnsi="Arial"/>
          <w:sz w:val="18"/>
          <w:szCs w:val="18"/>
          <w:color w:val="auto"/>
        </w:rPr>
        <w:t xml:space="preserve">. To the extent permitted by applicable law, none of the Grantors or Secured Notes Secured Parties shall assert, and each hereby waives, any claim against each other or any Related Person thereof, on any theory of liability, for special, indirect, consequential or punitive damages (as opposed to direct or actual damages) arising out of, in connection with, or as a result of, this Security Agreement or any agreement or instrument contemplated hereby, except, in the case of any claim by any of the Notes Collateral Agent or any predecessor Notes Collateral Agent and their respective officers, agents, directors and employees against any of the Grantors, to the extent such damages would otherwise be subject to indemnification pursuant to the terms of </w:t>
      </w:r>
      <w:r>
        <w:rPr>
          <w:rFonts w:ascii="Arial" w:cs="Arial" w:eastAsia="Arial" w:hAnsi="Arial"/>
          <w:sz w:val="18"/>
          <w:szCs w:val="18"/>
          <w:u w:val="single" w:color="auto"/>
          <w:color w:val="auto"/>
        </w:rPr>
        <w:t>Section 7.17</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7.21. </w:t>
      </w:r>
      <w:r>
        <w:rPr>
          <w:rFonts w:ascii="Arial" w:cs="Arial" w:eastAsia="Arial" w:hAnsi="Arial"/>
          <w:sz w:val="17"/>
          <w:szCs w:val="17"/>
          <w:i w:val="1"/>
          <w:iCs w:val="1"/>
          <w:color w:val="auto"/>
        </w:rPr>
        <w:t>Mortgages and Ship Mortgages</w:t>
      </w:r>
      <w:r>
        <w:rPr>
          <w:rFonts w:ascii="Arial" w:cs="Arial" w:eastAsia="Arial" w:hAnsi="Arial"/>
          <w:sz w:val="17"/>
          <w:szCs w:val="17"/>
          <w:color w:val="auto"/>
        </w:rPr>
        <w:t>. In the case of (i) a conflict between this Security Agreement and any Mortgage with respect to any Material Real Estate Asset that is also subject to a valid and enforceable Lien under the terms of such Mortgage (including Fixtures), the terms of such Mortgage shall govern, and (ii) a conflict between this Security Agreement and any Ship Mortgage with respect to any tanker or other marine vessel that is also subject to a valid and enforceable Lien under the terms of such Ship Mortgage, the terms of such Ship Mortgage shall govern.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7.22.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Whenever in this Security Agreement any party hereto is referred to, such reference shall be deemed to include the successors and permitted assigns of such party; and all covenants, promises and agreements by or on behalf of any Grantor or the Notes Collateral Agent in this Security Agreement shall bind and inure to the benefit of their respective successors and permitted assigns. Except in a transaction expressly permitted under the Indenture, no Grantor may assign any of its rights or obligations hereunder without the written consent of the Notes Collateral Agent.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7.23. </w:t>
      </w:r>
      <w:r>
        <w:rPr>
          <w:rFonts w:ascii="Arial" w:cs="Arial" w:eastAsia="Arial" w:hAnsi="Arial"/>
          <w:sz w:val="17"/>
          <w:szCs w:val="17"/>
          <w:i w:val="1"/>
          <w:iCs w:val="1"/>
          <w:color w:val="auto"/>
        </w:rPr>
        <w:t>Survival of Agreement.</w:t>
      </w:r>
      <w:r>
        <w:rPr>
          <w:rFonts w:ascii="Arial" w:cs="Arial" w:eastAsia="Arial" w:hAnsi="Arial"/>
          <w:sz w:val="17"/>
          <w:szCs w:val="17"/>
          <w:color w:val="auto"/>
        </w:rPr>
        <w:t xml:space="preserve"> Without limiting any provision of the Indenture or </w:t>
      </w:r>
      <w:r>
        <w:rPr>
          <w:rFonts w:ascii="Arial" w:cs="Arial" w:eastAsia="Arial" w:hAnsi="Arial"/>
          <w:sz w:val="17"/>
          <w:szCs w:val="17"/>
          <w:u w:val="single" w:color="auto"/>
          <w:color w:val="auto"/>
        </w:rPr>
        <w:t>Section 7.17</w:t>
      </w:r>
      <w:r>
        <w:rPr>
          <w:rFonts w:ascii="Arial" w:cs="Arial" w:eastAsia="Arial" w:hAnsi="Arial"/>
          <w:sz w:val="17"/>
          <w:szCs w:val="17"/>
          <w:color w:val="auto"/>
        </w:rPr>
        <w:t xml:space="preserve"> hereof, all covenants, agreements, indemnities, representations and warranties made by the Grantors in the Notes Documents and in the certificates or other instruments delivered in connection with or pursuant to this Security Agreement or any other Notes Document shall be considered to have been relied upon by the Secured Notes Secured Parties and shall survive the execution and delivery of the Notes Documents and the issuance of any Notes, regardless of any investigation made by any such Secured Notes Secured Party or on its behalf and notwithstanding that the Notes Collateral Agent or any Secured Notes Secured Party may have had notice or knowledge of any Default or Event of Default or incorrect representation or warranty at the time any credit is extended under the Indenture, and shall continue in full force and effect until the Secured Notes Obligations (other than contingent indemnification obligations for which no claim or demand has been made) are paid in full, or with respect to any individual Grantor until such Grantor is otherwise released from its obligations under this Security Agreement in accordance with the terms hereof.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Sending Notices</w:t>
      </w:r>
      <w:r>
        <w:rPr>
          <w:rFonts w:ascii="Arial" w:cs="Arial" w:eastAsia="Arial" w:hAnsi="Arial"/>
          <w:sz w:val="18"/>
          <w:szCs w:val="18"/>
          <w:color w:val="auto"/>
        </w:rPr>
        <w:t xml:space="preserve">. Any notice required or permitted to be given under this Security Agreement shall be delivered in accordance with </w:t>
      </w:r>
      <w:r>
        <w:rPr>
          <w:rFonts w:ascii="Arial" w:cs="Arial" w:eastAsia="Arial" w:hAnsi="Arial"/>
          <w:sz w:val="18"/>
          <w:szCs w:val="18"/>
          <w:u w:val="single" w:color="auto"/>
          <w:color w:val="auto"/>
        </w:rPr>
        <w:t>Section 13.01</w:t>
      </w:r>
      <w:r>
        <w:rPr>
          <w:rFonts w:ascii="Arial" w:cs="Arial" w:eastAsia="Arial" w:hAnsi="Arial"/>
          <w:sz w:val="18"/>
          <w:szCs w:val="18"/>
          <w:color w:val="auto"/>
        </w:rPr>
        <w:t xml:space="preserve"> of the Indenture (it being understood and agreed that references in such Section to “herein,” “hereunder” and other similar terms shall be deemed to be references to this Security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Change in Address for Notices</w:t>
      </w:r>
      <w:r>
        <w:rPr>
          <w:rFonts w:ascii="Arial" w:cs="Arial" w:eastAsia="Arial" w:hAnsi="Arial"/>
          <w:sz w:val="18"/>
          <w:szCs w:val="18"/>
          <w:color w:val="auto"/>
        </w:rPr>
        <w:t>. Each of the Grantors, the Notes Collateral Agent and the Secured Notes Secured Parties may change the address or facsimile number for service of notice upon it by a notice in writing to the other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COLLATERAL AGENT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U.S. Bank has been appointed Notes Collateral Agent for the Holders hereunder pursuant to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of the Indenture. It is expressly understood and agreed by the parties to this Security Agreement that any authority conferred upon the Notes Collateral Agent hereunder is subject to the terms of the delegation of authority made by the Holders to the Notes Collateral Agent pursuant to the Indenture, and that the Notes Collateral Agent has agreed to act (and any successor Notes Collateral Agent shall act) as such hereunder only on the express conditions contained in such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Any successor Notes Collateral Agent appointed pursuant to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of the Indenture shall be entitled to all the rights, interests and benefits of the Notes Collateral Agent hereunder. All of the rights, protections and immunities granted to the Notes Collateral Agent under the Indenture shall be applicable to the Notes Collateral Agent under this Security Agreement as if fully set forth herein.</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By accepting the benefits of this Security Agreement and any other Notes Document, each Secured Notes Secured Party expressly acknowledges and agrees that this Security Agreement and each other Notes Document may be enforced only by the action of the Notes Collateral Agent, and that such Secured Notes Secured Party shall not have any right individually to seek to enforce or to enforce this Security Agreement or to realize upon the security to be granted hereby, it being understood and agreed that such rights and remedies may be exercised by the Notes Collateral Agent for the benefit of the Secured Notes Secured Parties upon the terms of this Security Agreement and the other Notes Documents.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AGES</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t>IN WITNESS WHEREOF, each Grantor and the Notes Collateral Agent have executed this Security Agreement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Christopher S. Guinta</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NEW FORTRESS INTERMEDIATE LLC</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Christopher S. Guinta</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NFE ATLANTIC HOLDINGS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Christopher S. Guinta</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263525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64" w:name="page265"/>
    <w:bookmarkEnd w:id="264"/>
    <w:p>
      <w:pPr>
        <w:ind w:left="4520"/>
        <w:spacing w:after="0"/>
        <w:rPr>
          <w:sz w:val="20"/>
          <w:szCs w:val="20"/>
          <w:color w:val="auto"/>
        </w:rPr>
      </w:pPr>
      <w:r>
        <w:rPr>
          <w:rFonts w:ascii="Arial" w:cs="Arial" w:eastAsia="Arial" w:hAnsi="Arial"/>
          <w:sz w:val="18"/>
          <w:szCs w:val="18"/>
          <w:color w:val="auto"/>
        </w:rPr>
        <w:t>AMERICAN ENERGY LOGISTICS SOLUTIONS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AMERICAN LNG MARKETING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ENERGY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BRADFORD COUNTY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GPF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GPF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POWER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TRANSPORT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BRADFORD COUNTY TRANSPORT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ISLAND LNG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 REAL ESTATE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LA REAL ESTATE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LNG HOLDINGS (FLORIDA)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MARKETING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BCS HOLDINGS (A)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BCS HOLDINGS (B)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EQUIPMENT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EQUIPMENT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GHANA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GHANA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HONDURAS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INTERNATIONAL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ISO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ISO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JAMAICA GP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LOGISTICS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MANAGEMENT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MEXICO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NICARAGUA DEVELOPMENT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NICARAGUA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PLANT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SOUTH 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SUB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TRANSPORT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TRANSPORT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REAL ESTATE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 REAL ESTATE PARTNERS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TICO DEVELOPMENT PARTNERS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TICO DEVELOPMENT PARTNERS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20"/>
          </w:cols>
          <w:pgMar w:left="1440" w:top="341" w:right="1439" w:bottom="1440" w:gutter="0" w:footer="0" w:header="0"/>
        </w:sectPr>
      </w:pPr>
    </w:p>
    <w:bookmarkStart w:id="265" w:name="page266"/>
    <w:bookmarkEnd w:id="265"/>
    <w:p>
      <w:pPr>
        <w:ind w:left="4520"/>
        <w:spacing w:after="0"/>
        <w:rPr>
          <w:sz w:val="20"/>
          <w:szCs w:val="20"/>
          <w:color w:val="auto"/>
        </w:rPr>
      </w:pPr>
      <w:r>
        <w:rPr>
          <w:rFonts w:ascii="Arial" w:cs="Arial" w:eastAsia="Arial" w:hAnsi="Arial"/>
          <w:sz w:val="18"/>
          <w:szCs w:val="18"/>
          <w:color w:val="auto"/>
        </w:rPr>
        <w:t>Atlantic Energy Holdings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Terminal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Power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International Holdings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Distribution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Holdings Limited [Bermuda]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Holdings Limited [Jamaica]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Infrastructure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Trading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North Transport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South Holdings Limited [Bermuda]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South Holdings Limited [Jamaica]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NFE South Power Trading Limited [Bermuda]</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NFE South Power Trading Limited [Jamaica]</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South Trading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Shannon Holdings Limited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6" w:name="page267"/>
    <w:bookmarkEnd w:id="266"/>
    <w:p>
      <w:pPr>
        <w:ind w:left="4520"/>
        <w:spacing w:after="0"/>
        <w:rPr>
          <w:sz w:val="20"/>
          <w:szCs w:val="20"/>
          <w:color w:val="auto"/>
        </w:rPr>
      </w:pPr>
      <w:r>
        <w:rPr>
          <w:rFonts w:ascii="Arial" w:cs="Arial" w:eastAsia="Arial" w:hAnsi="Arial"/>
          <w:sz w:val="17"/>
          <w:szCs w:val="17"/>
          <w:color w:val="auto"/>
        </w:rPr>
        <w:t>Atlantic Energy Infrastructure Holdings SRL</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Pipeline Holdings SRL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Atlantic Terminal Infrastructure Holdings SRL</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Encanto East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Encanto Power East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Encanto Power West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Encanto West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New Fortress Energy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Angola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Mexico Holdings B.V.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Mexico Holdings Parent B.V.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Power PR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NFEnergía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Soluciones de Energia Limpia PR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Distribution Holdings SRL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Atlantic Power Holdings SRL</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Stephen Guinta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7" w:name="page268"/>
    <w:bookmarkEnd w:id="267"/>
    <w:p>
      <w:pPr>
        <w:ind w:left="4520"/>
        <w:spacing w:after="0"/>
        <w:rPr>
          <w:sz w:val="20"/>
          <w:szCs w:val="20"/>
          <w:color w:val="auto"/>
        </w:rPr>
      </w:pPr>
      <w:r>
        <w:rPr>
          <w:rFonts w:ascii="Arial" w:cs="Arial" w:eastAsia="Arial" w:hAnsi="Arial"/>
          <w:sz w:val="18"/>
          <w:szCs w:val="18"/>
          <w:color w:val="auto"/>
        </w:rPr>
        <w:t>Amaunet, S. de R.L. de C.V.</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 Pacifico LAP, S. de R.L. de C.V.</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NFEnergia GN de BCS, S. de R.L. de C.V.</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NFEnergia Mexico, S. de R.L. de C.V.</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Legal Representative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8" w:name="page269"/>
    <w:bookmarkEnd w:id="268"/>
    <w:p>
      <w:pPr>
        <w:ind w:left="452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the Notes Collateral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Joshua 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Joshua A. Hahn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US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SECURITY AGREEMENT JOINDER</w:t>
      </w:r>
    </w:p>
    <w:p>
      <w:pPr>
        <w:spacing w:after="0" w:line="229" w:lineRule="exact"/>
        <w:rPr>
          <w:sz w:val="20"/>
          <w:szCs w:val="20"/>
          <w:color w:val="auto"/>
        </w:rPr>
      </w:pPr>
    </w:p>
    <w:p>
      <w:pPr>
        <w:jc w:val="both"/>
        <w:ind w:firstLine="656"/>
        <w:spacing w:after="0" w:line="257" w:lineRule="auto"/>
        <w:tabs>
          <w:tab w:leader="none" w:pos="121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SUPPLEMENT NO. [●] dated as of [●] (this “</w:t>
      </w:r>
      <w:r>
        <w:rPr>
          <w:rFonts w:ascii="Arial" w:cs="Arial" w:eastAsia="Arial" w:hAnsi="Arial"/>
          <w:sz w:val="18"/>
          <w:szCs w:val="18"/>
          <w:u w:val="single" w:color="auto"/>
          <w:color w:val="auto"/>
        </w:rPr>
        <w:t>Supplement</w:t>
      </w:r>
      <w:r>
        <w:rPr>
          <w:rFonts w:ascii="Arial" w:cs="Arial" w:eastAsia="Arial" w:hAnsi="Arial"/>
          <w:sz w:val="18"/>
          <w:szCs w:val="18"/>
          <w:color w:val="auto"/>
        </w:rPr>
        <w:t>”), to the Pledge and Security Agreement dated as of September 2, 2020 (as amended, restated,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by and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Parties from time to time party thereto, the Additional Parties from time to time party thereto (the foregoing,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and U.S. Bank National Association (“</w:t>
      </w:r>
      <w:r>
        <w:rPr>
          <w:rFonts w:ascii="Arial" w:cs="Arial" w:eastAsia="Arial" w:hAnsi="Arial"/>
          <w:sz w:val="18"/>
          <w:szCs w:val="18"/>
          <w:u w:val="single" w:color="auto"/>
          <w:color w:val="auto"/>
        </w:rPr>
        <w:t>U.S. Bank</w:t>
      </w:r>
      <w:r>
        <w:rPr>
          <w:rFonts w:ascii="Arial" w:cs="Arial" w:eastAsia="Arial" w:hAnsi="Arial"/>
          <w:sz w:val="18"/>
          <w:szCs w:val="18"/>
          <w:color w:val="auto"/>
        </w:rPr>
        <w:t>”), in its capacity as collateral agent for the Secured Notes Secured Parties (in such capacity, the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19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Reference is made to that certain Indenture dated as of September 2, 2020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the Issuer, the subsidiary guarantors from time to time parties thereto and U.S. Bank, as trustee and Notes Collateral Agent.</w:t>
      </w:r>
    </w:p>
    <w:p>
      <w:pPr>
        <w:spacing w:after="0" w:line="183" w:lineRule="exact"/>
        <w:rPr>
          <w:rFonts w:ascii="Arial" w:cs="Arial" w:eastAsia="Arial" w:hAnsi="Arial"/>
          <w:sz w:val="18"/>
          <w:szCs w:val="18"/>
          <w:color w:val="auto"/>
        </w:rPr>
      </w:pPr>
    </w:p>
    <w:p>
      <w:pPr>
        <w:ind w:firstLine="656"/>
        <w:spacing w:after="0" w:line="277" w:lineRule="auto"/>
        <w:tabs>
          <w:tab w:leader="none" w:pos="124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herein shall have the meanings assigned to such terms in the Indenture or the Security Agreement, as applicable.</w:t>
      </w:r>
    </w:p>
    <w:p>
      <w:pPr>
        <w:spacing w:after="0" w:line="170" w:lineRule="exact"/>
        <w:rPr>
          <w:rFonts w:ascii="Arial" w:cs="Arial" w:eastAsia="Arial" w:hAnsi="Arial"/>
          <w:sz w:val="18"/>
          <w:szCs w:val="18"/>
          <w:color w:val="auto"/>
        </w:rPr>
      </w:pPr>
    </w:p>
    <w:p>
      <w:pPr>
        <w:jc w:val="both"/>
        <w:ind w:firstLine="656"/>
        <w:spacing w:after="0" w:line="301" w:lineRule="auto"/>
        <w:tabs>
          <w:tab w:leader="none" w:pos="1151"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Section 7.10</w:t>
      </w:r>
      <w:r>
        <w:rPr>
          <w:rFonts w:ascii="Arial" w:cs="Arial" w:eastAsia="Arial" w:hAnsi="Arial"/>
          <w:sz w:val="16"/>
          <w:szCs w:val="16"/>
          <w:color w:val="auto"/>
        </w:rPr>
        <w:t xml:space="preserve"> of the Security Agreement and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of the Indenture provide that additional parties may become Subsidiary Parties or Additional Parties under the Security Agreement by executing and delivering an instrument in the form of this Supplement.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undersigned Subsidiary (</w:t>
      </w:r>
      <w:r>
        <w:rPr>
          <w:rFonts w:ascii="Arial" w:cs="Arial" w:eastAsia="Arial" w:hAnsi="Arial"/>
          <w:sz w:val="16"/>
          <w:szCs w:val="16"/>
          <w:b w:val="1"/>
          <w:bCs w:val="1"/>
          <w:color w:val="auto"/>
        </w:rPr>
        <w:t>[each a]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 Grantor</w:t>
      </w:r>
      <w:r>
        <w:rPr>
          <w:rFonts w:ascii="Arial" w:cs="Arial" w:eastAsia="Arial" w:hAnsi="Arial"/>
          <w:sz w:val="16"/>
          <w:szCs w:val="16"/>
          <w:color w:val="auto"/>
        </w:rPr>
        <w:t xml:space="preserve">”) is executing this Supplement in accordance with the requirements of the Indenture to become a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Party] [Additional Party] </w:t>
      </w:r>
      <w:r>
        <w:rPr>
          <w:rFonts w:ascii="Arial" w:cs="Arial" w:eastAsia="Arial" w:hAnsi="Arial"/>
          <w:sz w:val="16"/>
          <w:szCs w:val="16"/>
          <w:color w:val="auto"/>
        </w:rPr>
        <w:t>under the Security Agreement to secure the Secured Notes Obligations, including its obligations under the Note Guarantees.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Accordingly, the Notes Collateral Agent and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agree as follows:</w:t>
      </w:r>
    </w:p>
    <w:p>
      <w:pPr>
        <w:spacing w:after="0" w:line="225"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 xml:space="preserve">SECTION 1. In accordance with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of the Security Agreement,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by its signature below becomes a </w:t>
      </w:r>
      <w:r>
        <w:rPr>
          <w:rFonts w:ascii="Arial" w:cs="Arial" w:eastAsia="Arial" w:hAnsi="Arial"/>
          <w:sz w:val="17"/>
          <w:szCs w:val="17"/>
          <w:b w:val="1"/>
          <w:bCs w:val="1"/>
          <w:color w:val="auto"/>
        </w:rPr>
        <w:t>[Subsidiary Party] [Additional Party]</w:t>
      </w:r>
      <w:r>
        <w:rPr>
          <w:rFonts w:ascii="Arial" w:cs="Arial" w:eastAsia="Arial" w:hAnsi="Arial"/>
          <w:sz w:val="17"/>
          <w:szCs w:val="17"/>
          <w:color w:val="auto"/>
        </w:rPr>
        <w:t xml:space="preserve"> and a Grantor under the Security Agreement with the same force and effect as if originally named therein as a Grantor, and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hereby (a) agrees to all the terms and provisions of the Security Agreement applicable to it as a </w:t>
      </w:r>
      <w:r>
        <w:rPr>
          <w:rFonts w:ascii="Arial" w:cs="Arial" w:eastAsia="Arial" w:hAnsi="Arial"/>
          <w:sz w:val="17"/>
          <w:szCs w:val="17"/>
          <w:b w:val="1"/>
          <w:bCs w:val="1"/>
          <w:color w:val="auto"/>
        </w:rPr>
        <w:t xml:space="preserve">[Subsidiary Party] [Additional Party] </w:t>
      </w:r>
      <w:r>
        <w:rPr>
          <w:rFonts w:ascii="Arial" w:cs="Arial" w:eastAsia="Arial" w:hAnsi="Arial"/>
          <w:sz w:val="17"/>
          <w:szCs w:val="17"/>
          <w:color w:val="auto"/>
        </w:rPr>
        <w:t>and Grantor thereunder and (b) makes the representations and warranties applicable to it as a Grantor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Security Agreement</w:t>
      </w:r>
      <w:r>
        <w:rPr>
          <w:rFonts w:ascii="Arial" w:cs="Arial" w:eastAsia="Arial" w:hAnsi="Arial"/>
          <w:sz w:val="17"/>
          <w:szCs w:val="17"/>
          <w:b w:val="1"/>
          <w:bCs w:val="1"/>
          <w:color w:val="auto"/>
        </w:rPr>
        <w:t>[, subject to</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Schedule A</w:t>
      </w:r>
      <w:r>
        <w:rPr>
          <w:rFonts w:ascii="Arial" w:cs="Arial" w:eastAsia="Arial" w:hAnsi="Arial"/>
          <w:sz w:val="17"/>
          <w:szCs w:val="17"/>
          <w:color w:val="auto"/>
        </w:rPr>
        <w:t xml:space="preserve"> </w:t>
      </w:r>
      <w:r>
        <w:rPr>
          <w:rFonts w:ascii="Arial" w:cs="Arial" w:eastAsia="Arial" w:hAnsi="Arial"/>
          <w:sz w:val="17"/>
          <w:szCs w:val="17"/>
          <w:b w:val="1"/>
          <w:bCs w:val="1"/>
          <w:color w:val="auto"/>
        </w:rPr>
        <w:t>hereto,]</w:t>
      </w:r>
      <w:r>
        <w:rPr>
          <w:rFonts w:ascii="Arial" w:cs="Arial" w:eastAsia="Arial" w:hAnsi="Arial"/>
          <w:sz w:val="17"/>
          <w:szCs w:val="17"/>
          <w:color w:val="auto"/>
        </w:rPr>
        <w:t xml:space="preserve"> on and as of the date hereof. In furtherance of the foregoing,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as security for the payment and performance in full of the Secured Notes Obligations, does hereby create and grant to the Notes Collateral Agent, its successors and permitted assigns, for the benefit of the Secured Notes Secured Parties, their successors and permitted assigns, a security interest in and Lien on all of such New Grantor’s right, title and interest in and to the Collateral of such New Grantor. Each reference to a “Grantor” and </w:t>
      </w:r>
      <w:r>
        <w:rPr>
          <w:rFonts w:ascii="Arial" w:cs="Arial" w:eastAsia="Arial" w:hAnsi="Arial"/>
          <w:sz w:val="17"/>
          <w:szCs w:val="17"/>
          <w:b w:val="1"/>
          <w:bCs w:val="1"/>
          <w:color w:val="auto"/>
        </w:rPr>
        <w:t>[“Subsidiary Party”] [“Additional Party”]</w:t>
      </w:r>
      <w:r>
        <w:rPr>
          <w:rFonts w:ascii="Arial" w:cs="Arial" w:eastAsia="Arial" w:hAnsi="Arial"/>
          <w:sz w:val="17"/>
          <w:szCs w:val="17"/>
          <w:color w:val="auto"/>
        </w:rPr>
        <w:t xml:space="preserve"> in the Security Agreement shall be deemed to include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The Security Agreement is hereby incorporated herein by reference.</w:t>
      </w:r>
    </w:p>
    <w:p>
      <w:pPr>
        <w:spacing w:after="0" w:line="177"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represents and warrants to the Notes Collateral Agent and the other Secured Notes Secured Parties that this Supplement has been duly authorized, executed and delivered by it and constitutes its legal, valid and binding obligation, enforceable against it in accordance with its terms, subject to the Legal Reservations.</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0" w:name="page271"/>
    <w:bookmarkEnd w:id="270"/>
    <w:p>
      <w:pPr>
        <w:jc w:val="both"/>
        <w:ind w:firstLine="648"/>
        <w:spacing w:after="0" w:line="296" w:lineRule="auto"/>
        <w:rPr>
          <w:sz w:val="20"/>
          <w:szCs w:val="20"/>
          <w:color w:val="auto"/>
        </w:rPr>
      </w:pPr>
      <w:r>
        <w:rPr>
          <w:rFonts w:ascii="Arial" w:cs="Arial" w:eastAsia="Arial" w:hAnsi="Arial"/>
          <w:sz w:val="16"/>
          <w:szCs w:val="16"/>
          <w:color w:val="auto"/>
        </w:rPr>
        <w:t xml:space="preserve">SECTION 3. This Supplement may be executed in counterparts (and by different parties hereto on different counterparts), each of which shall constitute an original, but all of which when taken together shall constitute a single contract. This Supplement shall become effective when the Notes Collateral Agent shall have received a counterpart of this Supplement that bears the signature of </w:t>
      </w:r>
      <w:r>
        <w:rPr>
          <w:rFonts w:ascii="Arial" w:cs="Arial" w:eastAsia="Arial" w:hAnsi="Arial"/>
          <w:sz w:val="16"/>
          <w:szCs w:val="16"/>
          <w:b w:val="1"/>
          <w:bCs w:val="1"/>
          <w:color w:val="auto"/>
        </w:rPr>
        <w:t>[the] [each]</w:t>
      </w:r>
      <w:r>
        <w:rPr>
          <w:rFonts w:ascii="Arial" w:cs="Arial" w:eastAsia="Arial" w:hAnsi="Arial"/>
          <w:sz w:val="16"/>
          <w:szCs w:val="16"/>
          <w:color w:val="auto"/>
        </w:rPr>
        <w:t xml:space="preserve"> New Grantor and the Notes Collateral Agent has executed a counterpart hereof. Delivery of an executed signature page to this Supplement by facsimile transmission or by email as a “.pdf” or “.tif” attachment shall be as effective as delivery of a manually signed counterpart of this Supplement.</w:t>
      </w:r>
    </w:p>
    <w:p>
      <w:pPr>
        <w:spacing w:after="0" w:line="15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4. Attached hereto is a duly prepared, completed and executed perfection certificate with respect to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and </w:t>
      </w:r>
      <w:r>
        <w:rPr>
          <w:rFonts w:ascii="Arial" w:cs="Arial" w:eastAsia="Arial" w:hAnsi="Arial"/>
          <w:sz w:val="18"/>
          <w:szCs w:val="18"/>
          <w:b w:val="1"/>
          <w:bCs w:val="1"/>
          <w:color w:val="auto"/>
        </w:rPr>
        <w:t>[the] [each]</w:t>
      </w:r>
      <w:r>
        <w:rPr>
          <w:rFonts w:ascii="Arial" w:cs="Arial" w:eastAsia="Arial" w:hAnsi="Arial"/>
          <w:sz w:val="18"/>
          <w:szCs w:val="18"/>
          <w:color w:val="auto"/>
        </w:rPr>
        <w:t xml:space="preserve"> New Grantor hereby represents and warrants that the information set forth therein is correct and complete in all material respects as of the date hereof.</w:t>
      </w:r>
    </w:p>
    <w:p>
      <w:pPr>
        <w:spacing w:after="0" w:line="180"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Except as expressly supplemented hereby, the Security Agreement shall remain in full force and effect.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6. THIS SUPPLEMENT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7. In case any one or more of the provisions contained in this Supplement is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Each of the Issuer and the Notes Collateral Agent shall endeavor in good-faith negotiations to replace the invalid, illegal or unenforceable provisions with valid provisions the economic effect of which comes as close as possible to that of the invalid, illegal or unenforceable provisions.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All communications and notices hereunder shall be in writing and given as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the Security Agreement.</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b w:val="1"/>
          <w:bCs w:val="1"/>
          <w:color w:val="auto"/>
        </w:rPr>
        <w:t>[The] [Each]</w:t>
      </w:r>
      <w:r>
        <w:rPr>
          <w:rFonts w:ascii="Arial" w:cs="Arial" w:eastAsia="Arial" w:hAnsi="Arial"/>
          <w:sz w:val="17"/>
          <w:szCs w:val="17"/>
          <w:color w:val="auto"/>
        </w:rPr>
        <w:t xml:space="preserve"> New Grantor agrees to reimburse the Notes Collateral Agent for its expenses in connection with this Supplement, including the fees, other charges and disbursements of counsel in accordance with </w:t>
      </w:r>
      <w:r>
        <w:rPr>
          <w:rFonts w:ascii="Arial" w:cs="Arial" w:eastAsia="Arial" w:hAnsi="Arial"/>
          <w:sz w:val="17"/>
          <w:szCs w:val="17"/>
          <w:u w:val="single" w:color="auto"/>
          <w:color w:val="auto"/>
        </w:rPr>
        <w:t>Section 12.08(bb)</w:t>
      </w:r>
      <w:r>
        <w:rPr>
          <w:rFonts w:ascii="Arial" w:cs="Arial" w:eastAsia="Arial" w:hAnsi="Arial"/>
          <w:sz w:val="17"/>
          <w:szCs w:val="17"/>
          <w:color w:val="auto"/>
        </w:rPr>
        <w:t xml:space="preserve"> of the Indenture.</w:t>
      </w:r>
    </w:p>
    <w:p>
      <w:pPr>
        <w:spacing w:after="0" w:line="1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71" w:name="page272"/>
    <w:bookmarkEnd w:id="271"/>
    <w:p>
      <w:pPr>
        <w:spacing w:after="0" w:line="282" w:lineRule="auto"/>
        <w:rPr>
          <w:sz w:val="20"/>
          <w:szCs w:val="20"/>
          <w:color w:val="auto"/>
        </w:rPr>
      </w:pPr>
      <w:r>
        <w:rPr>
          <w:rFonts w:ascii="Arial" w:cs="Arial" w:eastAsia="Arial" w:hAnsi="Arial"/>
          <w:sz w:val="18"/>
          <w:szCs w:val="18"/>
          <w:color w:val="auto"/>
        </w:rPr>
        <w:t>IN WITNESS WHEREOF, [</w:t>
      </w:r>
      <w:r>
        <w:rPr>
          <w:rFonts w:ascii="Arial" w:cs="Arial" w:eastAsia="Arial" w:hAnsi="Arial"/>
          <w:sz w:val="18"/>
          <w:szCs w:val="18"/>
          <w:b w:val="1"/>
          <w:bCs w:val="1"/>
          <w:color w:val="auto"/>
        </w:rPr>
        <w:t>each</w:t>
      </w:r>
      <w:r>
        <w:rPr>
          <w:rFonts w:ascii="Arial" w:cs="Arial" w:eastAsia="Arial" w:hAnsi="Arial"/>
          <w:sz w:val="18"/>
          <w:szCs w:val="18"/>
          <w:color w:val="auto"/>
        </w:rPr>
        <w:t xml:space="preserve">] </w:t>
      </w:r>
      <w:r>
        <w:rPr>
          <w:rFonts w:ascii="Arial" w:cs="Arial" w:eastAsia="Arial" w:hAnsi="Arial"/>
          <w:sz w:val="18"/>
          <w:szCs w:val="18"/>
          <w:b w:val="1"/>
          <w:bCs w:val="1"/>
          <w:color w:val="auto"/>
        </w:rPr>
        <w:t>[the]</w:t>
      </w:r>
      <w:r>
        <w:rPr>
          <w:rFonts w:ascii="Arial" w:cs="Arial" w:eastAsia="Arial" w:hAnsi="Arial"/>
          <w:sz w:val="18"/>
          <w:szCs w:val="18"/>
          <w:color w:val="auto"/>
        </w:rPr>
        <w:t xml:space="preserve"> New Grantor has duly executed this Supplement to the Security Agreement as of the day and year first above written.</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OF NEW GRANTOR]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EXCEPTIONS]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EXHIBIT B</w:t>
      </w:r>
      <w:r>
        <w:rPr>
          <w:rFonts w:ascii="Arial" w:cs="Arial" w:eastAsia="Arial" w:hAnsi="Arial"/>
          <w:sz w:val="29"/>
          <w:szCs w:val="29"/>
          <w:color w:val="auto"/>
          <w:vertAlign w:val="superscript"/>
        </w:rPr>
        <w:t>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INTELLECTUAL PROPERTY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[PATENT/TRADEMARK/COPYRIGHT] SECURITY AGREEMENT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 (</w:t>
      </w:r>
      <w:r>
        <w:rPr>
          <w:rFonts w:ascii="Arial" w:cs="Arial" w:eastAsia="Arial" w:hAnsi="Arial"/>
          <w:sz w:val="18"/>
          <w:szCs w:val="18"/>
          <w:b w:val="1"/>
          <w:bCs w:val="1"/>
          <w:color w:val="auto"/>
        </w:rPr>
        <w:t>[each a]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Grantor</w:t>
      </w:r>
      <w:r>
        <w:rPr>
          <w:rFonts w:ascii="Arial" w:cs="Arial" w:eastAsia="Arial" w:hAnsi="Arial"/>
          <w:sz w:val="18"/>
          <w:szCs w:val="18"/>
          <w:color w:val="auto"/>
        </w:rPr>
        <w:t>”) and U.S. Bank National Association (“</w:t>
      </w:r>
      <w:r>
        <w:rPr>
          <w:rFonts w:ascii="Arial" w:cs="Arial" w:eastAsia="Arial" w:hAnsi="Arial"/>
          <w:sz w:val="18"/>
          <w:szCs w:val="18"/>
          <w:u w:val="single" w:color="auto"/>
          <w:color w:val="auto"/>
        </w:rPr>
        <w:t>U.S. Bank</w:t>
      </w:r>
      <w:r>
        <w:rPr>
          <w:rFonts w:ascii="Arial" w:cs="Arial" w:eastAsia="Arial" w:hAnsi="Arial"/>
          <w:sz w:val="18"/>
          <w:szCs w:val="18"/>
          <w:color w:val="auto"/>
        </w:rPr>
        <w:t>”) in its capacity as collateral agent for the Secured Notes Secured Parties as defined in the Indenture referred to below (in such capacity, the “</w:t>
      </w:r>
      <w:r>
        <w:rPr>
          <w:rFonts w:ascii="Arial" w:cs="Arial" w:eastAsia="Arial" w:hAnsi="Arial"/>
          <w:sz w:val="18"/>
          <w:szCs w:val="18"/>
          <w:u w:val="single" w:color="auto"/>
          <w:color w:val="auto"/>
        </w:rPr>
        <w:t>Notes Collateral Agent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reference is made to that certain (a) Indenture dated as of September 2, 2020 (as amended, restated, amended and restated, supplemented or otherwise modified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among New Fortress Energy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the subsidiary guarantors from time to time parties thereto and U.S. Bank, in its capacities as trustee and Notes Collateral Agent and (b) the Pledge and Security Agreement dated as of September 2, 2020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by and among the Issuer, the Subsidiary Parties from time to time party thereto, the Additional Parties from time to time party thereto and the Notes Collateral Agent;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Secured Notes Secured Parties have agreed to extend credit to the Issuer subject to the terms and conditions set forth in the Indenture;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b w:val="1"/>
          <w:bCs w:val="1"/>
          <w:color w:val="auto"/>
        </w:rPr>
        <w:t>[each] [the]</w:t>
      </w:r>
      <w:r>
        <w:rPr>
          <w:rFonts w:ascii="Arial" w:cs="Arial" w:eastAsia="Arial" w:hAnsi="Arial"/>
          <w:sz w:val="18"/>
          <w:szCs w:val="18"/>
          <w:color w:val="auto"/>
        </w:rPr>
        <w:t xml:space="preserve"> Grantor is willing to execute and deliver this Agreement as consideration for such extensions of credit.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sufficiency of which is hereby acknowledged, the parties hereto agree as follows:</w:t>
      </w:r>
    </w:p>
    <w:p>
      <w:pPr>
        <w:spacing w:after="0" w:line="248"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Terms</w:t>
      </w:r>
      <w:r>
        <w:rPr>
          <w:rFonts w:ascii="Arial" w:cs="Arial" w:eastAsia="Arial" w:hAnsi="Arial"/>
          <w:sz w:val="18"/>
          <w:szCs w:val="18"/>
          <w:color w:val="auto"/>
        </w:rPr>
        <w:t>. Capitalized terms used in this Agreement and not otherwise defined herein have the meanings specified in the Security Agreement or the Indenture, as applicable.</w:t>
      </w:r>
    </w:p>
    <w:p>
      <w:pPr>
        <w:spacing w:after="0" w:line="170"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As security for the payment or performance, as the case may be, in full of the Secured Notes Obligations, </w:t>
      </w:r>
      <w:r>
        <w:rPr>
          <w:rFonts w:ascii="Arial" w:cs="Arial" w:eastAsia="Arial" w:hAnsi="Arial"/>
          <w:sz w:val="18"/>
          <w:szCs w:val="18"/>
          <w:b w:val="1"/>
          <w:bCs w:val="1"/>
          <w:color w:val="auto"/>
        </w:rPr>
        <w:t>[each] [the]</w:t>
      </w:r>
      <w:r>
        <w:rPr>
          <w:rFonts w:ascii="Arial" w:cs="Arial" w:eastAsia="Arial" w:hAnsi="Arial"/>
          <w:sz w:val="18"/>
          <w:szCs w:val="18"/>
          <w:color w:val="auto"/>
        </w:rPr>
        <w:t xml:space="preserve"> Grantor hereby grants to the Notes Collateral Agent, its successors and assigns, for the benefit of the Secured Notes Secured Parties, a security interest (the “</w:t>
      </w:r>
      <w:r>
        <w:rPr>
          <w:rFonts w:ascii="Arial" w:cs="Arial" w:eastAsia="Arial" w:hAnsi="Arial"/>
          <w:sz w:val="18"/>
          <w:szCs w:val="18"/>
          <w:u w:val="single" w:color="auto"/>
          <w:color w:val="auto"/>
        </w:rPr>
        <w:t>Security Interest</w:t>
      </w:r>
      <w:r>
        <w:rPr>
          <w:rFonts w:ascii="Arial" w:cs="Arial" w:eastAsia="Arial" w:hAnsi="Arial"/>
          <w:sz w:val="18"/>
          <w:szCs w:val="18"/>
          <w:color w:val="auto"/>
        </w:rPr>
        <w:t xml:space="preserve">”) in all of such Grantor’s right, title and interest in, to and under any [Patents] [Trademarks][Copyrights and exclusive Copyright Licenses] now owned or at any time hereafter acquired by such Grantor, including those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8"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 granted to the Notes Collateral Agent herein is granted in furtherance, and not in limitation, of the security interests granted to the Notes Collateral Agent pursuant to the Security Agreement. Each Grantor hereby acknowledges and affirms that the rights and remedies of the Notes Collateral Agent with respect to the Collateral are more fully set forth in the Security Agreement, the terms and provisions of which are hereby incorporated herein by reference as if fully set forth herein. In the event of any conflict between the terms of this Agreement and the Security Agreement, the terms of the Security Agreement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230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1" w:lineRule="exact"/>
        <w:rPr>
          <w:sz w:val="20"/>
          <w:szCs w:val="20"/>
          <w:color w:val="auto"/>
        </w:rPr>
      </w:pPr>
    </w:p>
    <w:p>
      <w:pPr>
        <w:ind w:left="660" w:hanging="652"/>
        <w:spacing w:after="0" w:line="194" w:lineRule="auto"/>
        <w:tabs>
          <w:tab w:leader="none" w:pos="660" w:val="left"/>
        </w:tabs>
        <w:numPr>
          <w:ilvl w:val="0"/>
          <w:numId w:val="355"/>
        </w:numPr>
        <w:rPr>
          <w:rFonts w:ascii="Arial" w:cs="Arial" w:eastAsia="Arial" w:hAnsi="Arial"/>
          <w:sz w:val="30"/>
          <w:szCs w:val="30"/>
          <w:color w:val="auto"/>
          <w:vertAlign w:val="superscript"/>
        </w:rPr>
      </w:pPr>
      <w:r>
        <w:rPr>
          <w:rFonts w:ascii="Arial" w:cs="Arial" w:eastAsia="Arial" w:hAnsi="Arial"/>
          <w:sz w:val="18"/>
          <w:szCs w:val="18"/>
          <w:color w:val="auto"/>
        </w:rPr>
        <w:t>Note: A separate Intellectual Property Security Agreement must be drafted for each of any Patents, Trademarks, or Copyrights/exclusive Copyright Licenses.</w: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4" w:name="page275"/>
    <w:bookmarkEnd w:id="274"/>
    <w:p>
      <w:pPr>
        <w:jc w:val="both"/>
        <w:ind w:firstLine="648"/>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SECURITY AGREEMENT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INTERCREDITOR AGREEMENTS GOVERN</w:t>
      </w:r>
      <w:r>
        <w:rPr>
          <w:rFonts w:ascii="Arial" w:cs="Arial" w:eastAsia="Arial" w:hAnsi="Arial"/>
          <w:sz w:val="17"/>
          <w:szCs w:val="17"/>
          <w:color w:val="auto"/>
        </w:rPr>
        <w:t>. NOTWITHSTANDING ANYTHING HEREIN TO THE CONTRARY, THE LIENS AND SECURITY INTERESTS GRANTED TO THE NOTES COLLATERAL AGENT FOR THE BENEFIT OF THE SECURED NOTES SECURED PARTIES PURSUANT TO THIS SECURITY AGREEMENT AND THE EXERCISE OF ANY RIGHT OR REMEDY BY THE NOTES COLLATERAL AGENT WITH RESPECT TO ANY COLLATERAL HEREUNDER ARE SUBJECT TO THE PROVISIONS OF ANY INTERCREDITOR AGREEMENTS. IN THE EVENT OF ANY CONFLICT BETWEEN THE PROVISIONS OF ANY INTERCREDITOR AGREEMENT (INCLUDING ANY EQUAL PRIORITY INTERCREDITOR AGREEMENT) AND THIS SECURITY AGREEMENT, THE PROVISIONS OF SUCH INTERCREDITOR AGREEMENT SHALL GOVERN AND CONTROL</w:t>
      </w:r>
    </w:p>
    <w:p>
      <w:pPr>
        <w:spacing w:after="0" w:line="17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2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75" w:name="page276"/>
    <w:bookmarkEnd w:id="275"/>
    <w:p>
      <w:pPr>
        <w:jc w:val="center"/>
        <w:ind w:right="-179"/>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90805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217E23"/>
    <w:multiLevelType w:val="hybridMultilevel"/>
    <w:lvl w:ilvl="0">
      <w:lvlJc w:val="left"/>
      <w:lvlText w:val="☐"/>
      <w:numFmt w:val="bullet"/>
      <w:start w:val="1"/>
    </w:lvl>
  </w:abstractNum>
  <w:abstractNum w:abstractNumId="1">
    <w:nsid w:val="710757D0"/>
    <w:multiLevelType w:val="hybridMultilevel"/>
    <w:lvl w:ilvl="0">
      <w:lvlJc w:val="left"/>
      <w:lvlText w:val="(%1)"/>
      <w:numFmt w:val="decimal"/>
      <w:start w:val="1"/>
    </w:lvl>
  </w:abstractNum>
  <w:abstractNum w:abstractNumId="2">
    <w:nsid w:val="5015CD1A"/>
    <w:multiLevelType w:val="hybridMultilevel"/>
    <w:lvl w:ilvl="0">
      <w:lvlJc w:val="left"/>
      <w:lvlText w:val="(%1)"/>
      <w:numFmt w:val="decimal"/>
      <w:start w:val="1"/>
    </w:lvl>
  </w:abstractNum>
  <w:abstractNum w:abstractNumId="3">
    <w:nsid w:val="424479DA"/>
    <w:multiLevelType w:val="hybridMultilevel"/>
    <w:lvl w:ilvl="0">
      <w:lvlJc w:val="left"/>
      <w:lvlText w:val="(%1)"/>
      <w:numFmt w:val="decimal"/>
      <w:start w:val="2"/>
    </w:lvl>
  </w:abstractNum>
  <w:abstractNum w:abstractNumId="4">
    <w:nsid w:val="1A9A9E69"/>
    <w:multiLevelType w:val="hybridMultilevel"/>
    <w:lvl w:ilvl="0">
      <w:lvlJc w:val="left"/>
      <w:lvlText w:val="(%1)"/>
      <w:numFmt w:val="decimal"/>
      <w:start w:val="1"/>
    </w:lvl>
  </w:abstractNum>
  <w:abstractNum w:abstractNumId="5">
    <w:nsid w:val="475E256A"/>
    <w:multiLevelType w:val="hybridMultilevel"/>
    <w:lvl w:ilvl="0">
      <w:lvlJc w:val="left"/>
      <w:lvlText w:val="(%1)"/>
      <w:numFmt w:val="lowerLetter"/>
      <w:start w:val="1"/>
    </w:lvl>
  </w:abstractNum>
  <w:abstractNum w:abstractNumId="6">
    <w:nsid w:val="368DB3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7">
    <w:nsid w:val="6A3B714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8">
    <w:nsid w:val="327B517E"/>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1"/>
    </w:lvl>
  </w:abstractNum>
  <w:abstractNum w:abstractNumId="9">
    <w:nsid w:val="1F461B51"/>
    <w:multiLevelType w:val="hybridMultilevel"/>
    <w:lvl w:ilvl="0">
      <w:lvlJc w:val="left"/>
      <w:lvlText w:val="(%1)"/>
      <w:numFmt w:val="lowerLetter"/>
      <w:start w:val="12"/>
    </w:lvl>
  </w:abstractNum>
  <w:abstractNum w:abstractNumId="10">
    <w:nsid w:val="29BACF25"/>
    <w:multiLevelType w:val="hybridMultilevel"/>
    <w:lvl w:ilvl="0">
      <w:lvlJc w:val="left"/>
      <w:lvlText w:val="(%1)"/>
      <w:numFmt w:val="lowerLetter"/>
      <w:start w:val="13"/>
    </w:lvl>
  </w:abstractNum>
  <w:abstractNum w:abstractNumId="11">
    <w:nsid w:val="5D5BABB3"/>
    <w:multiLevelType w:val="hybridMultilevel"/>
    <w:lvl w:ilvl="0">
      <w:lvlJc w:val="left"/>
      <w:lvlText w:val="(%1)"/>
      <w:numFmt w:val="lowerLetter"/>
      <w:start w:val="21"/>
    </w:lvl>
  </w:abstractNum>
  <w:abstractNum w:abstractNumId="12">
    <w:nsid w:val="51BF6B48"/>
    <w:multiLevelType w:val="hybridMultilevel"/>
    <w:lvl w:ilvl="0">
      <w:lvlJc w:val="left"/>
      <w:lvlText w:val="(%1)"/>
      <w:numFmt w:val="lowerLetter"/>
      <w:start w:val="27"/>
    </w:lvl>
  </w:abstractNum>
  <w:abstractNum w:abstractNumId="13">
    <w:nsid w:val="7E0F6384"/>
    <w:multiLevelType w:val="hybridMultilevel"/>
    <w:lvl w:ilvl="0">
      <w:lvlJc w:val="left"/>
      <w:lvlText w:val="(%1)"/>
      <w:numFmt w:val="lowerLetter"/>
      <w:start w:val="32"/>
    </w:lvl>
  </w:abstractNum>
  <w:abstractNum w:abstractNumId="14">
    <w:nsid w:val="2B4B8B53"/>
    <w:multiLevelType w:val="hybridMultilevel"/>
    <w:lvl w:ilvl="0">
      <w:lvlJc w:val="left"/>
      <w:lvlText w:val="(%1)"/>
      <w:numFmt w:val="lowerLetter"/>
      <w:start w:val="33"/>
    </w:lvl>
  </w:abstractNum>
  <w:abstractNum w:abstractNumId="15">
    <w:nsid w:val="72E3413A"/>
    <w:multiLevelType w:val="hybridMultilevel"/>
    <w:lvl w:ilvl="0">
      <w:lvlJc w:val="left"/>
      <w:lvlText w:val="(%1)"/>
      <w:numFmt w:val="decimal"/>
      <w:start w:val="1"/>
    </w:lvl>
  </w:abstractNum>
  <w:abstractNum w:abstractNumId="16">
    <w:nsid w:val="116AE494"/>
    <w:multiLevelType w:val="hybridMultilevel"/>
    <w:lvl w:ilvl="0">
      <w:lvlJc w:val="left"/>
      <w:lvlText w:val="(%1)"/>
      <w:numFmt w:val="lowerLetter"/>
      <w:start w:val="1"/>
    </w:lvl>
  </w:abstractNum>
  <w:abstractNum w:abstractNumId="17">
    <w:nsid w:val="3494B2FB"/>
    <w:multiLevelType w:val="hybridMultilevel"/>
    <w:lvl w:ilvl="0">
      <w:lvlJc w:val="left"/>
      <w:lvlText w:val="%1"/>
      <w:numFmt w:val="lowerLetter"/>
      <w:start w:val="1"/>
    </w:lvl>
    <w:lvl w:ilvl="1">
      <w:lvlJc w:val="left"/>
      <w:lvlText w:val="(%2)"/>
      <w:numFmt w:val="lowerLetter"/>
      <w:start w:val="3"/>
    </w:lvl>
  </w:abstractNum>
  <w:abstractNum w:abstractNumId="18">
    <w:nsid w:val="B13A31"/>
    <w:multiLevelType w:val="hybridMultilevel"/>
    <w:lvl w:ilvl="0">
      <w:lvlJc w:val="left"/>
      <w:lvlText w:val="(%1)"/>
      <w:numFmt w:val="lowerLetter"/>
      <w:start w:val="4"/>
    </w:lvl>
    <w:lvl w:ilvl="1">
      <w:lvlJc w:val="left"/>
      <w:lvlText w:val="%2"/>
      <w:numFmt w:val="lowerLetter"/>
      <w:start w:val="1"/>
    </w:lvl>
  </w:abstractNum>
  <w:abstractNum w:abstractNumId="19">
    <w:nsid w:val="64429599"/>
    <w:multiLevelType w:val="hybridMultilevel"/>
    <w:lvl w:ilvl="0">
      <w:lvlJc w:val="left"/>
      <w:lvlText w:val="(%1)"/>
      <w:numFmt w:val="lowerLetter"/>
      <w:start w:val="10"/>
    </w:lvl>
    <w:lvl w:ilvl="1">
      <w:lvlJc w:val="left"/>
      <w:lvlText w:val="(%2)"/>
      <w:numFmt w:val="lowerLetter"/>
      <w:start w:val="11"/>
    </w:lvl>
  </w:abstractNum>
  <w:abstractNum w:abstractNumId="20">
    <w:nsid w:val="631F1690"/>
    <w:multiLevelType w:val="hybridMultilevel"/>
    <w:lvl w:ilvl="0">
      <w:lvlJc w:val="left"/>
      <w:lvlText w:val="(%1)"/>
      <w:numFmt w:val="lowerLetter"/>
      <w:start w:val="12"/>
    </w:lvl>
  </w:abstractNum>
  <w:abstractNum w:abstractNumId="21">
    <w:nsid w:val="25973E32"/>
    <w:multiLevelType w:val="hybridMultilevel"/>
    <w:lvl w:ilvl="0">
      <w:lvlJc w:val="left"/>
      <w:lvlText w:val="(%1)"/>
      <w:numFmt w:val="decimal"/>
      <w:start w:val="1"/>
    </w:lvl>
  </w:abstractNum>
  <w:abstractNum w:abstractNumId="22">
    <w:nsid w:val="EAD6F57"/>
    <w:multiLevelType w:val="hybridMultilevel"/>
    <w:lvl w:ilvl="0">
      <w:lvlJc w:val="left"/>
      <w:lvlText w:val="(%1)"/>
      <w:numFmt w:val="lowerLetter"/>
      <w:start w:val="1"/>
    </w:lvl>
    <w:lvl w:ilvl="1">
      <w:lvlJc w:val="left"/>
      <w:lvlText w:val="(%2)"/>
      <w:numFmt w:val="lowerRoman"/>
      <w:start w:val="1"/>
    </w:lvl>
  </w:abstractNum>
  <w:abstractNum w:abstractNumId="23">
    <w:nsid w:val="6EC9D844"/>
    <w:multiLevelType w:val="hybridMultilevel"/>
    <w:lvl w:ilvl="0">
      <w:lvlJc w:val="left"/>
      <w:lvlText w:val="%1"/>
      <w:numFmt w:val="lowerRoman"/>
      <w:start w:val="1"/>
    </w:lvl>
    <w:lvl w:ilvl="1">
      <w:lvlJc w:val="left"/>
      <w:lvlText w:val="(%2)"/>
      <w:numFmt w:val="lowerRoman"/>
      <w:start w:val="4"/>
    </w:lvl>
  </w:abstractNum>
  <w:abstractNum w:abstractNumId="24">
    <w:nsid w:val="5C49EAEE"/>
    <w:multiLevelType w:val="hybridMultilevel"/>
    <w:lvl w:ilvl="0">
      <w:lvlJc w:val="left"/>
      <w:lvlText w:val="(%1)"/>
      <w:numFmt w:val="lowerRoman"/>
      <w:start w:val="5"/>
    </w:lvl>
    <w:lvl w:ilvl="1">
      <w:lvlJc w:val="left"/>
      <w:lvlText w:val="%2"/>
      <w:numFmt w:val="lowerRoman"/>
      <w:start w:val="1"/>
    </w:lvl>
  </w:abstractNum>
  <w:abstractNum w:abstractNumId="25">
    <w:nsid w:val="64AF49B"/>
    <w:multiLevelType w:val="hybridMultilevel"/>
    <w:lvl w:ilvl="0">
      <w:lvlJc w:val="left"/>
      <w:lvlText w:val="%1"/>
      <w:numFmt w:val="lowerLetter"/>
      <w:start w:val="1"/>
    </w:lvl>
    <w:lvl w:ilvl="1">
      <w:lvlJc w:val="left"/>
      <w:lvlText w:val="(%2)"/>
      <w:numFmt w:val="lowerRoman"/>
      <w:start w:val="10"/>
    </w:lvl>
    <w:lvl w:ilvl="2">
      <w:lvlJc w:val="left"/>
      <w:lvlText w:val="(%3)"/>
      <w:numFmt w:val="lowerRoman"/>
      <w:start w:val="12"/>
    </w:lvl>
  </w:abstractNum>
  <w:abstractNum w:abstractNumId="26">
    <w:nsid w:val="397C46BC"/>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7">
    <w:nsid w:val="7E448DE9"/>
    <w:multiLevelType w:val="hybridMultilevel"/>
    <w:lvl w:ilvl="0">
      <w:lvlJc w:val="left"/>
      <w:lvlText w:val="%1"/>
      <w:numFmt w:val="lowerLetter"/>
      <w:start w:val="1"/>
    </w:lvl>
    <w:lvl w:ilvl="1">
      <w:lvlJc w:val="left"/>
      <w:lvlText w:val="(%2)"/>
      <w:numFmt w:val="lowerLetter"/>
      <w:start w:val="5"/>
    </w:lvl>
  </w:abstractNum>
  <w:abstractNum w:abstractNumId="28">
    <w:nsid w:val="5A9CC3E5"/>
    <w:multiLevelType w:val="hybridMultilevel"/>
    <w:lvl w:ilvl="0">
      <w:lvlJc w:val="left"/>
      <w:lvlText w:val="(%1)"/>
      <w:numFmt w:val="lowerLetter"/>
      <w:start w:val="6"/>
    </w:lvl>
    <w:lvl w:ilvl="1">
      <w:lvlJc w:val="left"/>
      <w:lvlText w:val="%2"/>
      <w:numFmt w:val="lowerLetter"/>
      <w:start w:val="1"/>
    </w:lvl>
  </w:abstractNum>
  <w:abstractNum w:abstractNumId="29">
    <w:nsid w:val="1AFE3625"/>
    <w:multiLevelType w:val="hybridMultilevel"/>
    <w:lvl w:ilvl="0">
      <w:lvlJc w:val="left"/>
      <w:lvlText w:val="(%1)"/>
      <w:numFmt w:val="lowerLetter"/>
      <w:start w:val="1"/>
    </w:lvl>
  </w:abstractNum>
  <w:abstractNum w:abstractNumId="30">
    <w:nsid w:val="3CA88ECF"/>
    <w:multiLevelType w:val="hybridMultilevel"/>
    <w:lvl w:ilvl="0">
      <w:lvlJc w:val="left"/>
      <w:lvlText w:val="(%1)"/>
      <w:numFmt w:val="lowerLetter"/>
      <w:start w:val="5"/>
    </w:lvl>
  </w:abstractNum>
  <w:abstractNum w:abstractNumId="31">
    <w:nsid w:val="6EBE4208"/>
    <w:multiLevelType w:val="hybridMultilevel"/>
    <w:lvl w:ilvl="0">
      <w:lvlJc w:val="left"/>
      <w:lvlText w:val="%1"/>
      <w:numFmt w:val="lowerLetter"/>
      <w:start w:val="1"/>
    </w:lvl>
    <w:lvl w:ilvl="1">
      <w:lvlJc w:val="left"/>
      <w:lvlText w:val="(%2)"/>
      <w:numFmt w:val="lowerLetter"/>
      <w:start w:val="10"/>
    </w:lvl>
  </w:abstractNum>
  <w:abstractNum w:abstractNumId="32">
    <w:nsid w:val="C058DF5"/>
    <w:multiLevelType w:val="hybridMultilevel"/>
    <w:lvl w:ilvl="0">
      <w:lvlJc w:val="left"/>
      <w:lvlText w:val="(%1)"/>
      <w:numFmt w:val="lowerLetter"/>
      <w:start w:val="12"/>
    </w:lvl>
    <w:lvl w:ilvl="1">
      <w:lvlJc w:val="left"/>
      <w:lvlText w:val="%2"/>
      <w:numFmt w:val="lowerLetter"/>
      <w:start w:val="1"/>
    </w:lvl>
  </w:abstractNum>
  <w:abstractNum w:abstractNumId="33">
    <w:nsid w:val="CBE5BE9"/>
    <w:multiLevelType w:val="hybridMultilevel"/>
    <w:lvl w:ilvl="0">
      <w:lvlJc w:val="left"/>
      <w:lvlText w:val="%1"/>
      <w:numFmt w:val="lowerLetter"/>
      <w:start w:val="1"/>
    </w:lvl>
    <w:lvl w:ilvl="1">
      <w:lvlJc w:val="left"/>
      <w:lvlText w:val="(%2)"/>
      <w:numFmt w:val="lowerLetter"/>
      <w:start w:val="15"/>
    </w:lvl>
  </w:abstractNum>
  <w:abstractNum w:abstractNumId="34">
    <w:nsid w:val="3102BBE2"/>
    <w:multiLevelType w:val="hybridMultilevel"/>
    <w:lvl w:ilvl="0">
      <w:lvlJc w:val="left"/>
      <w:lvlText w:val="(%1)"/>
      <w:numFmt w:val="lowerLetter"/>
      <w:start w:val="16"/>
    </w:lvl>
    <w:lvl w:ilvl="1">
      <w:lvlJc w:val="left"/>
      <w:lvlText w:val="%2"/>
      <w:numFmt w:val="lowerLetter"/>
      <w:start w:val="1"/>
    </w:lvl>
  </w:abstractNum>
  <w:abstractNum w:abstractNumId="35">
    <w:nsid w:val="26A02C5E"/>
    <w:multiLevelType w:val="hybridMultilevel"/>
    <w:lvl w:ilvl="0">
      <w:lvlJc w:val="left"/>
      <w:lvlText w:val="(%1)"/>
      <w:numFmt w:val="lowerLetter"/>
      <w:start w:val="20"/>
    </w:lvl>
  </w:abstractNum>
  <w:abstractNum w:abstractNumId="36">
    <w:nsid w:val="541C8153"/>
    <w:multiLevelType w:val="hybridMultilevel"/>
    <w:lvl w:ilvl="0">
      <w:lvlJc w:val="left"/>
      <w:lvlText w:val="(%1)"/>
      <w:numFmt w:val="lowerLetter"/>
      <w:start w:val="1"/>
    </w:lvl>
    <w:lvl w:ilvl="1">
      <w:lvlJc w:val="left"/>
      <w:lvlText w:val="(%2)"/>
      <w:numFmt w:val="lowerRoman"/>
      <w:start w:val="1"/>
    </w:lvl>
  </w:abstractNum>
  <w:abstractNum w:abstractNumId="37">
    <w:nsid w:val="67906F60"/>
    <w:multiLevelType w:val="hybridMultilevel"/>
    <w:lvl w:ilvl="0">
      <w:lvlJc w:val="left"/>
      <w:lvlText w:val="(%1)"/>
      <w:numFmt w:val="decimal"/>
      <w:start w:val="1"/>
    </w:lvl>
  </w:abstractNum>
  <w:abstractNum w:abstractNumId="38">
    <w:nsid w:val="10DB9DAA"/>
    <w:multiLevelType w:val="hybridMultilevel"/>
    <w:lvl w:ilvl="0">
      <w:lvlJc w:val="left"/>
      <w:lvlText w:val="%1"/>
      <w:numFmt w:val="lowerRoman"/>
      <w:start w:val="1"/>
    </w:lvl>
    <w:lvl w:ilvl="1">
      <w:lvlJc w:val="left"/>
      <w:lvlText w:val="(%2)"/>
      <w:numFmt w:val="decimal"/>
      <w:start w:val="1"/>
    </w:lvl>
  </w:abstractNum>
  <w:abstractNum w:abstractNumId="39">
    <w:nsid w:val="697D2D2"/>
    <w:multiLevelType w:val="hybridMultilevel"/>
    <w:lvl w:ilvl="0">
      <w:lvlJc w:val="left"/>
      <w:lvlText w:val="(%1)"/>
      <w:numFmt w:val="lowerRoman"/>
      <w:start w:val="3"/>
    </w:lvl>
    <w:lvl w:ilvl="1">
      <w:lvlJc w:val="left"/>
      <w:lvlText w:val="(%2)"/>
      <w:numFmt w:val="decimal"/>
      <w:start w:val="2"/>
    </w:lvl>
  </w:abstractNum>
  <w:abstractNum w:abstractNumId="40">
    <w:nsid w:val="6D68AB2"/>
    <w:multiLevelType w:val="hybridMultilevel"/>
    <w:lvl w:ilvl="0">
      <w:lvlJc w:val="left"/>
      <w:lvlText w:val="(%1)"/>
      <w:numFmt w:val="decimal"/>
      <w:start w:val="5"/>
    </w:lvl>
  </w:abstractNum>
  <w:abstractNum w:abstractNumId="41">
    <w:nsid w:val="3A966CD0"/>
    <w:multiLevelType w:val="hybridMultilevel"/>
    <w:lvl w:ilvl="0">
      <w:lvlJc w:val="left"/>
      <w:lvlText w:val="(%1)"/>
      <w:numFmt w:val="decimal"/>
      <w:start w:val="11"/>
    </w:lvl>
  </w:abstractNum>
  <w:abstractNum w:abstractNumId="42">
    <w:nsid w:val="63F37E85"/>
    <w:multiLevelType w:val="hybridMultilevel"/>
    <w:lvl w:ilvl="0">
      <w:lvlJc w:val="left"/>
      <w:lvlText w:val="(%1)"/>
      <w:numFmt w:val="lowerLetter"/>
      <w:start w:val="1"/>
    </w:lvl>
  </w:abstractNum>
  <w:abstractNum w:abstractNumId="43">
    <w:nsid w:val="5895F5FA"/>
    <w:multiLevelType w:val="hybridMultilevel"/>
    <w:lvl w:ilvl="0">
      <w:lvlJc w:val="left"/>
      <w:lvlText w:val="(%1)"/>
      <w:numFmt w:val="decimal"/>
      <w:start w:val="1"/>
    </w:lvl>
  </w:abstractNum>
  <w:abstractNum w:abstractNumId="44">
    <w:nsid w:val="38A5D054"/>
    <w:multiLevelType w:val="hybridMultilevel"/>
    <w:lvl w:ilvl="0">
      <w:lvlJc w:val="left"/>
      <w:lvlText w:val="(%1)"/>
      <w:numFmt w:val="lowerLetter"/>
      <w:start w:val="1"/>
    </w:lvl>
  </w:abstractNum>
  <w:abstractNum w:abstractNumId="45">
    <w:nsid w:val="F3F09D8"/>
    <w:multiLevelType w:val="hybridMultilevel"/>
    <w:lvl w:ilvl="0">
      <w:lvlJc w:val="left"/>
      <w:lvlText w:val="(%1)"/>
      <w:numFmt w:val="lowerRoman"/>
      <w:start w:val="4"/>
    </w:lvl>
  </w:abstractNum>
  <w:abstractNum w:abstractNumId="46">
    <w:nsid w:val="4B793735"/>
    <w:multiLevelType w:val="hybridMultilevel"/>
    <w:lvl w:ilvl="0">
      <w:lvlJc w:val="left"/>
      <w:lvlText w:val="(%1)"/>
      <w:numFmt w:val="lowerLetter"/>
      <w:start w:val="2"/>
    </w:lvl>
  </w:abstractNum>
  <w:abstractNum w:abstractNumId="47">
    <w:nsid w:val="4A10B4E8"/>
    <w:multiLevelType w:val="hybridMultilevel"/>
    <w:lvl w:ilvl="0">
      <w:lvlJc w:val="left"/>
      <w:lvlText w:val="(%1)"/>
      <w:numFmt w:val="lowerLetter"/>
      <w:start w:val="1"/>
    </w:lvl>
  </w:abstractNum>
  <w:abstractNum w:abstractNumId="48">
    <w:nsid w:val="43D3BCD4"/>
    <w:multiLevelType w:val="hybridMultilevel"/>
    <w:lvl w:ilvl="0">
      <w:lvlJc w:val="left"/>
      <w:lvlText w:val="(%1)"/>
      <w:numFmt w:val="lowerLetter"/>
      <w:start w:val="5"/>
    </w:lvl>
    <w:lvl w:ilvl="1">
      <w:lvlJc w:val="left"/>
      <w:lvlText w:val="(%2)"/>
      <w:numFmt w:val="lowerRoman"/>
      <w:start w:val="1"/>
    </w:lvl>
  </w:abstractNum>
  <w:abstractNum w:abstractNumId="49">
    <w:nsid w:val="4C2A7166"/>
    <w:multiLevelType w:val="hybridMultilevel"/>
    <w:lvl w:ilvl="0">
      <w:lvlJc w:val="left"/>
      <w:lvlText w:val="(%1)"/>
      <w:numFmt w:val="lowerLetter"/>
      <w:start w:val="6"/>
    </w:lvl>
  </w:abstractNum>
  <w:abstractNum w:abstractNumId="50">
    <w:nsid w:val="2E534A82"/>
    <w:multiLevelType w:val="hybridMultilevel"/>
    <w:lvl w:ilvl="0">
      <w:lvlJc w:val="left"/>
      <w:lvlText w:val="(%1)"/>
      <w:numFmt w:val="lowerLetter"/>
      <w:start w:val="9"/>
    </w:lvl>
  </w:abstractNum>
  <w:abstractNum w:abstractNumId="51">
    <w:nsid w:val="26F2D364"/>
    <w:multiLevelType w:val="hybridMultilevel"/>
    <w:lvl w:ilvl="0">
      <w:lvlJc w:val="left"/>
      <w:lvlText w:val="(%1)"/>
      <w:numFmt w:val="lowerLetter"/>
      <w:start w:val="16"/>
    </w:lvl>
    <w:lvl w:ilvl="1">
      <w:lvlJc w:val="left"/>
      <w:lvlText w:val="(%2)"/>
      <w:numFmt w:val="lowerRoman"/>
      <w:start w:val="1"/>
    </w:lvl>
  </w:abstractNum>
  <w:abstractNum w:abstractNumId="52">
    <w:nsid w:val="71C1AF98"/>
    <w:multiLevelType w:val="hybridMultilevel"/>
    <w:lvl w:ilvl="0">
      <w:lvlJc w:val="left"/>
      <w:lvlText w:val="(%1)"/>
      <w:numFmt w:val="lowerLetter"/>
      <w:start w:val="22"/>
    </w:lvl>
  </w:abstractNum>
  <w:abstractNum w:abstractNumId="53">
    <w:nsid w:val="3D00B9D9"/>
    <w:multiLevelType w:val="hybridMultilevel"/>
    <w:lvl w:ilvl="0">
      <w:lvlJc w:val="left"/>
      <w:lvlText w:val="(%1)"/>
      <w:numFmt w:val="lowerLetter"/>
      <w:start w:val="27"/>
    </w:lvl>
  </w:abstractNum>
  <w:abstractNum w:abstractNumId="54">
    <w:nsid w:val="15BCABA8"/>
    <w:multiLevelType w:val="hybridMultilevel"/>
    <w:lvl w:ilvl="0">
      <w:lvlJc w:val="left"/>
      <w:lvlText w:val="(%1)"/>
      <w:numFmt w:val="lowerLetter"/>
      <w:start w:val="34"/>
    </w:lvl>
  </w:abstractNum>
  <w:abstractNum w:abstractNumId="55">
    <w:nsid w:val="4E0B9A87"/>
    <w:multiLevelType w:val="hybridMultilevel"/>
    <w:lvl w:ilvl="0">
      <w:lvlJc w:val="left"/>
      <w:lvlText w:val="%1"/>
      <w:numFmt w:val="lowerLetter"/>
      <w:start w:val="1"/>
    </w:lvl>
    <w:lvl w:ilvl="1">
      <w:lvlJc w:val="left"/>
      <w:lvlText w:val="(%2)"/>
      <w:numFmt w:val="lowerLetter"/>
      <w:start w:val="1"/>
    </w:lvl>
  </w:abstractNum>
  <w:abstractNum w:abstractNumId="56">
    <w:nsid w:val="434BAE75"/>
    <w:multiLevelType w:val="hybridMultilevel"/>
    <w:lvl w:ilvl="0">
      <w:lvlJc w:val="left"/>
      <w:lvlText w:val="(%1)"/>
      <w:numFmt w:val="lowerLetter"/>
      <w:start w:val="61"/>
    </w:lvl>
    <w:lvl w:ilvl="1">
      <w:lvlJc w:val="left"/>
      <w:lvlText w:val="(%2)"/>
      <w:numFmt w:val="lowerLetter"/>
      <w:start w:val="3"/>
    </w:lvl>
  </w:abstractNum>
  <w:abstractNum w:abstractNumId="57">
    <w:nsid w:val="4F38F265"/>
    <w:multiLevelType w:val="hybridMultilevel"/>
    <w:lvl w:ilvl="0">
      <w:lvlJc w:val="left"/>
      <w:lvlText w:val="%1"/>
      <w:numFmt w:val="lowerLetter"/>
      <w:start w:val="1"/>
    </w:lvl>
    <w:lvl w:ilvl="1">
      <w:lvlJc w:val="left"/>
      <w:lvlText w:val="(%2)"/>
      <w:numFmt w:val="lowerLetter"/>
      <w:start w:val="4"/>
    </w:lvl>
  </w:abstractNum>
  <w:abstractNum w:abstractNumId="58">
    <w:nsid w:val="4C502870"/>
    <w:multiLevelType w:val="hybridMultilevel"/>
    <w:lvl w:ilvl="0">
      <w:lvlJc w:val="left"/>
      <w:lvlText w:val="(%1)"/>
      <w:numFmt w:val="lowerLetter"/>
      <w:start w:val="9"/>
    </w:lvl>
    <w:lvl w:ilvl="1">
      <w:lvlJc w:val="left"/>
      <w:lvlText w:val="(%2)"/>
      <w:numFmt w:val="lowerLetter"/>
      <w:start w:val="5"/>
    </w:lvl>
  </w:abstractNum>
  <w:abstractNum w:abstractNumId="59">
    <w:nsid w:val="1DE8725A"/>
    <w:multiLevelType w:val="hybridMultilevel"/>
    <w:lvl w:ilvl="0">
      <w:lvlJc w:val="left"/>
      <w:lvlText w:val="(%1)"/>
      <w:numFmt w:val="lowerLetter"/>
      <w:start w:val="8"/>
    </w:lvl>
  </w:abstractNum>
  <w:abstractNum w:abstractNumId="60">
    <w:nsid w:val="6A37288A"/>
    <w:multiLevelType w:val="hybridMultilevel"/>
    <w:lvl w:ilvl="0">
      <w:lvlJc w:val="left"/>
      <w:lvlText w:val="%1"/>
      <w:numFmt w:val="lowerLetter"/>
      <w:start w:val="1"/>
    </w:lvl>
    <w:lvl w:ilvl="1">
      <w:lvlJc w:val="left"/>
      <w:lvlText w:val="(%2)"/>
      <w:numFmt w:val="lowerLetter"/>
      <w:start w:val="12"/>
    </w:lvl>
  </w:abstractNum>
  <w:abstractNum w:abstractNumId="61">
    <w:nsid w:val="8F8B73F"/>
    <w:multiLevelType w:val="hybridMultilevel"/>
    <w:lvl w:ilvl="0">
      <w:lvlJc w:val="left"/>
      <w:lvlText w:val="(%1)"/>
      <w:numFmt w:val="lowerLetter"/>
      <w:start w:val="9"/>
    </w:lvl>
    <w:lvl w:ilvl="1">
      <w:lvlJc w:val="left"/>
      <w:lvlText w:val="%2"/>
      <w:numFmt w:val="lowerLetter"/>
      <w:start w:val="1"/>
    </w:lvl>
  </w:abstractNum>
  <w:abstractNum w:abstractNumId="62">
    <w:nsid w:val="CA6B462"/>
    <w:multiLevelType w:val="hybridMultilevel"/>
    <w:lvl w:ilvl="0">
      <w:lvlJc w:val="left"/>
      <w:lvlText w:val="(%1)"/>
      <w:numFmt w:val="lowerLetter"/>
      <w:start w:val="15"/>
    </w:lvl>
  </w:abstractNum>
  <w:abstractNum w:abstractNumId="63">
    <w:nsid w:val="763CB680"/>
    <w:multiLevelType w:val="hybridMultilevel"/>
    <w:lvl w:ilvl="0">
      <w:lvlJc w:val="left"/>
      <w:lvlText w:val="(%1)"/>
      <w:numFmt w:val="lowerLetter"/>
      <w:start w:val="19"/>
    </w:lvl>
  </w:abstractNum>
  <w:abstractNum w:abstractNumId="64">
    <w:nsid w:val="15B71329"/>
    <w:multiLevelType w:val="hybridMultilevel"/>
    <w:lvl w:ilvl="0">
      <w:lvlJc w:val="left"/>
      <w:lvlText w:val="(%1)"/>
      <w:numFmt w:val="lowerLetter"/>
      <w:start w:val="25"/>
    </w:lvl>
  </w:abstractNum>
  <w:abstractNum w:abstractNumId="65">
    <w:nsid w:val="3DA97044"/>
    <w:multiLevelType w:val="hybridMultilevel"/>
    <w:lvl w:ilvl="0">
      <w:lvlJc w:val="left"/>
      <w:lvlText w:val="%1"/>
      <w:numFmt w:val="lowerRoman"/>
      <w:start w:val="1"/>
    </w:lvl>
    <w:lvl w:ilvl="1">
      <w:lvlJc w:val="left"/>
      <w:lvlText w:val="(%2)"/>
      <w:numFmt w:val="lowerLetter"/>
      <w:start w:val="27"/>
    </w:lvl>
  </w:abstractNum>
  <w:abstractNum w:abstractNumId="66">
    <w:nsid w:val="1CDCE2DE"/>
    <w:multiLevelType w:val="hybridMultilevel"/>
    <w:lvl w:ilvl="0">
      <w:lvlJc w:val="left"/>
      <w:lvlText w:val="(%1)"/>
      <w:numFmt w:val="lowerRoman"/>
      <w:start w:val="4"/>
    </w:lvl>
    <w:lvl w:ilvl="1">
      <w:lvlJc w:val="left"/>
      <w:lvlText w:val="(%2)"/>
      <w:numFmt w:val="lowerLetter"/>
      <w:start w:val="32"/>
    </w:lvl>
  </w:abstractNum>
  <w:abstractNum w:abstractNumId="67">
    <w:nsid w:val="69D3947C"/>
    <w:multiLevelType w:val="hybridMultilevel"/>
    <w:lvl w:ilvl="0">
      <w:lvlJc w:val="left"/>
      <w:lvlText w:val="(%1)"/>
      <w:numFmt w:val="lowerLetter"/>
      <w:start w:val="34"/>
    </w:lvl>
  </w:abstractNum>
  <w:abstractNum w:abstractNumId="68">
    <w:nsid w:val="2539DFA5"/>
    <w:multiLevelType w:val="hybridMultilevel"/>
    <w:lvl w:ilvl="0">
      <w:lvlJc w:val="left"/>
      <w:lvlText w:val="(%1)"/>
      <w:numFmt w:val="lowerLetter"/>
      <w:start w:val="40"/>
    </w:lvl>
  </w:abstractNum>
  <w:abstractNum w:abstractNumId="69">
    <w:nsid w:val="2DB88089"/>
    <w:multiLevelType w:val="hybridMultilevel"/>
    <w:lvl w:ilvl="0">
      <w:lvlJc w:val="left"/>
      <w:lvlText w:val="(%1)"/>
      <w:numFmt w:val="lowerLetter"/>
      <w:start w:val="1"/>
    </w:lvl>
  </w:abstractNum>
  <w:abstractNum w:abstractNumId="70">
    <w:nsid w:val="706B674E"/>
    <w:multiLevelType w:val="hybridMultilevel"/>
    <w:lvl w:ilvl="0">
      <w:lvlJc w:val="left"/>
      <w:lvlText w:val="(%1)"/>
      <w:numFmt w:val="lowerLetter"/>
      <w:start w:val="1"/>
    </w:lvl>
  </w:abstractNum>
  <w:abstractNum w:abstractNumId="71">
    <w:nsid w:val="2C106A57"/>
    <w:multiLevelType w:val="hybridMultilevel"/>
    <w:lvl w:ilvl="0">
      <w:lvlJc w:val="left"/>
      <w:lvlText w:val="(%1)"/>
      <w:numFmt w:val="lowerLetter"/>
      <w:start w:val="3"/>
    </w:lvl>
  </w:abstractNum>
  <w:abstractNum w:abstractNumId="72">
    <w:nsid w:val="684EED59"/>
    <w:multiLevelType w:val="hybridMultilevel"/>
    <w:lvl w:ilvl="0">
      <w:lvlJc w:val="left"/>
      <w:lvlText w:val="(%1)"/>
      <w:numFmt w:val="lowerLetter"/>
      <w:start w:val="1"/>
    </w:lvl>
  </w:abstractNum>
  <w:abstractNum w:abstractNumId="73">
    <w:nsid w:val="545EE5D3"/>
    <w:multiLevelType w:val="hybridMultilevel"/>
    <w:lvl w:ilvl="0">
      <w:lvlJc w:val="left"/>
      <w:lvlText w:val="(%1)"/>
      <w:numFmt w:val="lowerLetter"/>
      <w:start w:val="3"/>
    </w:lvl>
  </w:abstractNum>
  <w:abstractNum w:abstractNumId="74">
    <w:nsid w:val="4A66051"/>
    <w:multiLevelType w:val="hybridMultilevel"/>
    <w:lvl w:ilvl="0">
      <w:lvlJc w:val="left"/>
      <w:lvlText w:val="(%1)"/>
      <w:numFmt w:val="decimal"/>
      <w:start w:val="1"/>
    </w:lvl>
  </w:abstractNum>
  <w:abstractNum w:abstractNumId="75">
    <w:nsid w:val="20F4BDAD"/>
    <w:multiLevelType w:val="hybridMultilevel"/>
    <w:lvl w:ilvl="0">
      <w:lvlJc w:val="left"/>
      <w:lvlText w:val="(%1)"/>
      <w:numFmt w:val="lowerLetter"/>
      <w:start w:val="1"/>
    </w:lvl>
  </w:abstractNum>
  <w:abstractNum w:abstractNumId="76">
    <w:nsid w:val="639DEFAC"/>
    <w:multiLevelType w:val="hybridMultilevel"/>
    <w:lvl w:ilvl="0">
      <w:lvlJc w:val="left"/>
      <w:lvlText w:val="(%1)"/>
      <w:numFmt w:val="decimal"/>
      <w:start w:val="1"/>
    </w:lvl>
  </w:abstractNum>
  <w:abstractNum w:abstractNumId="77">
    <w:nsid w:val="501F9786"/>
    <w:multiLevelType w:val="hybridMultilevel"/>
    <w:lvl w:ilvl="0">
      <w:lvlJc w:val="left"/>
      <w:lvlText w:val="(%1)"/>
      <w:numFmt w:val="decimal"/>
      <w:start w:val="1"/>
    </w:lvl>
  </w:abstractNum>
  <w:abstractNum w:abstractNumId="78">
    <w:nsid w:val="6B057295"/>
    <w:multiLevelType w:val="hybridMultilevel"/>
    <w:lvl w:ilvl="0">
      <w:lvlJc w:val="left"/>
      <w:lvlText w:val="(%1)"/>
      <w:numFmt w:val="lowerLetter"/>
      <w:start w:val="1"/>
    </w:lvl>
  </w:abstractNum>
  <w:abstractNum w:abstractNumId="79">
    <w:nsid w:val="2771AC80"/>
    <w:multiLevelType w:val="hybridMultilevel"/>
    <w:lvl w:ilvl="0">
      <w:lvlJc w:val="left"/>
      <w:lvlText w:val="(%1)"/>
      <w:numFmt w:val="decimal"/>
      <w:start w:val="1"/>
    </w:lvl>
  </w:abstractNum>
  <w:abstractNum w:abstractNumId="80">
    <w:nsid w:val="1C4A08EC"/>
    <w:multiLevelType w:val="hybridMultilevel"/>
    <w:lvl w:ilvl="0">
      <w:lvlJc w:val="left"/>
      <w:lvlText w:val="(%1)"/>
      <w:numFmt w:val="decimal"/>
      <w:start w:val="1"/>
    </w:lvl>
  </w:abstractNum>
  <w:abstractNum w:abstractNumId="81">
    <w:nsid w:val="1958BD17"/>
    <w:multiLevelType w:val="hybridMultilevel"/>
    <w:lvl w:ilvl="0">
      <w:lvlJc w:val="left"/>
      <w:lvlText w:val="(%1)"/>
      <w:numFmt w:val="lowerLetter"/>
      <w:start w:val="1"/>
    </w:lvl>
  </w:abstractNum>
  <w:abstractNum w:abstractNumId="82">
    <w:nsid w:val="4E647FE4"/>
    <w:multiLevelType w:val="hybridMultilevel"/>
    <w:lvl w:ilvl="0">
      <w:lvlJc w:val="left"/>
      <w:lvlText w:val="(%1)"/>
      <w:numFmt w:val="lowerLetter"/>
      <w:start w:val="1"/>
    </w:lvl>
  </w:abstractNum>
  <w:abstractNum w:abstractNumId="83">
    <w:nsid w:val="E0BB885"/>
    <w:multiLevelType w:val="hybridMultilevel"/>
    <w:lvl w:ilvl="0">
      <w:lvlJc w:val="left"/>
      <w:lvlText w:val="(%1)"/>
      <w:numFmt w:val="decimal"/>
      <w:start w:val="1"/>
    </w:lvl>
  </w:abstractNum>
  <w:abstractNum w:abstractNumId="84">
    <w:nsid w:val="565976F1"/>
    <w:multiLevelType w:val="hybridMultilevel"/>
    <w:lvl w:ilvl="0">
      <w:lvlJc w:val="left"/>
      <w:lvlText w:val="(%1)"/>
      <w:numFmt w:val="decimal"/>
      <w:start w:val="2"/>
    </w:lvl>
  </w:abstractNum>
  <w:abstractNum w:abstractNumId="85">
    <w:nsid w:val="64212B8C"/>
    <w:multiLevelType w:val="hybridMultilevel"/>
    <w:lvl w:ilvl="0">
      <w:lvlJc w:val="left"/>
      <w:lvlText w:val="(%1)"/>
      <w:numFmt w:val="lowerLetter"/>
      <w:start w:val="2"/>
    </w:lvl>
  </w:abstractNum>
  <w:abstractNum w:abstractNumId="86">
    <w:nsid w:val="5C17530C"/>
    <w:multiLevelType w:val="hybridMultilevel"/>
    <w:lvl w:ilvl="0">
      <w:lvlJc w:val="left"/>
      <w:lvlText w:val="(%1)"/>
      <w:numFmt w:val="lowerLetter"/>
      <w:start w:val="1"/>
    </w:lvl>
  </w:abstractNum>
  <w:abstractNum w:abstractNumId="87">
    <w:nsid w:val="19A52566"/>
    <w:multiLevelType w:val="hybridMultilevel"/>
    <w:lvl w:ilvl="0">
      <w:lvlJc w:val="left"/>
      <w:lvlText w:val="(%1)"/>
      <w:numFmt w:val="lowerLetter"/>
      <w:start w:val="2"/>
    </w:lvl>
  </w:abstractNum>
  <w:abstractNum w:abstractNumId="88">
    <w:nsid w:val="335A1DF1"/>
    <w:multiLevelType w:val="hybridMultilevel"/>
    <w:lvl w:ilvl="0">
      <w:lvlJc w:val="left"/>
      <w:lvlText w:val="(%1)"/>
      <w:numFmt w:val="lowerLetter"/>
      <w:start w:val="6"/>
    </w:lvl>
  </w:abstractNum>
  <w:abstractNum w:abstractNumId="89">
    <w:nsid w:val="28677B7C"/>
    <w:multiLevelType w:val="hybridMultilevel"/>
    <w:lvl w:ilvl="0">
      <w:lvlJc w:val="left"/>
      <w:lvlText w:val="(%1)"/>
      <w:numFmt w:val="lowerLetter"/>
      <w:start w:val="8"/>
    </w:lvl>
  </w:abstractNum>
  <w:abstractNum w:abstractNumId="90">
    <w:nsid w:val="378D97C0"/>
    <w:multiLevelType w:val="hybridMultilevel"/>
    <w:lvl w:ilvl="0">
      <w:lvlJc w:val="left"/>
      <w:lvlText w:val="(%1)"/>
      <w:numFmt w:val="lowerLetter"/>
      <w:start w:val="1"/>
    </w:lvl>
  </w:abstractNum>
  <w:abstractNum w:abstractNumId="91">
    <w:nsid w:val="1D91467C"/>
    <w:multiLevelType w:val="hybridMultilevel"/>
    <w:lvl w:ilvl="0">
      <w:lvlJc w:val="left"/>
      <w:lvlText w:val="(%1)"/>
      <w:numFmt w:val="lowerLetter"/>
      <w:start w:val="3"/>
    </w:lvl>
  </w:abstractNum>
  <w:abstractNum w:abstractNumId="92">
    <w:nsid w:val="316032BB"/>
    <w:multiLevelType w:val="hybridMultilevel"/>
    <w:lvl w:ilvl="0">
      <w:lvlJc w:val="left"/>
      <w:lvlText w:val="(%1)"/>
      <w:numFmt w:val="lowerLetter"/>
      <w:start w:val="1"/>
    </w:lvl>
  </w:abstractNum>
  <w:abstractNum w:abstractNumId="93">
    <w:nsid w:val="44344C22"/>
    <w:multiLevelType w:val="hybridMultilevel"/>
    <w:lvl w:ilvl="0">
      <w:lvlJc w:val="left"/>
      <w:lvlText w:val="(%1)"/>
      <w:numFmt w:val="lowerLetter"/>
      <w:start w:val="4"/>
    </w:lvl>
  </w:abstractNum>
  <w:abstractNum w:abstractNumId="94">
    <w:nsid w:val="13CDFCFC"/>
    <w:multiLevelType w:val="hybridMultilevel"/>
    <w:lvl w:ilvl="0">
      <w:lvlJc w:val="left"/>
      <w:lvlText w:val="%1"/>
      <w:numFmt w:val="lowerLetter"/>
      <w:start w:val="1"/>
    </w:lvl>
    <w:lvl w:ilvl="1">
      <w:lvlJc w:val="left"/>
      <w:lvlText w:val="(%2)"/>
      <w:numFmt w:val="lowerLetter"/>
      <w:start w:val="1"/>
    </w:lvl>
  </w:abstractNum>
  <w:abstractNum w:abstractNumId="95">
    <w:nsid w:val="471745E4"/>
    <w:multiLevelType w:val="hybridMultilevel"/>
    <w:lvl w:ilvl="0">
      <w:lvlJc w:val="left"/>
      <w:lvlText w:val="(%1)"/>
      <w:numFmt w:val="lowerLetter"/>
      <w:start w:val="9"/>
    </w:lvl>
    <w:lvl w:ilvl="1">
      <w:lvlJc w:val="left"/>
      <w:lvlText w:val="%2"/>
      <w:numFmt w:val="lowerLetter"/>
      <w:start w:val="1"/>
    </w:lvl>
  </w:abstractNum>
  <w:abstractNum w:abstractNumId="96">
    <w:nsid w:val="1DDBC66"/>
    <w:multiLevelType w:val="hybridMultilevel"/>
    <w:lvl w:ilvl="0">
      <w:lvlJc w:val="left"/>
      <w:lvlText w:val="(%1)"/>
      <w:numFmt w:val="lowerLetter"/>
      <w:start w:val="2"/>
    </w:lvl>
  </w:abstractNum>
  <w:abstractNum w:abstractNumId="97">
    <w:nsid w:val="30AADFDA"/>
    <w:multiLevelType w:val="hybridMultilevel"/>
    <w:lvl w:ilvl="0">
      <w:lvlJc w:val="left"/>
      <w:lvlText w:val="(%1)"/>
      <w:numFmt w:val="lowerRoman"/>
      <w:start w:val="1"/>
    </w:lvl>
  </w:abstractNum>
  <w:abstractNum w:abstractNumId="98">
    <w:nsid w:val="30EADA61"/>
    <w:multiLevelType w:val="hybridMultilevel"/>
    <w:lvl w:ilvl="0">
      <w:lvlJc w:val="left"/>
      <w:lvlText w:val="(%1)"/>
      <w:numFmt w:val="lowerRoman"/>
      <w:start w:val="3"/>
    </w:lvl>
  </w:abstractNum>
  <w:abstractNum w:abstractNumId="99">
    <w:nsid w:val="27179C0B"/>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00">
    <w:nsid w:val="5E636063"/>
    <w:multiLevelType w:val="hybridMultilevel"/>
    <w:lvl w:ilvl="0">
      <w:lvlJc w:val="left"/>
      <w:lvlText w:val="(%1)"/>
      <w:numFmt w:val="lowerRoman"/>
      <w:start w:val="4"/>
    </w:lvl>
    <w:lvl w:ilvl="1">
      <w:lvlJc w:val="left"/>
      <w:lvlText w:val="(%2)"/>
      <w:numFmt w:val="decimal"/>
    </w:lvl>
    <w:lvl w:ilvl="2">
      <w:lvlJc w:val="left"/>
      <w:lvlText w:val="(%3)"/>
      <w:numFmt w:val="upperLetter"/>
      <w:start w:val="1"/>
    </w:lvl>
  </w:abstractNum>
  <w:abstractNum w:abstractNumId="101">
    <w:nsid w:val="215641AF"/>
    <w:multiLevelType w:val="hybridMultilevel"/>
    <w:lvl w:ilvl="0">
      <w:lvlJc w:val="left"/>
      <w:lvlText w:val="(%1)"/>
      <w:numFmt w:val="decimal"/>
      <w:start w:val="2"/>
    </w:lvl>
  </w:abstractNum>
  <w:abstractNum w:abstractNumId="102">
    <w:nsid w:val="5328066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3">
    <w:nsid w:val="46B24DBC"/>
    <w:multiLevelType w:val="hybridMultilevel"/>
    <w:lvl w:ilvl="0">
      <w:lvlJc w:val="left"/>
      <w:lvlText w:val="(%1)"/>
      <w:numFmt w:val="upperLetter"/>
      <w:start w:val="3"/>
    </w:lvl>
  </w:abstractNum>
  <w:abstractNum w:abstractNumId="104">
    <w:nsid w:val="75B52783"/>
    <w:multiLevelType w:val="hybridMultilevel"/>
    <w:lvl w:ilvl="0">
      <w:lvlJc w:val="left"/>
      <w:lvlText w:val="(%1)"/>
      <w:numFmt w:val="lowerRoman"/>
      <w:start w:val="2"/>
    </w:lvl>
    <w:lvl w:ilvl="1">
      <w:lvlJc w:val="left"/>
      <w:lvlText w:val="(%2)"/>
      <w:numFmt w:val="upperLetter"/>
      <w:start w:val="1"/>
    </w:lvl>
  </w:abstractNum>
  <w:abstractNum w:abstractNumId="105">
    <w:nsid w:val="57CE66B4"/>
    <w:multiLevelType w:val="hybridMultilevel"/>
    <w:lvl w:ilvl="0">
      <w:lvlJc w:val="left"/>
      <w:lvlText w:val="%1"/>
      <w:numFmt w:val="decimal"/>
      <w:start w:val="1"/>
    </w:lvl>
    <w:lvl w:ilvl="1">
      <w:lvlJc w:val="left"/>
      <w:lvlText w:val="(%2)"/>
      <w:numFmt w:val="upperLetter"/>
      <w:start w:val="2"/>
    </w:lvl>
  </w:abstractNum>
  <w:abstractNum w:abstractNumId="106">
    <w:nsid w:val="67A70B69"/>
    <w:multiLevelType w:val="hybridMultilevel"/>
    <w:lvl w:ilvl="0">
      <w:lvlJc w:val="left"/>
      <w:lvlText w:val="(%1)"/>
      <w:numFmt w:val="decimal"/>
      <w:start w:val="1"/>
    </w:lvl>
    <w:lvl w:ilvl="1">
      <w:lvlJc w:val="left"/>
      <w:lvlText w:val="%2"/>
      <w:numFmt w:val="upperLetter"/>
      <w:start w:val="1"/>
    </w:lvl>
  </w:abstractNum>
  <w:abstractNum w:abstractNumId="107">
    <w:nsid w:val="5953172F"/>
    <w:multiLevelType w:val="hybridMultilevel"/>
    <w:lvl w:ilvl="0">
      <w:lvlJc w:val="left"/>
      <w:lvlText w:val="(%1)"/>
      <w:numFmt w:val="lowerRoman"/>
      <w:start w:val="4"/>
    </w:lvl>
  </w:abstractNum>
  <w:abstractNum w:abstractNumId="108">
    <w:nsid w:val="27EDFE3A"/>
    <w:multiLevelType w:val="hybridMultilevel"/>
    <w:lvl w:ilvl="0">
      <w:lvlJc w:val="left"/>
      <w:lvlText w:val="(%1)"/>
      <w:numFmt w:val="lowerLetter"/>
      <w:start w:val="4"/>
    </w:lvl>
    <w:lvl w:ilvl="1">
      <w:lvlJc w:val="left"/>
      <w:lvlText w:val="(%2)"/>
      <w:numFmt w:val="lowerLetter"/>
      <w:start w:val="9"/>
    </w:lvl>
  </w:abstractNum>
  <w:abstractNum w:abstractNumId="109">
    <w:nsid w:val="52AC7DFF"/>
    <w:multiLevelType w:val="hybridMultilevel"/>
    <w:lvl w:ilvl="0">
      <w:lvlJc w:val="left"/>
      <w:lvlText w:val="(%1)"/>
      <w:numFmt w:val="upperLetter"/>
      <w:start w:val="1"/>
    </w:lvl>
  </w:abstractNum>
  <w:abstractNum w:abstractNumId="110">
    <w:nsid w:val="C4C3AF"/>
    <w:multiLevelType w:val="hybridMultilevel"/>
    <w:lvl w:ilvl="0">
      <w:lvlJc w:val="left"/>
      <w:lvlText w:val="(%1)"/>
      <w:numFmt w:val="lowerRoman"/>
      <w:start w:val="2"/>
    </w:lvl>
    <w:lvl w:ilvl="1">
      <w:lvlJc w:val="left"/>
      <w:lvlText w:val="(%2)"/>
      <w:numFmt w:val="upperLetter"/>
      <w:start w:val="1"/>
    </w:lvl>
  </w:abstractNum>
  <w:abstractNum w:abstractNumId="111">
    <w:nsid w:val="44380727"/>
    <w:multiLevelType w:val="hybridMultilevel"/>
    <w:lvl w:ilvl="0">
      <w:lvlJc w:val="left"/>
      <w:lvlText w:val="%1"/>
      <w:numFmt w:val="decimal"/>
      <w:start w:val="1"/>
    </w:lvl>
    <w:lvl w:ilvl="1">
      <w:lvlJc w:val="left"/>
      <w:lvlText w:val="(%2)"/>
      <w:numFmt w:val="upperLetter"/>
      <w:start w:val="2"/>
    </w:lvl>
  </w:abstractNum>
  <w:abstractNum w:abstractNumId="112">
    <w:nsid w:val="6C053B16"/>
    <w:multiLevelType w:val="hybridMultilevel"/>
    <w:lvl w:ilvl="0">
      <w:lvlJc w:val="left"/>
      <w:lvlText w:val="(%1)"/>
      <w:numFmt w:val="decimal"/>
      <w:start w:val="1"/>
    </w:lvl>
    <w:lvl w:ilvl="1">
      <w:lvlJc w:val="left"/>
      <w:lvlText w:val="%2"/>
      <w:numFmt w:val="upperLetter"/>
      <w:start w:val="1"/>
    </w:lvl>
  </w:abstractNum>
  <w:abstractNum w:abstractNumId="113">
    <w:nsid w:val="4F294393"/>
    <w:multiLevelType w:val="hybridMultilevel"/>
    <w:lvl w:ilvl="0">
      <w:lvlJc w:val="left"/>
      <w:lvlText w:val="(%1)"/>
      <w:numFmt w:val="lowerRoman"/>
      <w:start w:val="3"/>
    </w:lvl>
  </w:abstractNum>
  <w:abstractNum w:abstractNumId="114">
    <w:nsid w:val="5243BFAC"/>
    <w:multiLevelType w:val="hybridMultilevel"/>
    <w:lvl w:ilvl="0">
      <w:lvlJc w:val="left"/>
      <w:lvlText w:val="(%1)"/>
      <w:numFmt w:val="lowerLetter"/>
      <w:start w:val="5"/>
    </w:lvl>
    <w:lvl w:ilvl="1">
      <w:lvlJc w:val="left"/>
      <w:lvlText w:val="(%2)"/>
      <w:numFmt w:val="lowerLetter"/>
      <w:start w:val="9"/>
    </w:lvl>
  </w:abstractNum>
  <w:abstractNum w:abstractNumId="115">
    <w:nsid w:val="425EB207"/>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16">
    <w:nsid w:val="334A6F1F"/>
    <w:multiLevelType w:val="hybridMultilevel"/>
    <w:lvl w:ilvl="0">
      <w:lvlJc w:val="left"/>
      <w:lvlText w:val="(%1)"/>
      <w:numFmt w:val="lowerRoman"/>
      <w:start w:val="2"/>
    </w:lvl>
    <w:lvl w:ilvl="1">
      <w:lvlJc w:val="left"/>
      <w:lvlText w:val="(%2)"/>
      <w:numFmt w:val="decimal"/>
    </w:lvl>
    <w:lvl w:ilvl="2">
      <w:lvlJc w:val="left"/>
      <w:lvlText w:val="(%3)"/>
      <w:numFmt w:val="upperLetter"/>
      <w:start w:val="1"/>
    </w:lvl>
  </w:abstractNum>
  <w:abstractNum w:abstractNumId="117">
    <w:nsid w:val="2E5B12B8"/>
    <w:multiLevelType w:val="hybridMultilevel"/>
    <w:lvl w:ilvl="0">
      <w:lvlJc w:val="left"/>
      <w:lvlText w:val="%1"/>
      <w:numFmt w:val="lowerLetter"/>
      <w:start w:val="1"/>
    </w:lvl>
    <w:lvl w:ilvl="1">
      <w:lvlJc w:val="left"/>
      <w:lvlText w:val="(%2)"/>
      <w:numFmt w:val="lowerLetter"/>
      <w:start w:val="61"/>
    </w:lvl>
  </w:abstractNum>
  <w:abstractNum w:abstractNumId="118">
    <w:nsid w:val="5C03D76D"/>
    <w:multiLevelType w:val="hybridMultilevel"/>
    <w:lvl w:ilvl="0">
      <w:lvlJc w:val="left"/>
      <w:lvlText w:val="(%1)"/>
      <w:numFmt w:val="lowerLetter"/>
      <w:start w:val="6"/>
    </w:lvl>
    <w:lvl w:ilvl="1">
      <w:lvlJc w:val="left"/>
      <w:lvlText w:val="(%2)"/>
      <w:numFmt w:val="lowerLetter"/>
      <w:start w:val="9"/>
    </w:lvl>
  </w:abstractNum>
  <w:abstractNum w:abstractNumId="119">
    <w:nsid w:val="66A48D11"/>
    <w:multiLevelType w:val="hybridMultilevel"/>
    <w:lvl w:ilvl="0">
      <w:lvlJc w:val="left"/>
      <w:lvlText w:val="(%1)"/>
      <w:numFmt w:val="upperLetter"/>
      <w:start w:val="1"/>
    </w:lvl>
  </w:abstractNum>
  <w:abstractNum w:abstractNumId="120">
    <w:nsid w:val="56C28E34"/>
    <w:multiLevelType w:val="hybridMultilevel"/>
    <w:lvl w:ilvl="0">
      <w:lvlJc w:val="left"/>
      <w:lvlText w:val="%1"/>
      <w:numFmt w:val="lowerRoman"/>
      <w:start w:val="1"/>
    </w:lvl>
    <w:lvl w:ilvl="1">
      <w:lvlJc w:val="left"/>
      <w:lvlText w:val="(%2)"/>
      <w:numFmt w:val="upperLetter"/>
      <w:start w:val="2"/>
    </w:lvl>
  </w:abstractNum>
  <w:abstractNum w:abstractNumId="121">
    <w:nsid w:val="13916F2D"/>
    <w:multiLevelType w:val="hybridMultilevel"/>
    <w:lvl w:ilvl="0">
      <w:lvlJc w:val="left"/>
      <w:lvlText w:val="(%1)"/>
      <w:numFmt w:val="lowerRoman"/>
      <w:start w:val="2"/>
    </w:lvl>
    <w:lvl w:ilvl="1">
      <w:lvlJc w:val="left"/>
      <w:lvlText w:val="%2"/>
      <w:numFmt w:val="upperLetter"/>
      <w:start w:val="1"/>
    </w:lvl>
  </w:abstractNum>
  <w:abstractNum w:abstractNumId="122">
    <w:nsid w:val="435D38D"/>
    <w:multiLevelType w:val="hybridMultilevel"/>
    <w:lvl w:ilvl="0">
      <w:lvlJc w:val="left"/>
      <w:lvlText w:val="(%1)"/>
      <w:numFmt w:val="lowerRoman"/>
      <w:start w:val="3"/>
    </w:lvl>
  </w:abstractNum>
  <w:abstractNum w:abstractNumId="123">
    <w:nsid w:val="822C0EF"/>
    <w:multiLevelType w:val="hybridMultilevel"/>
    <w:lvl w:ilvl="0">
      <w:lvlJc w:val="left"/>
      <w:lvlText w:val="(%1)"/>
      <w:numFmt w:val="lowerLetter"/>
      <w:start w:val="8"/>
    </w:lvl>
  </w:abstractNum>
  <w:abstractNum w:abstractNumId="124">
    <w:nsid w:val="57C5BB4F"/>
    <w:multiLevelType w:val="hybridMultilevel"/>
    <w:lvl w:ilvl="0">
      <w:lvlJc w:val="left"/>
      <w:lvlText w:val="(%1)"/>
      <w:numFmt w:val="lowerRoman"/>
      <w:start w:val="1"/>
    </w:lvl>
    <w:lvl w:ilvl="1">
      <w:lvlJc w:val="left"/>
      <w:lvlText w:val="(%2)"/>
      <w:numFmt w:val="lowerRoman"/>
      <w:start w:val="1"/>
    </w:lvl>
  </w:abstractNum>
  <w:abstractNum w:abstractNumId="125">
    <w:nsid w:val="1803D089"/>
    <w:multiLevelType w:val="hybridMultilevel"/>
    <w:lvl w:ilvl="0">
      <w:lvlJc w:val="left"/>
      <w:lvlText w:val="(%1)"/>
      <w:numFmt w:val="lowerRoman"/>
      <w:start w:val="7"/>
    </w:lvl>
  </w:abstractNum>
  <w:abstractNum w:abstractNumId="126">
    <w:nsid w:val="4F3A06D4"/>
    <w:multiLevelType w:val="hybridMultilevel"/>
    <w:lvl w:ilvl="0">
      <w:lvlJc w:val="left"/>
      <w:lvlText w:val="(%1)"/>
      <w:numFmt w:val="lowerRoman"/>
      <w:start w:val="11"/>
    </w:lvl>
  </w:abstractNum>
  <w:abstractNum w:abstractNumId="127">
    <w:nsid w:val="59A377B6"/>
    <w:multiLevelType w:val="hybridMultilevel"/>
    <w:lvl w:ilvl="0">
      <w:lvlJc w:val="left"/>
      <w:lvlText w:val="(%1)"/>
      <w:numFmt w:val="lowerLetter"/>
      <w:start w:val="1"/>
    </w:lvl>
    <w:lvl w:ilvl="1">
      <w:lvlJc w:val="left"/>
      <w:lvlText w:val="(%2)"/>
      <w:numFmt w:val="lowerRoman"/>
      <w:start w:val="1"/>
    </w:lvl>
  </w:abstractNum>
  <w:abstractNum w:abstractNumId="128">
    <w:nsid w:val="48AEB063"/>
    <w:multiLevelType w:val="hybridMultilevel"/>
    <w:lvl w:ilvl="0">
      <w:lvlJc w:val="left"/>
      <w:lvlText w:val="(%1)"/>
      <w:numFmt w:val="lowerRoman"/>
      <w:start w:val="4"/>
    </w:lvl>
  </w:abstractNum>
  <w:abstractNum w:abstractNumId="129">
    <w:nsid w:val="24E135"/>
    <w:multiLevelType w:val="hybridMultilevel"/>
    <w:lvl w:ilvl="0">
      <w:lvlJc w:val="left"/>
      <w:lvlText w:val="(%1)"/>
      <w:numFmt w:val="lowerRoman"/>
      <w:start w:val="6"/>
    </w:lvl>
  </w:abstractNum>
  <w:abstractNum w:abstractNumId="130">
    <w:nsid w:val="BB13C1"/>
    <w:multiLevelType w:val="hybridMultilevel"/>
    <w:lvl w:ilvl="0">
      <w:lvlJc w:val="left"/>
      <w:lvlText w:val="(%1)"/>
      <w:numFmt w:val="lowerLetter"/>
      <w:start w:val="3"/>
    </w:lvl>
  </w:abstractNum>
  <w:abstractNum w:abstractNumId="131">
    <w:nsid w:val="271210C7"/>
    <w:multiLevelType w:val="hybridMultilevel"/>
    <w:lvl w:ilvl="0">
      <w:lvlJc w:val="left"/>
      <w:lvlText w:val="(%1)"/>
      <w:numFmt w:val="lowerLetter"/>
      <w:start w:val="4"/>
    </w:lvl>
  </w:abstractNum>
  <w:abstractNum w:abstractNumId="132">
    <w:nsid w:val="217B22E4"/>
    <w:multiLevelType w:val="hybridMultilevel"/>
    <w:lvl w:ilvl="0">
      <w:lvlJc w:val="left"/>
      <w:lvlText w:val="(%1)"/>
      <w:numFmt w:val="lowerLetter"/>
      <w:start w:val="1"/>
    </w:lvl>
  </w:abstractNum>
  <w:abstractNum w:abstractNumId="133">
    <w:nsid w:val="53E31A24"/>
    <w:multiLevelType w:val="hybridMultilevel"/>
    <w:lvl w:ilvl="0">
      <w:lvlJc w:val="left"/>
      <w:lvlText w:val="(%1)"/>
      <w:numFmt w:val="lowerLetter"/>
      <w:start w:val="3"/>
    </w:lvl>
  </w:abstractNum>
  <w:abstractNum w:abstractNumId="134">
    <w:nsid w:val="6DC45E83"/>
    <w:multiLevelType w:val="hybridMultilevel"/>
    <w:lvl w:ilvl="0">
      <w:lvlJc w:val="left"/>
      <w:lvlText w:val="(%1)"/>
      <w:numFmt w:val="lowerLetter"/>
      <w:start w:val="4"/>
    </w:lvl>
  </w:abstractNum>
  <w:abstractNum w:abstractNumId="135">
    <w:nsid w:val="17304A67"/>
    <w:multiLevelType w:val="hybridMultilevel"/>
    <w:lvl w:ilvl="0">
      <w:lvlJc w:val="left"/>
      <w:lvlText w:val="(%1)"/>
      <w:numFmt w:val="lowerLetter"/>
      <w:start w:val="1"/>
    </w:lvl>
  </w:abstractNum>
  <w:abstractNum w:abstractNumId="136">
    <w:nsid w:val="2BB180D8"/>
    <w:multiLevelType w:val="hybridMultilevel"/>
    <w:lvl w:ilvl="0">
      <w:lvlJc w:val="left"/>
      <w:lvlText w:val="(%1)"/>
      <w:numFmt w:val="lowerRoman"/>
      <w:start w:val="1"/>
    </w:lvl>
  </w:abstractNum>
  <w:abstractNum w:abstractNumId="137">
    <w:nsid w:val="556B69ED"/>
    <w:multiLevelType w:val="hybridMultilevel"/>
    <w:lvl w:ilvl="0">
      <w:lvlJc w:val="left"/>
      <w:lvlText w:val="(%1)"/>
      <w:numFmt w:val="lowerRoman"/>
      <w:start w:val="3"/>
    </w:lvl>
  </w:abstractNum>
  <w:abstractNum w:abstractNumId="138">
    <w:nsid w:val="70836196"/>
    <w:multiLevelType w:val="hybridMultilevel"/>
    <w:lvl w:ilvl="0">
      <w:lvlJc w:val="left"/>
      <w:lvlText w:val="(%1)"/>
      <w:numFmt w:val="lowerLetter"/>
      <w:start w:val="5"/>
    </w:lvl>
  </w:abstractNum>
  <w:abstractNum w:abstractNumId="139">
    <w:nsid w:val="539F7F12"/>
    <w:multiLevelType w:val="hybridMultilevel"/>
    <w:lvl w:ilvl="0">
      <w:lvlJc w:val="left"/>
      <w:lvlText w:val="(%1)"/>
      <w:numFmt w:val="lowerLetter"/>
      <w:start w:val="1"/>
    </w:lvl>
    <w:lvl w:ilvl="1">
      <w:lvlJc w:val="left"/>
      <w:lvlText w:val="(%2)"/>
      <w:numFmt w:val="decimal"/>
      <w:start w:val="1"/>
    </w:lvl>
  </w:abstractNum>
  <w:abstractNum w:abstractNumId="140">
    <w:nsid w:val="2817E7EC"/>
    <w:multiLevelType w:val="hybridMultilevel"/>
    <w:lvl w:ilvl="0">
      <w:lvlJc w:val="left"/>
      <w:lvlText w:val="(%1)"/>
      <w:numFmt w:val="lowerLetter"/>
      <w:start w:val="2"/>
    </w:lvl>
  </w:abstractNum>
  <w:abstractNum w:abstractNumId="141">
    <w:nsid w:val="71482545"/>
    <w:multiLevelType w:val="hybridMultilevel"/>
    <w:lvl w:ilvl="0">
      <w:lvlJc w:val="left"/>
      <w:lvlText w:val="(%1)"/>
      <w:numFmt w:val="lowerLetter"/>
      <w:start w:val="5"/>
    </w:lvl>
  </w:abstractNum>
  <w:abstractNum w:abstractNumId="142">
    <w:nsid w:val="17D78639"/>
    <w:multiLevelType w:val="hybridMultilevel"/>
    <w:lvl w:ilvl="0">
      <w:lvlJc w:val="left"/>
      <w:lvlText w:val="(%1)"/>
      <w:numFmt w:val="lowerLetter"/>
      <w:start w:val="1"/>
    </w:lvl>
  </w:abstractNum>
  <w:abstractNum w:abstractNumId="143">
    <w:nsid w:val="141D2302"/>
    <w:multiLevelType w:val="hybridMultilevel"/>
    <w:lvl w:ilvl="0">
      <w:lvlJc w:val="left"/>
      <w:lvlText w:val="%1"/>
      <w:numFmt w:val="upperLetter"/>
      <w:start w:val="1"/>
    </w:lvl>
    <w:lvl w:ilvl="1">
      <w:lvlJc w:val="left"/>
      <w:lvlText w:val="(%2)"/>
      <w:numFmt w:val="lowerLetter"/>
      <w:start w:val="1"/>
    </w:lvl>
  </w:abstractNum>
  <w:abstractNum w:abstractNumId="144">
    <w:nsid w:val="407168D8"/>
    <w:multiLevelType w:val="hybridMultilevel"/>
    <w:lvl w:ilvl="0">
      <w:lvlJc w:val="left"/>
      <w:lvlText w:val="(%1)"/>
      <w:numFmt w:val="upperLetter"/>
      <w:start w:val="9"/>
    </w:lvl>
    <w:lvl w:ilvl="1">
      <w:lvlJc w:val="left"/>
      <w:lvlText w:val="(%2)"/>
      <w:numFmt w:val="lowerLetter"/>
      <w:start w:val="1"/>
    </w:lvl>
  </w:abstractNum>
  <w:abstractNum w:abstractNumId="145">
    <w:nsid w:val="6A1B45E5"/>
    <w:multiLevelType w:val="hybridMultilevel"/>
    <w:lvl w:ilvl="0">
      <w:lvlJc w:val="left"/>
      <w:lvlText w:val="(%1)"/>
      <w:numFmt w:val="upperLetter"/>
      <w:start w:val="35"/>
    </w:lvl>
  </w:abstractNum>
  <w:abstractNum w:abstractNumId="146">
    <w:nsid w:val="567BD50A"/>
    <w:multiLevelType w:val="hybridMultilevel"/>
    <w:lvl w:ilvl="0">
      <w:lvlJc w:val="left"/>
      <w:lvlText w:val="(%1)"/>
      <w:numFmt w:val="upperLetter"/>
      <w:start w:val="61"/>
    </w:lvl>
  </w:abstractNum>
  <w:abstractNum w:abstractNumId="147">
    <w:nsid w:val="73BBD7F8"/>
    <w:multiLevelType w:val="hybridMultilevel"/>
    <w:lvl w:ilvl="0">
      <w:lvlJc w:val="left"/>
      <w:lvlText w:val="(%1)"/>
      <w:numFmt w:val="lowerLetter"/>
      <w:start w:val="1"/>
    </w:lvl>
  </w:abstractNum>
  <w:abstractNum w:abstractNumId="148">
    <w:nsid w:val="1876589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9">
    <w:nsid w:val="327FAC7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50">
    <w:nsid w:val="5A606509"/>
    <w:multiLevelType w:val="hybridMultilevel"/>
    <w:lvl w:ilvl="0">
      <w:lvlJc w:val="left"/>
      <w:lvlText w:val="(%1)"/>
      <w:numFmt w:val="lowerRoman"/>
      <w:start w:val="4"/>
    </w:lvl>
  </w:abstractNum>
  <w:abstractNum w:abstractNumId="151">
    <w:nsid w:val="6F38E6D1"/>
    <w:multiLevelType w:val="hybridMultilevel"/>
    <w:lvl w:ilvl="0">
      <w:lvlJc w:val="left"/>
      <w:lvlText w:val="(%1)"/>
      <w:numFmt w:val="lowerRoman"/>
      <w:start w:val="8"/>
    </w:lvl>
  </w:abstractNum>
  <w:abstractNum w:abstractNumId="152">
    <w:nsid w:val="46111BA5"/>
    <w:multiLevelType w:val="hybridMultilevel"/>
    <w:lvl w:ilvl="0">
      <w:lvlJc w:val="left"/>
      <w:lvlText w:val="(%1)"/>
      <w:numFmt w:val="lowerLetter"/>
      <w:start w:val="2"/>
    </w:lvl>
    <w:lvl w:ilvl="1">
      <w:lvlJc w:val="left"/>
      <w:lvlText w:val="(%2)"/>
      <w:numFmt w:val="lowerRoman"/>
      <w:start w:val="1"/>
    </w:lvl>
  </w:abstractNum>
  <w:abstractNum w:abstractNumId="153">
    <w:nsid w:val="5E963896"/>
    <w:multiLevelType w:val="hybridMultilevel"/>
    <w:lvl w:ilvl="0">
      <w:lvlJc w:val="left"/>
      <w:lvlText w:val="(%1)"/>
      <w:numFmt w:val="upperLetter"/>
      <w:start w:val="1"/>
    </w:lvl>
  </w:abstractNum>
  <w:abstractNum w:abstractNumId="154">
    <w:nsid w:val="775BA7C1"/>
    <w:multiLevelType w:val="hybridMultilevel"/>
    <w:lvl w:ilvl="0">
      <w:lvlJc w:val="left"/>
      <w:lvlText w:val="(%1)"/>
      <w:numFmt w:val="upperLetter"/>
      <w:start w:val="2"/>
    </w:lvl>
  </w:abstractNum>
  <w:abstractNum w:abstractNumId="155">
    <w:nsid w:val="1DD6D6F4"/>
    <w:multiLevelType w:val="hybridMultilevel"/>
    <w:lvl w:ilvl="0">
      <w:lvlJc w:val="left"/>
      <w:lvlText w:val="(%1)"/>
      <w:numFmt w:val="lowerRoman"/>
      <w:start w:val="3"/>
    </w:lvl>
  </w:abstractNum>
  <w:abstractNum w:abstractNumId="156">
    <w:nsid w:val="769A091F"/>
    <w:multiLevelType w:val="hybridMultilevel"/>
    <w:lvl w:ilvl="0">
      <w:lvlJc w:val="left"/>
      <w:lvlText w:val="(%1)"/>
      <w:numFmt w:val="lowerRoman"/>
      <w:start w:val="4"/>
    </w:lvl>
  </w:abstractNum>
  <w:abstractNum w:abstractNumId="157">
    <w:nsid w:val="4695AE95"/>
    <w:multiLevelType w:val="hybridMultilevel"/>
    <w:lvl w:ilvl="0">
      <w:lvlJc w:val="left"/>
      <w:lvlText w:val="(%1)"/>
      <w:numFmt w:val="lowerRoman"/>
      <w:start w:val="9"/>
    </w:lvl>
  </w:abstractNum>
  <w:abstractNum w:abstractNumId="158">
    <w:nsid w:val="777A4EAA"/>
    <w:multiLevelType w:val="hybridMultilevel"/>
    <w:lvl w:ilvl="0">
      <w:lvlJc w:val="left"/>
      <w:lvlText w:val="(%1)"/>
      <w:numFmt w:val="lowerRoman"/>
      <w:start w:val="17"/>
    </w:lvl>
  </w:abstractNum>
  <w:abstractNum w:abstractNumId="159">
    <w:nsid w:val="3F48B982"/>
    <w:multiLevelType w:val="hybridMultilevel"/>
    <w:lvl w:ilvl="0">
      <w:lvlJc w:val="left"/>
      <w:lvlText w:val="%1"/>
      <w:numFmt w:val="lowerRoman"/>
      <w:start w:val="1"/>
    </w:lvl>
    <w:lvl w:ilvl="1">
      <w:lvlJc w:val="left"/>
      <w:lvlText w:val="(%2)"/>
      <w:numFmt w:val="lowerRoman"/>
      <w:start w:val="23"/>
    </w:lvl>
  </w:abstractNum>
  <w:abstractNum w:abstractNumId="160">
    <w:nsid w:val="46BA8FCA"/>
    <w:multiLevelType w:val="hybridMultilevel"/>
    <w:lvl w:ilvl="0">
      <w:lvlJc w:val="left"/>
      <w:lvlText w:val="(%1)"/>
      <w:numFmt w:val="lowerRoman"/>
      <w:start w:val="2"/>
    </w:lvl>
    <w:lvl w:ilvl="1">
      <w:lvlJc w:val="left"/>
      <w:lvlText w:val="(%2)"/>
      <w:numFmt w:val="lowerRoman"/>
      <w:start w:val="24"/>
    </w:lvl>
  </w:abstractNum>
  <w:abstractNum w:abstractNumId="161">
    <w:nsid w:val="7835626C"/>
    <w:multiLevelType w:val="hybridMultilevel"/>
    <w:lvl w:ilvl="0">
      <w:lvlJc w:val="left"/>
      <w:lvlText w:val="(%1)"/>
      <w:numFmt w:val="lowerRoman"/>
      <w:start w:val="32"/>
    </w:lvl>
  </w:abstractNum>
  <w:abstractNum w:abstractNumId="162">
    <w:nsid w:val="665ACA49"/>
    <w:multiLevelType w:val="hybridMultilevel"/>
    <w:lvl w:ilvl="0">
      <w:lvlJc w:val="left"/>
      <w:lvlText w:val="(%1)"/>
      <w:numFmt w:val="lowerLetter"/>
      <w:start w:val="3"/>
    </w:lvl>
  </w:abstractNum>
  <w:abstractNum w:abstractNumId="163">
    <w:nsid w:val="6835B2AE"/>
    <w:multiLevelType w:val="hybridMultilevel"/>
    <w:lvl w:ilvl="0">
      <w:lvlJc w:val="left"/>
      <w:lvlText w:val="(%1)"/>
      <w:numFmt w:val="decimal"/>
      <w:start w:val="1"/>
    </w:lvl>
  </w:abstractNum>
  <w:abstractNum w:abstractNumId="164">
    <w:nsid w:val="4C187C90"/>
    <w:multiLevelType w:val="hybridMultilevel"/>
    <w:lvl w:ilvl="0">
      <w:lvlJc w:val="left"/>
      <w:lvlText w:val="(%1)"/>
      <w:numFmt w:val="decimal"/>
      <w:start w:val="3"/>
    </w:lvl>
  </w:abstractNum>
  <w:abstractNum w:abstractNumId="165">
    <w:nsid w:val="541F28CD"/>
    <w:multiLevelType w:val="hybridMultilevel"/>
    <w:lvl w:ilvl="0">
      <w:lvlJc w:val="left"/>
      <w:lvlText w:val="(%1)"/>
      <w:numFmt w:val="lowerLetter"/>
      <w:start w:val="1"/>
    </w:lvl>
  </w:abstractNum>
  <w:abstractNum w:abstractNumId="166">
    <w:nsid w:val="7F65FD16"/>
    <w:multiLevelType w:val="hybridMultilevel"/>
    <w:lvl w:ilvl="0">
      <w:lvlJc w:val="left"/>
      <w:lvlText w:val="(%1)"/>
      <w:numFmt w:val="lowerLetter"/>
      <w:start w:val="8"/>
    </w:lvl>
  </w:abstractNum>
  <w:abstractNum w:abstractNumId="167">
    <w:nsid w:val="77C9FD68"/>
    <w:multiLevelType w:val="hybridMultilevel"/>
    <w:lvl w:ilvl="0">
      <w:lvlJc w:val="left"/>
      <w:lvlText w:val="(%1)"/>
      <w:numFmt w:val="lowerLetter"/>
      <w:start w:val="16"/>
    </w:lvl>
  </w:abstractNum>
  <w:abstractNum w:abstractNumId="168">
    <w:nsid w:val="298A92BA"/>
    <w:multiLevelType w:val="hybridMultilevel"/>
    <w:lvl w:ilvl="0">
      <w:lvlJc w:val="left"/>
      <w:lvlText w:val="(%1)"/>
      <w:numFmt w:val="lowerLetter"/>
      <w:start w:val="1"/>
    </w:lvl>
  </w:abstractNum>
  <w:abstractNum w:abstractNumId="169">
    <w:nsid w:val="6FE95EAC"/>
    <w:multiLevelType w:val="hybridMultilevel"/>
    <w:lvl w:ilvl="0">
      <w:lvlJc w:val="left"/>
      <w:lvlText w:val="(%1)"/>
      <w:numFmt w:val="lowerLetter"/>
      <w:start w:val="2"/>
    </w:lvl>
  </w:abstractNum>
  <w:abstractNum w:abstractNumId="170">
    <w:nsid w:val="4B697C7A"/>
    <w:multiLevelType w:val="hybridMultilevel"/>
    <w:lvl w:ilvl="0">
      <w:lvlJc w:val="left"/>
      <w:lvlText w:val="(%1)"/>
      <w:numFmt w:val="lowerLetter"/>
      <w:start w:val="8"/>
    </w:lvl>
  </w:abstractNum>
  <w:abstractNum w:abstractNumId="171">
    <w:nsid w:val="51A27AA6"/>
    <w:multiLevelType w:val="hybridMultilevel"/>
    <w:lvl w:ilvl="0">
      <w:lvlJc w:val="left"/>
      <w:lvlText w:val="(%1)"/>
      <w:numFmt w:val="lowerLetter"/>
      <w:start w:val="15"/>
    </w:lvl>
  </w:abstractNum>
  <w:abstractNum w:abstractNumId="172">
    <w:nsid w:val="613183F2"/>
    <w:multiLevelType w:val="hybridMultilevel"/>
    <w:lvl w:ilvl="0">
      <w:lvlJc w:val="left"/>
      <w:lvlText w:val="%1"/>
      <w:numFmt w:val="upperLetter"/>
      <w:start w:val="1"/>
    </w:lvl>
    <w:lvl w:ilvl="1">
      <w:lvlJc w:val="left"/>
      <w:lvlText w:val="(%2)"/>
      <w:numFmt w:val="lowerRoman"/>
      <w:start w:val="1"/>
    </w:lvl>
  </w:abstractNum>
  <w:abstractNum w:abstractNumId="173">
    <w:nsid w:val="634102B4"/>
    <w:multiLevelType w:val="hybridMultilevel"/>
    <w:lvl w:ilvl="0">
      <w:lvlJc w:val="left"/>
      <w:lvlText w:val="(%1)"/>
      <w:numFmt w:val="upperLetter"/>
      <w:start w:val="2"/>
    </w:lvl>
    <w:lvl w:ilvl="1">
      <w:lvlJc w:val="left"/>
      <w:lvlText w:val="%2"/>
      <w:numFmt w:val="lowerRoman"/>
      <w:start w:val="1"/>
    </w:lvl>
  </w:abstractNum>
  <w:abstractNum w:abstractNumId="174">
    <w:nsid w:val="65BF9DA8"/>
    <w:multiLevelType w:val="hybridMultilevel"/>
    <w:lvl w:ilvl="0">
      <w:lvlJc w:val="left"/>
      <w:lvlText w:val="(%1)"/>
      <w:numFmt w:val="lowerRoman"/>
      <w:start w:val="2"/>
    </w:lvl>
  </w:abstractNum>
  <w:abstractNum w:abstractNumId="175">
    <w:nsid w:val="21A2ECCA"/>
    <w:multiLevelType w:val="hybridMultilevel"/>
    <w:lvl w:ilvl="0">
      <w:lvlJc w:val="left"/>
      <w:lvlText w:val="(%1)"/>
      <w:numFmt w:val="upperLetter"/>
      <w:start w:val="1"/>
    </w:lvl>
  </w:abstractNum>
  <w:abstractNum w:abstractNumId="176">
    <w:nsid w:val="4D5C48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77">
    <w:nsid w:val="3C3B72B2"/>
    <w:multiLevelType w:val="hybridMultilevel"/>
    <w:lvl w:ilvl="0">
      <w:lvlJc w:val="left"/>
      <w:lvlText w:val="(%1)"/>
      <w:numFmt w:val="lowerLetter"/>
      <w:start w:val="1"/>
    </w:lvl>
    <w:lvl w:ilvl="1">
      <w:lvlJc w:val="left"/>
      <w:lvlText w:val="(%2)"/>
      <w:numFmt w:val="lowerLetter"/>
      <w:start w:val="18"/>
    </w:lvl>
    <w:lvl w:ilvl="2">
      <w:lvlJc w:val="left"/>
      <w:lvlText w:val="%3"/>
      <w:numFmt w:val="lowerRoman"/>
      <w:start w:val="1"/>
    </w:lvl>
  </w:abstractNum>
  <w:abstractNum w:abstractNumId="178">
    <w:nsid w:val="155EC4C2"/>
    <w:multiLevelType w:val="hybridMultilevel"/>
    <w:lvl w:ilvl="0">
      <w:lvlJc w:val="left"/>
      <w:lvlText w:val="(%1)"/>
      <w:numFmt w:val="lowerLetter"/>
      <w:start w:val="22"/>
    </w:lvl>
  </w:abstractNum>
  <w:abstractNum w:abstractNumId="179">
    <w:nsid w:val="65D2A137"/>
    <w:multiLevelType w:val="hybridMultilevel"/>
    <w:lvl w:ilvl="0">
      <w:lvlJc w:val="left"/>
      <w:lvlText w:val="(%1)"/>
      <w:numFmt w:val="lowerLetter"/>
      <w:start w:val="27"/>
    </w:lvl>
  </w:abstractNum>
  <w:abstractNum w:abstractNumId="180">
    <w:nsid w:val="6EBB1F2A"/>
    <w:multiLevelType w:val="hybridMultilevel"/>
    <w:lvl w:ilvl="0">
      <w:lvlJc w:val="left"/>
      <w:lvlText w:val="(%1)"/>
      <w:numFmt w:val="lowerLetter"/>
      <w:start w:val="30"/>
    </w:lvl>
  </w:abstractNum>
  <w:abstractNum w:abstractNumId="181">
    <w:nsid w:val="6FBF29CB"/>
    <w:multiLevelType w:val="hybridMultilevel"/>
    <w:lvl w:ilvl="0">
      <w:lvlJc w:val="left"/>
      <w:lvlText w:val="(%1)"/>
      <w:numFmt w:val="lowerLetter"/>
      <w:start w:val="1"/>
    </w:lvl>
  </w:abstractNum>
  <w:abstractNum w:abstractNumId="182">
    <w:nsid w:val="550B880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83">
    <w:nsid w:val="34CC3ACF"/>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84">
    <w:nsid w:val="4E556261"/>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185">
    <w:nsid w:val="4C672FC9"/>
    <w:multiLevelType w:val="hybridMultilevel"/>
    <w:lvl w:ilvl="0">
      <w:lvlJc w:val="left"/>
      <w:lvlText w:val="%1"/>
      <w:numFmt w:val="lowerRoman"/>
      <w:start w:val="1"/>
    </w:lvl>
    <w:lvl w:ilvl="1">
      <w:lvlJc w:val="left"/>
      <w:lvlText w:val="(%2)"/>
      <w:numFmt w:val="decimal"/>
      <w:start w:val="2"/>
    </w:lvl>
  </w:abstractNum>
  <w:abstractNum w:abstractNumId="186">
    <w:nsid w:val="52A311C3"/>
    <w:multiLevelType w:val="hybridMultilevel"/>
    <w:lvl w:ilvl="0">
      <w:lvlJc w:val="left"/>
      <w:lvlText w:val="(%1)"/>
      <w:numFmt w:val="lowerRoman"/>
      <w:start w:val="1"/>
    </w:lvl>
    <w:lvl w:ilvl="1">
      <w:lvlJc w:val="left"/>
      <w:lvlText w:val="(%2)"/>
      <w:numFmt w:val="decimal"/>
      <w:start w:val="3"/>
    </w:lvl>
  </w:abstractNum>
  <w:abstractNum w:abstractNumId="187">
    <w:nsid w:val="44EF6B80"/>
    <w:multiLevelType w:val="hybridMultilevel"/>
    <w:lvl w:ilvl="0">
      <w:lvlJc w:val="left"/>
      <w:lvlText w:val="(%1)"/>
      <w:numFmt w:val="decimal"/>
      <w:start w:val="4"/>
    </w:lvl>
  </w:abstractNum>
  <w:abstractNum w:abstractNumId="188">
    <w:nsid w:val="12FCDE5E"/>
    <w:multiLevelType w:val="hybridMultilevel"/>
    <w:lvl w:ilvl="0">
      <w:lvlJc w:val="left"/>
      <w:lvlText w:val="(%1)"/>
      <w:numFmt w:val="lowerLetter"/>
      <w:start w:val="3"/>
    </w:lvl>
  </w:abstractNum>
  <w:abstractNum w:abstractNumId="189">
    <w:nsid w:val="4A1D606E"/>
    <w:multiLevelType w:val="hybridMultilevel"/>
    <w:lvl w:ilvl="0">
      <w:lvlJc w:val="left"/>
      <w:lvlText w:val="(%1)"/>
      <w:numFmt w:val="lowerLetter"/>
      <w:start w:val="6"/>
    </w:lvl>
  </w:abstractNum>
  <w:abstractNum w:abstractNumId="190">
    <w:nsid w:val="4382503"/>
    <w:multiLevelType w:val="hybridMultilevel"/>
    <w:lvl w:ilvl="0">
      <w:lvlJc w:val="left"/>
      <w:lvlText w:val="(%1)"/>
      <w:numFmt w:val="decimal"/>
      <w:start w:val="1"/>
    </w:lvl>
  </w:abstractNum>
  <w:abstractNum w:abstractNumId="191">
    <w:nsid w:val="59B76E28"/>
    <w:multiLevelType w:val="hybridMultilevel"/>
    <w:lvl w:ilvl="0">
      <w:lvlJc w:val="left"/>
      <w:lvlText w:val="%1"/>
      <w:numFmt w:val="lowerLetter"/>
      <w:start w:val="1"/>
    </w:lvl>
    <w:lvl w:ilvl="1">
      <w:lvlJc w:val="left"/>
      <w:lvlText w:val="(%2)"/>
      <w:numFmt w:val="decimal"/>
      <w:start w:val="4"/>
    </w:lvl>
  </w:abstractNum>
  <w:abstractNum w:abstractNumId="192">
    <w:nsid w:val="4252C2DA"/>
    <w:multiLevelType w:val="hybridMultilevel"/>
    <w:lvl w:ilvl="0">
      <w:lvlJc w:val="left"/>
      <w:lvlText w:val="(%1)"/>
      <w:numFmt w:val="lowerLetter"/>
      <w:start w:val="7"/>
    </w:lvl>
    <w:lvl w:ilvl="1">
      <w:lvlJc w:val="left"/>
      <w:lvlText w:val="%2"/>
      <w:numFmt w:val="decimal"/>
      <w:start w:val="1"/>
    </w:lvl>
  </w:abstractNum>
  <w:abstractNum w:abstractNumId="193">
    <w:nsid w:val="6A92EF4C"/>
    <w:multiLevelType w:val="hybridMultilevel"/>
    <w:lvl w:ilvl="0">
      <w:lvlJc w:val="left"/>
      <w:lvlText w:val="(%1)"/>
      <w:numFmt w:val="decimal"/>
      <w:start w:val="1"/>
    </w:lvl>
  </w:abstractNum>
  <w:abstractNum w:abstractNumId="194">
    <w:nsid w:val="41ED20D7"/>
    <w:multiLevelType w:val="hybridMultilevel"/>
    <w:lvl w:ilvl="0">
      <w:lvlJc w:val="left"/>
      <w:lvlText w:val="(%1)"/>
      <w:numFmt w:val="decimal"/>
      <w:start w:val="2"/>
    </w:lvl>
  </w:abstractNum>
  <w:abstractNum w:abstractNumId="195">
    <w:nsid w:val="E6B3F6A"/>
    <w:multiLevelType w:val="hybridMultilevel"/>
    <w:lvl w:ilvl="0">
      <w:lvlJc w:val="left"/>
      <w:lvlText w:val="(%1)"/>
      <w:numFmt w:val="lowerLetter"/>
      <w:start w:val="1"/>
    </w:lvl>
  </w:abstractNum>
  <w:abstractNum w:abstractNumId="196">
    <w:nsid w:val="3EB21819"/>
    <w:multiLevelType w:val="hybridMultilevel"/>
    <w:lvl w:ilvl="0">
      <w:lvlJc w:val="left"/>
      <w:lvlText w:val="(%1)"/>
      <w:numFmt w:val="lowerLetter"/>
      <w:start w:val="6"/>
    </w:lvl>
  </w:abstractNum>
  <w:abstractNum w:abstractNumId="197">
    <w:nsid w:val="41531DED"/>
    <w:multiLevelType w:val="hybridMultilevel"/>
    <w:lvl w:ilvl="0">
      <w:lvlJc w:val="left"/>
      <w:lvlText w:val="(%1)"/>
      <w:numFmt w:val="lowerLetter"/>
      <w:start w:val="14"/>
    </w:lvl>
  </w:abstractNum>
  <w:abstractNum w:abstractNumId="198">
    <w:nsid w:val="6353CD2"/>
    <w:multiLevelType w:val="hybridMultilevel"/>
    <w:lvl w:ilvl="0">
      <w:lvlJc w:val="left"/>
      <w:lvlText w:val="(%1)"/>
      <w:numFmt w:val="lowerLetter"/>
      <w:start w:val="21"/>
    </w:lvl>
  </w:abstractNum>
  <w:abstractNum w:abstractNumId="199">
    <w:nsid w:val="683CAAD3"/>
    <w:multiLevelType w:val="hybridMultilevel"/>
    <w:lvl w:ilvl="0">
      <w:lvlJc w:val="left"/>
      <w:lvlText w:val="(%1)"/>
      <w:numFmt w:val="lowerLetter"/>
      <w:start w:val="27"/>
    </w:lvl>
  </w:abstractNum>
  <w:abstractNum w:abstractNumId="200">
    <w:nsid w:val="313C7C99"/>
    <w:multiLevelType w:val="hybridMultilevel"/>
    <w:lvl w:ilvl="0">
      <w:lvlJc w:val="left"/>
      <w:lvlText w:val="(%1)"/>
      <w:numFmt w:val="lowerLetter"/>
      <w:start w:val="1"/>
    </w:lvl>
    <w:lvl w:ilvl="1">
      <w:lvlJc w:val="left"/>
      <w:lvlText w:val="(%2)"/>
      <w:numFmt w:val="decimal"/>
      <w:start w:val="1"/>
    </w:lvl>
  </w:abstractNum>
  <w:abstractNum w:abstractNumId="201">
    <w:nsid w:val="519EB94C"/>
    <w:multiLevelType w:val="hybridMultilevel"/>
    <w:lvl w:ilvl="0">
      <w:lvlJc w:val="left"/>
      <w:lvlText w:val="(%1)"/>
      <w:numFmt w:val="lowerLetter"/>
      <w:start w:val="2"/>
    </w:lvl>
  </w:abstractNum>
  <w:abstractNum w:abstractNumId="202">
    <w:nsid w:val="39DF2579"/>
    <w:multiLevelType w:val="hybridMultilevel"/>
    <w:lvl w:ilvl="0">
      <w:lvlJc w:val="left"/>
      <w:lvlText w:val="(%1)"/>
      <w:numFmt w:val="lowerLetter"/>
      <w:start w:val="1"/>
    </w:lvl>
  </w:abstractNum>
  <w:abstractNum w:abstractNumId="203">
    <w:nsid w:val="126E008B"/>
    <w:multiLevelType w:val="hybridMultilevel"/>
    <w:lvl w:ilvl="0">
      <w:lvlJc w:val="left"/>
      <w:lvlText w:val="(%1)"/>
      <w:numFmt w:val="decimal"/>
      <w:start w:val="1"/>
    </w:lvl>
  </w:abstractNum>
  <w:abstractNum w:abstractNumId="204">
    <w:nsid w:val="34DFBC00"/>
    <w:multiLevelType w:val="hybridMultilevel"/>
    <w:lvl w:ilvl="0">
      <w:lvlJc w:val="left"/>
      <w:lvlText w:val="(%1)"/>
      <w:numFmt w:val="decimal"/>
      <w:start w:val="7"/>
    </w:lvl>
  </w:abstractNum>
  <w:abstractNum w:abstractNumId="205">
    <w:nsid w:val="1F9EC322"/>
    <w:multiLevelType w:val="hybridMultilevel"/>
    <w:lvl w:ilvl="0">
      <w:lvlJc w:val="left"/>
      <w:lvlText w:val="(%1)"/>
      <w:numFmt w:val="lowerLetter"/>
      <w:start w:val="2"/>
    </w:lvl>
    <w:lvl w:ilvl="1">
      <w:lvlJc w:val="left"/>
      <w:lvlText w:val="(%2)"/>
      <w:numFmt w:val="decimal"/>
      <w:start w:val="1"/>
    </w:lvl>
  </w:abstractNum>
  <w:abstractNum w:abstractNumId="206">
    <w:nsid w:val="3410ED56"/>
    <w:multiLevelType w:val="hybridMultilevel"/>
    <w:lvl w:ilvl="0">
      <w:lvlJc w:val="left"/>
      <w:lvlText w:val="(%1)"/>
      <w:numFmt w:val="lowerLetter"/>
      <w:start w:val="5"/>
    </w:lvl>
  </w:abstractNum>
  <w:abstractNum w:abstractNumId="207">
    <w:nsid w:val="23C049A"/>
    <w:multiLevelType w:val="hybridMultilevel"/>
    <w:lvl w:ilvl="0">
      <w:lvlJc w:val="left"/>
      <w:lvlText w:val="(%1)"/>
      <w:numFmt w:val="lowerLetter"/>
      <w:start w:val="1"/>
    </w:lvl>
  </w:abstractNum>
  <w:abstractNum w:abstractNumId="208">
    <w:nsid w:val="5BDA35D4"/>
    <w:multiLevelType w:val="hybridMultilevel"/>
    <w:lvl w:ilvl="0">
      <w:lvlJc w:val="left"/>
      <w:lvlText w:val="(%1)"/>
      <w:numFmt w:val="lowerLetter"/>
      <w:start w:val="2"/>
    </w:lvl>
  </w:abstractNum>
  <w:abstractNum w:abstractNumId="209">
    <w:nsid w:val="496FB218"/>
    <w:multiLevelType w:val="hybridMultilevel"/>
    <w:lvl w:ilvl="0">
      <w:lvlJc w:val="left"/>
      <w:lvlText w:val="(%1)"/>
      <w:numFmt w:val="lowerLetter"/>
      <w:start w:val="5"/>
    </w:lvl>
  </w:abstractNum>
  <w:abstractNum w:abstractNumId="210">
    <w:nsid w:val="680EA5D1"/>
    <w:multiLevelType w:val="hybridMultilevel"/>
    <w:lvl w:ilvl="0">
      <w:lvlJc w:val="left"/>
      <w:lvlText w:val="%1"/>
      <w:numFmt w:val="lowerRoman"/>
      <w:start w:val="1"/>
    </w:lvl>
    <w:lvl w:ilvl="1">
      <w:lvlJc w:val="left"/>
      <w:lvlText w:val="(%2)"/>
      <w:numFmt w:val="lowerLetter"/>
      <w:start w:val="1"/>
    </w:lvl>
  </w:abstractNum>
  <w:abstractNum w:abstractNumId="211">
    <w:nsid w:val="4A9554FE"/>
    <w:multiLevelType w:val="hybridMultilevel"/>
    <w:lvl w:ilvl="0">
      <w:lvlJc w:val="left"/>
      <w:lvlText w:val="(%1)"/>
      <w:numFmt w:val="lowerRoman"/>
      <w:start w:val="4"/>
    </w:lvl>
    <w:lvl w:ilvl="1">
      <w:lvlJc w:val="left"/>
      <w:lvlText w:val="%2"/>
      <w:numFmt w:val="lowerLetter"/>
      <w:start w:val="1"/>
    </w:lvl>
  </w:abstractNum>
  <w:abstractNum w:abstractNumId="212">
    <w:nsid w:val="392EDBE4"/>
    <w:multiLevelType w:val="hybridMultilevel"/>
    <w:lvl w:ilvl="0">
      <w:lvlJc w:val="left"/>
      <w:lvlText w:val="(%1)"/>
      <w:numFmt w:val="lowerLetter"/>
      <w:start w:val="3"/>
    </w:lvl>
  </w:abstractNum>
  <w:abstractNum w:abstractNumId="213">
    <w:nsid w:val="3D1A2DD9"/>
    <w:multiLevelType w:val="hybridMultilevel"/>
    <w:lvl w:ilvl="0">
      <w:lvlJc w:val="left"/>
      <w:lvlText w:val="(%1)"/>
      <w:numFmt w:val="lowerLetter"/>
      <w:start w:val="1"/>
    </w:lvl>
    <w:lvl w:ilvl="1">
      <w:lvlJc w:val="left"/>
      <w:lvlText w:val="(%2)"/>
      <w:numFmt w:val="lowerRoman"/>
      <w:start w:val="1"/>
    </w:lvl>
  </w:abstractNum>
  <w:abstractNum w:abstractNumId="214">
    <w:nsid w:val="7F618FCD"/>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15">
    <w:nsid w:val="7843E4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16">
    <w:nsid w:val="9815DA3"/>
    <w:multiLevelType w:val="hybridMultilevel"/>
    <w:lvl w:ilvl="0">
      <w:lvlJc w:val="left"/>
      <w:lvlText w:val="%1"/>
      <w:numFmt w:val="lowerLetter"/>
      <w:start w:val="1"/>
    </w:lvl>
    <w:lvl w:ilvl="1">
      <w:lvlJc w:val="left"/>
      <w:lvlText w:val="(%2)"/>
      <w:numFmt w:val="decimal"/>
      <w:start w:val="2"/>
    </w:lvl>
  </w:abstractNum>
  <w:abstractNum w:abstractNumId="217">
    <w:nsid w:val="5204A191"/>
    <w:multiLevelType w:val="hybridMultilevel"/>
    <w:lvl w:ilvl="0">
      <w:lvlJc w:val="left"/>
      <w:lvlText w:val="(%1)"/>
      <w:numFmt w:val="lowerLetter"/>
      <w:start w:val="3"/>
    </w:lvl>
    <w:lvl w:ilvl="1">
      <w:lvlJc w:val="left"/>
      <w:lvlText w:val="(%2)"/>
      <w:numFmt w:val="decimal"/>
      <w:start w:val="1"/>
    </w:lvl>
  </w:abstractNum>
  <w:abstractNum w:abstractNumId="218">
    <w:nsid w:val="4C73A9C6"/>
    <w:multiLevelType w:val="hybridMultilevel"/>
    <w:lvl w:ilvl="0">
      <w:lvlJc w:val="left"/>
      <w:lvlText w:val="(%1)"/>
      <w:numFmt w:val="upperLetter"/>
      <w:start w:val="2"/>
    </w:lvl>
  </w:abstractNum>
  <w:abstractNum w:abstractNumId="219">
    <w:nsid w:val="1C7E3C01"/>
    <w:multiLevelType w:val="hybridMultilevel"/>
    <w:lvl w:ilvl="0">
      <w:lvlJc w:val="left"/>
      <w:lvlText w:val="%1"/>
      <w:numFmt w:val="lowerLetter"/>
      <w:start w:val="1"/>
    </w:lvl>
    <w:lvl w:ilvl="1">
      <w:lvlJc w:val="left"/>
      <w:lvlText w:val="(%2)"/>
      <w:numFmt w:val="decimal"/>
      <w:start w:val="2"/>
    </w:lvl>
  </w:abstractNum>
  <w:abstractNum w:abstractNumId="220">
    <w:nsid w:val="1C2201FF"/>
    <w:multiLevelType w:val="hybridMultilevel"/>
    <w:lvl w:ilvl="0">
      <w:lvlJc w:val="left"/>
      <w:lvlText w:val="(%1)"/>
      <w:numFmt w:val="lowerLetter"/>
      <w:start w:val="4"/>
    </w:lvl>
    <w:lvl w:ilvl="1">
      <w:lvlJc w:val="left"/>
      <w:lvlText w:val="%2"/>
      <w:numFmt w:val="decimal"/>
      <w:start w:val="1"/>
    </w:lvl>
  </w:abstractNum>
  <w:abstractNum w:abstractNumId="221">
    <w:nsid w:val="50ABCEC9"/>
    <w:multiLevelType w:val="hybridMultilevel"/>
    <w:lvl w:ilvl="0">
      <w:lvlJc w:val="left"/>
      <w:lvlText w:val="(%1)"/>
      <w:numFmt w:val="lowerLetter"/>
      <w:start w:val="1"/>
    </w:lvl>
    <w:lvl w:ilvl="1">
      <w:lvlJc w:val="left"/>
      <w:lvlText w:val="(%2)"/>
      <w:numFmt w:val="decimal"/>
      <w:start w:val="1"/>
    </w:lvl>
  </w:abstractNum>
  <w:abstractNum w:abstractNumId="222">
    <w:nsid w:val="7635AA2A"/>
    <w:multiLevelType w:val="hybridMultilevel"/>
    <w:lvl w:ilvl="0">
      <w:lvlJc w:val="left"/>
      <w:lvlText w:val="%1"/>
      <w:numFmt w:val="lowerRoman"/>
      <w:start w:val="1"/>
    </w:lvl>
    <w:lvl w:ilvl="1">
      <w:lvlJc w:val="left"/>
      <w:lvlText w:val="(%2)"/>
      <w:numFmt w:val="decimal"/>
      <w:start w:val="4"/>
    </w:lvl>
  </w:abstractNum>
  <w:abstractNum w:abstractNumId="223">
    <w:nsid w:val="5E74C4D9"/>
    <w:multiLevelType w:val="hybridMultilevel"/>
    <w:lvl w:ilvl="0">
      <w:lvlJc w:val="left"/>
      <w:lvlText w:val="(%1)"/>
      <w:numFmt w:val="lowerRoman"/>
      <w:start w:val="1"/>
    </w:lvl>
    <w:lvl w:ilvl="1">
      <w:lvlJc w:val="left"/>
      <w:lvlText w:val="(%2)"/>
      <w:numFmt w:val="decimal"/>
      <w:start w:val="5"/>
    </w:lvl>
  </w:abstractNum>
  <w:abstractNum w:abstractNumId="224">
    <w:nsid w:val="3B3EBE15"/>
    <w:multiLevelType w:val="hybridMultilevel"/>
    <w:lvl w:ilvl="0">
      <w:lvlJc w:val="left"/>
      <w:lvlText w:val="%1"/>
      <w:numFmt w:val="lowerRoman"/>
      <w:start w:val="1"/>
    </w:lvl>
    <w:lvl w:ilvl="1">
      <w:lvlJc w:val="left"/>
      <w:lvlText w:val="(%2)"/>
      <w:numFmt w:val="decimal"/>
      <w:start w:val="6"/>
    </w:lvl>
  </w:abstractNum>
  <w:abstractNum w:abstractNumId="225">
    <w:nsid w:val="3822CB01"/>
    <w:multiLevelType w:val="hybridMultilevel"/>
    <w:lvl w:ilvl="0">
      <w:lvlJc w:val="left"/>
      <w:lvlText w:val="(%1)"/>
      <w:numFmt w:val="lowerRoman"/>
      <w:start w:val="1"/>
    </w:lvl>
    <w:lvl w:ilvl="1">
      <w:lvlJc w:val="left"/>
      <w:lvlText w:val="%2"/>
      <w:numFmt w:val="decimal"/>
      <w:start w:val="1"/>
    </w:lvl>
  </w:abstractNum>
  <w:abstractNum w:abstractNumId="226">
    <w:nsid w:val="6CE00443"/>
    <w:multiLevelType w:val="hybridMultilevel"/>
    <w:lvl w:ilvl="0">
      <w:lvlJc w:val="left"/>
      <w:lvlText w:val="(%1)"/>
      <w:numFmt w:val="upperLetter"/>
      <w:start w:val="2"/>
    </w:lvl>
  </w:abstractNum>
  <w:abstractNum w:abstractNumId="227">
    <w:nsid w:val="79F0D62F"/>
    <w:multiLevelType w:val="hybridMultilevel"/>
    <w:lvl w:ilvl="0">
      <w:lvlJc w:val="left"/>
      <w:lvlText w:val="(%1)"/>
      <w:numFmt w:val="lowerRoman"/>
      <w:start w:val="1"/>
    </w:lvl>
  </w:abstractNum>
  <w:abstractNum w:abstractNumId="228">
    <w:nsid w:val="7975E8EE"/>
    <w:multiLevelType w:val="hybridMultilevel"/>
    <w:lvl w:ilvl="0">
      <w:lvlJc w:val="left"/>
      <w:lvlText w:val="(%1)"/>
      <w:numFmt w:val="lowerRoman"/>
      <w:start w:val="3"/>
    </w:lvl>
  </w:abstractNum>
  <w:abstractNum w:abstractNumId="229">
    <w:nsid w:val="73154115"/>
    <w:multiLevelType w:val="hybridMultilevel"/>
    <w:lvl w:ilvl="0">
      <w:lvlJc w:val="left"/>
      <w:lvlText w:val="%1"/>
      <w:numFmt w:val="upperLetter"/>
      <w:start w:val="1"/>
    </w:lvl>
    <w:lvl w:ilvl="1">
      <w:lvlJc w:val="left"/>
      <w:lvlText w:val="(%2)"/>
      <w:numFmt w:val="decimal"/>
      <w:start w:val="7"/>
    </w:lvl>
  </w:abstractNum>
  <w:abstractNum w:abstractNumId="230">
    <w:nsid w:val="622D8102"/>
    <w:multiLevelType w:val="hybridMultilevel"/>
    <w:lvl w:ilvl="0">
      <w:lvlJc w:val="left"/>
      <w:lvlText w:val="(%1)"/>
      <w:numFmt w:val="upperLetter"/>
      <w:start w:val="2"/>
    </w:lvl>
    <w:lvl w:ilvl="1">
      <w:lvlJc w:val="left"/>
      <w:lvlText w:val="(%2)"/>
      <w:numFmt w:val="decimal"/>
      <w:start w:val="10"/>
    </w:lvl>
  </w:abstractNum>
  <w:abstractNum w:abstractNumId="231">
    <w:nsid w:val="2AB26587"/>
    <w:multiLevelType w:val="hybridMultilevel"/>
    <w:lvl w:ilvl="0">
      <w:lvlJc w:val="left"/>
      <w:lvlText w:val="(%1)"/>
      <w:numFmt w:val="lowerLetter"/>
      <w:start w:val="2"/>
    </w:lvl>
  </w:abstractNum>
  <w:abstractNum w:abstractNumId="232">
    <w:nsid w:val="44B3FA61"/>
    <w:multiLevelType w:val="hybridMultilevel"/>
    <w:lvl w:ilvl="0">
      <w:lvlJc w:val="left"/>
      <w:lvlText w:val="(%1)"/>
      <w:numFmt w:val="decimal"/>
      <w:start w:val="1"/>
    </w:lvl>
  </w:abstractNum>
  <w:abstractNum w:abstractNumId="233">
    <w:nsid w:val="1C0CA67C"/>
    <w:multiLevelType w:val="hybridMultilevel"/>
    <w:lvl w:ilvl="0">
      <w:lvlJc w:val="left"/>
      <w:lvlText w:val="(%1)"/>
      <w:numFmt w:val="decimal"/>
      <w:start w:val="2"/>
    </w:lvl>
  </w:abstractNum>
  <w:abstractNum w:abstractNumId="234">
    <w:nsid w:val="3D206613"/>
    <w:multiLevelType w:val="hybridMultilevel"/>
    <w:lvl w:ilvl="0">
      <w:lvlJc w:val="left"/>
      <w:lvlText w:val="(%1)"/>
      <w:numFmt w:val="lowerLetter"/>
      <w:start w:val="1"/>
    </w:lvl>
  </w:abstractNum>
  <w:abstractNum w:abstractNumId="235">
    <w:nsid w:val="7993B662"/>
    <w:multiLevelType w:val="hybridMultilevel"/>
    <w:lvl w:ilvl="0">
      <w:lvlJc w:val="left"/>
      <w:lvlText w:val="(%1)"/>
      <w:numFmt w:val="lowerLetter"/>
      <w:start w:val="2"/>
    </w:lvl>
  </w:abstractNum>
  <w:abstractNum w:abstractNumId="236">
    <w:nsid w:val="3BAB699E"/>
    <w:multiLevelType w:val="hybridMultilevel"/>
    <w:lvl w:ilvl="0">
      <w:lvlJc w:val="left"/>
      <w:lvlText w:val="(%1)"/>
      <w:numFmt w:val="lowerLetter"/>
      <w:start w:val="7"/>
    </w:lvl>
  </w:abstractNum>
  <w:abstractNum w:abstractNumId="237">
    <w:nsid w:val="71315369"/>
    <w:multiLevelType w:val="hybridMultilevel"/>
    <w:lvl w:ilvl="0">
      <w:lvlJc w:val="left"/>
      <w:lvlText w:val="(%1)"/>
      <w:numFmt w:val="decimal"/>
      <w:start w:val="1"/>
    </w:lvl>
  </w:abstractNum>
  <w:abstractNum w:abstractNumId="238">
    <w:nsid w:val="7BCFBAFC"/>
    <w:multiLevelType w:val="hybridMultilevel"/>
    <w:lvl w:ilvl="0">
      <w:lvlJc w:val="left"/>
      <w:lvlText w:val="(%1)"/>
      <w:numFmt w:val="decimal"/>
      <w:start w:val="2"/>
    </w:lvl>
  </w:abstractNum>
  <w:abstractNum w:abstractNumId="239">
    <w:nsid w:val="17859F72"/>
    <w:multiLevelType w:val="hybridMultilevel"/>
    <w:lvl w:ilvl="0">
      <w:lvlJc w:val="left"/>
      <w:lvlText w:val="(%1)"/>
      <w:numFmt w:val="lowerRoman"/>
      <w:start w:val="1"/>
    </w:lvl>
  </w:abstractNum>
  <w:abstractNum w:abstractNumId="240">
    <w:nsid w:val="3AA10581"/>
    <w:multiLevelType w:val="hybridMultilevel"/>
    <w:lvl w:ilvl="0">
      <w:lvlJc w:val="left"/>
      <w:lvlText w:val="(%1)"/>
      <w:numFmt w:val="lowerLetter"/>
      <w:start w:val="1"/>
    </w:lvl>
  </w:abstractNum>
  <w:abstractNum w:abstractNumId="241">
    <w:nsid w:val="63DE60CD"/>
    <w:multiLevelType w:val="hybridMultilevel"/>
    <w:lvl w:ilvl="0">
      <w:lvlJc w:val="left"/>
      <w:lvlText w:val="%1"/>
      <w:numFmt w:val="lowerLetter"/>
      <w:start w:val="1"/>
    </w:lvl>
    <w:lvl w:ilvl="1">
      <w:lvlJc w:val="left"/>
      <w:lvlText w:val="(%2)"/>
      <w:numFmt w:val="lowerRoman"/>
      <w:start w:val="1"/>
    </w:lvl>
  </w:abstractNum>
  <w:abstractNum w:abstractNumId="242">
    <w:nsid w:val="621AF471"/>
    <w:multiLevelType w:val="hybridMultilevel"/>
    <w:lvl w:ilvl="0">
      <w:lvlJc w:val="left"/>
      <w:lvlText w:val="(%1)"/>
      <w:numFmt w:val="lowerLetter"/>
      <w:start w:val="3"/>
    </w:lvl>
    <w:lvl w:ilvl="1">
      <w:lvlJc w:val="left"/>
      <w:lvlText w:val="(%2)"/>
      <w:numFmt w:val="lowerRoman"/>
      <w:start w:val="1"/>
    </w:lvl>
  </w:abstractNum>
  <w:abstractNum w:abstractNumId="243">
    <w:nsid w:val="73CFE165"/>
    <w:multiLevelType w:val="hybridMultilevel"/>
    <w:lvl w:ilvl="0">
      <w:lvlJc w:val="left"/>
      <w:lvlText w:val="%1"/>
      <w:numFmt w:val="lowerLetter"/>
      <w:start w:val="1"/>
    </w:lvl>
    <w:lvl w:ilvl="1">
      <w:lvlJc w:val="left"/>
      <w:lvlText w:val="(%2)"/>
      <w:numFmt w:val="lowerLetter"/>
      <w:start w:val="61"/>
    </w:lvl>
  </w:abstractNum>
  <w:abstractNum w:abstractNumId="244">
    <w:nsid w:val="20F88EA6"/>
    <w:multiLevelType w:val="hybridMultilevel"/>
    <w:lvl w:ilvl="0">
      <w:lvlJc w:val="left"/>
      <w:lvlText w:val="(%1)"/>
      <w:numFmt w:val="lowerLetter"/>
      <w:start w:val="4"/>
    </w:lvl>
    <w:lvl w:ilvl="1">
      <w:lvlJc w:val="left"/>
      <w:lvlText w:val="%2"/>
      <w:numFmt w:val="lowerLetter"/>
      <w:start w:val="1"/>
    </w:lvl>
  </w:abstractNum>
  <w:abstractNum w:abstractNumId="245">
    <w:nsid w:val="617C843E"/>
    <w:multiLevelType w:val="hybridMultilevel"/>
    <w:lvl w:ilvl="0">
      <w:lvlJc w:val="left"/>
      <w:lvlText w:val="(%1)"/>
      <w:numFmt w:val="lowerLetter"/>
      <w:start w:val="6"/>
    </w:lvl>
  </w:abstractNum>
  <w:abstractNum w:abstractNumId="246">
    <w:nsid w:val="7B541FAB"/>
    <w:multiLevelType w:val="hybridMultilevel"/>
    <w:lvl w:ilvl="0">
      <w:lvlJc w:val="left"/>
      <w:lvlText w:val="(%1)"/>
      <w:numFmt w:val="lowerLetter"/>
      <w:start w:val="1"/>
    </w:lvl>
  </w:abstractNum>
  <w:abstractNum w:abstractNumId="247">
    <w:nsid w:val="2A79EC49"/>
    <w:multiLevelType w:val="hybridMultilevel"/>
    <w:lvl w:ilvl="0">
      <w:lvlJc w:val="left"/>
      <w:lvlText w:val="(%1)"/>
      <w:numFmt w:val="lowerLetter"/>
      <w:start w:val="6"/>
    </w:lvl>
  </w:abstractNum>
  <w:abstractNum w:abstractNumId="248">
    <w:nsid w:val="338125CF"/>
    <w:multiLevelType w:val="hybridMultilevel"/>
    <w:lvl w:ilvl="0">
      <w:lvlJc w:val="left"/>
      <w:lvlText w:val="(%1)"/>
      <w:numFmt w:val="lowerLetter"/>
      <w:start w:val="1"/>
    </w:lvl>
  </w:abstractNum>
  <w:abstractNum w:abstractNumId="249">
    <w:nsid w:val="47C7C971"/>
    <w:multiLevelType w:val="hybridMultilevel"/>
    <w:lvl w:ilvl="0">
      <w:lvlJc w:val="left"/>
      <w:lvlText w:val="(%1)"/>
      <w:numFmt w:val="lowerLetter"/>
      <w:start w:val="3"/>
    </w:lvl>
  </w:abstractNum>
  <w:abstractNum w:abstractNumId="250">
    <w:nsid w:val="46F8284B"/>
    <w:multiLevelType w:val="hybridMultilevel"/>
    <w:lvl w:ilvl="0">
      <w:lvlJc w:val="left"/>
      <w:lvlText w:val="(%1)"/>
      <w:numFmt w:val="lowerLetter"/>
      <w:start w:val="1"/>
    </w:lvl>
  </w:abstractNum>
  <w:abstractNum w:abstractNumId="251">
    <w:nsid w:val="4FA327CE"/>
    <w:multiLevelType w:val="hybridMultilevel"/>
    <w:lvl w:ilvl="0">
      <w:lvlJc w:val="left"/>
      <w:lvlText w:val="%1"/>
      <w:numFmt w:val="lowerLetter"/>
      <w:start w:val="1"/>
    </w:lvl>
    <w:lvl w:ilvl="1">
      <w:lvlJc w:val="left"/>
      <w:lvlText w:val="(%2)"/>
      <w:numFmt w:val="decimal"/>
      <w:start w:val="1"/>
    </w:lvl>
  </w:abstractNum>
  <w:abstractNum w:abstractNumId="252">
    <w:nsid w:val="1873983A"/>
    <w:multiLevelType w:val="hybridMultilevel"/>
    <w:lvl w:ilvl="0">
      <w:lvlJc w:val="left"/>
      <w:lvlText w:val="(%1)"/>
      <w:numFmt w:val="lowerLetter"/>
      <w:start w:val="1"/>
    </w:lvl>
    <w:lvl w:ilvl="1">
      <w:lvlJc w:val="left"/>
      <w:lvlText w:val="%2"/>
      <w:numFmt w:val="decimal"/>
      <w:start w:val="1"/>
    </w:lvl>
  </w:abstractNum>
  <w:abstractNum w:abstractNumId="253">
    <w:nsid w:val="3D2DD275"/>
    <w:multiLevelType w:val="hybridMultilevel"/>
    <w:lvl w:ilvl="0">
      <w:lvlJc w:val="left"/>
      <w:lvlText w:val="(%1)"/>
      <w:numFmt w:val="decimal"/>
      <w:start w:val="3"/>
    </w:lvl>
  </w:abstractNum>
  <w:abstractNum w:abstractNumId="254">
    <w:nsid w:val="2E17ECA7"/>
    <w:multiLevelType w:val="hybridMultilevel"/>
    <w:lvl w:ilvl="0">
      <w:lvlJc w:val="left"/>
      <w:lvlText w:val="(%1)"/>
      <w:numFmt w:val="decimal"/>
      <w:start w:val="4"/>
    </w:lvl>
  </w:abstractNum>
  <w:abstractNum w:abstractNumId="255">
    <w:nsid w:val="53B2564F"/>
    <w:multiLevelType w:val="hybridMultilevel"/>
    <w:lvl w:ilvl="0">
      <w:lvlJc w:val="left"/>
      <w:lvlText w:val="(%1)"/>
      <w:numFmt w:val="decimal"/>
      <w:start w:val="1"/>
    </w:lvl>
  </w:abstractNum>
  <w:abstractNum w:abstractNumId="256">
    <w:nsid w:val="75509D76"/>
    <w:multiLevelType w:val="hybridMultilevel"/>
    <w:lvl w:ilvl="0">
      <w:lvlJc w:val="left"/>
      <w:lvlText w:val="(%1)"/>
      <w:numFmt w:val="decimal"/>
      <w:start w:val="2"/>
    </w:lvl>
  </w:abstractNum>
  <w:abstractNum w:abstractNumId="257">
    <w:nsid w:val="1AF7F0EA"/>
    <w:multiLevelType w:val="hybridMultilevel"/>
    <w:lvl w:ilvl="0">
      <w:lvlJc w:val="left"/>
      <w:lvlText w:val="(%1)"/>
      <w:numFmt w:val="decimal"/>
      <w:start w:val="12"/>
    </w:lvl>
  </w:abstractNum>
  <w:abstractNum w:abstractNumId="258">
    <w:nsid w:val="4DA32C7E"/>
    <w:multiLevelType w:val="hybridMultilevel"/>
    <w:lvl w:ilvl="0">
      <w:lvlJc w:val="left"/>
      <w:lvlText w:val="(%1)"/>
      <w:numFmt w:val="decimal"/>
      <w:start w:val="1"/>
    </w:lvl>
  </w:abstractNum>
  <w:abstractNum w:abstractNumId="259">
    <w:nsid w:val="6EC68664"/>
    <w:multiLevelType w:val="hybridMultilevel"/>
    <w:lvl w:ilvl="0">
      <w:lvlJc w:val="left"/>
      <w:lvlText w:val="(%1)"/>
      <w:numFmt w:val="decimal"/>
      <w:start w:val="2"/>
    </w:lvl>
  </w:abstractNum>
  <w:abstractNum w:abstractNumId="260">
    <w:nsid w:val="E0D31FF"/>
    <w:multiLevelType w:val="hybridMultilevel"/>
    <w:lvl w:ilvl="0">
      <w:lvlJc w:val="left"/>
      <w:lvlText w:val="(%1)"/>
      <w:numFmt w:val="decimal"/>
      <w:start w:val="9"/>
    </w:lvl>
  </w:abstractNum>
  <w:abstractNum w:abstractNumId="261">
    <w:nsid w:val="2FD0AD81"/>
    <w:multiLevelType w:val="hybridMultilevel"/>
    <w:lvl w:ilvl="0">
      <w:lvlJc w:val="left"/>
      <w:lvlText w:val="(%1)"/>
      <w:numFmt w:val="decimal"/>
      <w:start w:val="10"/>
    </w:lvl>
  </w:abstractNum>
  <w:abstractNum w:abstractNumId="262">
    <w:nsid w:val="1978EBEB"/>
    <w:multiLevelType w:val="hybridMultilevel"/>
    <w:lvl w:ilvl="0">
      <w:lvlJc w:val="left"/>
      <w:lvlText w:val="(%1)"/>
      <w:numFmt w:val="lowerLetter"/>
      <w:start w:val="1"/>
    </w:lvl>
  </w:abstractNum>
  <w:abstractNum w:abstractNumId="263">
    <w:nsid w:val="52C12C61"/>
    <w:multiLevelType w:val="hybridMultilevel"/>
    <w:lvl w:ilvl="0">
      <w:lvlJc w:val="left"/>
      <w:lvlText w:val="(%1)"/>
      <w:numFmt w:val="lowerLetter"/>
      <w:start w:val="7"/>
    </w:lvl>
  </w:abstractNum>
  <w:abstractNum w:abstractNumId="264">
    <w:nsid w:val="4BDD53FD"/>
    <w:multiLevelType w:val="hybridMultilevel"/>
    <w:lvl w:ilvl="0">
      <w:lvlJc w:val="left"/>
      <w:lvlText w:val="%1"/>
      <w:numFmt w:val="lowerRoman"/>
      <w:start w:val="1"/>
    </w:lvl>
    <w:lvl w:ilvl="1">
      <w:lvlJc w:val="left"/>
      <w:lvlText w:val="(%2)"/>
      <w:numFmt w:val="decimal"/>
      <w:start w:val="1"/>
    </w:lvl>
  </w:abstractNum>
  <w:abstractNum w:abstractNumId="265">
    <w:nsid w:val="569951FE"/>
    <w:multiLevelType w:val="hybridMultilevel"/>
    <w:lvl w:ilvl="0">
      <w:lvlJc w:val="left"/>
      <w:lvlText w:val="(%1)"/>
      <w:numFmt w:val="lowerRoman"/>
      <w:start w:val="1"/>
    </w:lvl>
    <w:lvl w:ilvl="1">
      <w:lvlJc w:val="left"/>
      <w:lvlText w:val="%2"/>
      <w:numFmt w:val="decimal"/>
      <w:start w:val="1"/>
    </w:lvl>
  </w:abstractNum>
  <w:abstractNum w:abstractNumId="266">
    <w:nsid w:val="4C54E2C3"/>
    <w:multiLevelType w:val="hybridMultilevel"/>
    <w:lvl w:ilvl="0">
      <w:lvlJc w:val="left"/>
      <w:lvlText w:val="(%1)"/>
      <w:numFmt w:val="upperLetter"/>
      <w:start w:val="1"/>
    </w:lvl>
  </w:abstractNum>
  <w:abstractNum w:abstractNumId="267">
    <w:nsid w:val="788BD9B"/>
    <w:multiLevelType w:val="hybridMultilevel"/>
    <w:lvl w:ilvl="0">
      <w:lvlJc w:val="left"/>
      <w:lvlText w:val="%1"/>
      <w:numFmt w:val="decimal"/>
      <w:start w:val="1"/>
    </w:lvl>
    <w:lvl w:ilvl="1">
      <w:lvlJc w:val="left"/>
      <w:lvlText w:val="(%2)"/>
      <w:numFmt w:val="upperLetter"/>
      <w:start w:val="2"/>
    </w:lvl>
  </w:abstractNum>
  <w:abstractNum w:abstractNumId="268">
    <w:nsid w:val="47CAA567"/>
    <w:multiLevelType w:val="hybridMultilevel"/>
    <w:lvl w:ilvl="0">
      <w:lvlJc w:val="left"/>
      <w:lvlText w:val="(%1)"/>
      <w:numFmt w:val="decimal"/>
      <w:start w:val="2"/>
    </w:lvl>
    <w:lvl w:ilvl="1">
      <w:lvlJc w:val="left"/>
      <w:lvlText w:val="%2"/>
      <w:numFmt w:val="upperLetter"/>
      <w:start w:val="1"/>
    </w:lvl>
  </w:abstractNum>
  <w:abstractNum w:abstractNumId="269">
    <w:nsid w:val="48249DBF"/>
    <w:multiLevelType w:val="hybridMultilevel"/>
    <w:lvl w:ilvl="0">
      <w:lvlJc w:val="left"/>
      <w:lvlText w:val="(%1)"/>
      <w:numFmt w:val="lowerLetter"/>
      <w:start w:val="1"/>
    </w:lvl>
  </w:abstractNum>
  <w:abstractNum w:abstractNumId="270">
    <w:nsid w:val="1F0E5D0D"/>
    <w:multiLevelType w:val="hybridMultilevel"/>
    <w:lvl w:ilvl="0">
      <w:lvlJc w:val="left"/>
      <w:lvlText w:val="(%1)"/>
      <w:numFmt w:val="lowerLetter"/>
      <w:start w:val="1"/>
    </w:lvl>
  </w:abstractNum>
  <w:abstractNum w:abstractNumId="271">
    <w:nsid w:val="26BAAE9"/>
    <w:multiLevelType w:val="hybridMultilevel"/>
    <w:lvl w:ilvl="0">
      <w:lvlJc w:val="left"/>
      <w:lvlText w:val="(%1)"/>
      <w:numFmt w:val="lowerRoman"/>
      <w:start w:val="1"/>
    </w:lvl>
  </w:abstractNum>
  <w:abstractNum w:abstractNumId="272">
    <w:nsid w:val="2C02FE8C"/>
    <w:multiLevelType w:val="hybridMultilevel"/>
    <w:lvl w:ilvl="0">
      <w:lvlJc w:val="left"/>
      <w:lvlText w:val="(%1)"/>
      <w:numFmt w:val="lowerLetter"/>
      <w:start w:val="2"/>
    </w:lvl>
  </w:abstractNum>
  <w:abstractNum w:abstractNumId="273">
    <w:nsid w:val="129517E"/>
    <w:multiLevelType w:val="hybridMultilevel"/>
    <w:lvl w:ilvl="0">
      <w:lvlJc w:val="left"/>
      <w:lvlText w:val="(%1)"/>
      <w:numFmt w:val="lowerRoman"/>
      <w:start w:val="1"/>
    </w:lvl>
  </w:abstractNum>
  <w:abstractNum w:abstractNumId="274">
    <w:nsid w:val="763B8C4E"/>
    <w:multiLevelType w:val="hybridMultilevel"/>
    <w:lvl w:ilvl="0">
      <w:lvlJc w:val="left"/>
      <w:lvlText w:val="%1"/>
      <w:numFmt w:val="lowerLetter"/>
      <w:start w:val="1"/>
    </w:lvl>
    <w:lvl w:ilvl="1">
      <w:lvlJc w:val="left"/>
      <w:lvlText w:val="(%2)"/>
      <w:numFmt w:val="lowerLetter"/>
      <w:start w:val="3"/>
    </w:lvl>
  </w:abstractNum>
  <w:abstractNum w:abstractNumId="275">
    <w:nsid w:val="4CFB8D32"/>
    <w:multiLevelType w:val="hybridMultilevel"/>
    <w:lvl w:ilvl="0">
      <w:lvlJc w:val="left"/>
      <w:lvlText w:val="(%1)"/>
      <w:numFmt w:val="lowerLetter"/>
      <w:start w:val="14"/>
    </w:lvl>
    <w:lvl w:ilvl="1">
      <w:lvlJc w:val="left"/>
      <w:lvlText w:val="(%2)"/>
      <w:numFmt w:val="lowerLetter"/>
      <w:start w:val="4"/>
    </w:lvl>
  </w:abstractNum>
  <w:abstractNum w:abstractNumId="276">
    <w:nsid w:val="62A5D5BD"/>
    <w:multiLevelType w:val="hybridMultilevel"/>
    <w:lvl w:ilvl="0">
      <w:lvlJc w:val="left"/>
      <w:lvlText w:val="(%1)"/>
      <w:numFmt w:val="lowerLetter"/>
      <w:start w:val="1"/>
    </w:lvl>
  </w:abstractNum>
  <w:abstractNum w:abstractNumId="277">
    <w:nsid w:val="718FABF9"/>
    <w:multiLevelType w:val="hybridMultilevel"/>
    <w:lvl w:ilvl="0">
      <w:lvlJc w:val="left"/>
      <w:lvlText w:val="(%1)"/>
      <w:numFmt w:val="lowerLetter"/>
      <w:start w:val="1"/>
    </w:lvl>
  </w:abstractNum>
  <w:abstractNum w:abstractNumId="278">
    <w:nsid w:val="7775797C"/>
    <w:multiLevelType w:val="hybridMultilevel"/>
    <w:lvl w:ilvl="0">
      <w:lvlJc w:val="left"/>
      <w:lvlText w:val="(%1)"/>
      <w:numFmt w:val="lowerRoman"/>
      <w:start w:val="1"/>
    </w:lvl>
  </w:abstractNum>
  <w:abstractNum w:abstractNumId="279">
    <w:nsid w:val="1626FB8C"/>
    <w:multiLevelType w:val="hybridMultilevel"/>
    <w:lvl w:ilvl="0">
      <w:lvlJc w:val="left"/>
      <w:lvlText w:val="%1"/>
      <w:numFmt w:val="lowerLetter"/>
      <w:start w:val="1"/>
    </w:lvl>
    <w:lvl w:ilvl="1">
      <w:lvlJc w:val="left"/>
      <w:lvlText w:val="(%2)"/>
      <w:numFmt w:val="lowerRoman"/>
      <w:start w:val="3"/>
    </w:lvl>
  </w:abstractNum>
  <w:abstractNum w:abstractNumId="280">
    <w:nsid w:val="3957756A"/>
    <w:multiLevelType w:val="hybridMultilevel"/>
    <w:lvl w:ilvl="0">
      <w:lvlJc w:val="left"/>
      <w:lvlText w:val="(%1)"/>
      <w:numFmt w:val="lowerLetter"/>
      <w:start w:val="4"/>
    </w:lvl>
    <w:lvl w:ilvl="1">
      <w:lvlJc w:val="left"/>
      <w:lvlText w:val="%2"/>
      <w:numFmt w:val="lowerRoman"/>
      <w:start w:val="1"/>
    </w:lvl>
  </w:abstractNum>
  <w:abstractNum w:abstractNumId="281">
    <w:nsid w:val="3E6DA1C7"/>
    <w:multiLevelType w:val="hybridMultilevel"/>
    <w:lvl w:ilvl="0">
      <w:lvlJc w:val="left"/>
      <w:lvlText w:val="(%1)"/>
      <w:numFmt w:val="lowerLetter"/>
      <w:start w:val="1"/>
    </w:lvl>
  </w:abstractNum>
  <w:abstractNum w:abstractNumId="282">
    <w:nsid w:val="65CA235B"/>
    <w:multiLevelType w:val="hybridMultilevel"/>
    <w:lvl w:ilvl="0">
      <w:lvlJc w:val="left"/>
      <w:lvlText w:val="(%1)"/>
      <w:numFmt w:val="lowerLetter"/>
      <w:start w:val="2"/>
    </w:lvl>
  </w:abstractNum>
  <w:abstractNum w:abstractNumId="283">
    <w:nsid w:val="51CB0DA4"/>
    <w:multiLevelType w:val="hybridMultilevel"/>
    <w:lvl w:ilvl="0">
      <w:lvlJc w:val="left"/>
      <w:lvlText w:val="(%1)"/>
      <w:numFmt w:val="lowerLetter"/>
      <w:start w:val="5"/>
    </w:lvl>
  </w:abstractNum>
  <w:abstractNum w:abstractNumId="284">
    <w:nsid w:val="7B9B743C"/>
    <w:multiLevelType w:val="hybridMultilevel"/>
    <w:lvl w:ilvl="0">
      <w:lvlJc w:val="left"/>
      <w:lvlText w:val="(%1)"/>
      <w:numFmt w:val="lowerLetter"/>
      <w:start w:val="8"/>
    </w:lvl>
  </w:abstractNum>
  <w:abstractNum w:abstractNumId="285">
    <w:nsid w:val="13E21002"/>
    <w:multiLevelType w:val="hybridMultilevel"/>
    <w:lvl w:ilvl="0">
      <w:lvlJc w:val="left"/>
      <w:lvlText w:val="(%1)"/>
      <w:numFmt w:val="lowerLetter"/>
      <w:start w:val="12"/>
    </w:lvl>
  </w:abstractNum>
  <w:abstractNum w:abstractNumId="286">
    <w:nsid w:val="257D63F4"/>
    <w:multiLevelType w:val="hybridMultilevel"/>
    <w:lvl w:ilvl="0">
      <w:lvlJc w:val="left"/>
      <w:lvlText w:val="(%1)"/>
      <w:numFmt w:val="lowerLetter"/>
      <w:start w:val="16"/>
    </w:lvl>
  </w:abstractNum>
  <w:abstractNum w:abstractNumId="287">
    <w:nsid w:val="70EC11B2"/>
    <w:multiLevelType w:val="hybridMultilevel"/>
    <w:lvl w:ilvl="0">
      <w:lvlJc w:val="left"/>
      <w:lvlText w:val="(%1)"/>
      <w:numFmt w:val="lowerLetter"/>
      <w:start w:val="18"/>
    </w:lvl>
  </w:abstractNum>
  <w:abstractNum w:abstractNumId="288">
    <w:nsid w:val="2EDA00ED"/>
    <w:multiLevelType w:val="hybridMultilevel"/>
    <w:lvl w:ilvl="0">
      <w:lvlJc w:val="left"/>
      <w:lvlText w:val="(%1)"/>
      <w:numFmt w:val="lowerLetter"/>
      <w:start w:val="21"/>
    </w:lvl>
  </w:abstractNum>
  <w:abstractNum w:abstractNumId="289">
    <w:nsid w:val="73209072"/>
    <w:multiLevelType w:val="hybridMultilevel"/>
    <w:lvl w:ilvl="0">
      <w:lvlJc w:val="left"/>
      <w:lvlText w:val="%1"/>
      <w:numFmt w:val="lowerLetter"/>
      <w:start w:val="1"/>
    </w:lvl>
    <w:lvl w:ilvl="1">
      <w:lvlJc w:val="left"/>
      <w:lvlText w:val="(%2)"/>
      <w:numFmt w:val="lowerLetter"/>
      <w:start w:val="27"/>
    </w:lvl>
  </w:abstractNum>
  <w:abstractNum w:abstractNumId="290">
    <w:nsid w:val="5FB29816"/>
    <w:multiLevelType w:val="hybridMultilevel"/>
    <w:lvl w:ilvl="0">
      <w:lvlJc w:val="left"/>
      <w:lvlText w:val="(%1)"/>
      <w:numFmt w:val="lowerLetter"/>
      <w:start w:val="35"/>
    </w:lvl>
    <w:lvl w:ilvl="1">
      <w:lvlJc w:val="left"/>
      <w:lvlText w:val="(%2)"/>
      <w:numFmt w:val="lowerLetter"/>
      <w:start w:val="28"/>
    </w:lvl>
  </w:abstractNum>
  <w:abstractNum w:abstractNumId="291">
    <w:nsid w:val="3CE732EC"/>
    <w:multiLevelType w:val="hybridMultilevel"/>
    <w:lvl w:ilvl="0">
      <w:lvlJc w:val="left"/>
      <w:lvlText w:val="(%1)"/>
      <w:numFmt w:val="lowerLetter"/>
      <w:start w:val="1"/>
    </w:lvl>
  </w:abstractNum>
  <w:abstractNum w:abstractNumId="292">
    <w:nsid w:val="22F13DF3"/>
    <w:multiLevelType w:val="hybridMultilevel"/>
    <w:lvl w:ilvl="0">
      <w:lvlJc w:val="left"/>
      <w:lvlText w:val="(%1)"/>
      <w:numFmt w:val="lowerLetter"/>
      <w:start w:val="1"/>
    </w:lvl>
  </w:abstractNum>
  <w:abstractNum w:abstractNumId="293">
    <w:nsid w:val="792B8401"/>
    <w:multiLevelType w:val="hybridMultilevel"/>
    <w:lvl w:ilvl="0">
      <w:lvlJc w:val="left"/>
      <w:lvlText w:val="1"/>
      <w:numFmt w:val="bullet"/>
      <w:start w:val="1"/>
    </w:lvl>
  </w:abstractNum>
  <w:abstractNum w:abstractNumId="294">
    <w:nsid w:val="FA85F4D"/>
    <w:multiLevelType w:val="hybridMultilevel"/>
    <w:lvl w:ilvl="0">
      <w:lvlJc w:val="left"/>
      <w:lvlText w:val="2"/>
      <w:numFmt w:val="bullet"/>
      <w:start w:val="1"/>
    </w:lvl>
  </w:abstractNum>
  <w:abstractNum w:abstractNumId="295">
    <w:nsid w:val="6ECE91F0"/>
    <w:multiLevelType w:val="hybridMultilevel"/>
    <w:lvl w:ilvl="0">
      <w:lvlJc w:val="left"/>
      <w:lvlText w:val="3"/>
      <w:numFmt w:val="bullet"/>
      <w:start w:val="1"/>
    </w:lvl>
  </w:abstractNum>
  <w:abstractNum w:abstractNumId="296">
    <w:nsid w:val="4FC4D600"/>
    <w:multiLevelType w:val="hybridMultilevel"/>
    <w:lvl w:ilvl="0">
      <w:lvlJc w:val="left"/>
      <w:lvlText w:val="4"/>
      <w:numFmt w:val="bullet"/>
      <w:start w:val="1"/>
    </w:lvl>
  </w:abstractNum>
  <w:abstractNum w:abstractNumId="297">
    <w:nsid w:val="5BFD4210"/>
    <w:multiLevelType w:val="hybridMultilevel"/>
    <w:lvl w:ilvl="0">
      <w:lvlJc w:val="left"/>
      <w:lvlText w:val="%1."/>
      <w:numFmt w:val="decimal"/>
      <w:start w:val="1"/>
    </w:lvl>
  </w:abstractNum>
  <w:abstractNum w:abstractNumId="298">
    <w:nsid w:val="76574F8B"/>
    <w:multiLevelType w:val="hybridMultilevel"/>
    <w:lvl w:ilvl="0">
      <w:lvlJc w:val="left"/>
      <w:lvlText w:val="5"/>
      <w:numFmt w:val="bullet"/>
      <w:start w:val="1"/>
    </w:lvl>
  </w:abstractNum>
  <w:abstractNum w:abstractNumId="299">
    <w:nsid w:val="178F7B67"/>
    <w:multiLevelType w:val="hybridMultilevel"/>
    <w:lvl w:ilvl="0">
      <w:lvlJc w:val="left"/>
      <w:lvlText w:val="%1."/>
      <w:numFmt w:val="decimal"/>
      <w:start w:val="5"/>
    </w:lvl>
  </w:abstractNum>
  <w:abstractNum w:abstractNumId="300">
    <w:nsid w:val="2421DFCF"/>
    <w:multiLevelType w:val="hybridMultilevel"/>
    <w:lvl w:ilvl="0">
      <w:lvlJc w:val="left"/>
      <w:lvlText w:val="%1."/>
      <w:numFmt w:val="decimal"/>
      <w:start w:val="6"/>
    </w:lvl>
  </w:abstractNum>
  <w:abstractNum w:abstractNumId="301">
    <w:nsid w:val="1565AC99"/>
    <w:multiLevelType w:val="hybridMultilevel"/>
    <w:lvl w:ilvl="0">
      <w:lvlJc w:val="left"/>
      <w:lvlText w:val="%1."/>
      <w:numFmt w:val="decimal"/>
      <w:start w:val="13"/>
    </w:lvl>
  </w:abstractNum>
  <w:abstractNum w:abstractNumId="302">
    <w:nsid w:val="19FB2650"/>
    <w:multiLevelType w:val="hybridMultilevel"/>
    <w:lvl w:ilvl="0">
      <w:lvlJc w:val="left"/>
      <w:lvlText w:val="*"/>
      <w:numFmt w:val="bullet"/>
      <w:start w:val="1"/>
    </w:lvl>
  </w:abstractNum>
  <w:abstractNum w:abstractNumId="303">
    <w:nsid w:val="5024DE5B"/>
    <w:multiLevelType w:val="hybridMultilevel"/>
    <w:lvl w:ilvl="0">
      <w:lvlJc w:val="left"/>
      <w:lvlText w:val="*"/>
      <w:numFmt w:val="bullet"/>
      <w:start w:val="1"/>
    </w:lvl>
  </w:abstractNum>
  <w:abstractNum w:abstractNumId="304">
    <w:nsid w:val="168EFE17"/>
    <w:multiLevelType w:val="hybridMultilevel"/>
    <w:lvl w:ilvl="0">
      <w:lvlJc w:val="left"/>
      <w:lvlText w:val="*"/>
      <w:numFmt w:val="bullet"/>
      <w:start w:val="1"/>
    </w:lvl>
  </w:abstractNum>
  <w:abstractNum w:abstractNumId="305">
    <w:nsid w:val="1036B29F"/>
    <w:multiLevelType w:val="hybridMultilevel"/>
    <w:lvl w:ilvl="0">
      <w:lvlJc w:val="left"/>
      <w:lvlText w:val="%1."/>
      <w:numFmt w:val="decimal"/>
      <w:start w:val="1"/>
    </w:lvl>
  </w:abstractNum>
  <w:abstractNum w:abstractNumId="306">
    <w:nsid w:val="1D206B8E"/>
    <w:multiLevelType w:val="hybridMultilevel"/>
    <w:lvl w:ilvl="0">
      <w:lvlJc w:val="left"/>
      <w:lvlText w:val="%1."/>
      <w:numFmt w:val="decimal"/>
      <w:start w:val="3"/>
    </w:lvl>
  </w:abstractNum>
  <w:abstractNum w:abstractNumId="307">
    <w:nsid w:val="7934D3D4"/>
    <w:multiLevelType w:val="hybridMultilevel"/>
    <w:lvl w:ilvl="0">
      <w:lvlJc w:val="left"/>
      <w:lvlText w:val="(%1)"/>
      <w:numFmt w:val="lowerLetter"/>
      <w:start w:val="1"/>
    </w:lvl>
  </w:abstractNum>
  <w:abstractNum w:abstractNumId="308">
    <w:nsid w:val="1C65E98"/>
    <w:multiLevelType w:val="hybridMultilevel"/>
    <w:lvl w:ilvl="0">
      <w:lvlJc w:val="left"/>
      <w:lvlText w:val="%1."/>
      <w:numFmt w:val="decimal"/>
      <w:start w:val="4"/>
    </w:lvl>
  </w:abstractNum>
  <w:abstractNum w:abstractNumId="309">
    <w:nsid w:val="1495E50A"/>
    <w:multiLevelType w:val="hybridMultilevel"/>
    <w:lvl w:ilvl="0">
      <w:lvlJc w:val="left"/>
      <w:lvlText w:val="(%1)"/>
      <w:numFmt w:val="lowerLetter"/>
      <w:start w:val="1"/>
    </w:lvl>
  </w:abstractNum>
  <w:abstractNum w:abstractNumId="310">
    <w:nsid w:val="F5BCF61"/>
    <w:multiLevelType w:val="hybridMultilevel"/>
    <w:lvl w:ilvl="0">
      <w:lvlJc w:val="left"/>
      <w:lvlText w:val="(%1)"/>
      <w:numFmt w:val="lowerLetter"/>
      <w:start w:val="2"/>
    </w:lvl>
  </w:abstractNum>
  <w:abstractNum w:abstractNumId="311">
    <w:nsid w:val="3B1DD403"/>
    <w:multiLevelType w:val="hybridMultilevel"/>
    <w:lvl w:ilvl="0">
      <w:lvlJc w:val="left"/>
      <w:lvlText w:val="%1."/>
      <w:numFmt w:val="decimal"/>
      <w:start w:val="1"/>
    </w:lvl>
  </w:abstractNum>
  <w:abstractNum w:abstractNumId="312">
    <w:nsid w:val="530386D1"/>
    <w:multiLevelType w:val="hybridMultilevel"/>
    <w:lvl w:ilvl="0">
      <w:lvlJc w:val="left"/>
      <w:lvlText w:val="(%1)"/>
      <w:numFmt w:val="lowerLetter"/>
      <w:start w:val="1"/>
    </w:lvl>
    <w:lvl w:ilvl="1">
      <w:lvlJc w:val="left"/>
      <w:lvlText w:val="(%2)"/>
      <w:numFmt w:val="lowerRoman"/>
      <w:start w:val="1"/>
    </w:lvl>
  </w:abstractNum>
  <w:abstractNum w:abstractNumId="313">
    <w:nsid w:val="7525F2BC"/>
    <w:multiLevelType w:val="hybridMultilevel"/>
    <w:lvl w:ilvl="0">
      <w:lvlJc w:val="left"/>
      <w:lvlText w:val="%1."/>
      <w:numFmt w:val="decimal"/>
      <w:start w:val="2"/>
    </w:lvl>
  </w:abstractNum>
  <w:abstractNum w:abstractNumId="314">
    <w:nsid w:val="CE8E1A7"/>
    <w:multiLevelType w:val="hybridMultilevel"/>
    <w:lvl w:ilvl="0">
      <w:lvlJc w:val="left"/>
      <w:lvlText w:val="(%1)"/>
      <w:numFmt w:val="lowerLetter"/>
      <w:start w:val="1"/>
    </w:lvl>
    <w:lvl w:ilvl="1">
      <w:lvlJc w:val="left"/>
      <w:lvlText w:val="(%2)"/>
      <w:numFmt w:val="lowerRoman"/>
      <w:start w:val="1"/>
    </w:lvl>
  </w:abstractNum>
  <w:abstractNum w:abstractNumId="315">
    <w:nsid w:val="4E9EFB0D"/>
    <w:multiLevelType w:val="hybridMultilevel"/>
    <w:lvl w:ilvl="0">
      <w:lvlJc w:val="left"/>
      <w:lvlText w:val="%1)"/>
      <w:numFmt w:val="decimal"/>
      <w:start w:val="1"/>
    </w:lvl>
    <w:lvl w:ilvl="1">
      <w:lvlJc w:val="left"/>
      <w:lvlText w:val="%2)"/>
      <w:numFmt w:val="lowerLetter"/>
      <w:start w:val="1"/>
    </w:lvl>
  </w:abstractNum>
  <w:abstractNum w:abstractNumId="316">
    <w:nsid w:val="90802BE"/>
    <w:multiLevelType w:val="hybridMultilevel"/>
    <w:lvl w:ilvl="0">
      <w:lvlJc w:val="left"/>
      <w:lvlText w:val="%1"/>
      <w:numFmt w:val="decimal"/>
      <w:start w:val="1"/>
    </w:lvl>
    <w:lvl w:ilvl="1">
      <w:lvlJc w:val="left"/>
      <w:lvlText w:val="%2)"/>
      <w:numFmt w:val="lowerLetter"/>
      <w:start w:val="3"/>
    </w:lvl>
  </w:abstractNum>
  <w:abstractNum w:abstractNumId="317">
    <w:nsid w:val="3266459B"/>
    <w:multiLevelType w:val="hybridMultilevel"/>
    <w:lvl w:ilvl="0">
      <w:lvlJc w:val="left"/>
      <w:lvlText w:val="%1)"/>
      <w:numFmt w:val="decimal"/>
      <w:start w:val="2"/>
    </w:lvl>
    <w:lvl w:ilvl="1">
      <w:lvlJc w:val="left"/>
      <w:lvlText w:val="%2)"/>
      <w:numFmt w:val="lowerLetter"/>
      <w:start w:val="1"/>
    </w:lvl>
  </w:abstractNum>
  <w:abstractNum w:abstractNumId="318">
    <w:nsid w:val="3F8B0CBF"/>
    <w:multiLevelType w:val="hybridMultilevel"/>
    <w:lvl w:ilvl="0">
      <w:lvlJc w:val="left"/>
      <w:lvlText w:val="%1)"/>
      <w:numFmt w:val="lowerLetter"/>
      <w:start w:val="2"/>
    </w:lvl>
  </w:abstractNum>
  <w:abstractNum w:abstractNumId="319">
    <w:nsid w:val="37E203AB"/>
    <w:multiLevelType w:val="hybridMultilevel"/>
    <w:lvl w:ilvl="0">
      <w:lvlJc w:val="left"/>
      <w:lvlText w:val="(%1)"/>
      <w:numFmt w:val="decimal"/>
      <w:start w:val="1"/>
    </w:lvl>
  </w:abstractNum>
  <w:abstractNum w:abstractNumId="320">
    <w:nsid w:val="2586D60E"/>
    <w:multiLevelType w:val="hybridMultilevel"/>
    <w:lvl w:ilvl="0">
      <w:lvlJc w:val="left"/>
      <w:lvlText w:val="(%1)"/>
      <w:numFmt w:val="decimal"/>
      <w:start w:val="6"/>
    </w:lvl>
  </w:abstractNum>
  <w:abstractNum w:abstractNumId="321">
    <w:nsid w:val="1F3DA4D5"/>
    <w:multiLevelType w:val="hybridMultilevel"/>
    <w:lvl w:ilvl="0">
      <w:lvlJc w:val="left"/>
      <w:lvlText w:val="(%1)"/>
      <w:numFmt w:val="lowerLetter"/>
      <w:start w:val="4"/>
    </w:lvl>
  </w:abstractNum>
  <w:abstractNum w:abstractNumId="322">
    <w:nsid w:val="74C93698"/>
    <w:multiLevelType w:val="hybridMultilevel"/>
    <w:lvl w:ilvl="0">
      <w:lvlJc w:val="left"/>
      <w:lvlText w:val="(%1)"/>
      <w:numFmt w:val="lowerLetter"/>
      <w:start w:val="1"/>
    </w:lvl>
  </w:abstractNum>
  <w:abstractNum w:abstractNumId="323">
    <w:nsid w:val="48781401"/>
    <w:multiLevelType w:val="hybridMultilevel"/>
    <w:lvl w:ilvl="0">
      <w:lvlJc w:val="left"/>
      <w:lvlText w:val="(%1)"/>
      <w:numFmt w:val="lowerLetter"/>
      <w:start w:val="3"/>
    </w:lvl>
  </w:abstractNum>
  <w:abstractNum w:abstractNumId="324">
    <w:nsid w:val="186928D6"/>
    <w:multiLevelType w:val="hybridMultilevel"/>
    <w:lvl w:ilvl="0">
      <w:lvlJc w:val="left"/>
      <w:lvlText w:val="(%1)"/>
      <w:numFmt w:val="lowerLetter"/>
      <w:start w:val="1"/>
    </w:lvl>
    <w:lvl w:ilvl="1">
      <w:lvlJc w:val="left"/>
      <w:lvlText w:val="(%2)"/>
      <w:numFmt w:val="lowerRoman"/>
      <w:start w:val="1"/>
    </w:lvl>
  </w:abstractNum>
  <w:abstractNum w:abstractNumId="325">
    <w:nsid w:val="47195E5"/>
    <w:multiLevelType w:val="hybridMultilevel"/>
    <w:lvl w:ilvl="0">
      <w:lvlJc w:val="left"/>
      <w:lvlText w:val="(%1)"/>
      <w:numFmt w:val="lowerLetter"/>
      <w:start w:val="2"/>
    </w:lvl>
  </w:abstractNum>
  <w:abstractNum w:abstractNumId="326">
    <w:nsid w:val="3746A5F2"/>
    <w:multiLevelType w:val="hybridMultilevel"/>
    <w:lvl w:ilvl="0">
      <w:lvlJc w:val="left"/>
      <w:lvlText w:val="(%1)"/>
      <w:numFmt w:val="lowerLetter"/>
      <w:start w:val="1"/>
    </w:lvl>
  </w:abstractNum>
  <w:abstractNum w:abstractNumId="327">
    <w:nsid w:val="682DFED6"/>
    <w:multiLevelType w:val="hybridMultilevel"/>
    <w:lvl w:ilvl="0">
      <w:lvlJc w:val="left"/>
      <w:lvlText w:val="(%1)"/>
      <w:numFmt w:val="lowerLetter"/>
      <w:start w:val="1"/>
    </w:lvl>
  </w:abstractNum>
  <w:abstractNum w:abstractNumId="328">
    <w:nsid w:val="606ED7F6"/>
    <w:multiLevelType w:val="hybridMultilevel"/>
    <w:lvl w:ilvl="0">
      <w:lvlJc w:val="left"/>
      <w:lvlText w:val="(%1)"/>
      <w:numFmt w:val="lowerLetter"/>
      <w:start w:val="1"/>
    </w:lvl>
  </w:abstractNum>
  <w:abstractNum w:abstractNumId="329">
    <w:nsid w:val="2D9DF57D"/>
    <w:multiLevelType w:val="hybridMultilevel"/>
    <w:lvl w:ilvl="0">
      <w:lvlJc w:val="left"/>
      <w:lvlText w:val="(%1)"/>
      <w:numFmt w:val="lowerLetter"/>
      <w:start w:val="4"/>
    </w:lvl>
    <w:lvl w:ilvl="1">
      <w:lvlJc w:val="left"/>
      <w:lvlText w:val="(%2)"/>
      <w:numFmt w:val="lowerRoman"/>
      <w:start w:val="1"/>
    </w:lvl>
  </w:abstractNum>
  <w:abstractNum w:abstractNumId="330">
    <w:nsid w:val="7FBD7A3E"/>
    <w:multiLevelType w:val="hybridMultilevel"/>
    <w:lvl w:ilvl="0">
      <w:lvlJc w:val="left"/>
      <w:lvlText w:val="(%1)"/>
      <w:numFmt w:val="lowerLetter"/>
      <w:start w:val="1"/>
    </w:lvl>
  </w:abstractNum>
  <w:abstractNum w:abstractNumId="331">
    <w:nsid w:val="490B7C5"/>
    <w:multiLevelType w:val="hybridMultilevel"/>
    <w:lvl w:ilvl="0">
      <w:lvlJc w:val="left"/>
      <w:lvlText w:val="(%1)"/>
      <w:numFmt w:val="lowerLetter"/>
      <w:start w:val="3"/>
    </w:lvl>
  </w:abstractNum>
  <w:abstractNum w:abstractNumId="332">
    <w:nsid w:val="4303A216"/>
    <w:multiLevelType w:val="hybridMultilevel"/>
    <w:lvl w:ilvl="0">
      <w:lvlJc w:val="left"/>
      <w:lvlText w:val="(%1)"/>
      <w:numFmt w:val="lowerLetter"/>
      <w:start w:val="1"/>
    </w:lvl>
  </w:abstractNum>
  <w:abstractNum w:abstractNumId="333">
    <w:nsid w:val="19B8A08E"/>
    <w:multiLevelType w:val="hybridMultilevel"/>
    <w:lvl w:ilvl="0">
      <w:lvlJc w:val="left"/>
      <w:lvlText w:val="(%1)"/>
      <w:numFmt w:val="lowerLetter"/>
      <w:start w:val="1"/>
    </w:lvl>
    <w:lvl w:ilvl="1">
      <w:lvlJc w:val="left"/>
      <w:lvlText w:val="(%2)"/>
      <w:numFmt w:val="lowerRoman"/>
      <w:start w:val="1"/>
    </w:lvl>
  </w:abstractNum>
  <w:abstractNum w:abstractNumId="334">
    <w:nsid w:val="54B59621"/>
    <w:multiLevelType w:val="hybridMultilevel"/>
    <w:lvl w:ilvl="0">
      <w:lvlJc w:val="left"/>
      <w:lvlText w:val="(%1)"/>
      <w:numFmt w:val="lowerLetter"/>
      <w:start w:val="9"/>
    </w:lvl>
    <w:lvl w:ilvl="1">
      <w:lvlJc w:val="left"/>
      <w:lvlText w:val="%2"/>
      <w:numFmt w:val="lowerRoman"/>
      <w:start w:val="1"/>
    </w:lvl>
  </w:abstractNum>
  <w:abstractNum w:abstractNumId="335">
    <w:nsid w:val="5992A02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lvl w:ilvl="3">
      <w:lvlJc w:val="left"/>
      <w:lvlText w:val="(%4)"/>
      <w:numFmt w:val="decimal"/>
      <w:start w:val="1"/>
    </w:lvl>
  </w:abstractNum>
  <w:abstractNum w:abstractNumId="336">
    <w:nsid w:val="29EF532D"/>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337">
    <w:nsid w:val="71D601AF"/>
    <w:multiLevelType w:val="hybridMultilevel"/>
    <w:lvl w:ilvl="0">
      <w:lvlJc w:val="left"/>
      <w:lvlText w:val="(%1)"/>
      <w:numFmt w:val="lowerRoman"/>
      <w:start w:val="2"/>
    </w:lvl>
    <w:lvl w:ilvl="1">
      <w:lvlJc w:val="left"/>
      <w:lvlText w:val="(%2)"/>
      <w:numFmt w:val="lowerLetter"/>
      <w:start w:val="6"/>
    </w:lvl>
    <w:lvl w:ilvl="2">
      <w:lvlJc w:val="left"/>
      <w:lvlText w:val="%3"/>
      <w:numFmt w:val="lowerLetter"/>
      <w:start w:val="1"/>
    </w:lvl>
    <w:lvl w:ilvl="3">
      <w:lvlJc w:val="left"/>
      <w:lvlText w:val="%4"/>
      <w:numFmt w:val="decimal"/>
      <w:start w:val="1"/>
    </w:lvl>
  </w:abstractNum>
  <w:abstractNum w:abstractNumId="338">
    <w:nsid w:val="52C77402"/>
    <w:multiLevelType w:val="hybridMultilevel"/>
    <w:lvl w:ilvl="0">
      <w:lvlJc w:val="left"/>
      <w:lvlText w:val="(%1)"/>
      <w:numFmt w:val="lowerLetter"/>
      <w:start w:val="7"/>
    </w:lvl>
  </w:abstractNum>
  <w:abstractNum w:abstractNumId="339">
    <w:nsid w:val="2BB5B1C6"/>
    <w:multiLevelType w:val="hybridMultilevel"/>
    <w:lvl w:ilvl="0">
      <w:lvlJc w:val="left"/>
      <w:lvlText w:val="(%1)"/>
      <w:numFmt w:val="lowerLetter"/>
      <w:start w:val="1"/>
    </w:lvl>
  </w:abstractNum>
  <w:abstractNum w:abstractNumId="340">
    <w:nsid w:val="66BE6B9"/>
    <w:multiLevelType w:val="hybridMultilevel"/>
    <w:lvl w:ilvl="0">
      <w:lvlJc w:val="left"/>
      <w:lvlText w:val="%1"/>
      <w:numFmt w:val="lowerLetter"/>
      <w:start w:val="1"/>
    </w:lvl>
    <w:lvl w:ilvl="1">
      <w:lvlJc w:val="left"/>
      <w:lvlText w:val="(%2)"/>
      <w:numFmt w:val="lowerLetter"/>
      <w:start w:val="1"/>
    </w:lvl>
  </w:abstractNum>
  <w:abstractNum w:abstractNumId="341">
    <w:nsid w:val="62234363"/>
    <w:multiLevelType w:val="hybridMultilevel"/>
    <w:lvl w:ilvl="0">
      <w:lvlJc w:val="left"/>
      <w:lvlText w:val="(%1)"/>
      <w:numFmt w:val="lowerLetter"/>
      <w:start w:val="9"/>
    </w:lvl>
    <w:lvl w:ilvl="1">
      <w:lvlJc w:val="left"/>
      <w:lvlText w:val="%2"/>
      <w:numFmt w:val="lowerLetter"/>
      <w:start w:val="1"/>
    </w:lvl>
  </w:abstractNum>
  <w:abstractNum w:abstractNumId="342">
    <w:nsid w:val="66D385C9"/>
    <w:multiLevelType w:val="hybridMultilevel"/>
    <w:lvl w:ilvl="0">
      <w:lvlJc w:val="left"/>
      <w:lvlText w:val="(%1)"/>
      <w:numFmt w:val="lowerLetter"/>
      <w:start w:val="61"/>
    </w:lvl>
    <w:lvl w:ilvl="1">
      <w:lvlJc w:val="left"/>
      <w:lvlText w:val="%2"/>
      <w:numFmt w:val="lowerLetter"/>
      <w:start w:val="1"/>
    </w:lvl>
  </w:abstractNum>
  <w:abstractNum w:abstractNumId="343">
    <w:nsid w:val="596F6D8A"/>
    <w:multiLevelType w:val="hybridMultilevel"/>
    <w:lvl w:ilvl="0">
      <w:lvlJc w:val="left"/>
      <w:lvlText w:val="%1"/>
      <w:numFmt w:val="lowerLetter"/>
      <w:start w:val="1"/>
    </w:lvl>
    <w:lvl w:ilvl="1">
      <w:lvlJc w:val="left"/>
      <w:lvlText w:val="(%2)"/>
      <w:numFmt w:val="lowerLetter"/>
      <w:start w:val="2"/>
    </w:lvl>
  </w:abstractNum>
  <w:abstractNum w:abstractNumId="344">
    <w:nsid w:val="5749361F"/>
    <w:multiLevelType w:val="hybridMultilevel"/>
    <w:lvl w:ilvl="0">
      <w:lvlJc w:val="left"/>
      <w:lvlText w:val="(%1)"/>
      <w:numFmt w:val="lowerLetter"/>
      <w:start w:val="25"/>
    </w:lvl>
    <w:lvl w:ilvl="1">
      <w:lvlJc w:val="left"/>
      <w:lvlText w:val="%2"/>
      <w:numFmt w:val="lowerLetter"/>
      <w:start w:val="1"/>
    </w:lvl>
  </w:abstractNum>
  <w:abstractNum w:abstractNumId="345">
    <w:nsid w:val="73BC6770"/>
    <w:multiLevelType w:val="hybridMultilevel"/>
    <w:lvl w:ilvl="0">
      <w:lvlJc w:val="left"/>
      <w:lvlText w:val="(%1)"/>
      <w:numFmt w:val="lowerLetter"/>
      <w:start w:val="1"/>
    </w:lvl>
  </w:abstractNum>
  <w:abstractNum w:abstractNumId="346">
    <w:nsid w:val="280E6897"/>
    <w:multiLevelType w:val="hybridMultilevel"/>
    <w:lvl w:ilvl="0">
      <w:lvlJc w:val="left"/>
      <w:lvlText w:val="%1"/>
      <w:numFmt w:val="upperLetter"/>
      <w:start w:val="1"/>
    </w:lvl>
    <w:lvl w:ilvl="1">
      <w:lvlJc w:val="left"/>
      <w:lvlText w:val="(%2)"/>
      <w:numFmt w:val="lowerLetter"/>
      <w:start w:val="1"/>
    </w:lvl>
  </w:abstractNum>
  <w:abstractNum w:abstractNumId="347">
    <w:nsid w:val="605138DE"/>
    <w:multiLevelType w:val="hybridMultilevel"/>
    <w:lvl w:ilvl="0">
      <w:lvlJc w:val="left"/>
      <w:lvlText w:val="(%1)"/>
      <w:numFmt w:val="upperLetter"/>
      <w:start w:val="7"/>
    </w:lvl>
    <w:lvl w:ilvl="1">
      <w:lvlJc w:val="left"/>
      <w:lvlText w:val="%2"/>
      <w:numFmt w:val="lowerLetter"/>
      <w:start w:val="1"/>
    </w:lvl>
  </w:abstractNum>
  <w:abstractNum w:abstractNumId="348">
    <w:nsid w:val="2622AD0C"/>
    <w:multiLevelType w:val="hybridMultilevel"/>
    <w:lvl w:ilvl="0">
      <w:lvlJc w:val="left"/>
      <w:lvlText w:val="(%1)"/>
      <w:numFmt w:val="lowerLetter"/>
      <w:start w:val="2"/>
    </w:lvl>
  </w:abstractNum>
  <w:abstractNum w:abstractNumId="349">
    <w:nsid w:val="67997556"/>
    <w:multiLevelType w:val="hybridMultilevel"/>
    <w:lvl w:ilvl="0">
      <w:lvlJc w:val="left"/>
      <w:lvlText w:val="(%1)"/>
      <w:numFmt w:val="lowerLetter"/>
      <w:start w:val="1"/>
    </w:lvl>
  </w:abstractNum>
  <w:abstractNum w:abstractNumId="350">
    <w:nsid w:val="18333C89"/>
    <w:multiLevelType w:val="hybridMultilevel"/>
    <w:lvl w:ilvl="0">
      <w:lvlJc w:val="left"/>
      <w:lvlText w:val="(%1)"/>
      <w:numFmt w:val="lowerLetter"/>
      <w:start w:val="3"/>
    </w:lvl>
  </w:abstractNum>
  <w:abstractNum w:abstractNumId="351">
    <w:nsid w:val="4BA9831A"/>
    <w:multiLevelType w:val="hybridMultilevel"/>
    <w:lvl w:ilvl="0">
      <w:lvlJc w:val="left"/>
      <w:lvlText w:val="(%1)"/>
      <w:numFmt w:val="lowerLetter"/>
      <w:start w:val="1"/>
    </w:lvl>
  </w:abstractNum>
  <w:abstractNum w:abstractNumId="352">
    <w:nsid w:val="6D71A2B"/>
    <w:multiLevelType w:val="hybridMultilevel"/>
    <w:lvl w:ilvl="0">
      <w:lvlJc w:val="left"/>
      <w:lvlText w:val="(%1)"/>
      <w:numFmt w:val="lowerLetter"/>
      <w:start w:val="2"/>
    </w:lvl>
  </w:abstractNum>
  <w:abstractNum w:abstractNumId="353">
    <w:nsid w:val="CFC7321"/>
    <w:multiLevelType w:val="hybridMultilevel"/>
    <w:lvl w:ilvl="0">
      <w:lvlJc w:val="left"/>
      <w:lvlText w:val="%1."/>
      <w:numFmt w:val="upperLetter"/>
      <w:start w:val="1"/>
    </w:lvl>
  </w:abstractNum>
  <w:abstractNum w:abstractNumId="354">
    <w:nsid w:val="1421971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2020-09-02T15:30:49Z</dcterms:created>
  <dcterms:modified xsi:type="dcterms:W3CDTF">2020-09-02T15:30:49Z</dcterms:modified>
</cp:coreProperties>
</file>